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8579" w14:textId="6903BEC0" w:rsidR="001C1C09" w:rsidRPr="001C1C09" w:rsidRDefault="00DD3AF9" w:rsidP="009F0A20">
      <w:pPr>
        <w:pStyle w:val="Tesisparrafo"/>
        <w:keepNext/>
        <w:rPr>
          <w:rFonts w:cs="Noto Serif"/>
          <w:color w:val="000000" w:themeColor="text1"/>
          <w:sz w:val="21"/>
          <w:szCs w:val="21"/>
        </w:rPr>
      </w:pPr>
      <w:r>
        <w:rPr>
          <w:rFonts w:cs="Noto Serif"/>
          <w:i/>
          <w:iCs/>
          <w:color w:val="000000" w:themeColor="text1"/>
          <w:sz w:val="21"/>
          <w:szCs w:val="21"/>
        </w:rPr>
        <w:t>Plant Growth Regulation</w:t>
      </w:r>
      <w:r w:rsidR="001C1C09" w:rsidRPr="001C1C09">
        <w:rPr>
          <w:rFonts w:cs="Noto Serif"/>
          <w:color w:val="000000" w:themeColor="text1"/>
          <w:sz w:val="21"/>
          <w:szCs w:val="21"/>
        </w:rPr>
        <w:t xml:space="preserve"> </w:t>
      </w:r>
      <w:r w:rsidR="000C5DA9">
        <w:rPr>
          <w:rFonts w:cs="Noto Serif"/>
          <w:color w:val="000000" w:themeColor="text1"/>
          <w:sz w:val="21"/>
          <w:szCs w:val="21"/>
        </w:rPr>
        <w:t>Online Resources</w:t>
      </w:r>
      <w:r w:rsidR="001C1C09" w:rsidRPr="001C1C09">
        <w:rPr>
          <w:rFonts w:cs="Noto Serif"/>
          <w:color w:val="000000" w:themeColor="text1"/>
          <w:sz w:val="21"/>
          <w:szCs w:val="21"/>
        </w:rPr>
        <w:t xml:space="preserve">. </w:t>
      </w:r>
    </w:p>
    <w:p w14:paraId="093A3426" w14:textId="78B9268F" w:rsidR="001C1C09" w:rsidRPr="009F0A20" w:rsidRDefault="00DD3AF9" w:rsidP="009F0A20">
      <w:pPr>
        <w:pStyle w:val="Tesisparrafo"/>
        <w:keepNext/>
        <w:rPr>
          <w:rFonts w:cs="Noto Serif"/>
          <w:b/>
          <w:bCs/>
          <w:color w:val="000000" w:themeColor="text1"/>
          <w:sz w:val="21"/>
          <w:szCs w:val="21"/>
        </w:rPr>
      </w:pPr>
      <w:r w:rsidRPr="00DD3AF9">
        <w:rPr>
          <w:rFonts w:cs="Noto Serif"/>
          <w:b/>
          <w:bCs/>
          <w:color w:val="000000" w:themeColor="text1"/>
          <w:sz w:val="21"/>
          <w:szCs w:val="21"/>
        </w:rPr>
        <w:t xml:space="preserve">Differential gene expression analysis of the resprouting process in </w:t>
      </w:r>
      <w:r w:rsidRPr="00DD3AF9">
        <w:rPr>
          <w:rFonts w:cs="Noto Serif"/>
          <w:b/>
          <w:bCs/>
          <w:i/>
          <w:iCs/>
          <w:color w:val="000000" w:themeColor="text1"/>
          <w:sz w:val="21"/>
          <w:szCs w:val="21"/>
        </w:rPr>
        <w:t xml:space="preserve">Pinus </w:t>
      </w:r>
      <w:proofErr w:type="spellStart"/>
      <w:r w:rsidRPr="00DD3AF9">
        <w:rPr>
          <w:rFonts w:cs="Noto Serif"/>
          <w:b/>
          <w:bCs/>
          <w:i/>
          <w:iCs/>
          <w:color w:val="000000" w:themeColor="text1"/>
          <w:sz w:val="21"/>
          <w:szCs w:val="21"/>
        </w:rPr>
        <w:t>canariensis</w:t>
      </w:r>
      <w:proofErr w:type="spellEnd"/>
      <w:r w:rsidRPr="00DD3AF9">
        <w:rPr>
          <w:rFonts w:cs="Noto Serif"/>
          <w:b/>
          <w:bCs/>
          <w:color w:val="000000" w:themeColor="text1"/>
          <w:sz w:val="21"/>
          <w:szCs w:val="21"/>
        </w:rPr>
        <w:t xml:space="preserve"> provides new insights into a rare trait in conifers</w:t>
      </w:r>
      <w:r w:rsidR="001C1C09" w:rsidRPr="009F0A20">
        <w:rPr>
          <w:rFonts w:cs="Noto Serif"/>
          <w:b/>
          <w:bCs/>
          <w:i/>
          <w:iCs/>
          <w:color w:val="000000" w:themeColor="text1"/>
          <w:sz w:val="21"/>
          <w:szCs w:val="21"/>
        </w:rPr>
        <w:t>.</w:t>
      </w:r>
    </w:p>
    <w:p w14:paraId="18EF4A55" w14:textId="08CECF76" w:rsidR="001C1C09" w:rsidRPr="00EE5FC6" w:rsidRDefault="001C1C09" w:rsidP="009F0A20">
      <w:pPr>
        <w:pStyle w:val="Tesisparrafo"/>
        <w:keepNext/>
        <w:rPr>
          <w:rFonts w:cs="Noto Serif"/>
          <w:color w:val="000000" w:themeColor="text1"/>
          <w:sz w:val="18"/>
          <w:szCs w:val="18"/>
          <w:lang w:val="en-US"/>
        </w:rPr>
      </w:pPr>
      <w:r w:rsidRPr="00EE5FC6">
        <w:rPr>
          <w:rFonts w:cs="Noto Serif"/>
          <w:color w:val="000000" w:themeColor="text1"/>
          <w:sz w:val="18"/>
          <w:szCs w:val="18"/>
          <w:lang w:val="en-US"/>
        </w:rPr>
        <w:t xml:space="preserve">Authors: Víctor Chano, </w:t>
      </w:r>
      <w:r w:rsidR="00DD3AF9" w:rsidRPr="00EE5FC6">
        <w:rPr>
          <w:rFonts w:cs="Noto Serif"/>
          <w:color w:val="000000" w:themeColor="text1"/>
          <w:sz w:val="18"/>
          <w:szCs w:val="18"/>
          <w:lang w:val="en-US"/>
        </w:rPr>
        <w:t xml:space="preserve">Oliver </w:t>
      </w:r>
      <w:proofErr w:type="spellStart"/>
      <w:r w:rsidR="00DD3AF9" w:rsidRPr="00EE5FC6">
        <w:rPr>
          <w:rFonts w:cs="Noto Serif"/>
          <w:color w:val="000000" w:themeColor="text1"/>
          <w:sz w:val="18"/>
          <w:szCs w:val="18"/>
          <w:lang w:val="en-US"/>
        </w:rPr>
        <w:t>Gailing</w:t>
      </w:r>
      <w:proofErr w:type="spellEnd"/>
      <w:r w:rsidR="00DD3AF9" w:rsidRPr="00EE5FC6">
        <w:rPr>
          <w:rFonts w:cs="Noto Serif"/>
          <w:color w:val="000000" w:themeColor="text1"/>
          <w:sz w:val="18"/>
          <w:szCs w:val="18"/>
          <w:lang w:val="en-US"/>
        </w:rPr>
        <w:t xml:space="preserve">, </w:t>
      </w:r>
      <w:r w:rsidRPr="00EE5FC6">
        <w:rPr>
          <w:rFonts w:cs="Noto Serif"/>
          <w:color w:val="000000" w:themeColor="text1"/>
          <w:sz w:val="18"/>
          <w:szCs w:val="18"/>
          <w:lang w:val="en-US"/>
        </w:rPr>
        <w:t xml:space="preserve">Carmen </w:t>
      </w:r>
      <w:proofErr w:type="spellStart"/>
      <w:r w:rsidRPr="00EE5FC6">
        <w:rPr>
          <w:rFonts w:cs="Noto Serif"/>
          <w:color w:val="000000" w:themeColor="text1"/>
          <w:sz w:val="18"/>
          <w:szCs w:val="18"/>
          <w:lang w:val="en-US"/>
        </w:rPr>
        <w:t>Collada</w:t>
      </w:r>
      <w:proofErr w:type="spellEnd"/>
      <w:r w:rsidRPr="00EE5FC6">
        <w:rPr>
          <w:rFonts w:cs="Noto Serif"/>
          <w:color w:val="000000" w:themeColor="text1"/>
          <w:sz w:val="18"/>
          <w:szCs w:val="18"/>
          <w:lang w:val="en-US"/>
        </w:rPr>
        <w:t>, Álvaro Soto</w:t>
      </w:r>
    </w:p>
    <w:p w14:paraId="2F035F05" w14:textId="45BDDC51" w:rsidR="001C1C09" w:rsidRPr="001C1C09" w:rsidRDefault="001C1C09" w:rsidP="009F0A20">
      <w:pPr>
        <w:pStyle w:val="Tesisparrafo"/>
        <w:keepNext/>
        <w:rPr>
          <w:rFonts w:cs="Noto Serif"/>
          <w:color w:val="000000" w:themeColor="text1"/>
          <w:sz w:val="18"/>
          <w:szCs w:val="18"/>
        </w:rPr>
      </w:pPr>
      <w:r w:rsidRPr="001C1C09">
        <w:rPr>
          <w:rFonts w:cs="Noto Serif"/>
          <w:color w:val="000000" w:themeColor="text1"/>
          <w:sz w:val="18"/>
          <w:szCs w:val="18"/>
        </w:rPr>
        <w:t xml:space="preserve">The following </w:t>
      </w:r>
      <w:r w:rsidR="00EE5FC6">
        <w:rPr>
          <w:rFonts w:cs="Noto Serif"/>
          <w:color w:val="000000" w:themeColor="text1"/>
          <w:sz w:val="18"/>
          <w:szCs w:val="18"/>
        </w:rPr>
        <w:t xml:space="preserve">Electronic </w:t>
      </w:r>
      <w:r w:rsidRPr="001C1C09">
        <w:rPr>
          <w:rFonts w:cs="Noto Serif"/>
          <w:color w:val="000000" w:themeColor="text1"/>
          <w:sz w:val="18"/>
          <w:szCs w:val="18"/>
        </w:rPr>
        <w:t>Supp</w:t>
      </w:r>
      <w:r w:rsidR="00101A5D">
        <w:rPr>
          <w:rFonts w:cs="Noto Serif"/>
          <w:color w:val="000000" w:themeColor="text1"/>
          <w:sz w:val="18"/>
          <w:szCs w:val="18"/>
        </w:rPr>
        <w:t>lementary</w:t>
      </w:r>
      <w:r w:rsidRPr="001C1C09">
        <w:rPr>
          <w:rFonts w:cs="Noto Serif"/>
          <w:color w:val="000000" w:themeColor="text1"/>
          <w:sz w:val="18"/>
          <w:szCs w:val="18"/>
        </w:rPr>
        <w:t xml:space="preserve"> </w:t>
      </w:r>
      <w:r w:rsidR="00101A5D">
        <w:rPr>
          <w:rFonts w:cs="Noto Serif"/>
          <w:color w:val="000000" w:themeColor="text1"/>
          <w:sz w:val="18"/>
          <w:szCs w:val="18"/>
        </w:rPr>
        <w:t xml:space="preserve">Material </w:t>
      </w:r>
      <w:r w:rsidRPr="001C1C09">
        <w:rPr>
          <w:rFonts w:cs="Noto Serif"/>
          <w:color w:val="000000" w:themeColor="text1"/>
          <w:sz w:val="18"/>
          <w:szCs w:val="18"/>
        </w:rPr>
        <w:t>is available for this article:</w:t>
      </w:r>
    </w:p>
    <w:p w14:paraId="2F6108E0" w14:textId="69E44EE3" w:rsidR="001C1C09" w:rsidRDefault="000C5DA9" w:rsidP="00DB11CE">
      <w:pPr>
        <w:pStyle w:val="Tesisparrafo"/>
        <w:keepNext/>
        <w:numPr>
          <w:ilvl w:val="0"/>
          <w:numId w:val="1"/>
        </w:numPr>
        <w:ind w:left="426"/>
        <w:rPr>
          <w:rFonts w:cs="Noto Serif"/>
          <w:color w:val="000000" w:themeColor="text1"/>
          <w:sz w:val="18"/>
          <w:szCs w:val="18"/>
        </w:rPr>
      </w:pPr>
      <w:r>
        <w:rPr>
          <w:rFonts w:cs="Noto Serif"/>
          <w:color w:val="000000" w:themeColor="text1"/>
          <w:sz w:val="18"/>
          <w:szCs w:val="18"/>
        </w:rPr>
        <w:t>Online Resource</w:t>
      </w:r>
      <w:r w:rsidR="001C1C09" w:rsidRPr="00292D3D">
        <w:rPr>
          <w:rFonts w:cs="Noto Serif"/>
          <w:color w:val="000000" w:themeColor="text1"/>
          <w:sz w:val="18"/>
          <w:szCs w:val="18"/>
        </w:rPr>
        <w:t xml:space="preserve"> Figure </w:t>
      </w:r>
      <w:r w:rsidR="00712139">
        <w:rPr>
          <w:rFonts w:cs="Noto Serif"/>
          <w:color w:val="000000" w:themeColor="text1"/>
          <w:sz w:val="18"/>
          <w:szCs w:val="18"/>
        </w:rPr>
        <w:t>S</w:t>
      </w:r>
      <w:r w:rsidR="001C1C09" w:rsidRPr="00292D3D">
        <w:rPr>
          <w:rFonts w:cs="Noto Serif"/>
          <w:color w:val="000000" w:themeColor="text1"/>
          <w:sz w:val="18"/>
          <w:szCs w:val="18"/>
        </w:rPr>
        <w:t xml:space="preserve">1. </w:t>
      </w:r>
      <w:r w:rsidR="0058467B">
        <w:rPr>
          <w:rFonts w:cs="Noto Serif"/>
          <w:color w:val="000000" w:themeColor="text1"/>
          <w:sz w:val="18"/>
          <w:szCs w:val="18"/>
        </w:rPr>
        <w:t>Description of the sample collection. a) R0, b) R1 and c) R2</w:t>
      </w:r>
      <w:r w:rsidR="001C1C09">
        <w:rPr>
          <w:rFonts w:cs="Noto Serif"/>
          <w:i/>
          <w:iCs/>
          <w:color w:val="000000" w:themeColor="text1"/>
          <w:sz w:val="18"/>
          <w:szCs w:val="18"/>
        </w:rPr>
        <w:t>.</w:t>
      </w:r>
    </w:p>
    <w:p w14:paraId="393B555A" w14:textId="714E7E08" w:rsidR="00B23E60" w:rsidRPr="00CB2E6A" w:rsidRDefault="0058467B" w:rsidP="00CB2E6A">
      <w:pPr>
        <w:pStyle w:val="Tesisparrafo"/>
        <w:keepNext/>
        <w:numPr>
          <w:ilvl w:val="0"/>
          <w:numId w:val="1"/>
        </w:numPr>
        <w:ind w:left="426"/>
        <w:rPr>
          <w:rFonts w:cs="Noto Serif"/>
          <w:color w:val="000000" w:themeColor="text1"/>
          <w:sz w:val="18"/>
          <w:szCs w:val="18"/>
        </w:rPr>
      </w:pPr>
      <w:r>
        <w:rPr>
          <w:rFonts w:cs="Noto Serif"/>
          <w:color w:val="000000" w:themeColor="text1"/>
          <w:sz w:val="18"/>
          <w:szCs w:val="18"/>
        </w:rPr>
        <w:t>Online Resource</w:t>
      </w:r>
      <w:r w:rsidRPr="00292D3D">
        <w:rPr>
          <w:rFonts w:cs="Noto Serif"/>
          <w:color w:val="000000" w:themeColor="text1"/>
          <w:sz w:val="18"/>
          <w:szCs w:val="18"/>
        </w:rPr>
        <w:t xml:space="preserve"> Figure </w:t>
      </w:r>
      <w:r>
        <w:rPr>
          <w:rFonts w:cs="Noto Serif"/>
          <w:color w:val="000000" w:themeColor="text1"/>
          <w:sz w:val="18"/>
          <w:szCs w:val="18"/>
        </w:rPr>
        <w:t>S2</w:t>
      </w:r>
      <w:r w:rsidRPr="00292D3D">
        <w:rPr>
          <w:rFonts w:cs="Noto Serif"/>
          <w:color w:val="000000" w:themeColor="text1"/>
          <w:sz w:val="18"/>
          <w:szCs w:val="18"/>
        </w:rPr>
        <w:t xml:space="preserve">. </w:t>
      </w:r>
      <w:r>
        <w:rPr>
          <w:rFonts w:cs="Noto Serif"/>
          <w:color w:val="000000" w:themeColor="text1"/>
          <w:sz w:val="18"/>
          <w:szCs w:val="18"/>
        </w:rPr>
        <w:t>D</w:t>
      </w:r>
      <w:r w:rsidR="00364B5C">
        <w:rPr>
          <w:rFonts w:cs="Noto Serif"/>
          <w:color w:val="000000" w:themeColor="text1"/>
          <w:sz w:val="18"/>
          <w:szCs w:val="18"/>
        </w:rPr>
        <w:t xml:space="preserve">istribution of GO terms associated to resprouting DEGs. </w:t>
      </w:r>
    </w:p>
    <w:p w14:paraId="0409DD3D" w14:textId="1F7A40D3" w:rsidR="001C1C09" w:rsidRPr="00AB7715" w:rsidRDefault="001C1C09" w:rsidP="00AB7715">
      <w:pPr>
        <w:pStyle w:val="Tesisparrafo"/>
        <w:keepNext/>
        <w:rPr>
          <w:rFonts w:cs="Noto Serif"/>
          <w:i/>
          <w:iCs/>
          <w:color w:val="000000" w:themeColor="text1"/>
          <w:sz w:val="18"/>
          <w:szCs w:val="18"/>
        </w:rPr>
      </w:pPr>
      <w:r>
        <w:rPr>
          <w:rFonts w:cs="Noto Serif"/>
          <w:i/>
          <w:iCs/>
          <w:color w:val="000000" w:themeColor="text1"/>
          <w:sz w:val="18"/>
          <w:szCs w:val="18"/>
        </w:rPr>
        <w:br w:type="page"/>
      </w:r>
    </w:p>
    <w:p w14:paraId="0B1B31C8" w14:textId="6D274362" w:rsidR="007C4B6F" w:rsidRDefault="00AB7715" w:rsidP="007C4B6F">
      <w:pPr>
        <w:pStyle w:val="Tesisparrafo"/>
        <w:keepNext/>
        <w:jc w:val="center"/>
        <w:rPr>
          <w:rFonts w:cs="Noto Serif"/>
          <w:color w:val="000000" w:themeColor="text1"/>
          <w:sz w:val="18"/>
          <w:szCs w:val="18"/>
        </w:rPr>
      </w:pPr>
      <w:r w:rsidRPr="00AB7715">
        <w:rPr>
          <w:noProof/>
        </w:rPr>
        <w:lastRenderedPageBreak/>
        <w:drawing>
          <wp:inline distT="0" distB="0" distL="0" distR="0" wp14:anchorId="10CF5DE2" wp14:editId="3888A4CE">
            <wp:extent cx="5396230" cy="2382520"/>
            <wp:effectExtent l="0" t="0" r="127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6230" cy="2382520"/>
                    </a:xfrm>
                    <a:prstGeom prst="rect">
                      <a:avLst/>
                    </a:prstGeom>
                  </pic:spPr>
                </pic:pic>
              </a:graphicData>
            </a:graphic>
          </wp:inline>
        </w:drawing>
      </w:r>
    </w:p>
    <w:p w14:paraId="0DB5F460" w14:textId="2919C51A" w:rsidR="007C4B6F" w:rsidRDefault="007C4B6F" w:rsidP="007C4B6F">
      <w:pPr>
        <w:pStyle w:val="Tesisparrafo"/>
        <w:keepNext/>
        <w:ind w:left="66"/>
        <w:rPr>
          <w:rFonts w:cs="Noto Serif"/>
          <w:color w:val="000000" w:themeColor="text1"/>
          <w:sz w:val="18"/>
          <w:szCs w:val="18"/>
        </w:rPr>
      </w:pPr>
      <w:r>
        <w:rPr>
          <w:rFonts w:cs="Noto Serif"/>
          <w:color w:val="000000" w:themeColor="text1"/>
          <w:sz w:val="18"/>
          <w:szCs w:val="18"/>
        </w:rPr>
        <w:t>Online Resource</w:t>
      </w:r>
      <w:r w:rsidRPr="00292D3D">
        <w:rPr>
          <w:rFonts w:cs="Noto Serif"/>
          <w:color w:val="000000" w:themeColor="text1"/>
          <w:sz w:val="18"/>
          <w:szCs w:val="18"/>
        </w:rPr>
        <w:t xml:space="preserve"> Figure </w:t>
      </w:r>
      <w:r>
        <w:rPr>
          <w:rFonts w:cs="Noto Serif"/>
          <w:color w:val="000000" w:themeColor="text1"/>
          <w:sz w:val="18"/>
          <w:szCs w:val="18"/>
        </w:rPr>
        <w:t>S</w:t>
      </w:r>
      <w:r w:rsidRPr="00292D3D">
        <w:rPr>
          <w:rFonts w:cs="Noto Serif"/>
          <w:color w:val="000000" w:themeColor="text1"/>
          <w:sz w:val="18"/>
          <w:szCs w:val="18"/>
        </w:rPr>
        <w:t xml:space="preserve">1. </w:t>
      </w:r>
      <w:r>
        <w:rPr>
          <w:rFonts w:cs="Noto Serif"/>
          <w:color w:val="000000" w:themeColor="text1"/>
          <w:sz w:val="18"/>
          <w:szCs w:val="18"/>
        </w:rPr>
        <w:t>Description of the sample collection. a) R0, b) R1 and c) R2</w:t>
      </w:r>
      <w:r>
        <w:rPr>
          <w:rFonts w:cs="Noto Serif"/>
          <w:i/>
          <w:iCs/>
          <w:color w:val="000000" w:themeColor="text1"/>
          <w:sz w:val="18"/>
          <w:szCs w:val="18"/>
        </w:rPr>
        <w:t>.</w:t>
      </w:r>
    </w:p>
    <w:p w14:paraId="09792BE1" w14:textId="186CAFB7" w:rsidR="00292D3D" w:rsidRDefault="00292D3D" w:rsidP="001C1C09">
      <w:pPr>
        <w:pStyle w:val="Tesisparrafo"/>
        <w:keepNext/>
        <w:rPr>
          <w:rFonts w:cs="Noto Serif"/>
          <w:color w:val="000000" w:themeColor="text1"/>
          <w:sz w:val="18"/>
          <w:szCs w:val="18"/>
        </w:rPr>
      </w:pPr>
      <w:r w:rsidRPr="00292D3D">
        <w:rPr>
          <w:rFonts w:cs="Noto Serif"/>
          <w:color w:val="000000" w:themeColor="text1"/>
          <w:sz w:val="18"/>
          <w:szCs w:val="18"/>
        </w:rPr>
        <w:t xml:space="preserve">. </w:t>
      </w:r>
      <w:r>
        <w:rPr>
          <w:rFonts w:cs="Noto Serif"/>
          <w:color w:val="000000" w:themeColor="text1"/>
          <w:sz w:val="18"/>
          <w:szCs w:val="18"/>
        </w:rPr>
        <w:br w:type="page"/>
      </w:r>
    </w:p>
    <w:p w14:paraId="390E354F" w14:textId="551CA3A1" w:rsidR="007C4B6F" w:rsidRDefault="00AB7715" w:rsidP="007C4B6F">
      <w:pPr>
        <w:pStyle w:val="Tesisparrafo"/>
        <w:keepNext/>
        <w:jc w:val="center"/>
        <w:rPr>
          <w:rFonts w:cs="Noto Serif"/>
          <w:color w:val="000000" w:themeColor="text1"/>
          <w:sz w:val="18"/>
          <w:szCs w:val="18"/>
        </w:rPr>
      </w:pPr>
      <w:r w:rsidRPr="00AB7715">
        <w:rPr>
          <w:rFonts w:cs="Noto Serif"/>
          <w:noProof/>
          <w:color w:val="000000" w:themeColor="text1"/>
          <w:sz w:val="18"/>
          <w:szCs w:val="18"/>
        </w:rPr>
        <w:lastRenderedPageBreak/>
        <w:drawing>
          <wp:inline distT="0" distB="0" distL="0" distR="0" wp14:anchorId="46BE306E" wp14:editId="4C6947D9">
            <wp:extent cx="5396230" cy="5052695"/>
            <wp:effectExtent l="0" t="0" r="127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6230" cy="5052695"/>
                    </a:xfrm>
                    <a:prstGeom prst="rect">
                      <a:avLst/>
                    </a:prstGeom>
                  </pic:spPr>
                </pic:pic>
              </a:graphicData>
            </a:graphic>
          </wp:inline>
        </w:drawing>
      </w:r>
    </w:p>
    <w:p w14:paraId="711FDBCE" w14:textId="02A8A5E6" w:rsidR="007C4B6F" w:rsidRPr="007C4B6F" w:rsidRDefault="007C4B6F" w:rsidP="007C4B6F">
      <w:pPr>
        <w:pStyle w:val="Tesisparrafo"/>
        <w:keepNext/>
        <w:numPr>
          <w:ilvl w:val="0"/>
          <w:numId w:val="1"/>
        </w:numPr>
        <w:ind w:left="426"/>
        <w:rPr>
          <w:rFonts w:cs="Noto Serif"/>
          <w:color w:val="000000" w:themeColor="text1"/>
          <w:sz w:val="18"/>
          <w:szCs w:val="18"/>
        </w:rPr>
      </w:pPr>
      <w:r>
        <w:rPr>
          <w:rFonts w:cs="Noto Serif"/>
          <w:color w:val="000000" w:themeColor="text1"/>
          <w:sz w:val="18"/>
          <w:szCs w:val="18"/>
        </w:rPr>
        <w:t>Online Resource</w:t>
      </w:r>
      <w:r w:rsidRPr="00292D3D">
        <w:rPr>
          <w:rFonts w:cs="Noto Serif"/>
          <w:color w:val="000000" w:themeColor="text1"/>
          <w:sz w:val="18"/>
          <w:szCs w:val="18"/>
        </w:rPr>
        <w:t xml:space="preserve"> Figure </w:t>
      </w:r>
      <w:r>
        <w:rPr>
          <w:rFonts w:cs="Noto Serif"/>
          <w:color w:val="000000" w:themeColor="text1"/>
          <w:sz w:val="18"/>
          <w:szCs w:val="18"/>
        </w:rPr>
        <w:t>S2</w:t>
      </w:r>
      <w:r w:rsidRPr="00292D3D">
        <w:rPr>
          <w:rFonts w:cs="Noto Serif"/>
          <w:color w:val="000000" w:themeColor="text1"/>
          <w:sz w:val="18"/>
          <w:szCs w:val="18"/>
        </w:rPr>
        <w:t xml:space="preserve">. </w:t>
      </w:r>
      <w:r>
        <w:rPr>
          <w:rFonts w:cs="Noto Serif"/>
          <w:color w:val="000000" w:themeColor="text1"/>
          <w:sz w:val="18"/>
          <w:szCs w:val="18"/>
        </w:rPr>
        <w:t>Distribution of GO terms associated to resprouting DEGs. a) Combined Graph of Biological Process GO terms. Those GOs related to lateral organogenesis, such as “shoot system development”, are expanded (red square). b) Functional categorization of GO terms in multilevel pie chart, with the lowest node per branch</w:t>
      </w:r>
      <w:r w:rsidRPr="007C4B6F">
        <w:rPr>
          <w:rFonts w:cs="Noto Serif"/>
          <w:i/>
          <w:iCs/>
          <w:color w:val="000000" w:themeColor="text1"/>
          <w:sz w:val="18"/>
          <w:szCs w:val="18"/>
        </w:rPr>
        <w:t>.</w:t>
      </w:r>
    </w:p>
    <w:p w14:paraId="39A5ED39" w14:textId="04C20522" w:rsidR="007C4B6F" w:rsidRDefault="007C4B6F">
      <w:pPr>
        <w:spacing w:after="0" w:line="240" w:lineRule="auto"/>
        <w:rPr>
          <w:rFonts w:cs="Noto Serif"/>
          <w:color w:val="000000" w:themeColor="text1"/>
          <w:sz w:val="18"/>
          <w:szCs w:val="18"/>
        </w:rPr>
      </w:pPr>
    </w:p>
    <w:sectPr w:rsidR="007C4B6F" w:rsidSect="000F7E3E">
      <w:headerReference w:type="default" r:id="rId1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71384" w14:textId="77777777" w:rsidR="00480B87" w:rsidRDefault="00480B87" w:rsidP="00D2715F">
      <w:pPr>
        <w:spacing w:after="0" w:line="240" w:lineRule="auto"/>
      </w:pPr>
      <w:r>
        <w:separator/>
      </w:r>
    </w:p>
  </w:endnote>
  <w:endnote w:type="continuationSeparator" w:id="0">
    <w:p w14:paraId="2D2CBC3D" w14:textId="77777777" w:rsidR="00480B87" w:rsidRDefault="00480B87" w:rsidP="00D27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erif">
    <w:panose1 w:val="02020600060500020200"/>
    <w:charset w:val="00"/>
    <w:family w:val="roman"/>
    <w:pitch w:val="variable"/>
    <w:sig w:usb0="E00002FF" w:usb1="500078FF" w:usb2="00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27599" w14:textId="77777777" w:rsidR="00480B87" w:rsidRDefault="00480B87" w:rsidP="00D2715F">
      <w:pPr>
        <w:spacing w:after="0" w:line="240" w:lineRule="auto"/>
      </w:pPr>
      <w:r>
        <w:separator/>
      </w:r>
    </w:p>
  </w:footnote>
  <w:footnote w:type="continuationSeparator" w:id="0">
    <w:p w14:paraId="136BB5E6" w14:textId="77777777" w:rsidR="00480B87" w:rsidRDefault="00480B87" w:rsidP="00D271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0216" w14:textId="4D13A054" w:rsidR="00D2715F" w:rsidRPr="00D2715F" w:rsidRDefault="00DD3AF9" w:rsidP="00D2715F">
    <w:pPr>
      <w:spacing w:after="0" w:line="240" w:lineRule="auto"/>
      <w:rPr>
        <w:rFonts w:ascii="Times New Roman" w:eastAsia="Times New Roman" w:hAnsi="Times New Roman" w:cs="Times New Roman"/>
        <w:sz w:val="24"/>
        <w:szCs w:val="24"/>
        <w:lang w:val="es-ES" w:eastAsia="es-ES_tradnl"/>
      </w:rPr>
    </w:pPr>
    <w:r w:rsidRPr="00DD3AF9">
      <w:rPr>
        <w:rFonts w:ascii="Times New Roman" w:eastAsia="Times New Roman" w:hAnsi="Times New Roman" w:cs="Times New Roman"/>
        <w:noProof/>
        <w:sz w:val="24"/>
        <w:szCs w:val="24"/>
        <w:lang w:val="es-ES" w:eastAsia="es-ES_tradnl"/>
      </w:rPr>
      <w:drawing>
        <wp:inline distT="0" distB="0" distL="0" distR="0" wp14:anchorId="04FA9A8C" wp14:editId="17A0FCA5">
          <wp:extent cx="5396230" cy="663575"/>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396230" cy="663575"/>
                  </a:xfrm>
                  <a:prstGeom prst="rect">
                    <a:avLst/>
                  </a:prstGeom>
                </pic:spPr>
              </pic:pic>
            </a:graphicData>
          </a:graphic>
        </wp:inline>
      </w:drawing>
    </w:r>
  </w:p>
  <w:p w14:paraId="7FEBE0A7" w14:textId="77777777" w:rsidR="00D2715F" w:rsidRDefault="00D2715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1405C"/>
    <w:multiLevelType w:val="hybridMultilevel"/>
    <w:tmpl w:val="7FB83EA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108037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CC8"/>
    <w:rsid w:val="000C5DA9"/>
    <w:rsid w:val="000F7E3E"/>
    <w:rsid w:val="00101A5D"/>
    <w:rsid w:val="00106C08"/>
    <w:rsid w:val="001C1C09"/>
    <w:rsid w:val="001D7533"/>
    <w:rsid w:val="0027067B"/>
    <w:rsid w:val="00292D3D"/>
    <w:rsid w:val="0035192D"/>
    <w:rsid w:val="00364B5C"/>
    <w:rsid w:val="00420931"/>
    <w:rsid w:val="00432E74"/>
    <w:rsid w:val="00480B87"/>
    <w:rsid w:val="004B7236"/>
    <w:rsid w:val="004F1B14"/>
    <w:rsid w:val="005158D5"/>
    <w:rsid w:val="0058467B"/>
    <w:rsid w:val="005B3F7C"/>
    <w:rsid w:val="005B723F"/>
    <w:rsid w:val="00623F2D"/>
    <w:rsid w:val="00712139"/>
    <w:rsid w:val="007B2232"/>
    <w:rsid w:val="007C4B6F"/>
    <w:rsid w:val="008118FB"/>
    <w:rsid w:val="00860A2E"/>
    <w:rsid w:val="00950974"/>
    <w:rsid w:val="009F0A20"/>
    <w:rsid w:val="00AB7715"/>
    <w:rsid w:val="00B05F04"/>
    <w:rsid w:val="00B23E60"/>
    <w:rsid w:val="00BF7168"/>
    <w:rsid w:val="00C419C6"/>
    <w:rsid w:val="00CB2E6A"/>
    <w:rsid w:val="00D2715F"/>
    <w:rsid w:val="00D37DFC"/>
    <w:rsid w:val="00D512EC"/>
    <w:rsid w:val="00D95951"/>
    <w:rsid w:val="00DB11CE"/>
    <w:rsid w:val="00DC3CC8"/>
    <w:rsid w:val="00DD3AF9"/>
    <w:rsid w:val="00DE621F"/>
    <w:rsid w:val="00E47711"/>
    <w:rsid w:val="00E879B9"/>
    <w:rsid w:val="00EC1B49"/>
    <w:rsid w:val="00EE5F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AAAA5"/>
  <w15:chartTrackingRefBased/>
  <w15:docId w15:val="{114C0801-EC4A-5D4B-A781-F4F4FEDDF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CC8"/>
    <w:pPr>
      <w:spacing w:after="160" w:line="259" w:lineRule="auto"/>
    </w:pPr>
    <w:rPr>
      <w:rFonts w:ascii="Noto Serif" w:hAnsi="Noto Serif"/>
      <w:sz w:val="22"/>
      <w:szCs w:val="22"/>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DC3CC8"/>
    <w:pPr>
      <w:spacing w:after="200" w:line="240" w:lineRule="auto"/>
    </w:pPr>
    <w:rPr>
      <w:b/>
      <w:bCs/>
      <w:color w:val="4472C4" w:themeColor="accent1"/>
      <w:sz w:val="18"/>
      <w:szCs w:val="18"/>
    </w:rPr>
  </w:style>
  <w:style w:type="paragraph" w:customStyle="1" w:styleId="Tesisparrafo">
    <w:name w:val="Tesis_parrafo"/>
    <w:basedOn w:val="Normal"/>
    <w:qFormat/>
    <w:rsid w:val="00DC3CC8"/>
    <w:pPr>
      <w:spacing w:line="360" w:lineRule="auto"/>
      <w:jc w:val="both"/>
    </w:pPr>
    <w:rPr>
      <w:szCs w:val="24"/>
    </w:rPr>
  </w:style>
  <w:style w:type="table" w:customStyle="1" w:styleId="Tablanormal21">
    <w:name w:val="Tabla normal 21"/>
    <w:basedOn w:val="Tablanormal"/>
    <w:uiPriority w:val="42"/>
    <w:rsid w:val="00DC3CC8"/>
    <w:rPr>
      <w:rFonts w:ascii="Calibri" w:eastAsia="Times New Roman" w:hAnsi="Calibri" w:cs="Times New Roman"/>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B23E60"/>
    <w:rPr>
      <w:color w:val="0563C1" w:themeColor="hyperlink"/>
      <w:u w:val="single"/>
    </w:rPr>
  </w:style>
  <w:style w:type="character" w:styleId="Mencinsinresolver">
    <w:name w:val="Unresolved Mention"/>
    <w:basedOn w:val="Fuentedeprrafopredeter"/>
    <w:uiPriority w:val="99"/>
    <w:semiHidden/>
    <w:unhideWhenUsed/>
    <w:rsid w:val="00B23E60"/>
    <w:rPr>
      <w:color w:val="605E5C"/>
      <w:shd w:val="clear" w:color="auto" w:fill="E1DFDD"/>
    </w:rPr>
  </w:style>
  <w:style w:type="paragraph" w:styleId="Encabezado">
    <w:name w:val="header"/>
    <w:basedOn w:val="Normal"/>
    <w:link w:val="EncabezadoCar"/>
    <w:uiPriority w:val="99"/>
    <w:unhideWhenUsed/>
    <w:rsid w:val="00D271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715F"/>
    <w:rPr>
      <w:rFonts w:ascii="Noto Serif" w:hAnsi="Noto Serif"/>
      <w:sz w:val="22"/>
      <w:szCs w:val="22"/>
      <w:lang w:val="en-GB"/>
    </w:rPr>
  </w:style>
  <w:style w:type="paragraph" w:styleId="Piedepgina">
    <w:name w:val="footer"/>
    <w:basedOn w:val="Normal"/>
    <w:link w:val="PiedepginaCar"/>
    <w:uiPriority w:val="99"/>
    <w:unhideWhenUsed/>
    <w:rsid w:val="00D271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715F"/>
    <w:rPr>
      <w:rFonts w:ascii="Noto Serif" w:hAnsi="Noto Serif"/>
      <w:sz w:val="22"/>
      <w:szCs w:val="22"/>
      <w:lang w:val="en-GB"/>
    </w:rPr>
  </w:style>
  <w:style w:type="character" w:styleId="Hipervnculovisitado">
    <w:name w:val="FollowedHyperlink"/>
    <w:basedOn w:val="Fuentedeprrafopredeter"/>
    <w:uiPriority w:val="99"/>
    <w:semiHidden/>
    <w:unhideWhenUsed/>
    <w:rsid w:val="00D37D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3720">
      <w:bodyDiv w:val="1"/>
      <w:marLeft w:val="0"/>
      <w:marRight w:val="0"/>
      <w:marTop w:val="0"/>
      <w:marBottom w:val="0"/>
      <w:divBdr>
        <w:top w:val="none" w:sz="0" w:space="0" w:color="auto"/>
        <w:left w:val="none" w:sz="0" w:space="0" w:color="auto"/>
        <w:bottom w:val="none" w:sz="0" w:space="0" w:color="auto"/>
        <w:right w:val="none" w:sz="0" w:space="0" w:color="auto"/>
      </w:divBdr>
    </w:div>
    <w:div w:id="153769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B35F3-7574-5F4A-99CC-9C87EAD31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144</Words>
  <Characters>798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vm.chano@upm.es</dc:creator>
  <cp:keywords/>
  <dc:description/>
  <cp:lastModifiedBy>Chano Gonzalez, Victor Manuel</cp:lastModifiedBy>
  <cp:revision>3</cp:revision>
  <cp:lastPrinted>2020-06-08T10:39:00Z</cp:lastPrinted>
  <dcterms:created xsi:type="dcterms:W3CDTF">2022-07-29T14:11:00Z</dcterms:created>
  <dcterms:modified xsi:type="dcterms:W3CDTF">2022-07-29T14:26:00Z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http://www.zotero.org/styles/annals-of-botany</vt:lpwstr>
  </property>
  <property fmtid="{D5CDD505-2E9C-101B-9397-08002B2CF9AE}" pid="5" name="Mendeley Recent Style Name 1_1">
    <vt:lpwstr>Annals of Botany</vt:lpwstr>
  </property>
  <property fmtid="{D5CDD505-2E9C-101B-9397-08002B2CF9AE}" pid="6" name="Mendeley Recent Style Id 2_1">
    <vt:lpwstr>http://www.zotero.org/styles/bmc-plant-biology</vt:lpwstr>
  </property>
  <property fmtid="{D5CDD505-2E9C-101B-9397-08002B2CF9AE}" pid="7" name="Mendeley Recent Style Name 2_1">
    <vt:lpwstr>BMC Plant Biology</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http://www.zotero.org/styles/global-change-biology</vt:lpwstr>
  </property>
  <property fmtid="{D5CDD505-2E9C-101B-9397-08002B2CF9AE}" pid="11" name="Mendeley Recent Style Name 4_1">
    <vt:lpwstr>Global Change Biology</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http://www.zotero.org/styles/molecular-ecology</vt:lpwstr>
  </property>
  <property fmtid="{D5CDD505-2E9C-101B-9397-08002B2CF9AE}" pid="17" name="Mendeley Recent Style Name 7_1">
    <vt:lpwstr>Molecular Ecology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http://www.zotero.org/styles/new-phytologist</vt:lpwstr>
  </property>
  <property fmtid="{D5CDD505-2E9C-101B-9397-08002B2CF9AE}" pid="21" name="Mendeley Recent Style Name 9_1">
    <vt:lpwstr>New Phytologist</vt:lpwstr>
  </property>
</Properties>
</file>