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9F701" w14:textId="77777777" w:rsidR="002271DD" w:rsidRDefault="002271DD" w:rsidP="002271DD">
      <w:pPr>
        <w:jc w:val="center"/>
        <w:rPr>
          <w:rFonts w:ascii="Times New Roman" w:hAnsi="Times New Roman" w:cs="Times New Roman"/>
          <w:sz w:val="24"/>
          <w:szCs w:val="24"/>
        </w:rPr>
      </w:pPr>
      <w:r>
        <w:rPr>
          <w:rFonts w:ascii="Times New Roman" w:hAnsi="Times New Roman" w:cs="Times New Roman"/>
          <w:b/>
          <w:bCs/>
          <w:sz w:val="24"/>
          <w:szCs w:val="24"/>
        </w:rPr>
        <w:t>Supplemental Materials</w:t>
      </w:r>
    </w:p>
    <w:p w14:paraId="1FB5EA1C" w14:textId="77777777" w:rsidR="002271DD" w:rsidRDefault="002271DD" w:rsidP="002271DD">
      <w:pPr>
        <w:rPr>
          <w:rFonts w:ascii="Times New Roman" w:hAnsi="Times New Roman" w:cs="Times New Roman"/>
          <w:sz w:val="24"/>
          <w:szCs w:val="24"/>
        </w:rPr>
      </w:pPr>
    </w:p>
    <w:p w14:paraId="20E2FAAE" w14:textId="77777777" w:rsidR="002271DD" w:rsidRDefault="002271DD" w:rsidP="002271DD">
      <w:pPr>
        <w:rPr>
          <w:rFonts w:ascii="Times New Roman" w:hAnsi="Times New Roman" w:cs="Times New Roman"/>
          <w:sz w:val="24"/>
          <w:szCs w:val="24"/>
        </w:rPr>
      </w:pPr>
      <w:r>
        <w:rPr>
          <w:rFonts w:ascii="Times New Roman" w:hAnsi="Times New Roman" w:cs="Times New Roman"/>
          <w:b/>
          <w:bCs/>
          <w:sz w:val="24"/>
          <w:szCs w:val="24"/>
        </w:rPr>
        <w:t>Threshold Analysis Methods</w:t>
      </w:r>
    </w:p>
    <w:p w14:paraId="3EB7BC21" w14:textId="77777777" w:rsidR="002271DD" w:rsidRPr="009B64A1" w:rsidRDefault="002271DD" w:rsidP="002271DD">
      <w:pPr>
        <w:rPr>
          <w:rFonts w:ascii="Times New Roman" w:hAnsi="Times New Roman" w:cs="Times New Roman"/>
          <w:sz w:val="24"/>
          <w:szCs w:val="24"/>
        </w:rPr>
      </w:pPr>
      <w:r w:rsidRPr="009B64A1">
        <w:rPr>
          <w:rFonts w:ascii="Times New Roman" w:hAnsi="Times New Roman" w:cs="Times New Roman"/>
          <w:sz w:val="24"/>
          <w:szCs w:val="24"/>
        </w:rPr>
        <w:t>Clinical guidance in Canada,</w:t>
      </w:r>
      <w:r w:rsidRPr="009B64A1">
        <w:rPr>
          <w:rFonts w:ascii="Times New Roman" w:hAnsi="Times New Roman" w:cs="Times New Roman"/>
          <w:sz w:val="24"/>
          <w:szCs w:val="24"/>
          <w:vertAlign w:val="superscript"/>
        </w:rPr>
        <w:t>1</w:t>
      </w:r>
      <w:r w:rsidRPr="009B64A1">
        <w:rPr>
          <w:rFonts w:ascii="Times New Roman" w:hAnsi="Times New Roman" w:cs="Times New Roman"/>
          <w:sz w:val="24"/>
          <w:szCs w:val="24"/>
        </w:rPr>
        <w:t xml:space="preserve"> and internationally,</w:t>
      </w:r>
      <w:r w:rsidRPr="009B64A1">
        <w:rPr>
          <w:rFonts w:ascii="Times New Roman" w:hAnsi="Times New Roman" w:cs="Times New Roman"/>
          <w:sz w:val="24"/>
          <w:szCs w:val="24"/>
          <w:vertAlign w:val="superscript"/>
        </w:rPr>
        <w:t>2–4</w:t>
      </w:r>
      <w:r w:rsidRPr="009B64A1">
        <w:rPr>
          <w:rFonts w:ascii="Times New Roman" w:hAnsi="Times New Roman" w:cs="Times New Roman"/>
          <w:sz w:val="24"/>
          <w:szCs w:val="24"/>
        </w:rPr>
        <w:t xml:space="preserve"> recommends ‘tight’ control of pregnancy hypertension. Thus, threshold analyses were conducted for preference profiles that supported ‘less tight’ control over ‘tight’ control. The purpose of the threshold analysis was to assess the extent to which preference weights would need to shift to yield a finding congruent with clinical guidance (e.g., that the two treatments are equally suited to meeting patient preferences, or that ‘tight’ control is better suited than ‘less tight’ control).</w:t>
      </w:r>
      <w:r w:rsidRPr="009B64A1">
        <w:rPr>
          <w:rFonts w:ascii="Times New Roman" w:hAnsi="Times New Roman" w:cs="Times New Roman"/>
          <w:sz w:val="24"/>
          <w:szCs w:val="24"/>
          <w:vertAlign w:val="superscript"/>
        </w:rPr>
        <w:t>5</w:t>
      </w:r>
      <w:r w:rsidRPr="009B64A1">
        <w:rPr>
          <w:rFonts w:ascii="Times New Roman" w:hAnsi="Times New Roman" w:cs="Times New Roman"/>
          <w:sz w:val="24"/>
          <w:szCs w:val="24"/>
        </w:rPr>
        <w:t xml:space="preserve"> The threshold analysis systematically reduced the weight assigned to the most highly weighted composite component and distributed the removed weight across the six other components proportionately to the weight assigned in preference profile. The proportional weight for a given outcome was calculated as the weight assigned to that outcome divided by the sum of the weights assigned to all of the outcomes except the highest weighted outcome. For example, using Profile 3 weights, the weight assigned to severe hypertension would increase by 0.047 which is equal to 0.01 (the weight reduction) multiplied by the weight assigned to severe hypertension (0.20) and divided by one minus the Profile 3 weight assigned to </w:t>
      </w:r>
      <w:proofErr w:type="spellStart"/>
      <w:r w:rsidRPr="009B64A1">
        <w:rPr>
          <w:rFonts w:ascii="Times New Roman" w:hAnsi="Times New Roman" w:cs="Times New Roman"/>
          <w:sz w:val="24"/>
          <w:szCs w:val="24"/>
        </w:rPr>
        <w:t>minimising</w:t>
      </w:r>
      <w:proofErr w:type="spellEnd"/>
      <w:r w:rsidRPr="009B64A1">
        <w:rPr>
          <w:rFonts w:ascii="Times New Roman" w:hAnsi="Times New Roman" w:cs="Times New Roman"/>
          <w:sz w:val="24"/>
          <w:szCs w:val="24"/>
        </w:rPr>
        <w:t xml:space="preserve"> antihypertensive medication—the highest weighted outcome (1 - 0.58 = 0.42). These redistributed weights were calculated for each one-point reduction in the highest weighted composite component. The primary analysis was then repeated for each set of redistributed weights. </w:t>
      </w:r>
    </w:p>
    <w:p w14:paraId="29B90C71" w14:textId="77777777" w:rsidR="002271DD" w:rsidRDefault="002271DD" w:rsidP="002271DD">
      <w:pPr>
        <w:pStyle w:val="Bibliography"/>
        <w:rPr>
          <w:rFonts w:ascii="Times New Roman" w:hAnsi="Times New Roman" w:cs="Times New Roman"/>
          <w:sz w:val="24"/>
          <w:szCs w:val="24"/>
        </w:rPr>
      </w:pPr>
    </w:p>
    <w:p w14:paraId="3B1F0558" w14:textId="77777777" w:rsidR="002271DD" w:rsidRPr="008A5EC4" w:rsidRDefault="002271DD" w:rsidP="002271DD">
      <w:pPr>
        <w:pStyle w:val="Bibliography"/>
        <w:rPr>
          <w:rFonts w:ascii="Times New Roman" w:hAnsi="Times New Roman" w:cs="Times New Roman"/>
          <w:sz w:val="24"/>
          <w:szCs w:val="24"/>
          <w:lang w:val="fr-CA"/>
        </w:rPr>
      </w:pPr>
      <w:r w:rsidRPr="008A5EC4">
        <w:rPr>
          <w:rFonts w:ascii="Times New Roman" w:hAnsi="Times New Roman" w:cs="Times New Roman"/>
          <w:b/>
          <w:bCs/>
          <w:sz w:val="24"/>
          <w:szCs w:val="24"/>
          <w:lang w:val="fr-CA"/>
        </w:rPr>
        <w:t>References</w:t>
      </w:r>
      <w:r w:rsidRPr="008A5EC4">
        <w:rPr>
          <w:rFonts w:ascii="Times New Roman" w:hAnsi="Times New Roman" w:cs="Times New Roman"/>
          <w:sz w:val="24"/>
          <w:szCs w:val="24"/>
          <w:lang w:val="fr-CA"/>
        </w:rPr>
        <w:tab/>
      </w:r>
    </w:p>
    <w:p w14:paraId="301CE6F3" w14:textId="77777777" w:rsidR="002271DD" w:rsidRPr="009B64A1" w:rsidRDefault="002271DD" w:rsidP="002271DD">
      <w:pPr>
        <w:pStyle w:val="Bibliography"/>
        <w:tabs>
          <w:tab w:val="clear" w:pos="384"/>
          <w:tab w:val="left" w:pos="810"/>
        </w:tabs>
        <w:spacing w:line="240" w:lineRule="auto"/>
        <w:rPr>
          <w:rFonts w:ascii="Times New Roman" w:hAnsi="Times New Roman" w:cs="Times New Roman"/>
          <w:sz w:val="24"/>
          <w:szCs w:val="24"/>
        </w:rPr>
      </w:pPr>
      <w:r w:rsidRPr="008A5EC4">
        <w:rPr>
          <w:rFonts w:ascii="Times New Roman" w:hAnsi="Times New Roman" w:cs="Times New Roman"/>
          <w:sz w:val="24"/>
          <w:szCs w:val="24"/>
          <w:lang w:val="fr-CA"/>
        </w:rPr>
        <w:t xml:space="preserve">1 </w:t>
      </w:r>
      <w:r w:rsidRPr="008A5EC4">
        <w:rPr>
          <w:rFonts w:ascii="Times New Roman" w:hAnsi="Times New Roman" w:cs="Times New Roman"/>
          <w:sz w:val="24"/>
          <w:szCs w:val="24"/>
          <w:lang w:val="fr-CA"/>
        </w:rPr>
        <w:tab/>
        <w:t xml:space="preserve">Butalia S, Audibert F, Côté A-M, Firoz T, Logan AG, Magee LA </w:t>
      </w:r>
      <w:r w:rsidRPr="008A5EC4">
        <w:rPr>
          <w:rFonts w:ascii="Times New Roman" w:hAnsi="Times New Roman" w:cs="Times New Roman"/>
          <w:i/>
          <w:iCs/>
          <w:sz w:val="24"/>
          <w:szCs w:val="24"/>
          <w:lang w:val="fr-CA"/>
        </w:rPr>
        <w:t>et al.</w:t>
      </w:r>
      <w:r w:rsidRPr="008A5EC4">
        <w:rPr>
          <w:rFonts w:ascii="Times New Roman" w:hAnsi="Times New Roman" w:cs="Times New Roman"/>
          <w:sz w:val="24"/>
          <w:szCs w:val="24"/>
          <w:lang w:val="fr-CA"/>
        </w:rPr>
        <w:t xml:space="preserve"> </w:t>
      </w:r>
      <w:r w:rsidRPr="009B64A1">
        <w:rPr>
          <w:rFonts w:ascii="Times New Roman" w:hAnsi="Times New Roman" w:cs="Times New Roman"/>
          <w:sz w:val="24"/>
          <w:szCs w:val="24"/>
        </w:rPr>
        <w:t xml:space="preserve">Hypertension Canada’s 2018 Guidelines for the Management of Hypertension in Pregnancy. </w:t>
      </w:r>
      <w:r w:rsidRPr="009B64A1">
        <w:rPr>
          <w:rFonts w:ascii="Times New Roman" w:hAnsi="Times New Roman" w:cs="Times New Roman"/>
          <w:i/>
          <w:iCs/>
          <w:sz w:val="24"/>
          <w:szCs w:val="24"/>
        </w:rPr>
        <w:t>Canadian Journal of Cardiology</w:t>
      </w:r>
      <w:r w:rsidRPr="009B64A1">
        <w:rPr>
          <w:rFonts w:ascii="Times New Roman" w:hAnsi="Times New Roman" w:cs="Times New Roman"/>
          <w:sz w:val="24"/>
          <w:szCs w:val="24"/>
        </w:rPr>
        <w:t xml:space="preserve"> 2018; </w:t>
      </w:r>
      <w:r w:rsidRPr="009B64A1">
        <w:rPr>
          <w:rFonts w:ascii="Times New Roman" w:hAnsi="Times New Roman" w:cs="Times New Roman"/>
          <w:b/>
          <w:bCs/>
          <w:sz w:val="24"/>
          <w:szCs w:val="24"/>
        </w:rPr>
        <w:t>34</w:t>
      </w:r>
      <w:r w:rsidRPr="009B64A1">
        <w:rPr>
          <w:rFonts w:ascii="Times New Roman" w:hAnsi="Times New Roman" w:cs="Times New Roman"/>
          <w:sz w:val="24"/>
          <w:szCs w:val="24"/>
        </w:rPr>
        <w:t>: 526–531.</w:t>
      </w:r>
    </w:p>
    <w:p w14:paraId="5FD4B3EB" w14:textId="77777777" w:rsidR="002271DD" w:rsidRPr="009B64A1" w:rsidRDefault="002271DD" w:rsidP="002271DD">
      <w:pPr>
        <w:pStyle w:val="Bibliography"/>
        <w:tabs>
          <w:tab w:val="clear" w:pos="384"/>
          <w:tab w:val="left" w:pos="810"/>
        </w:tabs>
        <w:spacing w:line="240" w:lineRule="auto"/>
        <w:rPr>
          <w:rFonts w:ascii="Times New Roman" w:hAnsi="Times New Roman" w:cs="Times New Roman"/>
          <w:sz w:val="24"/>
          <w:szCs w:val="24"/>
        </w:rPr>
      </w:pPr>
      <w:r w:rsidRPr="009B64A1">
        <w:rPr>
          <w:rFonts w:ascii="Times New Roman" w:hAnsi="Times New Roman" w:cs="Times New Roman"/>
          <w:sz w:val="24"/>
          <w:szCs w:val="24"/>
        </w:rPr>
        <w:t xml:space="preserve">2 </w:t>
      </w:r>
      <w:r w:rsidRPr="009B64A1">
        <w:rPr>
          <w:rFonts w:ascii="Times New Roman" w:hAnsi="Times New Roman" w:cs="Times New Roman"/>
          <w:sz w:val="24"/>
          <w:szCs w:val="24"/>
        </w:rPr>
        <w:tab/>
        <w:t xml:space="preserve">Brown MA, Magee LA, Kenny LC, </w:t>
      </w:r>
      <w:proofErr w:type="spellStart"/>
      <w:r w:rsidRPr="009B64A1">
        <w:rPr>
          <w:rFonts w:ascii="Times New Roman" w:hAnsi="Times New Roman" w:cs="Times New Roman"/>
          <w:sz w:val="24"/>
          <w:szCs w:val="24"/>
        </w:rPr>
        <w:t>Karumanchi</w:t>
      </w:r>
      <w:proofErr w:type="spellEnd"/>
      <w:r w:rsidRPr="009B64A1">
        <w:rPr>
          <w:rFonts w:ascii="Times New Roman" w:hAnsi="Times New Roman" w:cs="Times New Roman"/>
          <w:sz w:val="24"/>
          <w:szCs w:val="24"/>
        </w:rPr>
        <w:t xml:space="preserve"> SA, McCarthy FP, Saito S </w:t>
      </w:r>
      <w:r w:rsidRPr="009B64A1">
        <w:rPr>
          <w:rFonts w:ascii="Times New Roman" w:hAnsi="Times New Roman" w:cs="Times New Roman"/>
          <w:i/>
          <w:iCs/>
          <w:sz w:val="24"/>
          <w:szCs w:val="24"/>
        </w:rPr>
        <w:t>et al.</w:t>
      </w:r>
      <w:r w:rsidRPr="009B64A1">
        <w:rPr>
          <w:rFonts w:ascii="Times New Roman" w:hAnsi="Times New Roman" w:cs="Times New Roman"/>
          <w:sz w:val="24"/>
          <w:szCs w:val="24"/>
        </w:rPr>
        <w:t xml:space="preserve"> The hypertensive disorders of pregnancy: ISSHP classification, diagnosis &amp; management recommendations for international practice. </w:t>
      </w:r>
      <w:r w:rsidRPr="009B64A1">
        <w:rPr>
          <w:rFonts w:ascii="Times New Roman" w:hAnsi="Times New Roman" w:cs="Times New Roman"/>
          <w:i/>
          <w:iCs/>
          <w:sz w:val="24"/>
          <w:szCs w:val="24"/>
        </w:rPr>
        <w:t>Pregnancy Hypertension</w:t>
      </w:r>
      <w:r w:rsidRPr="009B64A1">
        <w:rPr>
          <w:rFonts w:ascii="Times New Roman" w:hAnsi="Times New Roman" w:cs="Times New Roman"/>
          <w:sz w:val="24"/>
          <w:szCs w:val="24"/>
        </w:rPr>
        <w:t xml:space="preserve"> 2018; </w:t>
      </w:r>
      <w:r w:rsidRPr="009B64A1">
        <w:rPr>
          <w:rFonts w:ascii="Times New Roman" w:hAnsi="Times New Roman" w:cs="Times New Roman"/>
          <w:b/>
          <w:bCs/>
          <w:sz w:val="24"/>
          <w:szCs w:val="24"/>
        </w:rPr>
        <w:t>13</w:t>
      </w:r>
      <w:r w:rsidRPr="009B64A1">
        <w:rPr>
          <w:rFonts w:ascii="Times New Roman" w:hAnsi="Times New Roman" w:cs="Times New Roman"/>
          <w:sz w:val="24"/>
          <w:szCs w:val="24"/>
        </w:rPr>
        <w:t>: 291–310.</w:t>
      </w:r>
    </w:p>
    <w:p w14:paraId="7E072EAF" w14:textId="77777777" w:rsidR="002271DD" w:rsidRPr="009B64A1" w:rsidRDefault="002271DD" w:rsidP="002271DD">
      <w:pPr>
        <w:pStyle w:val="Bibliography"/>
        <w:tabs>
          <w:tab w:val="clear" w:pos="384"/>
          <w:tab w:val="left" w:pos="810"/>
        </w:tabs>
        <w:spacing w:line="240" w:lineRule="auto"/>
        <w:rPr>
          <w:rFonts w:ascii="Times New Roman" w:hAnsi="Times New Roman" w:cs="Times New Roman"/>
          <w:sz w:val="24"/>
          <w:szCs w:val="24"/>
        </w:rPr>
      </w:pPr>
      <w:r w:rsidRPr="009B64A1">
        <w:rPr>
          <w:rFonts w:ascii="Times New Roman" w:hAnsi="Times New Roman" w:cs="Times New Roman"/>
          <w:sz w:val="24"/>
          <w:szCs w:val="24"/>
        </w:rPr>
        <w:t xml:space="preserve">3 </w:t>
      </w:r>
      <w:r w:rsidRPr="009B64A1">
        <w:rPr>
          <w:rFonts w:ascii="Times New Roman" w:hAnsi="Times New Roman" w:cs="Times New Roman"/>
          <w:sz w:val="24"/>
          <w:szCs w:val="24"/>
        </w:rPr>
        <w:tab/>
        <w:t xml:space="preserve">World Health Organization. </w:t>
      </w:r>
      <w:r w:rsidRPr="009B64A1">
        <w:rPr>
          <w:rFonts w:ascii="Times New Roman" w:hAnsi="Times New Roman" w:cs="Times New Roman"/>
          <w:i/>
          <w:iCs/>
          <w:sz w:val="24"/>
          <w:szCs w:val="24"/>
        </w:rPr>
        <w:t>WHO recommendations on drug treatment for non-severe hypertension in pregnancy.</w:t>
      </w:r>
      <w:r w:rsidRPr="009B64A1">
        <w:rPr>
          <w:rFonts w:ascii="Times New Roman" w:hAnsi="Times New Roman" w:cs="Times New Roman"/>
          <w:sz w:val="24"/>
          <w:szCs w:val="24"/>
        </w:rPr>
        <w:t xml:space="preserve"> 2020https://www.ncbi.nlm.nih.gov/books/NBK561247/ (accessed 25 Apr2021).</w:t>
      </w:r>
    </w:p>
    <w:p w14:paraId="7496FA7D" w14:textId="77777777" w:rsidR="002271DD" w:rsidRPr="009B64A1" w:rsidRDefault="002271DD" w:rsidP="002271DD">
      <w:pPr>
        <w:pStyle w:val="Bibliography"/>
        <w:tabs>
          <w:tab w:val="clear" w:pos="384"/>
          <w:tab w:val="left" w:pos="810"/>
        </w:tabs>
        <w:spacing w:line="240" w:lineRule="auto"/>
        <w:rPr>
          <w:rFonts w:ascii="Times New Roman" w:hAnsi="Times New Roman" w:cs="Times New Roman"/>
          <w:sz w:val="24"/>
          <w:szCs w:val="24"/>
        </w:rPr>
      </w:pPr>
      <w:r w:rsidRPr="009B64A1">
        <w:rPr>
          <w:rFonts w:ascii="Times New Roman" w:hAnsi="Times New Roman" w:cs="Times New Roman"/>
          <w:sz w:val="24"/>
          <w:szCs w:val="24"/>
        </w:rPr>
        <w:t xml:space="preserve">4 </w:t>
      </w:r>
      <w:r w:rsidRPr="009B64A1">
        <w:rPr>
          <w:rFonts w:ascii="Times New Roman" w:hAnsi="Times New Roman" w:cs="Times New Roman"/>
          <w:sz w:val="24"/>
          <w:szCs w:val="24"/>
        </w:rPr>
        <w:tab/>
        <w:t>National Institute for Health and Care Excellence. Hypertension in pregnancy: diagnosis and management. National Institute for Health and Care Excellence, 2019.</w:t>
      </w:r>
    </w:p>
    <w:p w14:paraId="5F14849F" w14:textId="77777777" w:rsidR="002271DD" w:rsidRDefault="002271DD" w:rsidP="002271DD">
      <w:pPr>
        <w:tabs>
          <w:tab w:val="left" w:pos="810"/>
        </w:tabs>
        <w:ind w:left="360" w:hanging="360"/>
        <w:rPr>
          <w:rFonts w:ascii="Times New Roman" w:hAnsi="Times New Roman" w:cs="Times New Roman"/>
          <w:sz w:val="24"/>
          <w:szCs w:val="24"/>
        </w:rPr>
      </w:pPr>
      <w:r>
        <w:rPr>
          <w:rFonts w:ascii="Times New Roman" w:hAnsi="Times New Roman" w:cs="Times New Roman"/>
          <w:sz w:val="24"/>
          <w:szCs w:val="24"/>
        </w:rPr>
        <w:t xml:space="preserve">5    </w:t>
      </w:r>
      <w:r w:rsidRPr="009B64A1">
        <w:rPr>
          <w:rFonts w:ascii="Times New Roman" w:hAnsi="Times New Roman" w:cs="Times New Roman"/>
          <w:sz w:val="24"/>
          <w:szCs w:val="24"/>
        </w:rPr>
        <w:t xml:space="preserve">Gray A (ed.). </w:t>
      </w:r>
      <w:r w:rsidRPr="009B64A1">
        <w:rPr>
          <w:rFonts w:ascii="Times New Roman" w:hAnsi="Times New Roman" w:cs="Times New Roman"/>
          <w:i/>
          <w:iCs/>
          <w:sz w:val="24"/>
          <w:szCs w:val="24"/>
        </w:rPr>
        <w:t>Applied methods of cost-effectiveness analysis in health care</w:t>
      </w:r>
      <w:r w:rsidRPr="009B64A1">
        <w:rPr>
          <w:rFonts w:ascii="Times New Roman" w:hAnsi="Times New Roman" w:cs="Times New Roman"/>
          <w:sz w:val="24"/>
          <w:szCs w:val="24"/>
        </w:rPr>
        <w:t>. Oxford</w:t>
      </w:r>
      <w:r>
        <w:rPr>
          <w:rFonts w:ascii="Times New Roman" w:hAnsi="Times New Roman" w:cs="Times New Roman"/>
          <w:sz w:val="24"/>
          <w:szCs w:val="24"/>
        </w:rPr>
        <w:t xml:space="preserve"> </w:t>
      </w:r>
      <w:r w:rsidRPr="009B64A1">
        <w:rPr>
          <w:rFonts w:ascii="Times New Roman" w:hAnsi="Times New Roman" w:cs="Times New Roman"/>
          <w:sz w:val="24"/>
          <w:szCs w:val="24"/>
        </w:rPr>
        <w:t>University Press: Oxford ; New York, 2011.</w:t>
      </w:r>
    </w:p>
    <w:p w14:paraId="1D083E7C" w14:textId="42647FF4" w:rsidR="002271DD" w:rsidRPr="00650F12" w:rsidRDefault="002271DD" w:rsidP="00AD0182">
      <w:pPr>
        <w:rPr>
          <w:rFonts w:ascii="Times New Roman" w:hAnsi="Times New Roman" w:cs="Times New Roman"/>
          <w:b/>
          <w:bCs/>
          <w:sz w:val="24"/>
          <w:szCs w:val="24"/>
        </w:rPr>
      </w:pPr>
    </w:p>
    <w:p w14:paraId="37223437" w14:textId="77777777" w:rsidR="00AA5763" w:rsidRDefault="00AA5763"/>
    <w:sectPr w:rsidR="00AA5763" w:rsidSect="00431456">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0B7D6" w14:textId="77777777" w:rsidR="00EB2DE3" w:rsidRDefault="00EB2DE3">
      <w:r>
        <w:separator/>
      </w:r>
    </w:p>
  </w:endnote>
  <w:endnote w:type="continuationSeparator" w:id="0">
    <w:p w14:paraId="5C0DD166" w14:textId="77777777" w:rsidR="00EB2DE3" w:rsidRDefault="00EB2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1DD95" w14:textId="1E3FACBF" w:rsidR="00C149A5" w:rsidRDefault="00EB2DE3">
    <w:pPr>
      <w:pStyle w:val="Footer"/>
      <w:jc w:val="right"/>
    </w:pPr>
  </w:p>
  <w:p w14:paraId="3FAE825B" w14:textId="77777777" w:rsidR="00C149A5" w:rsidRDefault="00EB2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A83CC" w14:textId="77777777" w:rsidR="00EB2DE3" w:rsidRDefault="00EB2DE3">
      <w:r>
        <w:separator/>
      </w:r>
    </w:p>
  </w:footnote>
  <w:footnote w:type="continuationSeparator" w:id="0">
    <w:p w14:paraId="1F3EB9B8" w14:textId="77777777" w:rsidR="00EB2DE3" w:rsidRDefault="00EB2D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1DD"/>
    <w:rsid w:val="002271DD"/>
    <w:rsid w:val="002642DD"/>
    <w:rsid w:val="00385C7E"/>
    <w:rsid w:val="00AA5763"/>
    <w:rsid w:val="00AD0182"/>
    <w:rsid w:val="00B7669F"/>
    <w:rsid w:val="00D1239D"/>
    <w:rsid w:val="00EB2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71892"/>
  <w15:chartTrackingRefBased/>
  <w15:docId w15:val="{3E8276B8-2BE5-4FAE-99E3-B0C917507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1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7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2271DD"/>
    <w:pPr>
      <w:tabs>
        <w:tab w:val="left" w:pos="384"/>
      </w:tabs>
      <w:spacing w:line="480" w:lineRule="auto"/>
      <w:ind w:left="384" w:hanging="384"/>
    </w:pPr>
  </w:style>
  <w:style w:type="paragraph" w:styleId="Footer">
    <w:name w:val="footer"/>
    <w:basedOn w:val="Normal"/>
    <w:link w:val="FooterChar"/>
    <w:uiPriority w:val="99"/>
    <w:unhideWhenUsed/>
    <w:rsid w:val="002271DD"/>
    <w:pPr>
      <w:tabs>
        <w:tab w:val="center" w:pos="4680"/>
        <w:tab w:val="right" w:pos="9360"/>
      </w:tabs>
    </w:pPr>
  </w:style>
  <w:style w:type="character" w:customStyle="1" w:styleId="FooterChar">
    <w:name w:val="Footer Char"/>
    <w:basedOn w:val="DefaultParagraphFont"/>
    <w:link w:val="Footer"/>
    <w:uiPriority w:val="99"/>
    <w:rsid w:val="002271DD"/>
  </w:style>
  <w:style w:type="paragraph" w:styleId="Header">
    <w:name w:val="header"/>
    <w:basedOn w:val="Normal"/>
    <w:link w:val="HeaderChar"/>
    <w:uiPriority w:val="99"/>
    <w:unhideWhenUsed/>
    <w:rsid w:val="00AD0182"/>
    <w:pPr>
      <w:tabs>
        <w:tab w:val="center" w:pos="4680"/>
        <w:tab w:val="right" w:pos="9360"/>
      </w:tabs>
    </w:pPr>
  </w:style>
  <w:style w:type="character" w:customStyle="1" w:styleId="HeaderChar">
    <w:name w:val="Header Char"/>
    <w:basedOn w:val="DefaultParagraphFont"/>
    <w:link w:val="Header"/>
    <w:uiPriority w:val="99"/>
    <w:rsid w:val="00AD0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2167</Characters>
  <Application>Microsoft Office Word</Application>
  <DocSecurity>0</DocSecurity>
  <Lines>18</Lines>
  <Paragraphs>5</Paragraphs>
  <ScaleCrop>false</ScaleCrop>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Metcalfe, Rebecca</dc:creator>
  <cp:keywords/>
  <dc:description/>
  <cp:lastModifiedBy>Rebecca Metcalfe</cp:lastModifiedBy>
  <cp:revision>2</cp:revision>
  <dcterms:created xsi:type="dcterms:W3CDTF">2022-06-07T22:21:00Z</dcterms:created>
  <dcterms:modified xsi:type="dcterms:W3CDTF">2022-06-07T22:21:00Z</dcterms:modified>
</cp:coreProperties>
</file>