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Arial" w:hAnsi="Arial" w:eastAsia="等线" w:cs="Times New Roman"/>
          <w:b/>
          <w:bCs/>
          <w:i w:val="0"/>
          <w:iCs w:val="0"/>
          <w:szCs w:val="21"/>
        </w:rPr>
      </w:pPr>
      <w:r>
        <w:rPr>
          <w:rStyle w:val="8"/>
          <w:rFonts w:ascii="Arial" w:hAnsi="Arial" w:eastAsia="等线" w:cs="Times New Roman"/>
          <w:b/>
          <w:bCs/>
          <w:i w:val="0"/>
          <w:iCs w:val="0"/>
          <w:sz w:val="21"/>
          <w:szCs w:val="21"/>
          <w:lang w:bidi="ar"/>
        </w:rPr>
        <w:t>Treatment</w:t>
      </w:r>
    </w:p>
    <w:p>
      <w:pPr>
        <w:spacing w:line="360" w:lineRule="auto"/>
        <w:ind w:firstLine="420" w:firstLineChars="200"/>
        <w:rPr>
          <w:rFonts w:ascii="Arial" w:hAnsi="Arial" w:eastAsia="等线" w:cs="Times New Roman"/>
          <w:szCs w:val="21"/>
        </w:rPr>
      </w:pPr>
      <w:r>
        <w:rPr>
          <w:rStyle w:val="8"/>
          <w:rFonts w:ascii="Arial" w:hAnsi="Arial" w:eastAsia="等线" w:cs="Times New Roman"/>
          <w:i w:val="0"/>
          <w:iCs w:val="0"/>
          <w:sz w:val="21"/>
          <w:szCs w:val="21"/>
          <w:lang w:bidi="ar"/>
        </w:rPr>
        <w:t>The treatment regimen of patients was TNT + TME in this study. Patients received 1-3 cycles of induction chemotherapy (ICT) followed by 2 cycles concurrent chemoradiotherapy (CRT). After that, 1-3 cycles consolidation chemotherapy (CCT) were delivered. Finally, surgical resection (TME) would be performed 2-3 weeks after the completion of CCT. The chemotherapy regimen was CAPOX. Induction and consolidation CAPOX consisted of oxaliplatin 130 mg/m</w:t>
      </w:r>
      <w:r>
        <w:rPr>
          <w:rStyle w:val="8"/>
          <w:rFonts w:ascii="Arial" w:hAnsi="Arial" w:eastAsia="等线" w:cs="Times New Roman"/>
          <w:i w:val="0"/>
          <w:iCs w:val="0"/>
          <w:sz w:val="21"/>
          <w:szCs w:val="21"/>
          <w:vertAlign w:val="superscript"/>
          <w:lang w:bidi="ar"/>
        </w:rPr>
        <w:t>2</w:t>
      </w:r>
      <w:r>
        <w:rPr>
          <w:rStyle w:val="8"/>
          <w:rFonts w:ascii="Arial" w:hAnsi="Arial" w:eastAsia="等线" w:cs="Times New Roman"/>
          <w:i w:val="0"/>
          <w:iCs w:val="0"/>
          <w:sz w:val="21"/>
          <w:szCs w:val="21"/>
          <w:lang w:bidi="ar"/>
        </w:rPr>
        <w:t xml:space="preserve"> on day 1 plus capecitabine 1000 mg/m</w:t>
      </w:r>
      <w:r>
        <w:rPr>
          <w:rStyle w:val="8"/>
          <w:rFonts w:ascii="Arial" w:hAnsi="Arial" w:eastAsia="等线" w:cs="Times New Roman"/>
          <w:i w:val="0"/>
          <w:iCs w:val="0"/>
          <w:sz w:val="21"/>
          <w:szCs w:val="21"/>
          <w:vertAlign w:val="superscript"/>
          <w:lang w:bidi="ar"/>
        </w:rPr>
        <w:t>2</w:t>
      </w:r>
      <w:r>
        <w:rPr>
          <w:rStyle w:val="8"/>
          <w:rFonts w:ascii="Arial" w:hAnsi="Arial" w:eastAsia="等线" w:cs="Times New Roman"/>
          <w:i w:val="0"/>
          <w:iCs w:val="0"/>
          <w:sz w:val="21"/>
          <w:szCs w:val="21"/>
          <w:lang w:bidi="ar"/>
        </w:rPr>
        <w:t xml:space="preserve"> twice a day on day 1–14, every 3 weeks. Concurrent CAPOX consisted of oxaliplatin 130 mg/m</w:t>
      </w:r>
      <w:r>
        <w:rPr>
          <w:rStyle w:val="8"/>
          <w:rFonts w:ascii="Arial" w:hAnsi="Arial" w:eastAsia="等线" w:cs="Times New Roman"/>
          <w:i w:val="0"/>
          <w:iCs w:val="0"/>
          <w:sz w:val="21"/>
          <w:szCs w:val="21"/>
          <w:vertAlign w:val="superscript"/>
          <w:lang w:bidi="ar"/>
        </w:rPr>
        <w:t>2</w:t>
      </w:r>
      <w:r>
        <w:rPr>
          <w:rStyle w:val="8"/>
          <w:rFonts w:ascii="Arial" w:hAnsi="Arial" w:eastAsia="等线" w:cs="Times New Roman"/>
          <w:i w:val="0"/>
          <w:iCs w:val="0"/>
          <w:sz w:val="21"/>
          <w:szCs w:val="21"/>
          <w:lang w:bidi="ar"/>
        </w:rPr>
        <w:t xml:space="preserve"> on day 1 and 22 plus capecitabine 825 mg/m</w:t>
      </w:r>
      <w:r>
        <w:rPr>
          <w:rStyle w:val="8"/>
          <w:rFonts w:ascii="Arial" w:hAnsi="Arial" w:eastAsia="等线" w:cs="Times New Roman"/>
          <w:i w:val="0"/>
          <w:iCs w:val="0"/>
          <w:sz w:val="21"/>
          <w:szCs w:val="21"/>
          <w:vertAlign w:val="superscript"/>
          <w:lang w:bidi="ar"/>
        </w:rPr>
        <w:t>2</w:t>
      </w:r>
      <w:r>
        <w:rPr>
          <w:rStyle w:val="8"/>
          <w:rFonts w:ascii="Arial" w:hAnsi="Arial" w:eastAsia="等线" w:cs="Times New Roman"/>
          <w:i w:val="0"/>
          <w:iCs w:val="0"/>
          <w:sz w:val="21"/>
          <w:szCs w:val="21"/>
          <w:lang w:bidi="ar"/>
        </w:rPr>
        <w:t xml:space="preserve"> twice a day, 5 days per week for 28 days. The technique of radiotherapy was pelvic intensity-modulated radiotherapy (IMRT) or volumetric modulated arc therapy (V</w:t>
      </w:r>
      <w:bookmarkStart w:id="0" w:name="_GoBack"/>
      <w:r>
        <w:rPr>
          <w:rStyle w:val="8"/>
          <w:rFonts w:ascii="Arial" w:hAnsi="Arial" w:eastAsia="等线" w:cs="Times New Roman"/>
          <w:i w:val="0"/>
          <w:iCs w:val="0"/>
          <w:sz w:val="21"/>
          <w:szCs w:val="21"/>
          <w:lang w:bidi="ar"/>
        </w:rPr>
        <w:t xml:space="preserve">MAT) (50.4 Gy / 28 fractions). </w:t>
      </w:r>
    </w:p>
    <w:p>
      <w:pPr>
        <w:spacing w:line="360" w:lineRule="auto"/>
        <w:rPr>
          <w:rFonts w:ascii="Arial" w:hAnsi="Arial" w:eastAsia="等线" w:cs="Times New Roman"/>
          <w:b/>
          <w:bCs/>
          <w:i w:val="0"/>
          <w:iCs w:val="0"/>
          <w:szCs w:val="21"/>
        </w:rPr>
      </w:pPr>
      <w:r>
        <w:rPr>
          <w:rStyle w:val="8"/>
          <w:rFonts w:ascii="Arial" w:hAnsi="Arial" w:eastAsia="等线" w:cs="Times New Roman"/>
          <w:b/>
          <w:bCs/>
          <w:i w:val="0"/>
          <w:iCs w:val="0"/>
          <w:sz w:val="21"/>
          <w:szCs w:val="21"/>
          <w:lang w:bidi="ar"/>
        </w:rPr>
        <w:t>MRI</w:t>
      </w:r>
    </w:p>
    <w:p>
      <w:pPr>
        <w:spacing w:line="360" w:lineRule="auto"/>
        <w:ind w:firstLine="420" w:firstLineChars="200"/>
        <w:rPr>
          <w:rStyle w:val="8"/>
          <w:rFonts w:ascii="Arial" w:hAnsi="Arial" w:eastAsia="等线" w:cs="Times New Roman"/>
          <w:i w:val="0"/>
          <w:iCs w:val="0"/>
          <w:sz w:val="21"/>
          <w:szCs w:val="21"/>
          <w:lang w:bidi="ar"/>
        </w:rPr>
      </w:pPr>
      <w:r>
        <w:rPr>
          <w:rStyle w:val="8"/>
          <w:rFonts w:ascii="Arial" w:hAnsi="Arial" w:eastAsia="等线" w:cs="Times New Roman"/>
          <w:i w:val="0"/>
          <w:iCs w:val="0"/>
          <w:sz w:val="21"/>
          <w:szCs w:val="21"/>
          <w:lang w:bidi="ar"/>
        </w:rPr>
        <w:t>MRI scans were performed before TNT. All MR images were performed with a 3T Magnetom Skyra MR scanner (Siemens Healthcare). A standard T2WI was required by turbo spin-echo in sagittal, oblique coronal (parallel to the rectum) planes, and oblique axial (perpendicular to the rectum)</w:t>
      </w:r>
      <w:r>
        <w:rPr>
          <w:rStyle w:val="8"/>
          <w:rFonts w:hint="eastAsia" w:ascii="Arial" w:hAnsi="Arial" w:eastAsia="等线" w:cs="Times New Roman"/>
          <w:i w:val="0"/>
          <w:iCs w:val="0"/>
          <w:sz w:val="21"/>
          <w:szCs w:val="21"/>
          <w:vertAlign w:val="superscript"/>
          <w:lang w:val="en-US" w:eastAsia="zh-CN" w:bidi="ar"/>
        </w:rPr>
        <w:t>1</w:t>
      </w:r>
      <w:r>
        <w:rPr>
          <w:rStyle w:val="8"/>
          <w:rFonts w:ascii="Arial" w:hAnsi="Arial" w:eastAsia="等线" w:cs="Times New Roman"/>
          <w:i w:val="0"/>
          <w:iCs w:val="0"/>
          <w:sz w:val="21"/>
          <w:szCs w:val="21"/>
          <w:lang w:bidi="ar"/>
        </w:rPr>
        <w:t>. The parameters of oblique axial acquisition were as follows: repetition time (TR) 6890 ms, echo time (TE) 100 ms, field of view (FOV) 236 × 260 mm, matrix 313 × 384, slice thickness 3 mm.</w:t>
      </w:r>
    </w:p>
    <w:p>
      <w:pPr>
        <w:spacing w:line="360" w:lineRule="auto"/>
        <w:rPr>
          <w:rStyle w:val="8"/>
          <w:rFonts w:ascii="Arial" w:hAnsi="Arial" w:eastAsiaTheme="minorEastAsia"/>
          <w:b/>
          <w:bCs/>
          <w:i w:val="0"/>
          <w:iCs w:val="0"/>
          <w:sz w:val="21"/>
          <w:szCs w:val="21"/>
        </w:rPr>
      </w:pPr>
      <w:r>
        <w:rPr>
          <w:rStyle w:val="8"/>
          <w:rFonts w:ascii="Arial" w:hAnsi="Arial" w:eastAsiaTheme="minorEastAsia"/>
          <w:b/>
          <w:bCs/>
          <w:i w:val="0"/>
          <w:iCs w:val="0"/>
          <w:sz w:val="21"/>
          <w:szCs w:val="21"/>
        </w:rPr>
        <w:t>Clinical datasets</w:t>
      </w:r>
    </w:p>
    <w:p>
      <w:pPr>
        <w:spacing w:line="360" w:lineRule="auto"/>
        <w:ind w:firstLine="420" w:firstLineChars="200"/>
        <w:rPr>
          <w:rStyle w:val="8"/>
          <w:rFonts w:hint="eastAsia" w:ascii="Arial" w:hAnsi="Arial" w:eastAsiaTheme="minorEastAsia"/>
          <w:i w:val="0"/>
          <w:iCs w:val="0"/>
          <w:sz w:val="21"/>
          <w:szCs w:val="21"/>
        </w:rPr>
      </w:pPr>
      <w:r>
        <w:rPr>
          <w:rStyle w:val="8"/>
          <w:rFonts w:ascii="Arial" w:hAnsi="Arial" w:eastAsiaTheme="minorEastAsia"/>
          <w:i w:val="0"/>
          <w:iCs w:val="0"/>
          <w:sz w:val="21"/>
          <w:szCs w:val="21"/>
        </w:rPr>
        <w:t xml:space="preserve">The following baseline clinical datasets were enrolled: age, body mass index (BMI), </w:t>
      </w:r>
      <w:r>
        <w:rPr>
          <w:rStyle w:val="8"/>
          <w:rFonts w:hint="eastAsia" w:ascii="Arial" w:hAnsi="Arial" w:eastAsiaTheme="minorEastAsia"/>
          <w:i w:val="0"/>
          <w:iCs w:val="0"/>
          <w:sz w:val="21"/>
          <w:szCs w:val="21"/>
        </w:rPr>
        <w:t>ECOG</w:t>
      </w:r>
      <w:r>
        <w:rPr>
          <w:rStyle w:val="8"/>
          <w:rFonts w:ascii="Arial" w:hAnsi="Arial" w:eastAsiaTheme="minorEastAsia"/>
          <w:i w:val="0"/>
          <w:iCs w:val="0"/>
          <w:sz w:val="21"/>
          <w:szCs w:val="21"/>
        </w:rPr>
        <w:t xml:space="preserve"> </w:t>
      </w:r>
      <w:r>
        <w:rPr>
          <w:rStyle w:val="8"/>
          <w:rFonts w:hint="eastAsia" w:ascii="Arial" w:hAnsi="Arial" w:eastAsiaTheme="minorEastAsia"/>
          <w:i w:val="0"/>
          <w:iCs w:val="0"/>
          <w:sz w:val="21"/>
          <w:szCs w:val="21"/>
        </w:rPr>
        <w:t>(Eastern Cooperative Oncology Group)</w:t>
      </w:r>
      <w:r>
        <w:rPr>
          <w:rStyle w:val="8"/>
          <w:rFonts w:ascii="Arial" w:hAnsi="Arial" w:eastAsiaTheme="minorEastAsia"/>
          <w:i w:val="0"/>
          <w:iCs w:val="0"/>
          <w:sz w:val="21"/>
          <w:szCs w:val="21"/>
        </w:rPr>
        <w:t xml:space="preserve"> score, clinical symptoms (hematochezia, abdominal pain, diarrhea, constipation, intestinal obstruction), routine blood test, biochemical test</w:t>
      </w:r>
      <w:r>
        <w:rPr>
          <w:rStyle w:val="8"/>
          <w:rFonts w:hint="eastAsia" w:ascii="Arial" w:hAnsi="Arial" w:eastAsiaTheme="minorEastAsia"/>
          <w:i w:val="0"/>
          <w:iCs w:val="0"/>
          <w:sz w:val="21"/>
          <w:szCs w:val="21"/>
        </w:rPr>
        <w:t>,</w:t>
      </w:r>
      <w:r>
        <w:rPr>
          <w:rStyle w:val="8"/>
          <w:rFonts w:ascii="Arial" w:hAnsi="Arial" w:eastAsiaTheme="minorEastAsia"/>
          <w:i w:val="0"/>
          <w:iCs w:val="0"/>
          <w:sz w:val="21"/>
          <w:szCs w:val="21"/>
        </w:rPr>
        <w:t xml:space="preserve"> and tumor markers in the blood. </w:t>
      </w:r>
    </w:p>
    <w:p>
      <w:pPr>
        <w:spacing w:line="360" w:lineRule="auto"/>
        <w:rPr>
          <w:rStyle w:val="8"/>
          <w:rFonts w:ascii="Arial" w:hAnsi="Arial" w:eastAsia="等线" w:cs="Times New Roman"/>
          <w:b/>
          <w:bCs/>
          <w:i w:val="0"/>
          <w:iCs w:val="0"/>
          <w:sz w:val="21"/>
          <w:szCs w:val="21"/>
          <w:lang w:bidi="ar"/>
        </w:rPr>
      </w:pPr>
      <w:r>
        <w:rPr>
          <w:rStyle w:val="8"/>
          <w:rFonts w:ascii="Arial" w:hAnsi="Arial" w:eastAsia="等线" w:cs="Times New Roman"/>
          <w:b/>
          <w:bCs/>
          <w:i w:val="0"/>
          <w:iCs w:val="0"/>
          <w:sz w:val="21"/>
          <w:szCs w:val="21"/>
          <w:lang w:bidi="ar"/>
        </w:rPr>
        <w:t>The definition of the positive lymph node</w:t>
      </w:r>
    </w:p>
    <w:p>
      <w:pPr>
        <w:spacing w:line="360" w:lineRule="auto"/>
        <w:ind w:firstLine="420" w:firstLineChars="200"/>
        <w:rPr>
          <w:rStyle w:val="8"/>
          <w:rFonts w:ascii="Arial" w:hAnsi="Arial" w:eastAsiaTheme="minorEastAsia"/>
          <w:i w:val="0"/>
          <w:iCs w:val="0"/>
          <w:sz w:val="21"/>
          <w:szCs w:val="21"/>
        </w:rPr>
      </w:pPr>
      <w:r>
        <w:rPr>
          <w:rStyle w:val="8"/>
          <w:rFonts w:ascii="Arial" w:hAnsi="Arial" w:eastAsiaTheme="minorEastAsia"/>
          <w:i w:val="0"/>
          <w:iCs w:val="0"/>
          <w:sz w:val="21"/>
          <w:szCs w:val="21"/>
        </w:rPr>
        <w:t>A positive lymph node was defined according to short diameter and the morphologic characteristics of malignancy, including the presence of irregular borders, heterogeneous signal intensity, and round shape</w:t>
      </w:r>
      <w:r>
        <w:rPr>
          <w:rStyle w:val="8"/>
          <w:rFonts w:hint="eastAsia" w:ascii="Arial" w:hAnsi="Arial"/>
          <w:i w:val="0"/>
          <w:iCs w:val="0"/>
          <w:sz w:val="21"/>
          <w:szCs w:val="21"/>
          <w:vertAlign w:val="superscript"/>
          <w:lang w:val="en-US" w:eastAsia="zh-CN"/>
        </w:rPr>
        <w:t>1</w:t>
      </w:r>
      <w:r>
        <w:rPr>
          <w:rStyle w:val="8"/>
          <w:rFonts w:ascii="Arial" w:hAnsi="Arial" w:eastAsiaTheme="minorEastAsia"/>
          <w:i w:val="0"/>
          <w:iCs w:val="0"/>
          <w:sz w:val="21"/>
          <w:szCs w:val="21"/>
        </w:rPr>
        <w:t>. If the short diameter is greater than 9 mm, it is considered as a positive lymph node regardless of the morphologic characteristics of malignancy; If the short diameter is 5 mm – 9 mm, the morphologic characteristics of malignancy need to meet at least two criteria; If the short diameter is less than 5 mm, the morphologic characteristics of malignancy should meet all three criteria.</w:t>
      </w:r>
    </w:p>
    <w:p>
      <w:pPr>
        <w:spacing w:line="360" w:lineRule="auto"/>
        <w:rPr>
          <w:rStyle w:val="8"/>
          <w:rFonts w:ascii="Arial" w:hAnsi="Arial" w:eastAsiaTheme="minorEastAsia"/>
          <w:i w:val="0"/>
          <w:iCs w:val="0"/>
          <w:sz w:val="21"/>
          <w:szCs w:val="21"/>
        </w:rPr>
      </w:pPr>
      <w:r>
        <w:rPr>
          <w:rStyle w:val="8"/>
          <w:rFonts w:ascii="Arial" w:hAnsi="Arial" w:eastAsiaTheme="minorEastAsia"/>
          <w:b/>
          <w:bCs/>
          <w:i w:val="0"/>
          <w:iCs w:val="0"/>
          <w:sz w:val="21"/>
          <w:szCs w:val="21"/>
        </w:rPr>
        <w:t>The features of the logistic regression model</w:t>
      </w:r>
    </w:p>
    <w:p>
      <w:pPr>
        <w:spacing w:line="360" w:lineRule="auto"/>
        <w:ind w:firstLine="420" w:firstLineChars="200"/>
        <w:rPr>
          <w:rStyle w:val="8"/>
          <w:rFonts w:ascii="Arial" w:hAnsi="Arial" w:eastAsiaTheme="minorEastAsia"/>
          <w:i w:val="0"/>
          <w:iCs w:val="0"/>
          <w:sz w:val="21"/>
          <w:szCs w:val="21"/>
        </w:rPr>
      </w:pPr>
      <w:r>
        <w:rPr>
          <w:rStyle w:val="8"/>
          <w:rFonts w:ascii="Arial" w:hAnsi="Arial" w:eastAsiaTheme="minorEastAsia"/>
          <w:i w:val="0"/>
          <w:iCs w:val="0"/>
          <w:sz w:val="21"/>
          <w:szCs w:val="21"/>
        </w:rPr>
        <w:t>The features of the logistic regression model consisted of First Order Statistics, Shape-based (2D and 3D), Gray Level Cooccurrence Matrix (GLCM), Gray Level Run Length Matrix (GLRLM), Gray Level Size Zone Matrix (GLSZM), Gray Level Dependence Matrix (GLDM), Neighboring Gray Tone Difference Matrix (NGTDM), etc.</w:t>
      </w:r>
    </w:p>
    <w:p>
      <w:pPr>
        <w:spacing w:line="360" w:lineRule="auto"/>
        <w:rPr>
          <w:rStyle w:val="8"/>
          <w:rFonts w:ascii="Arial" w:hAnsi="Arial" w:eastAsiaTheme="minorEastAsia"/>
          <w:b/>
          <w:bCs/>
          <w:i w:val="0"/>
          <w:iCs w:val="0"/>
          <w:sz w:val="21"/>
          <w:szCs w:val="21"/>
        </w:rPr>
      </w:pPr>
      <w:r>
        <w:rPr>
          <w:rStyle w:val="8"/>
          <w:rFonts w:ascii="Arial" w:hAnsi="Arial" w:eastAsiaTheme="minorEastAsia"/>
          <w:b/>
          <w:bCs/>
          <w:i w:val="0"/>
          <w:iCs w:val="0"/>
          <w:sz w:val="21"/>
          <w:szCs w:val="21"/>
        </w:rPr>
        <w:t>Validation of models</w:t>
      </w:r>
    </w:p>
    <w:p>
      <w:pPr>
        <w:spacing w:line="360" w:lineRule="auto"/>
        <w:ind w:firstLine="420" w:firstLineChars="200"/>
        <w:rPr>
          <w:rStyle w:val="8"/>
          <w:rFonts w:hint="eastAsia" w:ascii="Arial" w:hAnsi="Arial" w:eastAsiaTheme="minorEastAsia"/>
          <w:i w:val="0"/>
          <w:iCs w:val="0"/>
          <w:sz w:val="21"/>
          <w:szCs w:val="21"/>
        </w:rPr>
      </w:pPr>
      <w:r>
        <w:rPr>
          <w:rStyle w:val="8"/>
          <w:rFonts w:ascii="Arial" w:hAnsi="Arial" w:eastAsiaTheme="minorEastAsia"/>
          <w:i w:val="0"/>
          <w:iCs w:val="0"/>
          <w:sz w:val="21"/>
          <w:szCs w:val="21"/>
        </w:rPr>
        <w:t>The LR model and DL model were validated in the testing set respectively. In addition, the prediction performances were assessed through receiver operating characteristic (ROC) curve analyses considering the inferred (the testing set) response to TNT.</w:t>
      </w:r>
    </w:p>
    <w:p>
      <w:pPr>
        <w:spacing w:line="360" w:lineRule="auto"/>
        <w:rPr>
          <w:rStyle w:val="8"/>
          <w:rFonts w:ascii="Arial" w:hAnsi="Arial" w:eastAsiaTheme="minorEastAsia"/>
          <w:b/>
          <w:bCs/>
          <w:i w:val="0"/>
          <w:iCs w:val="0"/>
          <w:sz w:val="21"/>
          <w:szCs w:val="21"/>
        </w:rPr>
      </w:pPr>
      <w:r>
        <w:rPr>
          <w:rStyle w:val="8"/>
          <w:rFonts w:ascii="Arial" w:hAnsi="Arial" w:eastAsiaTheme="minorEastAsia"/>
          <w:b/>
          <w:bCs/>
          <w:i w:val="0"/>
          <w:iCs w:val="0"/>
          <w:sz w:val="21"/>
          <w:szCs w:val="21"/>
        </w:rPr>
        <w:t>Statistical analysis</w:t>
      </w:r>
    </w:p>
    <w:p>
      <w:pPr>
        <w:spacing w:line="360" w:lineRule="auto"/>
        <w:ind w:firstLine="420" w:firstLineChars="200"/>
        <w:rPr>
          <w:rStyle w:val="8"/>
          <w:rFonts w:hint="eastAsia" w:ascii="Arial" w:hAnsi="Arial" w:eastAsiaTheme="minorEastAsia"/>
          <w:i w:val="0"/>
          <w:iCs w:val="0"/>
          <w:sz w:val="21"/>
          <w:szCs w:val="21"/>
        </w:rPr>
      </w:pPr>
      <w:r>
        <w:rPr>
          <w:rStyle w:val="8"/>
          <w:rFonts w:ascii="Arial" w:hAnsi="Arial" w:eastAsiaTheme="minorEastAsia"/>
          <w:i w:val="0"/>
          <w:iCs w:val="0"/>
          <w:sz w:val="21"/>
          <w:szCs w:val="21"/>
        </w:rPr>
        <w:t xml:space="preserve">Continuous variables were expressed as mean ± standard deviation and median (range). Categorical variables were expressed as a number (percentage). Receiver operating characteristic (ROC) curves analysis was performed to assess prediction performance. The predictive capability of response was determined by the sensitivity, specificity, negative predictive value (NPV), positive predictive value (PPV) and accuracy. The 10-fold cross validation was used to compare the two grouping modes. Furthermore, the highest values, lowest values and average values of the accuracy were calculated respectively, in which the average values were the estimation of the accuracy of the model. The significance level was P &lt; 0.05. Statistical analysis was conducted using PASW Statistics (version 25; SPSS, IBM Corp) </w:t>
      </w:r>
      <w:r>
        <w:rPr>
          <w:rStyle w:val="8"/>
          <w:rFonts w:hint="eastAsia" w:ascii="Arial" w:hAnsi="Arial" w:eastAsiaTheme="minorEastAsia"/>
          <w:i w:val="0"/>
          <w:iCs w:val="0"/>
          <w:sz w:val="21"/>
          <w:szCs w:val="21"/>
        </w:rPr>
        <w:t>and</w:t>
      </w:r>
      <w:r>
        <w:rPr>
          <w:rStyle w:val="8"/>
          <w:rFonts w:ascii="Arial" w:hAnsi="Arial" w:eastAsiaTheme="minorEastAsia"/>
          <w:i w:val="0"/>
          <w:iCs w:val="0"/>
          <w:sz w:val="21"/>
          <w:szCs w:val="21"/>
        </w:rPr>
        <w:t xml:space="preserve"> python software (version 3.6).</w:t>
      </w:r>
    </w:p>
    <w:p>
      <w:pPr>
        <w:spacing w:line="360" w:lineRule="auto"/>
        <w:rPr>
          <w:rStyle w:val="8"/>
          <w:rFonts w:ascii="Arial" w:hAnsi="Arial" w:eastAsia="等线" w:cs="Times New Roman"/>
          <w:i w:val="0"/>
          <w:iCs w:val="0"/>
          <w:sz w:val="21"/>
          <w:szCs w:val="21"/>
          <w:lang w:bidi="ar"/>
        </w:rPr>
      </w:pPr>
    </w:p>
    <w:p>
      <w:pPr>
        <w:spacing w:line="360" w:lineRule="auto"/>
        <w:rPr>
          <w:rStyle w:val="8"/>
          <w:rFonts w:ascii="Arial" w:hAnsi="Arial" w:eastAsia="等线" w:cs="Times New Roman"/>
          <w:i w:val="0"/>
          <w:iCs w:val="0"/>
          <w:sz w:val="21"/>
          <w:szCs w:val="21"/>
          <w:lang w:bidi="ar"/>
        </w:rPr>
      </w:pPr>
    </w:p>
    <w:p>
      <w:pPr>
        <w:spacing w:line="360" w:lineRule="auto"/>
        <w:rPr>
          <w:rStyle w:val="8"/>
          <w:rFonts w:ascii="Arial" w:hAnsi="Arial" w:eastAsia="等线" w:cs="Times New Roman"/>
          <w:i w:val="0"/>
          <w:iCs w:val="0"/>
          <w:sz w:val="21"/>
          <w:szCs w:val="21"/>
          <w:lang w:bidi="ar"/>
        </w:rPr>
      </w:pPr>
    </w:p>
    <w:p>
      <w:pPr>
        <w:rPr>
          <w:rFonts w:hint="eastAsia" w:ascii="Times New Roman" w:hAnsi="Times New Roman" w:cs="Times New Roman"/>
          <w:b/>
          <w:bCs/>
          <w:lang w:val="en-US" w:eastAsia="zh-CN"/>
        </w:rPr>
      </w:pPr>
    </w:p>
    <w:bookmarkEnd w:id="0"/>
    <w:p>
      <w:pPr>
        <w:rPr>
          <w:rFonts w:hint="default" w:ascii="Arial" w:hAnsi="Arial" w:cs="Arial"/>
          <w:sz w:val="21"/>
          <w:szCs w:val="21"/>
          <w:lang w:val="en-US" w:eastAsia="zh-CN"/>
        </w:rPr>
      </w:pPr>
      <w:r>
        <w:rPr>
          <w:rFonts w:hint="default" w:ascii="Arial" w:hAnsi="Arial" w:cs="Arial"/>
          <w:b/>
          <w:bCs/>
          <w:sz w:val="21"/>
          <w:szCs w:val="21"/>
          <w:lang w:val="en-US" w:eastAsia="zh-CN"/>
        </w:rPr>
        <w:t>Supplementary Table S1</w:t>
      </w:r>
      <w:r>
        <w:rPr>
          <w:rFonts w:hint="default" w:ascii="Arial" w:hAnsi="Arial" w:cs="Arial"/>
          <w:sz w:val="21"/>
          <w:szCs w:val="21"/>
        </w:rPr>
        <w:t xml:space="preserve"> </w:t>
      </w:r>
      <w:r>
        <w:rPr>
          <w:rFonts w:hint="default" w:ascii="Arial" w:hAnsi="Arial" w:cs="Arial"/>
          <w:sz w:val="21"/>
          <w:szCs w:val="21"/>
          <w:lang w:val="en-US" w:eastAsia="zh-CN"/>
        </w:rPr>
        <w:t xml:space="preserve">Patient </w:t>
      </w:r>
      <w:r>
        <w:rPr>
          <w:rFonts w:hint="default" w:ascii="Arial" w:hAnsi="Arial" w:cs="Arial"/>
          <w:sz w:val="21"/>
          <w:szCs w:val="21"/>
        </w:rPr>
        <w:t xml:space="preserve">Characteristics in the </w:t>
      </w:r>
      <w:r>
        <w:rPr>
          <w:rFonts w:hint="default" w:ascii="Arial" w:hAnsi="Arial" w:cs="Arial"/>
          <w:sz w:val="21"/>
          <w:szCs w:val="21"/>
          <w:lang w:val="en-US" w:eastAsia="zh-CN"/>
        </w:rPr>
        <w:t>pCR</w:t>
      </w:r>
      <w:r>
        <w:rPr>
          <w:rFonts w:hint="default" w:ascii="Arial" w:hAnsi="Arial" w:cs="Arial"/>
          <w:sz w:val="21"/>
          <w:szCs w:val="21"/>
        </w:rPr>
        <w:t xml:space="preserve"> and </w:t>
      </w:r>
      <w:r>
        <w:rPr>
          <w:rFonts w:hint="default" w:ascii="Arial" w:hAnsi="Arial" w:cs="Arial"/>
          <w:sz w:val="21"/>
          <w:szCs w:val="21"/>
          <w:lang w:val="en-US" w:eastAsia="zh-CN"/>
        </w:rPr>
        <w:t>non-pCR</w:t>
      </w:r>
      <w:r>
        <w:rPr>
          <w:rFonts w:hint="default" w:ascii="Arial" w:hAnsi="Arial" w:cs="Arial"/>
          <w:sz w:val="21"/>
          <w:szCs w:val="21"/>
        </w:rPr>
        <w:t xml:space="preserve"> </w:t>
      </w:r>
      <w:r>
        <w:rPr>
          <w:rFonts w:hint="default" w:ascii="Arial" w:hAnsi="Arial" w:cs="Arial"/>
          <w:sz w:val="21"/>
          <w:szCs w:val="21"/>
          <w:lang w:val="en-US" w:eastAsia="zh-CN"/>
        </w:rPr>
        <w:t>c</w:t>
      </w:r>
      <w:r>
        <w:rPr>
          <w:rFonts w:hint="default" w:ascii="Arial" w:hAnsi="Arial" w:cs="Arial"/>
          <w:sz w:val="21"/>
          <w:szCs w:val="21"/>
        </w:rPr>
        <w:t>ohort</w:t>
      </w:r>
      <w:r>
        <w:rPr>
          <w:rFonts w:hint="default" w:ascii="Arial" w:hAnsi="Arial" w:cs="Arial"/>
          <w:sz w:val="21"/>
          <w:szCs w:val="21"/>
          <w:lang w:val="en-US" w:eastAsia="zh-CN"/>
        </w:rPr>
        <w:t>.</w:t>
      </w:r>
    </w:p>
    <w:tbl>
      <w:tblPr>
        <w:tblStyle w:val="5"/>
        <w:tblW w:w="10470" w:type="dxa"/>
        <w:tblInd w:w="-832"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29"/>
        <w:gridCol w:w="1427"/>
        <w:gridCol w:w="1437"/>
        <w:gridCol w:w="997"/>
        <w:gridCol w:w="1339"/>
        <w:gridCol w:w="1406"/>
        <w:gridCol w:w="103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Borders>
              <w:bottom w:val="nil"/>
            </w:tcBorders>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p>
        </w:tc>
        <w:tc>
          <w:tcPr>
            <w:tcW w:w="2864" w:type="dxa"/>
            <w:gridSpan w:val="2"/>
            <w:tcBorders>
              <w:bottom w:val="nil"/>
            </w:tcBorders>
          </w:tcPr>
          <w:p>
            <w:pPr>
              <w:keepNext w:val="0"/>
              <w:keepLines w:val="0"/>
              <w:suppressLineNumbers w:val="0"/>
              <w:spacing w:before="0" w:beforeAutospacing="0" w:after="0" w:afterAutospacing="0"/>
              <w:ind w:left="0" w:right="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Training cohort</w:t>
            </w:r>
          </w:p>
        </w:tc>
        <w:tc>
          <w:tcPr>
            <w:tcW w:w="997" w:type="dxa"/>
            <w:tcBorders>
              <w:bottom w:val="nil"/>
            </w:tcBorders>
          </w:tcPr>
          <w:p>
            <w:pPr>
              <w:keepNext w:val="0"/>
              <w:keepLines w:val="0"/>
              <w:suppressLineNumbers w:val="0"/>
              <w:spacing w:before="0" w:beforeAutospacing="0" w:after="0" w:afterAutospacing="0"/>
              <w:ind w:left="0" w:right="0"/>
              <w:jc w:val="center"/>
              <w:rPr>
                <w:rFonts w:hint="default" w:ascii="Arial" w:hAnsi="Arial" w:cs="Arial"/>
                <w:sz w:val="18"/>
                <w:szCs w:val="18"/>
                <w:vertAlign w:val="baseline"/>
                <w:lang w:val="en-US" w:eastAsia="zh-CN"/>
              </w:rPr>
            </w:pPr>
          </w:p>
        </w:tc>
        <w:tc>
          <w:tcPr>
            <w:tcW w:w="2745" w:type="dxa"/>
            <w:gridSpan w:val="2"/>
            <w:tcBorders>
              <w:bottom w:val="nil"/>
            </w:tcBorders>
          </w:tcPr>
          <w:p>
            <w:pPr>
              <w:keepNext w:val="0"/>
              <w:keepLines w:val="0"/>
              <w:suppressLineNumbers w:val="0"/>
              <w:spacing w:before="0" w:beforeAutospacing="0" w:after="0" w:afterAutospacing="0"/>
              <w:ind w:left="0" w:right="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Validation cohort</w:t>
            </w:r>
          </w:p>
        </w:tc>
        <w:tc>
          <w:tcPr>
            <w:tcW w:w="1035" w:type="dxa"/>
            <w:tcBorders>
              <w:bottom w:val="nil"/>
            </w:tcBorders>
          </w:tcPr>
          <w:p>
            <w:pPr>
              <w:keepNext w:val="0"/>
              <w:keepLines w:val="0"/>
              <w:suppressLineNumbers w:val="0"/>
              <w:spacing w:before="0" w:beforeAutospacing="0" w:after="0" w:afterAutospacing="0"/>
              <w:ind w:left="0" w:right="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Borders>
              <w:bottom w:val="nil"/>
            </w:tcBorders>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p>
        </w:tc>
        <w:tc>
          <w:tcPr>
            <w:tcW w:w="1427" w:type="dxa"/>
            <w:tcBorders>
              <w:bottom w:val="nil"/>
            </w:tcBorders>
            <w:vAlign w:val="top"/>
          </w:tcPr>
          <w:p>
            <w:pPr>
              <w:keepNext w:val="0"/>
              <w:keepLines w:val="0"/>
              <w:suppressLineNumbers w:val="0"/>
              <w:spacing w:before="0" w:beforeAutospacing="0" w:after="0" w:afterAutospacing="0"/>
              <w:ind w:left="0" w:right="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pCR</w:t>
            </w:r>
          </w:p>
        </w:tc>
        <w:tc>
          <w:tcPr>
            <w:tcW w:w="1437" w:type="dxa"/>
            <w:tcBorders>
              <w:bottom w:val="nil"/>
            </w:tcBorders>
            <w:vAlign w:val="top"/>
          </w:tcPr>
          <w:p>
            <w:pPr>
              <w:keepNext w:val="0"/>
              <w:keepLines w:val="0"/>
              <w:suppressLineNumbers w:val="0"/>
              <w:spacing w:before="0" w:beforeAutospacing="0" w:after="0" w:afterAutospacing="0"/>
              <w:ind w:left="0" w:right="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non-pCR</w:t>
            </w:r>
          </w:p>
        </w:tc>
        <w:tc>
          <w:tcPr>
            <w:tcW w:w="997" w:type="dxa"/>
            <w:tcBorders>
              <w:bottom w:val="nil"/>
            </w:tcBorders>
          </w:tcPr>
          <w:p>
            <w:pPr>
              <w:keepNext w:val="0"/>
              <w:keepLines w:val="0"/>
              <w:suppressLineNumbers w:val="0"/>
              <w:spacing w:before="0" w:beforeAutospacing="0" w:after="0" w:afterAutospacing="0"/>
              <w:ind w:left="0" w:right="0"/>
              <w:jc w:val="center"/>
              <w:rPr>
                <w:rFonts w:hint="default" w:ascii="Arial" w:hAnsi="Arial" w:cs="Arial"/>
                <w:sz w:val="18"/>
                <w:szCs w:val="18"/>
                <w:vertAlign w:val="baseline"/>
                <w:lang w:val="en-US" w:eastAsia="zh-CN"/>
              </w:rPr>
            </w:pPr>
          </w:p>
        </w:tc>
        <w:tc>
          <w:tcPr>
            <w:tcW w:w="1339" w:type="dxa"/>
            <w:tcBorders>
              <w:bottom w:val="nil"/>
            </w:tcBorders>
            <w:vAlign w:val="top"/>
          </w:tcPr>
          <w:p>
            <w:pPr>
              <w:keepNext w:val="0"/>
              <w:keepLines w:val="0"/>
              <w:suppressLineNumbers w:val="0"/>
              <w:spacing w:before="0" w:beforeAutospacing="0" w:after="0" w:afterAutospacing="0"/>
              <w:ind w:left="0" w:right="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pCR</w:t>
            </w:r>
          </w:p>
        </w:tc>
        <w:tc>
          <w:tcPr>
            <w:tcW w:w="1406" w:type="dxa"/>
            <w:tcBorders>
              <w:bottom w:val="nil"/>
            </w:tcBorders>
            <w:vAlign w:val="top"/>
          </w:tcPr>
          <w:p>
            <w:pPr>
              <w:keepNext w:val="0"/>
              <w:keepLines w:val="0"/>
              <w:suppressLineNumbers w:val="0"/>
              <w:spacing w:before="0" w:beforeAutospacing="0" w:after="0" w:afterAutospacing="0"/>
              <w:ind w:left="0" w:right="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non-pCR</w:t>
            </w:r>
          </w:p>
        </w:tc>
        <w:tc>
          <w:tcPr>
            <w:tcW w:w="1035" w:type="dxa"/>
            <w:tcBorders>
              <w:bottom w:val="nil"/>
            </w:tcBorders>
          </w:tcPr>
          <w:p>
            <w:pPr>
              <w:keepNext w:val="0"/>
              <w:keepLines w:val="0"/>
              <w:suppressLineNumbers w:val="0"/>
              <w:spacing w:before="0" w:beforeAutospacing="0" w:after="0" w:afterAutospacing="0"/>
              <w:ind w:left="0" w:right="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2829" w:type="dxa"/>
            <w:tcBorders>
              <w:top w:val="nil"/>
              <w:bottom w:val="single" w:color="auto" w:sz="4" w:space="0"/>
            </w:tcBorders>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Variable </w:t>
            </w:r>
          </w:p>
        </w:tc>
        <w:tc>
          <w:tcPr>
            <w:tcW w:w="1427" w:type="dxa"/>
            <w:tcBorders>
              <w:top w:val="nil"/>
              <w:bottom w:val="single" w:color="auto" w:sz="4" w:space="0"/>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N=23</w:t>
            </w:r>
          </w:p>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(25.84%)</w:t>
            </w:r>
          </w:p>
        </w:tc>
        <w:tc>
          <w:tcPr>
            <w:tcW w:w="1437" w:type="dxa"/>
            <w:tcBorders>
              <w:top w:val="nil"/>
              <w:bottom w:val="single" w:color="auto" w:sz="4" w:space="0"/>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N=66 </w:t>
            </w:r>
          </w:p>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(74.16%)</w:t>
            </w:r>
          </w:p>
        </w:tc>
        <w:tc>
          <w:tcPr>
            <w:tcW w:w="997" w:type="dxa"/>
            <w:tcBorders>
              <w:top w:val="nil"/>
              <w:bottom w:val="single" w:color="auto" w:sz="4" w:space="0"/>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P</w:t>
            </w:r>
          </w:p>
        </w:tc>
        <w:tc>
          <w:tcPr>
            <w:tcW w:w="1339" w:type="dxa"/>
            <w:tcBorders>
              <w:top w:val="nil"/>
              <w:bottom w:val="single" w:color="auto" w:sz="4" w:space="0"/>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N=16 (55.17%)</w:t>
            </w:r>
          </w:p>
        </w:tc>
        <w:tc>
          <w:tcPr>
            <w:tcW w:w="1406" w:type="dxa"/>
            <w:tcBorders>
              <w:top w:val="nil"/>
              <w:bottom w:val="single" w:color="auto" w:sz="4" w:space="0"/>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N=13 (44.83%)</w:t>
            </w:r>
          </w:p>
        </w:tc>
        <w:tc>
          <w:tcPr>
            <w:tcW w:w="1035" w:type="dxa"/>
            <w:tcBorders>
              <w:top w:val="nil"/>
              <w:bottom w:val="single" w:color="auto" w:sz="4" w:space="0"/>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Borders>
              <w:top w:val="single" w:color="auto" w:sz="4" w:space="0"/>
              <w:bottom w:val="nil"/>
            </w:tcBorders>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Age (years)</w:t>
            </w:r>
          </w:p>
        </w:tc>
        <w:tc>
          <w:tcPr>
            <w:tcW w:w="1427" w:type="dxa"/>
            <w:tcBorders>
              <w:top w:val="single" w:color="auto" w:sz="4" w:space="0"/>
              <w:bottom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56 (28-72)</w:t>
            </w:r>
          </w:p>
        </w:tc>
        <w:tc>
          <w:tcPr>
            <w:tcW w:w="1437" w:type="dxa"/>
            <w:tcBorders>
              <w:top w:val="single" w:color="auto" w:sz="4" w:space="0"/>
              <w:bottom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53 (28-74)</w:t>
            </w:r>
          </w:p>
        </w:tc>
        <w:tc>
          <w:tcPr>
            <w:tcW w:w="997" w:type="dxa"/>
            <w:tcBorders>
              <w:top w:val="single" w:color="auto" w:sz="4" w:space="0"/>
              <w:bottom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0.896</w:t>
            </w:r>
          </w:p>
        </w:tc>
        <w:tc>
          <w:tcPr>
            <w:tcW w:w="1339" w:type="dxa"/>
            <w:tcBorders>
              <w:top w:val="single" w:color="auto" w:sz="4" w:space="0"/>
              <w:bottom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55 (33-75)</w:t>
            </w:r>
          </w:p>
        </w:tc>
        <w:tc>
          <w:tcPr>
            <w:tcW w:w="1406" w:type="dxa"/>
            <w:tcBorders>
              <w:top w:val="single" w:color="auto" w:sz="4" w:space="0"/>
              <w:bottom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57 (42-78)</w:t>
            </w:r>
          </w:p>
        </w:tc>
        <w:tc>
          <w:tcPr>
            <w:tcW w:w="1035" w:type="dxa"/>
            <w:tcBorders>
              <w:top w:val="single" w:color="auto" w:sz="4" w:space="0"/>
              <w:bottom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0.613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Borders>
              <w:top w:val="nil"/>
            </w:tcBorders>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BMI (kg/m</w:t>
            </w:r>
            <w:r>
              <w:rPr>
                <w:rFonts w:hint="default" w:ascii="Arial" w:hAnsi="Arial" w:cs="Arial"/>
                <w:sz w:val="18"/>
                <w:szCs w:val="18"/>
                <w:vertAlign w:val="superscript"/>
                <w:lang w:val="en-US" w:eastAsia="zh-CN"/>
              </w:rPr>
              <w:t>2</w:t>
            </w:r>
            <w:r>
              <w:rPr>
                <w:rFonts w:hint="default" w:ascii="Arial" w:hAnsi="Arial" w:cs="Arial"/>
                <w:sz w:val="18"/>
                <w:szCs w:val="18"/>
                <w:vertAlign w:val="baseline"/>
                <w:lang w:val="en-US" w:eastAsia="zh-CN"/>
              </w:rPr>
              <w:t>)</w:t>
            </w:r>
          </w:p>
        </w:tc>
        <w:tc>
          <w:tcPr>
            <w:tcW w:w="1427"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23.03 (17.51-31.22)</w:t>
            </w:r>
          </w:p>
        </w:tc>
        <w:tc>
          <w:tcPr>
            <w:tcW w:w="1437" w:type="dxa"/>
            <w:tcBorders>
              <w:top w:val="nil"/>
            </w:tcBorders>
            <w:vAlign w:val="top"/>
          </w:tcPr>
          <w:p>
            <w:pPr>
              <w:keepNext w:val="0"/>
              <w:keepLines w:val="0"/>
              <w:suppressLineNumbers w:val="0"/>
              <w:spacing w:before="0" w:beforeAutospacing="0" w:after="0" w:afterAutospacing="0"/>
              <w:ind w:left="0" w:right="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23.65</w:t>
            </w:r>
          </w:p>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(17.15-28.73)</w:t>
            </w:r>
          </w:p>
        </w:tc>
        <w:tc>
          <w:tcPr>
            <w:tcW w:w="997"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0.339</w:t>
            </w:r>
          </w:p>
        </w:tc>
        <w:tc>
          <w:tcPr>
            <w:tcW w:w="1339"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23.63 (19.21-28.51)</w:t>
            </w:r>
          </w:p>
        </w:tc>
        <w:tc>
          <w:tcPr>
            <w:tcW w:w="1406"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22.19 (17.94-27.34)</w:t>
            </w:r>
          </w:p>
        </w:tc>
        <w:tc>
          <w:tcPr>
            <w:tcW w:w="1035"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0.245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Borders>
              <w:top w:val="nil"/>
            </w:tcBorders>
            <w:vAlign w:val="top"/>
          </w:tcPr>
          <w:p>
            <w:pPr>
              <w:keepNext w:val="0"/>
              <w:keepLines w:val="0"/>
              <w:suppressLineNumbers w:val="0"/>
              <w:spacing w:before="0" w:beforeAutospacing="0" w:after="0" w:afterAutospacing="0"/>
              <w:ind w:left="0" w:leftChars="0" w:right="0" w:rightChars="0"/>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Gender</w:t>
            </w:r>
          </w:p>
        </w:tc>
        <w:tc>
          <w:tcPr>
            <w:tcW w:w="1427"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437"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997"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kern w:val="2"/>
                <w:sz w:val="18"/>
                <w:szCs w:val="18"/>
                <w:vertAlign w:val="baseline"/>
                <w:lang w:val="en-US" w:eastAsia="zh-CN" w:bidi="ar-SA"/>
              </w:rPr>
              <w:t>0.814</w:t>
            </w:r>
          </w:p>
        </w:tc>
        <w:tc>
          <w:tcPr>
            <w:tcW w:w="1339"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406"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035"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0.958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Borders>
              <w:top w:val="nil"/>
            </w:tcBorders>
            <w:vAlign w:val="top"/>
          </w:tcPr>
          <w:p>
            <w:pPr>
              <w:keepNext w:val="0"/>
              <w:keepLines w:val="0"/>
              <w:suppressLineNumbers w:val="0"/>
              <w:spacing w:before="0" w:beforeAutospacing="0" w:after="0" w:afterAutospacing="0"/>
              <w:ind w:left="0" w:leftChars="0" w:right="0" w:rightChars="0"/>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 xml:space="preserve">  Male</w:t>
            </w:r>
          </w:p>
        </w:tc>
        <w:tc>
          <w:tcPr>
            <w:tcW w:w="1427"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14 (60.87%)</w:t>
            </w:r>
          </w:p>
        </w:tc>
        <w:tc>
          <w:tcPr>
            <w:tcW w:w="1437"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42 (63.64%)</w:t>
            </w:r>
          </w:p>
        </w:tc>
        <w:tc>
          <w:tcPr>
            <w:tcW w:w="997"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9"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10 (62.50%)</w:t>
            </w:r>
          </w:p>
        </w:tc>
        <w:tc>
          <w:tcPr>
            <w:tcW w:w="1406"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8 (61.54%)</w:t>
            </w:r>
          </w:p>
        </w:tc>
        <w:tc>
          <w:tcPr>
            <w:tcW w:w="1035"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Borders>
              <w:top w:val="nil"/>
            </w:tcBorders>
            <w:vAlign w:val="top"/>
          </w:tcPr>
          <w:p>
            <w:pPr>
              <w:keepNext w:val="0"/>
              <w:keepLines w:val="0"/>
              <w:suppressLineNumbers w:val="0"/>
              <w:spacing w:before="0" w:beforeAutospacing="0" w:after="0" w:afterAutospacing="0"/>
              <w:ind w:left="0" w:leftChars="0" w:right="0" w:rightChars="0"/>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 xml:space="preserve">  Female</w:t>
            </w:r>
          </w:p>
        </w:tc>
        <w:tc>
          <w:tcPr>
            <w:tcW w:w="1427"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9 (39.13%)</w:t>
            </w:r>
          </w:p>
        </w:tc>
        <w:tc>
          <w:tcPr>
            <w:tcW w:w="1437"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24 (36.36%)</w:t>
            </w:r>
          </w:p>
        </w:tc>
        <w:tc>
          <w:tcPr>
            <w:tcW w:w="997"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9"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6 (37.50%)</w:t>
            </w:r>
          </w:p>
        </w:tc>
        <w:tc>
          <w:tcPr>
            <w:tcW w:w="1406"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5 (38.46%)</w:t>
            </w:r>
          </w:p>
        </w:tc>
        <w:tc>
          <w:tcPr>
            <w:tcW w:w="1035"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Borders>
              <w:top w:val="nil"/>
            </w:tcBorders>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Baseline T stage</w:t>
            </w:r>
          </w:p>
        </w:tc>
        <w:tc>
          <w:tcPr>
            <w:tcW w:w="1427"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437"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997"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0.063</w:t>
            </w:r>
          </w:p>
        </w:tc>
        <w:tc>
          <w:tcPr>
            <w:tcW w:w="1339"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406"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035"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0.017</w:t>
            </w:r>
            <w:r>
              <w:rPr>
                <w:rFonts w:hint="eastAsia" w:ascii="Arial" w:hAnsi="Arial" w:eastAsia="宋体" w:cs="Arial"/>
                <w:b w:val="0"/>
                <w:bCs w:val="0"/>
                <w:color w:val="000000"/>
                <w:kern w:val="0"/>
                <w:sz w:val="18"/>
                <w:szCs w:val="18"/>
                <w:lang w:val="en-US" w:eastAsia="zh-CN"/>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T2</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1 (1.52%)</w:t>
            </w: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 (6.25%)</w:t>
            </w: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0</w:t>
            </w: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T3</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10 (43.48%)</w:t>
            </w: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37 (56.06%)</w:t>
            </w: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12 (75.00%)</w:t>
            </w: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5 (38.46%)</w:t>
            </w: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T4a</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3 (13.04%)</w:t>
            </w: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17 (25.76%)</w:t>
            </w: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 (6.25%)</w:t>
            </w: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2 (15.38%)</w:t>
            </w: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T4b</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10 (43.48%)</w:t>
            </w: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11 (16.67%)</w:t>
            </w: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2 (12.50%)</w:t>
            </w: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6 (46.15%)</w:t>
            </w: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Baseline N stage</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0.351</w:t>
            </w: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0.171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N0</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4 (17.39%)</w:t>
            </w: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7 (10.61%)</w:t>
            </w: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1 (7.69%)</w:t>
            </w: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N1</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7 (30.43%)</w:t>
            </w: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18 (27.27%)</w:t>
            </w: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5 (31.25%)</w:t>
            </w: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0</w:t>
            </w: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N2</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12 (52.17%)</w:t>
            </w: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41 (62.12%)</w:t>
            </w: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11 (68.75%)</w:t>
            </w: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12 (92.31%)</w:t>
            </w: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TRG</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&lt;0.001</w:t>
            </w:r>
            <w:r>
              <w:rPr>
                <w:rFonts w:hint="eastAsia" w:ascii="Arial" w:hAnsi="Arial" w:eastAsia="宋体" w:cs="Arial"/>
                <w:b w:val="0"/>
                <w:bCs w:val="0"/>
                <w:color w:val="000000"/>
                <w:kern w:val="0"/>
                <w:sz w:val="18"/>
                <w:szCs w:val="18"/>
                <w:lang w:val="en-US" w:eastAsia="zh-CN"/>
              </w:rPr>
              <w:t>***</w:t>
            </w: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&lt;0.001</w:t>
            </w:r>
            <w:r>
              <w:rPr>
                <w:rFonts w:hint="eastAsia" w:ascii="Arial" w:hAnsi="Arial" w:eastAsia="宋体" w:cs="Arial"/>
                <w:b w:val="0"/>
                <w:bCs w:val="0"/>
                <w:color w:val="000000"/>
                <w:kern w:val="0"/>
                <w:sz w:val="18"/>
                <w:szCs w:val="18"/>
                <w:lang w:val="en-US" w:eastAsia="zh-CN"/>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TRG 0</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21 (91.30%)</w:t>
            </w: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2 (3.03%)</w:t>
            </w: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16 (100%)</w:t>
            </w: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0</w:t>
            </w: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TRG 1</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2 (8.70%)</w:t>
            </w: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24 (36.36%)</w:t>
            </w: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0</w:t>
            </w: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TRG 2</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29 (43.94%)</w:t>
            </w: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10 (76.92%)</w:t>
            </w: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TRG 3</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11 (16.67%)</w:t>
            </w: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3 (23.08%)</w:t>
            </w: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Group 2</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&lt;0.001</w:t>
            </w:r>
            <w:r>
              <w:rPr>
                <w:rFonts w:hint="eastAsia" w:ascii="Arial" w:hAnsi="Arial" w:eastAsia="宋体" w:cs="Arial"/>
                <w:b w:val="0"/>
                <w:bCs w:val="0"/>
                <w:color w:val="000000"/>
                <w:kern w:val="0"/>
                <w:sz w:val="18"/>
                <w:szCs w:val="18"/>
                <w:lang w:val="en-US" w:eastAsia="zh-CN"/>
              </w:rPr>
              <w:t>***</w:t>
            </w: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&lt;0.001</w:t>
            </w:r>
            <w:r>
              <w:rPr>
                <w:rFonts w:hint="eastAsia" w:ascii="Arial" w:hAnsi="Arial" w:eastAsia="宋体" w:cs="Arial"/>
                <w:b w:val="0"/>
                <w:bCs w:val="0"/>
                <w:color w:val="000000"/>
                <w:kern w:val="0"/>
                <w:sz w:val="18"/>
                <w:szCs w:val="18"/>
                <w:lang w:val="en-US" w:eastAsia="zh-CN"/>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Pr>
          <w:p>
            <w:pPr>
              <w:keepNext w:val="0"/>
              <w:keepLines w:val="0"/>
              <w:suppressLineNumbers w:val="0"/>
              <w:spacing w:before="0" w:beforeAutospacing="0" w:after="0" w:afterAutospacing="0"/>
              <w:ind w:left="0" w:right="0" w:firstLine="180" w:firstLineChars="10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The high sensitive group</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23 (100%)</w:t>
            </w: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26 (39.40%)</w:t>
            </w: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16 (100%)</w:t>
            </w: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0</w:t>
            </w: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Pr>
          <w:p>
            <w:pPr>
              <w:keepNext w:val="0"/>
              <w:keepLines w:val="0"/>
              <w:suppressLineNumbers w:val="0"/>
              <w:spacing w:before="0" w:beforeAutospacing="0" w:after="0" w:afterAutospacing="0"/>
              <w:ind w:left="0" w:right="0" w:firstLine="180" w:firstLineChars="10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The moderate sensitive group</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40 (60.61%)</w:t>
            </w: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15 (100%)</w:t>
            </w: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tcPr>
          <w:p>
            <w:pPr>
              <w:keepNext w:val="0"/>
              <w:keepLines w:val="0"/>
              <w:suppressLineNumbers w:val="0"/>
              <w:spacing w:before="0" w:beforeAutospacing="0" w:after="0" w:afterAutospacing="0"/>
              <w:ind w:left="0" w:right="0" w:firstLine="180" w:firstLineChars="10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The low sensitive group</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vAlign w:val="top"/>
          </w:tcPr>
          <w:p>
            <w:pPr>
              <w:keepNext w:val="0"/>
              <w:keepLines w:val="0"/>
              <w:suppressLineNumbers w:val="0"/>
              <w:spacing w:before="0" w:beforeAutospacing="0" w:after="0" w:afterAutospacing="0"/>
              <w:ind w:left="0" w:right="0"/>
              <w:rPr>
                <w:rFonts w:hint="default" w:ascii="Arial" w:hAnsi="Arial" w:cs="Arial" w:eastAsiaTheme="minorEastAsia"/>
                <w:kern w:val="2"/>
                <w:sz w:val="18"/>
                <w:szCs w:val="18"/>
                <w:lang w:val="en-US" w:eastAsia="zh-CN" w:bidi="ar-SA"/>
              </w:rPr>
            </w:pPr>
            <w:r>
              <w:rPr>
                <w:rFonts w:hint="default" w:ascii="Arial" w:hAnsi="Arial" w:cs="Arial"/>
                <w:sz w:val="18"/>
                <w:szCs w:val="18"/>
              </w:rPr>
              <w:t xml:space="preserve">ypT </w:t>
            </w:r>
            <w:r>
              <w:rPr>
                <w:rFonts w:hint="default" w:ascii="Arial" w:hAnsi="Arial" w:cs="Arial"/>
                <w:sz w:val="18"/>
                <w:szCs w:val="18"/>
                <w:vertAlign w:val="baseline"/>
                <w:lang w:val="en-US" w:eastAsia="zh-CN"/>
              </w:rPr>
              <w:t>stage</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&lt;0.001</w:t>
            </w:r>
            <w:r>
              <w:rPr>
                <w:rFonts w:hint="eastAsia" w:ascii="Arial" w:hAnsi="Arial" w:eastAsia="宋体" w:cs="Arial"/>
                <w:b w:val="0"/>
                <w:bCs w:val="0"/>
                <w:color w:val="000000"/>
                <w:kern w:val="0"/>
                <w:sz w:val="18"/>
                <w:szCs w:val="18"/>
                <w:lang w:val="en-US" w:eastAsia="zh-CN"/>
              </w:rPr>
              <w:t>***</w:t>
            </w: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&lt;0.001</w:t>
            </w:r>
            <w:r>
              <w:rPr>
                <w:rFonts w:hint="eastAsia" w:ascii="Arial" w:hAnsi="Arial" w:eastAsia="宋体" w:cs="Arial"/>
                <w:b w:val="0"/>
                <w:bCs w:val="0"/>
                <w:color w:val="000000"/>
                <w:kern w:val="0"/>
                <w:sz w:val="18"/>
                <w:szCs w:val="18"/>
                <w:lang w:val="en-US" w:eastAsia="zh-CN"/>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vAlign w:val="top"/>
          </w:tcPr>
          <w:p>
            <w:pPr>
              <w:keepNext w:val="0"/>
              <w:keepLines w:val="0"/>
              <w:suppressLineNumbers w:val="0"/>
              <w:spacing w:before="0" w:beforeAutospacing="0" w:after="0" w:afterAutospacing="0"/>
              <w:ind w:left="0" w:right="0"/>
              <w:rPr>
                <w:rFonts w:hint="default" w:ascii="Arial" w:hAnsi="Arial" w:cs="Arial" w:eastAsiaTheme="minorEastAsia"/>
                <w:kern w:val="2"/>
                <w:sz w:val="18"/>
                <w:szCs w:val="18"/>
                <w:lang w:val="en-US" w:eastAsia="zh-CN" w:bidi="ar-SA"/>
              </w:rPr>
            </w:pPr>
            <w:r>
              <w:rPr>
                <w:rFonts w:hint="default" w:ascii="Arial" w:hAnsi="Arial" w:cs="Arial"/>
                <w:sz w:val="18"/>
                <w:szCs w:val="18"/>
              </w:rPr>
              <w:t xml:space="preserve">  T0</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23 (100%)</w:t>
            </w: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2 (3.03%)</w:t>
            </w: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16 (100%)</w:t>
            </w: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0</w:t>
            </w: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vAlign w:val="top"/>
          </w:tcPr>
          <w:p>
            <w:pPr>
              <w:keepNext w:val="0"/>
              <w:keepLines w:val="0"/>
              <w:suppressLineNumbers w:val="0"/>
              <w:spacing w:before="0" w:beforeAutospacing="0" w:after="0" w:afterAutospacing="0"/>
              <w:ind w:left="0" w:right="0"/>
              <w:rPr>
                <w:rFonts w:hint="default" w:ascii="Arial" w:hAnsi="Arial" w:cs="Arial" w:eastAsiaTheme="minorEastAsia"/>
                <w:kern w:val="2"/>
                <w:sz w:val="18"/>
                <w:szCs w:val="18"/>
                <w:lang w:val="en-US" w:eastAsia="zh-CN" w:bidi="ar-SA"/>
              </w:rPr>
            </w:pPr>
            <w:r>
              <w:rPr>
                <w:rFonts w:hint="default" w:ascii="Arial" w:hAnsi="Arial" w:cs="Arial"/>
                <w:sz w:val="18"/>
                <w:szCs w:val="18"/>
              </w:rPr>
              <w:t xml:space="preserve">  T1</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0</w:t>
            </w: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4 (6.06%)</w:t>
            </w: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0</w:t>
            </w: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vAlign w:val="top"/>
          </w:tcPr>
          <w:p>
            <w:pPr>
              <w:keepNext w:val="0"/>
              <w:keepLines w:val="0"/>
              <w:suppressLineNumbers w:val="0"/>
              <w:spacing w:before="0" w:beforeAutospacing="0" w:after="0" w:afterAutospacing="0"/>
              <w:ind w:left="0" w:right="0"/>
              <w:rPr>
                <w:rFonts w:hint="default" w:ascii="Arial" w:hAnsi="Arial" w:cs="Arial" w:eastAsiaTheme="minorEastAsia"/>
                <w:kern w:val="2"/>
                <w:sz w:val="18"/>
                <w:szCs w:val="18"/>
                <w:lang w:val="en-US" w:eastAsia="zh-CN" w:bidi="ar-SA"/>
              </w:rPr>
            </w:pPr>
            <w:r>
              <w:rPr>
                <w:rFonts w:hint="default" w:ascii="Arial" w:hAnsi="Arial" w:cs="Arial"/>
                <w:sz w:val="18"/>
                <w:szCs w:val="18"/>
              </w:rPr>
              <w:t xml:space="preserve">  T2</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0</w:t>
            </w: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16 (24.24%)</w:t>
            </w: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8 (61.54%)</w:t>
            </w: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vAlign w:val="top"/>
          </w:tcPr>
          <w:p>
            <w:pPr>
              <w:keepNext w:val="0"/>
              <w:keepLines w:val="0"/>
              <w:suppressLineNumbers w:val="0"/>
              <w:spacing w:before="0" w:beforeAutospacing="0" w:after="0" w:afterAutospacing="0"/>
              <w:ind w:left="0" w:right="0"/>
              <w:rPr>
                <w:rFonts w:hint="default" w:ascii="Arial" w:hAnsi="Arial" w:cs="Arial" w:eastAsiaTheme="minorEastAsia"/>
                <w:kern w:val="2"/>
                <w:sz w:val="18"/>
                <w:szCs w:val="18"/>
                <w:lang w:val="en-US" w:eastAsia="zh-CN" w:bidi="ar-SA"/>
              </w:rPr>
            </w:pPr>
            <w:r>
              <w:rPr>
                <w:rFonts w:hint="default" w:ascii="Arial" w:hAnsi="Arial" w:cs="Arial"/>
                <w:sz w:val="18"/>
                <w:szCs w:val="18"/>
              </w:rPr>
              <w:t xml:space="preserve">  T3</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0</w:t>
            </w: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40 (60.61%)</w:t>
            </w: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4 (30.77%)</w:t>
            </w: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vAlign w:val="top"/>
          </w:tcPr>
          <w:p>
            <w:pPr>
              <w:keepNext w:val="0"/>
              <w:keepLines w:val="0"/>
              <w:suppressLineNumbers w:val="0"/>
              <w:spacing w:before="0" w:beforeAutospacing="0" w:after="0" w:afterAutospacing="0"/>
              <w:ind w:left="0" w:right="0"/>
              <w:rPr>
                <w:rFonts w:hint="default" w:ascii="Arial" w:hAnsi="Arial" w:cs="Arial" w:eastAsiaTheme="minorEastAsia"/>
                <w:kern w:val="2"/>
                <w:sz w:val="18"/>
                <w:szCs w:val="18"/>
                <w:lang w:val="en-US" w:eastAsia="zh-CN" w:bidi="ar-SA"/>
              </w:rPr>
            </w:pPr>
            <w:r>
              <w:rPr>
                <w:rFonts w:hint="default" w:ascii="Arial" w:hAnsi="Arial" w:cs="Arial"/>
                <w:sz w:val="18"/>
                <w:szCs w:val="18"/>
              </w:rPr>
              <w:t xml:space="preserve">  T4</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0</w:t>
            </w: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4 (6.06%)</w:t>
            </w: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1 (7.69%)</w:t>
            </w: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vAlign w:val="top"/>
          </w:tcPr>
          <w:p>
            <w:pPr>
              <w:keepNext w:val="0"/>
              <w:keepLines w:val="0"/>
              <w:suppressLineNumbers w:val="0"/>
              <w:spacing w:before="0" w:beforeAutospacing="0" w:after="0" w:afterAutospacing="0"/>
              <w:ind w:left="0" w:right="0"/>
              <w:rPr>
                <w:rFonts w:hint="default" w:ascii="Arial" w:hAnsi="Arial" w:cs="Arial" w:eastAsiaTheme="minorEastAsia"/>
                <w:kern w:val="2"/>
                <w:sz w:val="18"/>
                <w:szCs w:val="18"/>
                <w:lang w:val="en-US" w:eastAsia="zh-CN" w:bidi="ar-SA"/>
              </w:rPr>
            </w:pPr>
            <w:r>
              <w:rPr>
                <w:rFonts w:hint="default" w:ascii="Arial" w:hAnsi="Arial" w:cs="Arial"/>
                <w:sz w:val="18"/>
                <w:szCs w:val="18"/>
              </w:rPr>
              <w:t xml:space="preserve">ypN </w:t>
            </w:r>
            <w:r>
              <w:rPr>
                <w:rFonts w:hint="default" w:ascii="Arial" w:hAnsi="Arial" w:cs="Arial"/>
                <w:sz w:val="18"/>
                <w:szCs w:val="18"/>
                <w:vertAlign w:val="baseline"/>
                <w:lang w:val="en-US" w:eastAsia="zh-CN"/>
              </w:rPr>
              <w:t>stage</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0.001</w:t>
            </w:r>
            <w:r>
              <w:rPr>
                <w:rFonts w:hint="eastAsia" w:ascii="Arial" w:hAnsi="Arial" w:eastAsia="宋体" w:cs="Arial"/>
                <w:b w:val="0"/>
                <w:bCs w:val="0"/>
                <w:color w:val="000000"/>
                <w:kern w:val="0"/>
                <w:sz w:val="18"/>
                <w:szCs w:val="18"/>
                <w:lang w:val="en-US" w:eastAsia="zh-CN"/>
              </w:rPr>
              <w:t>***</w:t>
            </w: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0.019</w:t>
            </w:r>
            <w:r>
              <w:rPr>
                <w:rFonts w:hint="eastAsia" w:ascii="Arial" w:hAnsi="Arial" w:eastAsia="宋体" w:cs="Arial"/>
                <w:b w:val="0"/>
                <w:bCs w:val="0"/>
                <w:color w:val="000000"/>
                <w:kern w:val="0"/>
                <w:sz w:val="18"/>
                <w:szCs w:val="18"/>
                <w:lang w:val="en-US" w:eastAsia="zh-CN"/>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vAlign w:val="top"/>
          </w:tcPr>
          <w:p>
            <w:pPr>
              <w:keepNext w:val="0"/>
              <w:keepLines w:val="0"/>
              <w:suppressLineNumbers w:val="0"/>
              <w:spacing w:before="0" w:beforeAutospacing="0" w:after="0" w:afterAutospacing="0"/>
              <w:ind w:left="0" w:right="0"/>
              <w:rPr>
                <w:rFonts w:hint="default" w:ascii="Arial" w:hAnsi="Arial" w:cs="Arial" w:eastAsiaTheme="minorEastAsia"/>
                <w:kern w:val="2"/>
                <w:sz w:val="18"/>
                <w:szCs w:val="18"/>
                <w:lang w:val="en-US" w:eastAsia="zh-CN" w:bidi="ar-SA"/>
              </w:rPr>
            </w:pPr>
            <w:r>
              <w:rPr>
                <w:rFonts w:hint="default" w:ascii="Arial" w:hAnsi="Arial" w:cs="Arial"/>
                <w:sz w:val="18"/>
                <w:szCs w:val="18"/>
              </w:rPr>
              <w:t xml:space="preserve">  N0</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23 (100%)</w:t>
            </w: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41 (62.12%)</w:t>
            </w: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16 (100%)</w:t>
            </w: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9 (69.23%)</w:t>
            </w: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vAlign w:val="top"/>
          </w:tcPr>
          <w:p>
            <w:pPr>
              <w:keepNext w:val="0"/>
              <w:keepLines w:val="0"/>
              <w:suppressLineNumbers w:val="0"/>
              <w:spacing w:before="0" w:beforeAutospacing="0" w:after="0" w:afterAutospacing="0"/>
              <w:ind w:left="0" w:right="0"/>
              <w:rPr>
                <w:rFonts w:hint="default" w:ascii="Arial" w:hAnsi="Arial" w:cs="Arial" w:eastAsiaTheme="minorEastAsia"/>
                <w:kern w:val="2"/>
                <w:sz w:val="18"/>
                <w:szCs w:val="18"/>
                <w:lang w:val="en-US" w:eastAsia="zh-CN" w:bidi="ar-SA"/>
              </w:rPr>
            </w:pPr>
            <w:r>
              <w:rPr>
                <w:rFonts w:hint="default" w:ascii="Arial" w:hAnsi="Arial" w:cs="Arial"/>
                <w:sz w:val="18"/>
                <w:szCs w:val="18"/>
              </w:rPr>
              <w:t xml:space="preserve">  N1</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0</w:t>
            </w: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21 (31.82%)</w:t>
            </w: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1 (7.69%)</w:t>
            </w: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29" w:type="dxa"/>
            <w:vAlign w:val="top"/>
          </w:tcPr>
          <w:p>
            <w:pPr>
              <w:keepNext w:val="0"/>
              <w:keepLines w:val="0"/>
              <w:suppressLineNumbers w:val="0"/>
              <w:spacing w:before="0" w:beforeAutospacing="0" w:after="0" w:afterAutospacing="0"/>
              <w:ind w:left="0" w:right="0"/>
              <w:rPr>
                <w:rFonts w:hint="default" w:ascii="Arial" w:hAnsi="Arial" w:cs="Arial" w:eastAsiaTheme="minorEastAsia"/>
                <w:kern w:val="2"/>
                <w:sz w:val="18"/>
                <w:szCs w:val="18"/>
                <w:lang w:val="en-US" w:eastAsia="zh-CN" w:bidi="ar-SA"/>
              </w:rPr>
            </w:pPr>
            <w:r>
              <w:rPr>
                <w:rFonts w:hint="default" w:ascii="Arial" w:hAnsi="Arial" w:cs="Arial"/>
                <w:sz w:val="18"/>
                <w:szCs w:val="18"/>
              </w:rPr>
              <w:t xml:space="preserve">  N2</w:t>
            </w:r>
          </w:p>
        </w:tc>
        <w:tc>
          <w:tcPr>
            <w:tcW w:w="142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0</w:t>
            </w:r>
          </w:p>
        </w:tc>
        <w:tc>
          <w:tcPr>
            <w:tcW w:w="143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4 (6.06%)</w:t>
            </w:r>
          </w:p>
        </w:tc>
        <w:tc>
          <w:tcPr>
            <w:tcW w:w="99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9"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406"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3 (23.08%)</w:t>
            </w:r>
          </w:p>
        </w:tc>
        <w:tc>
          <w:tcPr>
            <w:tcW w:w="10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bl>
    <w:p>
      <w:pPr>
        <w:rPr>
          <w:rFonts w:hint="default" w:ascii="Arial" w:hAnsi="Arial" w:cs="Arial"/>
          <w:sz w:val="21"/>
          <w:szCs w:val="21"/>
          <w:lang w:val="en-US" w:eastAsia="zh-CN"/>
        </w:rPr>
      </w:pPr>
      <w:r>
        <w:rPr>
          <w:rFonts w:hint="default" w:ascii="Arial" w:hAnsi="Arial" w:cs="Arial"/>
          <w:sz w:val="21"/>
          <w:szCs w:val="21"/>
          <w:lang w:val="en-US" w:eastAsia="zh-CN"/>
        </w:rPr>
        <w:t xml:space="preserve">NOTE: Fisher exact tests, as appropriate, were used to compare the differences in categorical variables (Gender, </w:t>
      </w:r>
      <w:r>
        <w:rPr>
          <w:rFonts w:hint="default" w:ascii="Arial" w:hAnsi="Arial" w:cs="Arial"/>
          <w:sz w:val="21"/>
          <w:szCs w:val="21"/>
          <w:vertAlign w:val="baseline"/>
          <w:lang w:val="en-US" w:eastAsia="zh-CN"/>
        </w:rPr>
        <w:t xml:space="preserve">Baseline T stage, Baseline N stage, TRG, Group 2, </w:t>
      </w:r>
      <w:r>
        <w:rPr>
          <w:rFonts w:hint="default" w:ascii="Arial" w:hAnsi="Arial" w:cs="Arial"/>
          <w:sz w:val="21"/>
          <w:szCs w:val="21"/>
        </w:rPr>
        <w:t xml:space="preserve">ypT </w:t>
      </w:r>
      <w:r>
        <w:rPr>
          <w:rFonts w:hint="default" w:ascii="Arial" w:hAnsi="Arial" w:cs="Arial"/>
          <w:sz w:val="21"/>
          <w:szCs w:val="21"/>
          <w:vertAlign w:val="baseline"/>
          <w:lang w:val="en-US" w:eastAsia="zh-CN"/>
        </w:rPr>
        <w:t xml:space="preserve">stage, </w:t>
      </w:r>
      <w:r>
        <w:rPr>
          <w:rFonts w:hint="default" w:ascii="Arial" w:hAnsi="Arial" w:cs="Arial"/>
          <w:sz w:val="21"/>
          <w:szCs w:val="21"/>
        </w:rPr>
        <w:t xml:space="preserve">ypN </w:t>
      </w:r>
      <w:r>
        <w:rPr>
          <w:rFonts w:hint="default" w:ascii="Arial" w:hAnsi="Arial" w:cs="Arial"/>
          <w:sz w:val="21"/>
          <w:szCs w:val="21"/>
          <w:vertAlign w:val="baseline"/>
          <w:lang w:val="en-US" w:eastAsia="zh-CN"/>
        </w:rPr>
        <w:t>stage</w:t>
      </w:r>
      <w:r>
        <w:rPr>
          <w:rFonts w:hint="default" w:ascii="Arial" w:hAnsi="Arial" w:cs="Arial"/>
          <w:sz w:val="21"/>
          <w:szCs w:val="21"/>
          <w:lang w:val="en-US" w:eastAsia="zh-CN"/>
        </w:rPr>
        <w:t xml:space="preserve">), whereas a two-sample t test was used to compare the differences in numerical variables (age and BMI). </w:t>
      </w:r>
    </w:p>
    <w:p>
      <w:pPr>
        <w:rPr>
          <w:rFonts w:hint="default" w:ascii="Arial" w:hAnsi="Arial" w:cs="Arial"/>
          <w:sz w:val="21"/>
          <w:szCs w:val="21"/>
          <w:lang w:val="en-US" w:eastAsia="zh-CN"/>
        </w:rPr>
      </w:pPr>
      <w:r>
        <w:rPr>
          <w:rFonts w:hint="default" w:ascii="Arial" w:hAnsi="Arial" w:cs="Arial"/>
          <w:sz w:val="21"/>
          <w:szCs w:val="21"/>
          <w:lang w:val="en-US" w:eastAsia="zh-CN"/>
        </w:rPr>
        <w:t xml:space="preserve">Abbreviations: </w:t>
      </w:r>
      <w:r>
        <w:rPr>
          <w:rFonts w:hint="default" w:ascii="Arial" w:hAnsi="Arial" w:cs="Arial"/>
          <w:sz w:val="21"/>
          <w:szCs w:val="21"/>
          <w:vertAlign w:val="baseline"/>
          <w:lang w:val="en-US" w:eastAsia="zh-CN"/>
        </w:rPr>
        <w:t>BMI</w:t>
      </w:r>
      <w:r>
        <w:rPr>
          <w:rFonts w:hint="default" w:ascii="Arial" w:hAnsi="Arial" w:cs="Arial"/>
          <w:sz w:val="21"/>
          <w:szCs w:val="21"/>
          <w:lang w:val="en-US" w:eastAsia="zh-CN"/>
        </w:rPr>
        <w:t xml:space="preserve">, ballistic missile interceptor; pCR, pathologic complete response. </w:t>
      </w:r>
    </w:p>
    <w:p>
      <w:pPr>
        <w:rPr>
          <w:rFonts w:hint="default" w:ascii="Arial" w:hAnsi="Arial" w:cs="Arial"/>
          <w:sz w:val="21"/>
          <w:szCs w:val="21"/>
          <w:lang w:val="en-US" w:eastAsia="zh-CN"/>
        </w:rPr>
      </w:pPr>
      <w:r>
        <w:rPr>
          <w:rFonts w:hint="eastAsia" w:ascii="Arial" w:hAnsi="Arial" w:eastAsia="宋体" w:cs="Arial"/>
          <w:b w:val="0"/>
          <w:bCs w:val="0"/>
          <w:color w:val="000000"/>
          <w:kern w:val="0"/>
          <w:sz w:val="18"/>
          <w:szCs w:val="18"/>
          <w:lang w:val="en-US" w:eastAsia="zh-CN"/>
        </w:rPr>
        <w:t>*</w:t>
      </w:r>
      <w:r>
        <w:rPr>
          <w:rFonts w:hint="default" w:ascii="Arial" w:hAnsi="Arial" w:cs="Arial"/>
          <w:sz w:val="21"/>
          <w:szCs w:val="21"/>
          <w:lang w:val="en-US" w:eastAsia="zh-CN"/>
        </w:rPr>
        <w:t>P &lt; 0.05</w:t>
      </w:r>
      <w:r>
        <w:rPr>
          <w:rFonts w:hint="eastAsia" w:ascii="Arial" w:hAnsi="Arial" w:cs="Arial"/>
          <w:sz w:val="21"/>
          <w:szCs w:val="21"/>
          <w:lang w:val="en-US" w:eastAsia="zh-CN"/>
        </w:rPr>
        <w:t xml:space="preserve">, </w:t>
      </w:r>
      <w:r>
        <w:rPr>
          <w:rFonts w:hint="eastAsia" w:ascii="Arial" w:hAnsi="Arial" w:eastAsia="宋体" w:cs="Arial"/>
          <w:b w:val="0"/>
          <w:bCs w:val="0"/>
          <w:color w:val="000000"/>
          <w:kern w:val="0"/>
          <w:sz w:val="18"/>
          <w:szCs w:val="18"/>
          <w:lang w:val="en-US" w:eastAsia="zh-CN"/>
        </w:rPr>
        <w:t>***</w:t>
      </w:r>
      <w:r>
        <w:rPr>
          <w:rFonts w:hint="default" w:ascii="Arial" w:hAnsi="Arial" w:cs="Arial"/>
          <w:sz w:val="21"/>
          <w:szCs w:val="21"/>
          <w:lang w:val="en-US" w:eastAsia="zh-CN"/>
        </w:rPr>
        <w:t>P</w:t>
      </w:r>
      <w:r>
        <w:rPr>
          <w:rFonts w:hint="eastAsia" w:ascii="Arial" w:hAnsi="Arial" w:cs="Arial"/>
          <w:sz w:val="21"/>
          <w:szCs w:val="21"/>
          <w:lang w:val="en-US" w:eastAsia="zh-CN"/>
        </w:rPr>
        <w:t xml:space="preserve"> &lt;0.001.</w:t>
      </w:r>
    </w:p>
    <w:p>
      <w:pPr>
        <w:rPr>
          <w:rFonts w:hint="default" w:ascii="Arial" w:hAnsi="Arial" w:cs="Arial"/>
          <w:b/>
          <w:bCs/>
          <w:sz w:val="18"/>
          <w:szCs w:val="18"/>
          <w:lang w:val="en-US" w:eastAsia="zh-CN"/>
        </w:rPr>
      </w:pPr>
    </w:p>
    <w:p>
      <w:pPr>
        <w:rPr>
          <w:rFonts w:hint="default" w:ascii="Arial" w:hAnsi="Arial" w:cs="Arial"/>
          <w:sz w:val="21"/>
          <w:szCs w:val="21"/>
          <w:lang w:val="en-US" w:eastAsia="zh-CN"/>
        </w:rPr>
      </w:pPr>
      <w:r>
        <w:rPr>
          <w:rFonts w:hint="default" w:ascii="Arial" w:hAnsi="Arial" w:cs="Arial"/>
          <w:b/>
          <w:bCs/>
          <w:sz w:val="21"/>
          <w:szCs w:val="21"/>
          <w:lang w:val="en-US" w:eastAsia="zh-CN"/>
        </w:rPr>
        <w:t>Supplementary Table S2</w:t>
      </w:r>
      <w:r>
        <w:rPr>
          <w:rFonts w:hint="default" w:ascii="Arial" w:hAnsi="Arial" w:cs="Arial"/>
          <w:sz w:val="21"/>
          <w:szCs w:val="21"/>
        </w:rPr>
        <w:t xml:space="preserve"> </w:t>
      </w:r>
      <w:r>
        <w:rPr>
          <w:rFonts w:hint="default" w:ascii="Arial" w:hAnsi="Arial" w:cs="Arial"/>
          <w:sz w:val="21"/>
          <w:szCs w:val="21"/>
          <w:lang w:val="en-US" w:eastAsia="zh-CN"/>
        </w:rPr>
        <w:t xml:space="preserve">Patient </w:t>
      </w:r>
      <w:r>
        <w:rPr>
          <w:rFonts w:hint="default" w:ascii="Arial" w:hAnsi="Arial" w:cs="Arial"/>
          <w:sz w:val="21"/>
          <w:szCs w:val="21"/>
        </w:rPr>
        <w:t>Characteristics in</w:t>
      </w:r>
      <w:r>
        <w:rPr>
          <w:rFonts w:hint="default" w:ascii="Arial" w:hAnsi="Arial" w:cs="Arial"/>
          <w:sz w:val="21"/>
          <w:szCs w:val="21"/>
          <w:vertAlign w:val="baseline"/>
          <w:lang w:val="en-US" w:eastAsia="zh-CN"/>
        </w:rPr>
        <w:t xml:space="preserve"> the high sensitive group </w:t>
      </w:r>
      <w:r>
        <w:rPr>
          <w:rFonts w:hint="default" w:ascii="Arial" w:hAnsi="Arial" w:cs="Arial"/>
          <w:sz w:val="21"/>
          <w:szCs w:val="21"/>
        </w:rPr>
        <w:t>and</w:t>
      </w:r>
      <w:r>
        <w:rPr>
          <w:rFonts w:hint="default" w:ascii="Arial" w:hAnsi="Arial" w:cs="Arial"/>
          <w:sz w:val="21"/>
          <w:szCs w:val="21"/>
          <w:lang w:val="en-US" w:eastAsia="zh-CN"/>
        </w:rPr>
        <w:t xml:space="preserve"> t</w:t>
      </w:r>
      <w:r>
        <w:rPr>
          <w:rFonts w:hint="default" w:ascii="Arial" w:hAnsi="Arial" w:cs="Arial"/>
          <w:sz w:val="21"/>
          <w:szCs w:val="21"/>
          <w:vertAlign w:val="baseline"/>
          <w:lang w:val="en-US" w:eastAsia="zh-CN"/>
        </w:rPr>
        <w:t>he moderate sensitive group.</w:t>
      </w:r>
    </w:p>
    <w:tbl>
      <w:tblPr>
        <w:tblStyle w:val="5"/>
        <w:tblW w:w="9361" w:type="dxa"/>
        <w:tblInd w:w="-103"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91"/>
        <w:gridCol w:w="1373"/>
        <w:gridCol w:w="1307"/>
        <w:gridCol w:w="1040"/>
        <w:gridCol w:w="1335"/>
        <w:gridCol w:w="1372"/>
        <w:gridCol w:w="104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tcBorders>
              <w:bottom w:val="nil"/>
            </w:tcBorders>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p>
        </w:tc>
        <w:tc>
          <w:tcPr>
            <w:tcW w:w="2680" w:type="dxa"/>
            <w:gridSpan w:val="2"/>
            <w:tcBorders>
              <w:bottom w:val="nil"/>
            </w:tcBorders>
          </w:tcPr>
          <w:p>
            <w:pPr>
              <w:keepNext w:val="0"/>
              <w:keepLines w:val="0"/>
              <w:suppressLineNumbers w:val="0"/>
              <w:spacing w:before="0" w:beforeAutospacing="0" w:after="0" w:afterAutospacing="0"/>
              <w:ind w:left="0" w:right="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Training cohort</w:t>
            </w:r>
          </w:p>
        </w:tc>
        <w:tc>
          <w:tcPr>
            <w:tcW w:w="1040" w:type="dxa"/>
            <w:tcBorders>
              <w:bottom w:val="nil"/>
            </w:tcBorders>
          </w:tcPr>
          <w:p>
            <w:pPr>
              <w:keepNext w:val="0"/>
              <w:keepLines w:val="0"/>
              <w:suppressLineNumbers w:val="0"/>
              <w:spacing w:before="0" w:beforeAutospacing="0" w:after="0" w:afterAutospacing="0"/>
              <w:ind w:left="0" w:right="0"/>
              <w:jc w:val="center"/>
              <w:rPr>
                <w:rFonts w:hint="default" w:ascii="Arial" w:hAnsi="Arial" w:cs="Arial"/>
                <w:sz w:val="18"/>
                <w:szCs w:val="18"/>
                <w:vertAlign w:val="baseline"/>
                <w:lang w:val="en-US" w:eastAsia="zh-CN"/>
              </w:rPr>
            </w:pPr>
          </w:p>
        </w:tc>
        <w:tc>
          <w:tcPr>
            <w:tcW w:w="2707" w:type="dxa"/>
            <w:gridSpan w:val="2"/>
            <w:tcBorders>
              <w:bottom w:val="nil"/>
            </w:tcBorders>
          </w:tcPr>
          <w:p>
            <w:pPr>
              <w:keepNext w:val="0"/>
              <w:keepLines w:val="0"/>
              <w:suppressLineNumbers w:val="0"/>
              <w:spacing w:before="0" w:beforeAutospacing="0" w:after="0" w:afterAutospacing="0"/>
              <w:ind w:left="0" w:right="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Validation cohort</w:t>
            </w:r>
          </w:p>
        </w:tc>
        <w:tc>
          <w:tcPr>
            <w:tcW w:w="1043" w:type="dxa"/>
            <w:tcBorders>
              <w:bottom w:val="nil"/>
            </w:tcBorders>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tcBorders>
              <w:bottom w:val="nil"/>
            </w:tcBorders>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p>
        </w:tc>
        <w:tc>
          <w:tcPr>
            <w:tcW w:w="1373" w:type="dxa"/>
            <w:tcBorders>
              <w:bottom w:val="nil"/>
            </w:tcBorders>
            <w:vAlign w:val="top"/>
          </w:tcPr>
          <w:p>
            <w:pPr>
              <w:keepNext w:val="0"/>
              <w:keepLines w:val="0"/>
              <w:suppressLineNumbers w:val="0"/>
              <w:spacing w:before="0" w:beforeAutospacing="0" w:after="0" w:afterAutospacing="0"/>
              <w:ind w:left="0" w:right="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high sensitivity</w:t>
            </w:r>
          </w:p>
        </w:tc>
        <w:tc>
          <w:tcPr>
            <w:tcW w:w="1307" w:type="dxa"/>
            <w:tcBorders>
              <w:bottom w:val="nil"/>
            </w:tcBorders>
            <w:vAlign w:val="top"/>
          </w:tcPr>
          <w:p>
            <w:pPr>
              <w:keepNext w:val="0"/>
              <w:keepLines w:val="0"/>
              <w:suppressLineNumbers w:val="0"/>
              <w:spacing w:before="0" w:beforeAutospacing="0" w:after="0" w:afterAutospacing="0"/>
              <w:ind w:left="0" w:right="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moderate sensitivity</w:t>
            </w:r>
          </w:p>
        </w:tc>
        <w:tc>
          <w:tcPr>
            <w:tcW w:w="1040" w:type="dxa"/>
            <w:tcBorders>
              <w:bottom w:val="nil"/>
            </w:tcBorders>
          </w:tcPr>
          <w:p>
            <w:pPr>
              <w:keepNext w:val="0"/>
              <w:keepLines w:val="0"/>
              <w:suppressLineNumbers w:val="0"/>
              <w:spacing w:before="0" w:beforeAutospacing="0" w:after="0" w:afterAutospacing="0"/>
              <w:ind w:left="0" w:right="0"/>
              <w:jc w:val="center"/>
              <w:rPr>
                <w:rFonts w:hint="default" w:ascii="Arial" w:hAnsi="Arial" w:cs="Arial"/>
                <w:sz w:val="18"/>
                <w:szCs w:val="18"/>
                <w:vertAlign w:val="baseline"/>
                <w:lang w:val="en-US" w:eastAsia="zh-CN"/>
              </w:rPr>
            </w:pPr>
          </w:p>
        </w:tc>
        <w:tc>
          <w:tcPr>
            <w:tcW w:w="1335" w:type="dxa"/>
            <w:tcBorders>
              <w:bottom w:val="nil"/>
            </w:tcBorders>
            <w:vAlign w:val="top"/>
          </w:tcPr>
          <w:p>
            <w:pPr>
              <w:keepNext w:val="0"/>
              <w:keepLines w:val="0"/>
              <w:suppressLineNumbers w:val="0"/>
              <w:spacing w:before="0" w:beforeAutospacing="0" w:after="0" w:afterAutospacing="0"/>
              <w:ind w:left="0" w:right="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high sensitivity</w:t>
            </w:r>
          </w:p>
        </w:tc>
        <w:tc>
          <w:tcPr>
            <w:tcW w:w="1372" w:type="dxa"/>
            <w:tcBorders>
              <w:bottom w:val="nil"/>
            </w:tcBorders>
            <w:vAlign w:val="top"/>
          </w:tcPr>
          <w:p>
            <w:pPr>
              <w:keepNext w:val="0"/>
              <w:keepLines w:val="0"/>
              <w:suppressLineNumbers w:val="0"/>
              <w:spacing w:before="0" w:beforeAutospacing="0" w:after="0" w:afterAutospacing="0"/>
              <w:ind w:left="0" w:right="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moderate sensitivity</w:t>
            </w:r>
          </w:p>
        </w:tc>
        <w:tc>
          <w:tcPr>
            <w:tcW w:w="1043" w:type="dxa"/>
            <w:tcBorders>
              <w:bottom w:val="nil"/>
            </w:tcBorders>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1891" w:type="dxa"/>
            <w:tcBorders>
              <w:top w:val="nil"/>
              <w:bottom w:val="single" w:color="auto" w:sz="4" w:space="0"/>
            </w:tcBorders>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Variable </w:t>
            </w:r>
          </w:p>
        </w:tc>
        <w:tc>
          <w:tcPr>
            <w:tcW w:w="1373" w:type="dxa"/>
            <w:tcBorders>
              <w:top w:val="nil"/>
              <w:bottom w:val="single" w:color="auto" w:sz="4" w:space="0"/>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N=49 (55.06%)</w:t>
            </w:r>
          </w:p>
        </w:tc>
        <w:tc>
          <w:tcPr>
            <w:tcW w:w="1307" w:type="dxa"/>
            <w:tcBorders>
              <w:top w:val="nil"/>
              <w:bottom w:val="single" w:color="auto" w:sz="4" w:space="0"/>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N=40 (44.94%)</w:t>
            </w:r>
          </w:p>
        </w:tc>
        <w:tc>
          <w:tcPr>
            <w:tcW w:w="1040" w:type="dxa"/>
            <w:tcBorders>
              <w:top w:val="nil"/>
              <w:bottom w:val="single" w:color="auto" w:sz="4" w:space="0"/>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P</w:t>
            </w:r>
          </w:p>
        </w:tc>
        <w:tc>
          <w:tcPr>
            <w:tcW w:w="1335" w:type="dxa"/>
            <w:tcBorders>
              <w:top w:val="nil"/>
              <w:bottom w:val="single" w:color="auto" w:sz="4" w:space="0"/>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N=16 (55.17%)</w:t>
            </w:r>
          </w:p>
        </w:tc>
        <w:tc>
          <w:tcPr>
            <w:tcW w:w="1372" w:type="dxa"/>
            <w:tcBorders>
              <w:top w:val="nil"/>
              <w:bottom w:val="single" w:color="auto" w:sz="4" w:space="0"/>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N=13 (44.83%)</w:t>
            </w:r>
          </w:p>
        </w:tc>
        <w:tc>
          <w:tcPr>
            <w:tcW w:w="1043" w:type="dxa"/>
            <w:tcBorders>
              <w:top w:val="nil"/>
              <w:bottom w:val="single" w:color="auto" w:sz="4" w:space="0"/>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P</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tcBorders>
              <w:top w:val="single" w:color="auto" w:sz="4" w:space="0"/>
              <w:bottom w:val="nil"/>
            </w:tcBorders>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Age (years)</w:t>
            </w:r>
          </w:p>
        </w:tc>
        <w:tc>
          <w:tcPr>
            <w:tcW w:w="1373" w:type="dxa"/>
            <w:tcBorders>
              <w:top w:val="single" w:color="auto" w:sz="4" w:space="0"/>
              <w:bottom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53 (28-74)</w:t>
            </w:r>
          </w:p>
        </w:tc>
        <w:tc>
          <w:tcPr>
            <w:tcW w:w="1307" w:type="dxa"/>
            <w:tcBorders>
              <w:top w:val="single" w:color="auto" w:sz="4" w:space="0"/>
              <w:bottom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52 (36-71)</w:t>
            </w:r>
          </w:p>
        </w:tc>
        <w:tc>
          <w:tcPr>
            <w:tcW w:w="1040" w:type="dxa"/>
            <w:tcBorders>
              <w:top w:val="single" w:color="auto" w:sz="4" w:space="0"/>
              <w:bottom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0.843</w:t>
            </w:r>
          </w:p>
        </w:tc>
        <w:tc>
          <w:tcPr>
            <w:tcW w:w="1335" w:type="dxa"/>
            <w:tcBorders>
              <w:top w:val="single" w:color="auto" w:sz="4" w:space="0"/>
              <w:bottom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55 (33-75)</w:t>
            </w:r>
          </w:p>
        </w:tc>
        <w:tc>
          <w:tcPr>
            <w:tcW w:w="1372" w:type="dxa"/>
            <w:tcBorders>
              <w:top w:val="single" w:color="auto" w:sz="4" w:space="0"/>
              <w:bottom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57 (42-78)</w:t>
            </w:r>
          </w:p>
        </w:tc>
        <w:tc>
          <w:tcPr>
            <w:tcW w:w="1043" w:type="dxa"/>
            <w:tcBorders>
              <w:top w:val="single" w:color="auto" w:sz="4" w:space="0"/>
              <w:bottom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0.613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tcBorders>
              <w:top w:val="nil"/>
            </w:tcBorders>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BMI (kg/m</w:t>
            </w:r>
            <w:r>
              <w:rPr>
                <w:rFonts w:hint="default" w:ascii="Arial" w:hAnsi="Arial" w:cs="Arial"/>
                <w:sz w:val="18"/>
                <w:szCs w:val="18"/>
                <w:vertAlign w:val="superscript"/>
                <w:lang w:val="en-US" w:eastAsia="zh-CN"/>
              </w:rPr>
              <w:t>2</w:t>
            </w:r>
            <w:r>
              <w:rPr>
                <w:rFonts w:hint="default" w:ascii="Arial" w:hAnsi="Arial" w:cs="Arial"/>
                <w:sz w:val="18"/>
                <w:szCs w:val="18"/>
                <w:vertAlign w:val="baseline"/>
                <w:lang w:val="en-US" w:eastAsia="zh-CN"/>
              </w:rPr>
              <w:t>)</w:t>
            </w:r>
          </w:p>
        </w:tc>
        <w:tc>
          <w:tcPr>
            <w:tcW w:w="1373"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23.44 (17.51-31.22)</w:t>
            </w:r>
          </w:p>
        </w:tc>
        <w:tc>
          <w:tcPr>
            <w:tcW w:w="1307"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23.52 (17.15-28.51)</w:t>
            </w:r>
          </w:p>
        </w:tc>
        <w:tc>
          <w:tcPr>
            <w:tcW w:w="1040"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0.921</w:t>
            </w:r>
          </w:p>
        </w:tc>
        <w:tc>
          <w:tcPr>
            <w:tcW w:w="1335"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23.63 (19.21-28.51)</w:t>
            </w:r>
          </w:p>
        </w:tc>
        <w:tc>
          <w:tcPr>
            <w:tcW w:w="1372"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22.19 (17.94-27.34)</w:t>
            </w:r>
          </w:p>
        </w:tc>
        <w:tc>
          <w:tcPr>
            <w:tcW w:w="1043"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0.245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tcBorders>
              <w:top w:val="nil"/>
            </w:tcBorders>
            <w:vAlign w:val="top"/>
          </w:tcPr>
          <w:p>
            <w:pPr>
              <w:keepNext w:val="0"/>
              <w:keepLines w:val="0"/>
              <w:suppressLineNumbers w:val="0"/>
              <w:spacing w:before="0" w:beforeAutospacing="0" w:after="0" w:afterAutospacing="0"/>
              <w:ind w:left="0" w:leftChars="0" w:right="0" w:rightChars="0"/>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Gender</w:t>
            </w:r>
          </w:p>
        </w:tc>
        <w:tc>
          <w:tcPr>
            <w:tcW w:w="1373"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07"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040"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kern w:val="2"/>
                <w:sz w:val="18"/>
                <w:szCs w:val="18"/>
                <w:vertAlign w:val="baseline"/>
                <w:lang w:val="en-US" w:eastAsia="zh-CN" w:bidi="ar-SA"/>
              </w:rPr>
              <w:t>0.608</w:t>
            </w:r>
          </w:p>
        </w:tc>
        <w:tc>
          <w:tcPr>
            <w:tcW w:w="1335"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72"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043"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kern w:val="2"/>
                <w:sz w:val="18"/>
                <w:szCs w:val="18"/>
                <w:vertAlign w:val="baseline"/>
                <w:lang w:val="en-US" w:eastAsia="zh-CN" w:bidi="ar-SA"/>
              </w:rPr>
              <w:t>0.958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tcBorders>
              <w:top w:val="nil"/>
            </w:tcBorders>
            <w:vAlign w:val="top"/>
          </w:tcPr>
          <w:p>
            <w:pPr>
              <w:keepNext w:val="0"/>
              <w:keepLines w:val="0"/>
              <w:suppressLineNumbers w:val="0"/>
              <w:spacing w:before="0" w:beforeAutospacing="0" w:after="0" w:afterAutospacing="0"/>
              <w:ind w:left="0" w:leftChars="0" w:right="0" w:rightChars="0"/>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 xml:space="preserve">  Male</w:t>
            </w:r>
          </w:p>
        </w:tc>
        <w:tc>
          <w:tcPr>
            <w:tcW w:w="1373"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32 (65.31%)</w:t>
            </w:r>
          </w:p>
        </w:tc>
        <w:tc>
          <w:tcPr>
            <w:tcW w:w="1307"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24 (60.00%)</w:t>
            </w:r>
          </w:p>
        </w:tc>
        <w:tc>
          <w:tcPr>
            <w:tcW w:w="1040"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5"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10 (62.50%)</w:t>
            </w:r>
          </w:p>
        </w:tc>
        <w:tc>
          <w:tcPr>
            <w:tcW w:w="1372"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8 (61.54%)</w:t>
            </w:r>
          </w:p>
        </w:tc>
        <w:tc>
          <w:tcPr>
            <w:tcW w:w="1043"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tcBorders>
              <w:top w:val="nil"/>
            </w:tcBorders>
            <w:vAlign w:val="top"/>
          </w:tcPr>
          <w:p>
            <w:pPr>
              <w:keepNext w:val="0"/>
              <w:keepLines w:val="0"/>
              <w:suppressLineNumbers w:val="0"/>
              <w:spacing w:before="0" w:beforeAutospacing="0" w:after="0" w:afterAutospacing="0"/>
              <w:ind w:left="0" w:leftChars="0" w:right="0" w:rightChars="0"/>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 xml:space="preserve">  Female</w:t>
            </w:r>
          </w:p>
        </w:tc>
        <w:tc>
          <w:tcPr>
            <w:tcW w:w="1373"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17 (34.69%)</w:t>
            </w:r>
          </w:p>
        </w:tc>
        <w:tc>
          <w:tcPr>
            <w:tcW w:w="1307"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16 (40.00%)</w:t>
            </w:r>
          </w:p>
        </w:tc>
        <w:tc>
          <w:tcPr>
            <w:tcW w:w="1040"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5"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6 (37.50%)</w:t>
            </w:r>
          </w:p>
        </w:tc>
        <w:tc>
          <w:tcPr>
            <w:tcW w:w="1372"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5 (38.46%)</w:t>
            </w:r>
          </w:p>
        </w:tc>
        <w:tc>
          <w:tcPr>
            <w:tcW w:w="1043"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tcBorders>
              <w:top w:val="nil"/>
            </w:tcBorders>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Baseline T stage</w:t>
            </w:r>
          </w:p>
        </w:tc>
        <w:tc>
          <w:tcPr>
            <w:tcW w:w="1373"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07"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040"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0.314</w:t>
            </w:r>
          </w:p>
        </w:tc>
        <w:tc>
          <w:tcPr>
            <w:tcW w:w="1335"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72"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043" w:type="dxa"/>
            <w:tcBorders>
              <w:top w:val="nil"/>
            </w:tcBorders>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0.017</w:t>
            </w:r>
            <w:r>
              <w:rPr>
                <w:rFonts w:hint="eastAsia" w:ascii="Arial" w:hAnsi="Arial" w:eastAsia="宋体" w:cs="Arial"/>
                <w:b w:val="0"/>
                <w:bCs w:val="0"/>
                <w:color w:val="000000"/>
                <w:kern w:val="0"/>
                <w:sz w:val="18"/>
                <w:szCs w:val="18"/>
                <w:lang w:val="en-US" w:eastAsia="zh-CN"/>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T2</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1 (2.50%)</w:t>
            </w: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 (6.25%)</w:t>
            </w: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0</w:t>
            </w: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T3</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28 (51.02%)</w:t>
            </w: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22 (55.00%)</w:t>
            </w: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12 (75.00%)</w:t>
            </w: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5 (38.46%)</w:t>
            </w: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T4a</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10 (20.41%)</w:t>
            </w: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10 (25.00%)</w:t>
            </w: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 (6.25%)</w:t>
            </w: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2 (15.38%)</w:t>
            </w: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T4b</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14 (28.57%)</w:t>
            </w: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7 (17.50%)</w:t>
            </w: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2 (12.50%)</w:t>
            </w: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6 (46.15%)</w:t>
            </w: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Baseline N stage</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0.552</w:t>
            </w: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0.172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N0</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7 (14.29%)</w:t>
            </w: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4 (10.00%)</w:t>
            </w: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1 (7.69%)</w:t>
            </w: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N1</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14 (28.57%)</w:t>
            </w: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11 (27.50%)</w:t>
            </w: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5 (31.25%)</w:t>
            </w: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0</w:t>
            </w: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N2</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28 (57.14%)</w:t>
            </w: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25 (62.50%)</w:t>
            </w: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11 (68.75%)</w:t>
            </w: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12 (92.31%)</w:t>
            </w: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Group 1</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&lt;0.001</w:t>
            </w:r>
            <w:r>
              <w:rPr>
                <w:rFonts w:hint="eastAsia" w:ascii="Arial" w:hAnsi="Arial" w:eastAsia="宋体" w:cs="Arial"/>
                <w:b w:val="0"/>
                <w:bCs w:val="0"/>
                <w:color w:val="000000"/>
                <w:kern w:val="0"/>
                <w:sz w:val="18"/>
                <w:szCs w:val="18"/>
                <w:lang w:val="en-US" w:eastAsia="zh-CN"/>
              </w:rPr>
              <w:t>***</w:t>
            </w: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&lt;0.001</w:t>
            </w:r>
            <w:r>
              <w:rPr>
                <w:rFonts w:hint="eastAsia" w:ascii="Arial" w:hAnsi="Arial" w:eastAsia="宋体" w:cs="Arial"/>
                <w:b w:val="0"/>
                <w:bCs w:val="0"/>
                <w:color w:val="000000"/>
                <w:kern w:val="0"/>
                <w:sz w:val="18"/>
                <w:szCs w:val="18"/>
                <w:lang w:val="en-US" w:eastAsia="zh-CN"/>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pCR</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23 (46.94%)</w:t>
            </w: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0</w:t>
            </w: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16 (100%)</w:t>
            </w: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0</w:t>
            </w: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Non - pCR</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26 (53.06%)</w:t>
            </w: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40 (100%)</w:t>
            </w: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13 (100%)</w:t>
            </w: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TRG</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&lt;0.001</w:t>
            </w:r>
            <w:r>
              <w:rPr>
                <w:rFonts w:hint="eastAsia" w:ascii="Arial" w:hAnsi="Arial" w:eastAsia="宋体" w:cs="Arial"/>
                <w:b w:val="0"/>
                <w:bCs w:val="0"/>
                <w:color w:val="000000"/>
                <w:kern w:val="0"/>
                <w:sz w:val="18"/>
                <w:szCs w:val="18"/>
                <w:lang w:val="en-US" w:eastAsia="zh-CN"/>
              </w:rPr>
              <w:t>***</w:t>
            </w: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&lt;0.001</w:t>
            </w:r>
            <w:r>
              <w:rPr>
                <w:rFonts w:hint="eastAsia" w:ascii="Arial" w:hAnsi="Arial" w:eastAsia="宋体" w:cs="Arial"/>
                <w:b w:val="0"/>
                <w:bCs w:val="0"/>
                <w:color w:val="000000"/>
                <w:kern w:val="0"/>
                <w:sz w:val="18"/>
                <w:szCs w:val="18"/>
                <w:lang w:val="en-US" w:eastAsia="zh-CN"/>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TRG 0</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23 (46.94%)</w:t>
            </w: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0</w:t>
            </w: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16 (100%)</w:t>
            </w: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0</w:t>
            </w: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TRG 1</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26 (53.06%)</w:t>
            </w: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0</w:t>
            </w: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0</w:t>
            </w: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TRG 2</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29 (72.50%)</w:t>
            </w: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10 (76.92%)</w:t>
            </w: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tcPr>
          <w:p>
            <w:pPr>
              <w:keepNext w:val="0"/>
              <w:keepLines w:val="0"/>
              <w:suppressLineNumbers w:val="0"/>
              <w:spacing w:before="0" w:beforeAutospacing="0" w:after="0" w:afterAutospacing="0"/>
              <w:ind w:left="0" w:right="0"/>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 xml:space="preserve">  TRG 3</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11 (27.50%)</w:t>
            </w: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3 (23.08%)</w:t>
            </w: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vAlign w:val="top"/>
          </w:tcPr>
          <w:p>
            <w:pPr>
              <w:keepNext w:val="0"/>
              <w:keepLines w:val="0"/>
              <w:suppressLineNumbers w:val="0"/>
              <w:spacing w:before="0" w:beforeAutospacing="0" w:after="0" w:afterAutospacing="0"/>
              <w:ind w:left="0" w:right="0"/>
              <w:rPr>
                <w:rFonts w:hint="default" w:ascii="Arial" w:hAnsi="Arial" w:cs="Arial" w:eastAsiaTheme="minorEastAsia"/>
                <w:kern w:val="2"/>
                <w:sz w:val="18"/>
                <w:szCs w:val="18"/>
                <w:lang w:val="en-US" w:eastAsia="zh-CN" w:bidi="ar-SA"/>
              </w:rPr>
            </w:pPr>
            <w:r>
              <w:rPr>
                <w:rFonts w:hint="default" w:ascii="Arial" w:hAnsi="Arial" w:cs="Arial"/>
                <w:sz w:val="18"/>
                <w:szCs w:val="18"/>
              </w:rPr>
              <w:t xml:space="preserve">ypT </w:t>
            </w:r>
            <w:r>
              <w:rPr>
                <w:rFonts w:hint="default" w:ascii="Arial" w:hAnsi="Arial" w:cs="Arial"/>
                <w:sz w:val="18"/>
                <w:szCs w:val="18"/>
                <w:vertAlign w:val="baseline"/>
                <w:lang w:val="en-US" w:eastAsia="zh-CN"/>
              </w:rPr>
              <w:t>stage</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&lt;0.001</w:t>
            </w:r>
            <w:r>
              <w:rPr>
                <w:rFonts w:hint="eastAsia" w:ascii="Arial" w:hAnsi="Arial" w:eastAsia="宋体" w:cs="Arial"/>
                <w:b w:val="0"/>
                <w:bCs w:val="0"/>
                <w:color w:val="000000"/>
                <w:kern w:val="0"/>
                <w:sz w:val="18"/>
                <w:szCs w:val="18"/>
                <w:lang w:val="en-US" w:eastAsia="zh-CN"/>
              </w:rPr>
              <w:t>***</w:t>
            </w: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&lt;0.001</w:t>
            </w:r>
            <w:r>
              <w:rPr>
                <w:rFonts w:hint="eastAsia" w:ascii="Arial" w:hAnsi="Arial" w:eastAsia="宋体" w:cs="Arial"/>
                <w:b w:val="0"/>
                <w:bCs w:val="0"/>
                <w:color w:val="000000"/>
                <w:kern w:val="0"/>
                <w:sz w:val="18"/>
                <w:szCs w:val="18"/>
                <w:lang w:val="en-US" w:eastAsia="zh-CN"/>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vAlign w:val="top"/>
          </w:tcPr>
          <w:p>
            <w:pPr>
              <w:keepNext w:val="0"/>
              <w:keepLines w:val="0"/>
              <w:suppressLineNumbers w:val="0"/>
              <w:spacing w:before="0" w:beforeAutospacing="0" w:after="0" w:afterAutospacing="0"/>
              <w:ind w:left="0" w:right="0"/>
              <w:rPr>
                <w:rFonts w:hint="default" w:ascii="Arial" w:hAnsi="Arial" w:cs="Arial" w:eastAsiaTheme="minorEastAsia"/>
                <w:kern w:val="2"/>
                <w:sz w:val="18"/>
                <w:szCs w:val="18"/>
                <w:lang w:val="en-US" w:eastAsia="zh-CN" w:bidi="ar-SA"/>
              </w:rPr>
            </w:pPr>
            <w:r>
              <w:rPr>
                <w:rFonts w:hint="default" w:ascii="Arial" w:hAnsi="Arial" w:cs="Arial"/>
                <w:sz w:val="18"/>
                <w:szCs w:val="18"/>
              </w:rPr>
              <w:t xml:space="preserve">  T0</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25 (51.02%)</w:t>
            </w: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0</w:t>
            </w: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16 (100%)</w:t>
            </w: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0</w:t>
            </w: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vAlign w:val="top"/>
          </w:tcPr>
          <w:p>
            <w:pPr>
              <w:keepNext w:val="0"/>
              <w:keepLines w:val="0"/>
              <w:suppressLineNumbers w:val="0"/>
              <w:spacing w:before="0" w:beforeAutospacing="0" w:after="0" w:afterAutospacing="0"/>
              <w:ind w:left="0" w:right="0"/>
              <w:rPr>
                <w:rFonts w:hint="default" w:ascii="Arial" w:hAnsi="Arial" w:cs="Arial" w:eastAsiaTheme="minorEastAsia"/>
                <w:kern w:val="2"/>
                <w:sz w:val="18"/>
                <w:szCs w:val="18"/>
                <w:lang w:val="en-US" w:eastAsia="zh-CN" w:bidi="ar-SA"/>
              </w:rPr>
            </w:pPr>
            <w:r>
              <w:rPr>
                <w:rFonts w:hint="default" w:ascii="Arial" w:hAnsi="Arial" w:cs="Arial"/>
                <w:sz w:val="18"/>
                <w:szCs w:val="18"/>
              </w:rPr>
              <w:t xml:space="preserve">  T1</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3 (6.12%)</w:t>
            </w: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1 (2.50%)</w:t>
            </w: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0</w:t>
            </w: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vAlign w:val="top"/>
          </w:tcPr>
          <w:p>
            <w:pPr>
              <w:keepNext w:val="0"/>
              <w:keepLines w:val="0"/>
              <w:suppressLineNumbers w:val="0"/>
              <w:spacing w:before="0" w:beforeAutospacing="0" w:after="0" w:afterAutospacing="0"/>
              <w:ind w:left="0" w:right="0"/>
              <w:rPr>
                <w:rFonts w:hint="default" w:ascii="Arial" w:hAnsi="Arial" w:cs="Arial" w:eastAsiaTheme="minorEastAsia"/>
                <w:kern w:val="2"/>
                <w:sz w:val="18"/>
                <w:szCs w:val="18"/>
                <w:lang w:val="en-US" w:eastAsia="zh-CN" w:bidi="ar-SA"/>
              </w:rPr>
            </w:pPr>
            <w:r>
              <w:rPr>
                <w:rFonts w:hint="default" w:ascii="Arial" w:hAnsi="Arial" w:cs="Arial"/>
                <w:sz w:val="18"/>
                <w:szCs w:val="18"/>
              </w:rPr>
              <w:t xml:space="preserve">  T2</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9 (18.37%)</w:t>
            </w: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7 (17.50%)</w:t>
            </w: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8 (61.54%)</w:t>
            </w: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vAlign w:val="top"/>
          </w:tcPr>
          <w:p>
            <w:pPr>
              <w:keepNext w:val="0"/>
              <w:keepLines w:val="0"/>
              <w:suppressLineNumbers w:val="0"/>
              <w:spacing w:before="0" w:beforeAutospacing="0" w:after="0" w:afterAutospacing="0"/>
              <w:ind w:left="0" w:right="0"/>
              <w:rPr>
                <w:rFonts w:hint="default" w:ascii="Arial" w:hAnsi="Arial" w:cs="Arial" w:eastAsiaTheme="minorEastAsia"/>
                <w:kern w:val="2"/>
                <w:sz w:val="18"/>
                <w:szCs w:val="18"/>
                <w:lang w:val="en-US" w:eastAsia="zh-CN" w:bidi="ar-SA"/>
              </w:rPr>
            </w:pPr>
            <w:r>
              <w:rPr>
                <w:rFonts w:hint="default" w:ascii="Arial" w:hAnsi="Arial" w:cs="Arial"/>
                <w:sz w:val="18"/>
                <w:szCs w:val="18"/>
              </w:rPr>
              <w:t xml:space="preserve">  T3</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11 (22.45%)</w:t>
            </w: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29 (72.50%)</w:t>
            </w: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4 (30.77%)</w:t>
            </w: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vAlign w:val="top"/>
          </w:tcPr>
          <w:p>
            <w:pPr>
              <w:keepNext w:val="0"/>
              <w:keepLines w:val="0"/>
              <w:suppressLineNumbers w:val="0"/>
              <w:spacing w:before="0" w:beforeAutospacing="0" w:after="0" w:afterAutospacing="0"/>
              <w:ind w:left="0" w:right="0"/>
              <w:rPr>
                <w:rFonts w:hint="default" w:ascii="Arial" w:hAnsi="Arial" w:cs="Arial" w:eastAsiaTheme="minorEastAsia"/>
                <w:kern w:val="2"/>
                <w:sz w:val="18"/>
                <w:szCs w:val="18"/>
                <w:lang w:val="en-US" w:eastAsia="zh-CN" w:bidi="ar-SA"/>
              </w:rPr>
            </w:pPr>
            <w:r>
              <w:rPr>
                <w:rFonts w:hint="default" w:ascii="Arial" w:hAnsi="Arial" w:cs="Arial"/>
                <w:sz w:val="18"/>
                <w:szCs w:val="18"/>
              </w:rPr>
              <w:t xml:space="preserve">  T4</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1 (2.04%)</w:t>
            </w: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3 (7.50%)</w:t>
            </w: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vertAlign w:val="baseline"/>
                <w:lang w:val="en-US" w:eastAsia="zh-CN" w:bidi="ar-SA"/>
              </w:rPr>
            </w:pPr>
            <w:r>
              <w:rPr>
                <w:rFonts w:hint="default" w:ascii="Arial" w:hAnsi="Arial" w:cs="Arial"/>
                <w:sz w:val="18"/>
                <w:szCs w:val="18"/>
                <w:vertAlign w:val="baseline"/>
                <w:lang w:val="en-US" w:eastAsia="zh-CN"/>
              </w:rPr>
              <w:t>1 (7.69%)</w:t>
            </w: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vAlign w:val="top"/>
          </w:tcPr>
          <w:p>
            <w:pPr>
              <w:keepNext w:val="0"/>
              <w:keepLines w:val="0"/>
              <w:suppressLineNumbers w:val="0"/>
              <w:spacing w:before="0" w:beforeAutospacing="0" w:after="0" w:afterAutospacing="0"/>
              <w:ind w:left="0" w:right="0"/>
              <w:rPr>
                <w:rFonts w:hint="default" w:ascii="Arial" w:hAnsi="Arial" w:cs="Arial" w:eastAsiaTheme="minorEastAsia"/>
                <w:kern w:val="2"/>
                <w:sz w:val="18"/>
                <w:szCs w:val="18"/>
                <w:lang w:val="en-US" w:eastAsia="zh-CN" w:bidi="ar-SA"/>
              </w:rPr>
            </w:pPr>
            <w:r>
              <w:rPr>
                <w:rFonts w:hint="default" w:ascii="Arial" w:hAnsi="Arial" w:cs="Arial"/>
                <w:sz w:val="18"/>
                <w:szCs w:val="18"/>
              </w:rPr>
              <w:t xml:space="preserve">ypN </w:t>
            </w:r>
            <w:r>
              <w:rPr>
                <w:rFonts w:hint="default" w:ascii="Arial" w:hAnsi="Arial" w:cs="Arial"/>
                <w:sz w:val="18"/>
                <w:szCs w:val="18"/>
                <w:vertAlign w:val="baseline"/>
                <w:lang w:val="en-US" w:eastAsia="zh-CN"/>
              </w:rPr>
              <w:t>stage</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0.022</w:t>
            </w:r>
            <w:r>
              <w:rPr>
                <w:rFonts w:hint="eastAsia" w:ascii="Arial" w:hAnsi="Arial" w:eastAsia="宋体" w:cs="Arial"/>
                <w:b w:val="0"/>
                <w:bCs w:val="0"/>
                <w:color w:val="000000"/>
                <w:kern w:val="0"/>
                <w:sz w:val="18"/>
                <w:szCs w:val="18"/>
                <w:lang w:val="en-US" w:eastAsia="zh-CN"/>
              </w:rPr>
              <w:t>*</w:t>
            </w: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0.019</w:t>
            </w:r>
            <w:r>
              <w:rPr>
                <w:rFonts w:hint="eastAsia" w:ascii="Arial" w:hAnsi="Arial" w:eastAsia="宋体" w:cs="Arial"/>
                <w:b w:val="0"/>
                <w:bCs w:val="0"/>
                <w:color w:val="000000"/>
                <w:kern w:val="0"/>
                <w:sz w:val="18"/>
                <w:szCs w:val="18"/>
                <w:lang w:val="en-US" w:eastAsia="zh-CN"/>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vAlign w:val="top"/>
          </w:tcPr>
          <w:p>
            <w:pPr>
              <w:keepNext w:val="0"/>
              <w:keepLines w:val="0"/>
              <w:suppressLineNumbers w:val="0"/>
              <w:spacing w:before="0" w:beforeAutospacing="0" w:after="0" w:afterAutospacing="0"/>
              <w:ind w:left="0" w:right="0"/>
              <w:rPr>
                <w:rFonts w:hint="default" w:ascii="Arial" w:hAnsi="Arial" w:cs="Arial" w:eastAsiaTheme="minorEastAsia"/>
                <w:kern w:val="2"/>
                <w:sz w:val="18"/>
                <w:szCs w:val="18"/>
                <w:lang w:val="en-US" w:eastAsia="zh-CN" w:bidi="ar-SA"/>
              </w:rPr>
            </w:pPr>
            <w:r>
              <w:rPr>
                <w:rFonts w:hint="default" w:ascii="Arial" w:hAnsi="Arial" w:cs="Arial"/>
                <w:sz w:val="18"/>
                <w:szCs w:val="18"/>
              </w:rPr>
              <w:t xml:space="preserve">  N0</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40 (81.63%)</w:t>
            </w: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24 (60.00%)</w:t>
            </w: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16 (100%)</w:t>
            </w: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9 (69.23%)</w:t>
            </w: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vAlign w:val="top"/>
          </w:tcPr>
          <w:p>
            <w:pPr>
              <w:keepNext w:val="0"/>
              <w:keepLines w:val="0"/>
              <w:suppressLineNumbers w:val="0"/>
              <w:spacing w:before="0" w:beforeAutospacing="0" w:after="0" w:afterAutospacing="0"/>
              <w:ind w:left="0" w:right="0"/>
              <w:rPr>
                <w:rFonts w:hint="default" w:ascii="Arial" w:hAnsi="Arial" w:cs="Arial" w:eastAsiaTheme="minorEastAsia"/>
                <w:kern w:val="2"/>
                <w:sz w:val="18"/>
                <w:szCs w:val="18"/>
                <w:lang w:val="en-US" w:eastAsia="zh-CN" w:bidi="ar-SA"/>
              </w:rPr>
            </w:pPr>
            <w:r>
              <w:rPr>
                <w:rFonts w:hint="default" w:ascii="Arial" w:hAnsi="Arial" w:cs="Arial"/>
                <w:sz w:val="18"/>
                <w:szCs w:val="18"/>
              </w:rPr>
              <w:t xml:space="preserve">  N1</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8 (16.33%)</w:t>
            </w: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13 (32.50%)</w:t>
            </w: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1 (7.69%)</w:t>
            </w: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91" w:type="dxa"/>
            <w:vAlign w:val="top"/>
          </w:tcPr>
          <w:p>
            <w:pPr>
              <w:keepNext w:val="0"/>
              <w:keepLines w:val="0"/>
              <w:suppressLineNumbers w:val="0"/>
              <w:spacing w:before="0" w:beforeAutospacing="0" w:after="0" w:afterAutospacing="0"/>
              <w:ind w:left="0" w:right="0"/>
              <w:rPr>
                <w:rFonts w:hint="default" w:ascii="Arial" w:hAnsi="Arial" w:cs="Arial" w:eastAsiaTheme="minorEastAsia"/>
                <w:kern w:val="2"/>
                <w:sz w:val="18"/>
                <w:szCs w:val="18"/>
                <w:lang w:val="en-US" w:eastAsia="zh-CN" w:bidi="ar-SA"/>
              </w:rPr>
            </w:pPr>
            <w:r>
              <w:rPr>
                <w:rFonts w:hint="default" w:ascii="Arial" w:hAnsi="Arial" w:cs="Arial"/>
                <w:sz w:val="18"/>
                <w:szCs w:val="18"/>
              </w:rPr>
              <w:t xml:space="preserve">  N2</w:t>
            </w:r>
          </w:p>
        </w:tc>
        <w:tc>
          <w:tcPr>
            <w:tcW w:w="137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1 (2.04%)</w:t>
            </w:r>
          </w:p>
        </w:tc>
        <w:tc>
          <w:tcPr>
            <w:tcW w:w="1307"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3 (7.50%)</w:t>
            </w:r>
          </w:p>
        </w:tc>
        <w:tc>
          <w:tcPr>
            <w:tcW w:w="1040"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c>
          <w:tcPr>
            <w:tcW w:w="1335"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r>
              <w:rPr>
                <w:rFonts w:hint="default" w:ascii="Arial" w:hAnsi="Arial" w:cs="Arial"/>
                <w:sz w:val="18"/>
                <w:szCs w:val="18"/>
                <w:vertAlign w:val="baseline"/>
                <w:lang w:val="en-US" w:eastAsia="zh-CN"/>
              </w:rPr>
              <w:t>0</w:t>
            </w:r>
          </w:p>
        </w:tc>
        <w:tc>
          <w:tcPr>
            <w:tcW w:w="1372"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eastAsiaTheme="minorEastAsia"/>
                <w:kern w:val="2"/>
                <w:sz w:val="18"/>
                <w:szCs w:val="18"/>
                <w:lang w:val="en-US" w:eastAsia="zh-CN" w:bidi="ar-SA"/>
              </w:rPr>
            </w:pPr>
            <w:r>
              <w:rPr>
                <w:rFonts w:hint="default" w:ascii="Arial" w:hAnsi="Arial" w:cs="Arial"/>
                <w:sz w:val="18"/>
                <w:szCs w:val="18"/>
                <w:vertAlign w:val="baseline"/>
                <w:lang w:val="en-US" w:eastAsia="zh-CN"/>
              </w:rPr>
              <w:t>3 (23.08%)</w:t>
            </w:r>
          </w:p>
        </w:tc>
        <w:tc>
          <w:tcPr>
            <w:tcW w:w="1043" w:type="dxa"/>
            <w:vAlign w:val="top"/>
          </w:tcPr>
          <w:p>
            <w:pPr>
              <w:keepNext w:val="0"/>
              <w:keepLines w:val="0"/>
              <w:suppressLineNumbers w:val="0"/>
              <w:spacing w:before="0" w:beforeAutospacing="0" w:after="0" w:afterAutospacing="0"/>
              <w:ind w:left="0" w:leftChars="0" w:right="0" w:rightChars="0"/>
              <w:jc w:val="center"/>
              <w:rPr>
                <w:rFonts w:hint="default" w:ascii="Arial" w:hAnsi="Arial" w:cs="Arial"/>
                <w:sz w:val="18"/>
                <w:szCs w:val="18"/>
                <w:vertAlign w:val="baseline"/>
                <w:lang w:val="en-US" w:eastAsia="zh-CN"/>
              </w:rPr>
            </w:pPr>
          </w:p>
        </w:tc>
      </w:tr>
    </w:tbl>
    <w:p>
      <w:pPr>
        <w:rPr>
          <w:rFonts w:hint="default" w:ascii="Arial" w:hAnsi="Arial" w:cs="Arial"/>
          <w:sz w:val="21"/>
          <w:szCs w:val="21"/>
          <w:lang w:val="en-US" w:eastAsia="zh-CN"/>
        </w:rPr>
      </w:pPr>
      <w:r>
        <w:rPr>
          <w:rFonts w:hint="default" w:ascii="Arial" w:hAnsi="Arial" w:cs="Arial"/>
          <w:sz w:val="21"/>
          <w:szCs w:val="21"/>
          <w:lang w:val="en-US" w:eastAsia="zh-CN"/>
        </w:rPr>
        <w:t xml:space="preserve">NOTE: Fisher exact tests, as appropriate, were used to compare the differences in categorical variables (Gender, </w:t>
      </w:r>
      <w:r>
        <w:rPr>
          <w:rFonts w:hint="default" w:ascii="Arial" w:hAnsi="Arial" w:cs="Arial"/>
          <w:sz w:val="21"/>
          <w:szCs w:val="21"/>
          <w:vertAlign w:val="baseline"/>
          <w:lang w:val="en-US" w:eastAsia="zh-CN"/>
        </w:rPr>
        <w:t xml:space="preserve">Baseline T stage, Baseline N stage, Group 1, TRG, </w:t>
      </w:r>
      <w:r>
        <w:rPr>
          <w:rFonts w:hint="default" w:ascii="Arial" w:hAnsi="Arial" w:cs="Arial"/>
          <w:sz w:val="21"/>
          <w:szCs w:val="21"/>
        </w:rPr>
        <w:t xml:space="preserve">ypT </w:t>
      </w:r>
      <w:r>
        <w:rPr>
          <w:rFonts w:hint="default" w:ascii="Arial" w:hAnsi="Arial" w:cs="Arial"/>
          <w:sz w:val="21"/>
          <w:szCs w:val="21"/>
          <w:vertAlign w:val="baseline"/>
          <w:lang w:val="en-US" w:eastAsia="zh-CN"/>
        </w:rPr>
        <w:t xml:space="preserve">stage, </w:t>
      </w:r>
      <w:r>
        <w:rPr>
          <w:rFonts w:hint="default" w:ascii="Arial" w:hAnsi="Arial" w:cs="Arial"/>
          <w:sz w:val="21"/>
          <w:szCs w:val="21"/>
        </w:rPr>
        <w:t xml:space="preserve">ypN </w:t>
      </w:r>
      <w:r>
        <w:rPr>
          <w:rFonts w:hint="default" w:ascii="Arial" w:hAnsi="Arial" w:cs="Arial"/>
          <w:sz w:val="21"/>
          <w:szCs w:val="21"/>
          <w:vertAlign w:val="baseline"/>
          <w:lang w:val="en-US" w:eastAsia="zh-CN"/>
        </w:rPr>
        <w:t>stage</w:t>
      </w:r>
      <w:r>
        <w:rPr>
          <w:rFonts w:hint="default" w:ascii="Arial" w:hAnsi="Arial" w:cs="Arial"/>
          <w:sz w:val="21"/>
          <w:szCs w:val="21"/>
          <w:lang w:val="en-US" w:eastAsia="zh-CN"/>
        </w:rPr>
        <w:t xml:space="preserve">), whereas a two-sample t test was used to compare the differences in numerical variables (age and BMI). </w:t>
      </w:r>
    </w:p>
    <w:p>
      <w:pPr>
        <w:rPr>
          <w:rFonts w:hint="default" w:ascii="Arial" w:hAnsi="Arial" w:cs="Arial"/>
          <w:sz w:val="21"/>
          <w:szCs w:val="21"/>
          <w:lang w:val="en-US" w:eastAsia="zh-CN"/>
        </w:rPr>
      </w:pPr>
      <w:r>
        <w:rPr>
          <w:rFonts w:hint="default" w:ascii="Arial" w:hAnsi="Arial" w:cs="Arial"/>
          <w:sz w:val="21"/>
          <w:szCs w:val="21"/>
          <w:lang w:val="en-US" w:eastAsia="zh-CN"/>
        </w:rPr>
        <w:t xml:space="preserve">Abbreviations: </w:t>
      </w:r>
      <w:r>
        <w:rPr>
          <w:rFonts w:hint="default" w:ascii="Arial" w:hAnsi="Arial" w:cs="Arial"/>
          <w:sz w:val="21"/>
          <w:szCs w:val="21"/>
          <w:vertAlign w:val="baseline"/>
          <w:lang w:val="en-US" w:eastAsia="zh-CN"/>
        </w:rPr>
        <w:t>BMI</w:t>
      </w:r>
      <w:r>
        <w:rPr>
          <w:rFonts w:hint="default" w:ascii="Arial" w:hAnsi="Arial" w:cs="Arial"/>
          <w:sz w:val="21"/>
          <w:szCs w:val="21"/>
          <w:lang w:val="en-US" w:eastAsia="zh-CN"/>
        </w:rPr>
        <w:t xml:space="preserve">, ballistic missile interceptor; pCR, pathologic complete response.  </w:t>
      </w:r>
    </w:p>
    <w:p>
      <w:pPr>
        <w:rPr>
          <w:rFonts w:hint="default" w:ascii="Arial" w:hAnsi="Arial" w:cs="Arial"/>
          <w:sz w:val="21"/>
          <w:szCs w:val="21"/>
          <w:lang w:val="en-US" w:eastAsia="zh-CN"/>
        </w:rPr>
      </w:pPr>
      <w:r>
        <w:rPr>
          <w:rFonts w:hint="eastAsia" w:ascii="Arial" w:hAnsi="Arial" w:eastAsia="宋体" w:cs="Arial"/>
          <w:b w:val="0"/>
          <w:bCs w:val="0"/>
          <w:color w:val="000000"/>
          <w:kern w:val="0"/>
          <w:sz w:val="18"/>
          <w:szCs w:val="18"/>
          <w:lang w:val="en-US" w:eastAsia="zh-CN"/>
        </w:rPr>
        <w:t>*</w:t>
      </w:r>
      <w:r>
        <w:rPr>
          <w:rFonts w:hint="default" w:ascii="Arial" w:hAnsi="Arial" w:cs="Arial"/>
          <w:sz w:val="21"/>
          <w:szCs w:val="21"/>
          <w:lang w:val="en-US" w:eastAsia="zh-CN"/>
        </w:rPr>
        <w:t>P &lt; 0.05</w:t>
      </w:r>
      <w:r>
        <w:rPr>
          <w:rFonts w:hint="eastAsia" w:ascii="Arial" w:hAnsi="Arial" w:cs="Arial"/>
          <w:sz w:val="21"/>
          <w:szCs w:val="21"/>
          <w:lang w:val="en-US" w:eastAsia="zh-CN"/>
        </w:rPr>
        <w:t xml:space="preserve">, </w:t>
      </w:r>
      <w:r>
        <w:rPr>
          <w:rFonts w:hint="eastAsia" w:ascii="Arial" w:hAnsi="Arial" w:eastAsia="宋体" w:cs="Arial"/>
          <w:b w:val="0"/>
          <w:bCs w:val="0"/>
          <w:color w:val="000000"/>
          <w:kern w:val="0"/>
          <w:sz w:val="18"/>
          <w:szCs w:val="18"/>
          <w:lang w:val="en-US" w:eastAsia="zh-CN"/>
        </w:rPr>
        <w:t>***</w:t>
      </w:r>
      <w:r>
        <w:rPr>
          <w:rFonts w:hint="default" w:ascii="Arial" w:hAnsi="Arial" w:cs="Arial"/>
          <w:sz w:val="21"/>
          <w:szCs w:val="21"/>
          <w:lang w:val="en-US" w:eastAsia="zh-CN"/>
        </w:rPr>
        <w:t>P</w:t>
      </w:r>
      <w:r>
        <w:rPr>
          <w:rFonts w:hint="eastAsia" w:ascii="Arial" w:hAnsi="Arial" w:cs="Arial"/>
          <w:sz w:val="21"/>
          <w:szCs w:val="21"/>
          <w:lang w:val="en-US" w:eastAsia="zh-CN"/>
        </w:rPr>
        <w:t xml:space="preserve"> &lt;0.001.</w:t>
      </w:r>
    </w:p>
    <w:p>
      <w:pPr>
        <w:spacing w:line="360" w:lineRule="auto"/>
        <w:rPr>
          <w:rStyle w:val="8"/>
          <w:rFonts w:hint="default" w:ascii="Arial" w:hAnsi="Arial" w:eastAsia="等线" w:cs="Arial"/>
          <w:i w:val="0"/>
          <w:iCs w:val="0"/>
          <w:sz w:val="18"/>
          <w:szCs w:val="18"/>
          <w:lang w:bidi="ar"/>
        </w:rPr>
      </w:pPr>
    </w:p>
    <w:p>
      <w:pPr>
        <w:spacing w:line="360" w:lineRule="auto"/>
        <w:rPr>
          <w:rFonts w:ascii="Arial" w:hAnsi="Arial" w:eastAsia="等线" w:cs="Times New Roman"/>
          <w:b/>
          <w:bCs/>
          <w:i w:val="0"/>
          <w:iCs w:val="0"/>
          <w:color w:val="000000"/>
          <w:szCs w:val="21"/>
          <w:lang w:bidi="ar"/>
        </w:rPr>
      </w:pPr>
      <w:r>
        <w:rPr>
          <w:rStyle w:val="8"/>
          <w:rFonts w:hint="eastAsia" w:ascii="Arial" w:hAnsi="Arial" w:eastAsia="等线" w:cs="Times New Roman"/>
          <w:b/>
          <w:bCs/>
          <w:i w:val="0"/>
          <w:iCs w:val="0"/>
          <w:sz w:val="21"/>
          <w:szCs w:val="21"/>
          <w:lang w:bidi="ar"/>
        </w:rPr>
        <w:t>References</w:t>
      </w:r>
    </w:p>
    <w:p>
      <w:pPr>
        <w:pStyle w:val="9"/>
        <w:rPr>
          <w:rFonts w:hint="default" w:ascii="Arial" w:hAnsi="Arial" w:cs="Arial"/>
          <w:sz w:val="21"/>
          <w:szCs w:val="21"/>
        </w:rPr>
      </w:pPr>
      <w:r>
        <w:rPr>
          <w:rFonts w:hint="default" w:ascii="Arial" w:hAnsi="Arial" w:cs="Arial"/>
          <w:sz w:val="21"/>
          <w:szCs w:val="21"/>
        </w:rPr>
        <w:fldChar w:fldCharType="begin"/>
      </w:r>
      <w:r>
        <w:rPr>
          <w:rFonts w:hint="default" w:ascii="Arial" w:hAnsi="Arial" w:cs="Arial"/>
          <w:sz w:val="21"/>
          <w:szCs w:val="21"/>
        </w:rPr>
        <w:instrText xml:space="preserve"> ADDIN EN.REFLIST </w:instrText>
      </w:r>
      <w:r>
        <w:rPr>
          <w:rFonts w:hint="default" w:ascii="Arial" w:hAnsi="Arial" w:cs="Arial"/>
          <w:sz w:val="21"/>
          <w:szCs w:val="21"/>
        </w:rPr>
        <w:fldChar w:fldCharType="separate"/>
      </w:r>
      <w:r>
        <w:rPr>
          <w:rFonts w:hint="eastAsia" w:ascii="Arial" w:hAnsi="Arial" w:cs="Arial"/>
          <w:sz w:val="21"/>
          <w:szCs w:val="21"/>
          <w:lang w:val="en-US" w:eastAsia="zh-CN"/>
        </w:rPr>
        <w:t xml:space="preserve">1. </w:t>
      </w:r>
      <w:r>
        <w:rPr>
          <w:rFonts w:hint="default" w:ascii="Arial" w:hAnsi="Arial" w:cs="Arial"/>
          <w:sz w:val="21"/>
          <w:szCs w:val="21"/>
        </w:rPr>
        <w:t>Horvat N, Carlos Tavares Rocha C, Clemente Oliveira B, Petkovska I, Gollub MJ. MRI of Rectal Cancer: Tumor Staging, Imaging Techniques, and Management. Radiographics. 2019;39:367-87</w:t>
      </w:r>
    </w:p>
    <w:p>
      <w:r>
        <w:rPr>
          <w:rFonts w:hint="default" w:ascii="Arial" w:hAnsi="Arial" w:cs="Arial"/>
          <w:sz w:val="21"/>
          <w:szCs w:val="21"/>
        </w:rPr>
        <w:fldChar w:fldCharType="end"/>
      </w: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Open Sans">
    <w:altName w:val="Times New Roman"/>
    <w:panose1 w:val="00000000000000000000"/>
    <w:charset w:val="00"/>
    <w:family w:val="swiss"/>
    <w:pitch w:val="default"/>
    <w:sig w:usb0="00000000" w:usb1="00000000"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Radiotherapy Oncology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zr0z5daevra2meeez7xwtf1svrvwzptf9wf&quot;&gt;Endnote paper&lt;record-ids&gt;&lt;item&gt;1&lt;/item&gt;&lt;/record-ids&gt;&lt;/item&gt;&lt;/Libraries&gt;"/>
  </w:docVars>
  <w:rsids>
    <w:rsidRoot w:val="0069436C"/>
    <w:rsid w:val="00090C61"/>
    <w:rsid w:val="00311FC8"/>
    <w:rsid w:val="004639C7"/>
    <w:rsid w:val="005110AA"/>
    <w:rsid w:val="00537D86"/>
    <w:rsid w:val="00555F53"/>
    <w:rsid w:val="005A5962"/>
    <w:rsid w:val="005D7978"/>
    <w:rsid w:val="0069436C"/>
    <w:rsid w:val="006E0145"/>
    <w:rsid w:val="007028F6"/>
    <w:rsid w:val="00720CB7"/>
    <w:rsid w:val="007266AB"/>
    <w:rsid w:val="00750F2B"/>
    <w:rsid w:val="00755326"/>
    <w:rsid w:val="00941D6D"/>
    <w:rsid w:val="009841F3"/>
    <w:rsid w:val="00BC0726"/>
    <w:rsid w:val="00CB16C6"/>
    <w:rsid w:val="00D91A64"/>
    <w:rsid w:val="00EC5BD8"/>
    <w:rsid w:val="0862203B"/>
    <w:rsid w:val="1A515AE3"/>
    <w:rsid w:val="3F6F1A8C"/>
    <w:rsid w:val="4E591384"/>
    <w:rsid w:val="50CF0B10"/>
    <w:rsid w:val="624862FB"/>
    <w:rsid w:val="652C2DE2"/>
    <w:rsid w:val="653A6236"/>
    <w:rsid w:val="6D4C59E2"/>
    <w:rsid w:val="730C6143"/>
    <w:rsid w:val="7A266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4"/>
    <w:qFormat/>
    <w:uiPriority w:val="0"/>
    <w:pPr>
      <w:tabs>
        <w:tab w:val="center" w:pos="4153"/>
        <w:tab w:val="right" w:pos="8306"/>
      </w:tabs>
      <w:snapToGrid w:val="0"/>
      <w:jc w:val="left"/>
    </w:pPr>
    <w:rPr>
      <w:sz w:val="18"/>
      <w:szCs w:val="18"/>
    </w:rPr>
  </w:style>
  <w:style w:type="paragraph" w:styleId="3">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uiPriority w:val="0"/>
    <w:rPr>
      <w:color w:val="0563C1" w:themeColor="hyperlink"/>
      <w:u w:val="single"/>
      <w14:textFill>
        <w14:solidFill>
          <w14:schemeClr w14:val="hlink"/>
        </w14:solidFill>
      </w14:textFill>
    </w:rPr>
  </w:style>
  <w:style w:type="character" w:customStyle="1" w:styleId="8">
    <w:name w:val="15"/>
    <w:basedOn w:val="6"/>
    <w:qFormat/>
    <w:uiPriority w:val="0"/>
    <w:rPr>
      <w:rFonts w:hint="default" w:ascii="Open Sans" w:hAnsi="Open Sans" w:eastAsia="Open Sans" w:cs="Open Sans"/>
      <w:i/>
      <w:iCs/>
      <w:color w:val="000000"/>
      <w:sz w:val="16"/>
      <w:szCs w:val="16"/>
    </w:rPr>
  </w:style>
  <w:style w:type="paragraph" w:customStyle="1" w:styleId="9">
    <w:name w:val="EndNote Bibliography"/>
    <w:basedOn w:val="1"/>
    <w:qFormat/>
    <w:uiPriority w:val="0"/>
    <w:rPr>
      <w:rFonts w:ascii="Calibri" w:hAnsi="Calibri" w:cs="Calibri"/>
      <w:sz w:val="20"/>
    </w:rPr>
  </w:style>
  <w:style w:type="paragraph" w:customStyle="1" w:styleId="10">
    <w:name w:val="EndNote Bibliography Title"/>
    <w:basedOn w:val="1"/>
    <w:link w:val="11"/>
    <w:qFormat/>
    <w:uiPriority w:val="0"/>
    <w:pPr>
      <w:jc w:val="center"/>
    </w:pPr>
    <w:rPr>
      <w:rFonts w:ascii="Calibri" w:hAnsi="Calibri" w:cs="Calibri"/>
      <w:sz w:val="20"/>
    </w:rPr>
  </w:style>
  <w:style w:type="character" w:customStyle="1" w:styleId="11">
    <w:name w:val="EndNote Bibliography Title 字符"/>
    <w:basedOn w:val="6"/>
    <w:link w:val="10"/>
    <w:uiPriority w:val="0"/>
    <w:rPr>
      <w:rFonts w:ascii="Calibri" w:hAnsi="Calibri" w:cs="Calibri" w:eastAsiaTheme="minorEastAsia"/>
      <w:kern w:val="2"/>
      <w:szCs w:val="24"/>
    </w:rPr>
  </w:style>
  <w:style w:type="character" w:customStyle="1" w:styleId="12">
    <w:name w:val="Unresolved Mention"/>
    <w:basedOn w:val="6"/>
    <w:semiHidden/>
    <w:unhideWhenUsed/>
    <w:qFormat/>
    <w:uiPriority w:val="99"/>
    <w:rPr>
      <w:color w:val="605E5C"/>
      <w:shd w:val="clear" w:color="auto" w:fill="E1DFDD"/>
    </w:rPr>
  </w:style>
  <w:style w:type="character" w:customStyle="1" w:styleId="13">
    <w:name w:val="页眉 字符"/>
    <w:basedOn w:val="6"/>
    <w:link w:val="3"/>
    <w:qFormat/>
    <w:uiPriority w:val="0"/>
    <w:rPr>
      <w:rFonts w:asciiTheme="minorHAnsi" w:hAnsiTheme="minorHAnsi" w:eastAsiaTheme="minorEastAsia" w:cstheme="minorBidi"/>
      <w:kern w:val="2"/>
      <w:sz w:val="18"/>
      <w:szCs w:val="18"/>
    </w:rPr>
  </w:style>
  <w:style w:type="character" w:customStyle="1" w:styleId="14">
    <w:name w:val="页脚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1264</Words>
  <Characters>6520</Characters>
  <Lines>57</Lines>
  <Paragraphs>16</Paragraphs>
  <TotalTime>1</TotalTime>
  <ScaleCrop>false</ScaleCrop>
  <LinksUpToDate>false</LinksUpToDate>
  <CharactersWithSpaces>7523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2022-02-15T04:22:00Z</dcterms:created>
  <dc:creator>62523</dc:creator>
  <cp:lastModifiedBy>Freaky</cp:lastModifiedBy>
  <dcterms:modified xsi:type="dcterms:W3CDTF">2022-04-04T15:01:03Z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BD76F6F487254FE4AD428503F35B4D6F</vt:lpwstr>
  </property>
</Properties>
</file>