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80F1" w14:textId="77777777" w:rsidR="00C72502" w:rsidRPr="00D91DF4" w:rsidRDefault="00C72502" w:rsidP="00C72502">
      <w:r w:rsidRPr="00D91DF4">
        <w:rPr>
          <w:noProof/>
        </w:rPr>
        <w:drawing>
          <wp:inline distT="0" distB="0" distL="0" distR="0" wp14:anchorId="796F84DF" wp14:editId="46496941">
            <wp:extent cx="5731510" cy="42875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E5D04" w14:textId="77777777" w:rsidR="00C72502" w:rsidRPr="00D91DF4" w:rsidRDefault="00C72502" w:rsidP="00C72502"/>
    <w:p w14:paraId="7DA33685" w14:textId="77777777" w:rsidR="00C72502" w:rsidRPr="00D91DF4" w:rsidRDefault="00C72502" w:rsidP="00C72502">
      <w:pPr>
        <w:spacing w:line="480" w:lineRule="auto"/>
      </w:pPr>
      <w:r w:rsidRPr="00D91DF4">
        <w:rPr>
          <w:b/>
        </w:rPr>
        <w:t>Figure S1.</w:t>
      </w:r>
      <w:r w:rsidRPr="00D91DF4">
        <w:t xml:space="preserve"> Abundances of the most abundant taxa, separated by quartiles of absolute bacterial density (16S rRNA content in ng/µL). The remaining taxa were binned in the synthetic ‘Other’ taxon. All abundances are scaled by the bacterial density. The genus Pseudomonas was also highly abundant in negative controls. </w:t>
      </w:r>
    </w:p>
    <w:p w14:paraId="780554AD" w14:textId="77777777" w:rsidR="00845827" w:rsidRDefault="00845827"/>
    <w:sectPr w:rsidR="008458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502"/>
    <w:rsid w:val="00845827"/>
    <w:rsid w:val="00C7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AE0FE"/>
  <w15:chartTrackingRefBased/>
  <w15:docId w15:val="{6277E74E-38C0-A543-A26A-B5F62D9D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50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Krawczyk</dc:creator>
  <cp:keywords/>
  <dc:description/>
  <cp:lastModifiedBy>Aleksandra Krawczyk</cp:lastModifiedBy>
  <cp:revision>1</cp:revision>
  <dcterms:created xsi:type="dcterms:W3CDTF">2022-07-16T21:11:00Z</dcterms:created>
  <dcterms:modified xsi:type="dcterms:W3CDTF">2022-07-16T21:12:00Z</dcterms:modified>
</cp:coreProperties>
</file>