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B3BF" w14:textId="31DF4A2E" w:rsidR="002C5B53" w:rsidRPr="00435469" w:rsidRDefault="001F0FEA" w:rsidP="001F0FEA">
      <w:pPr>
        <w:jc w:val="center"/>
        <w:rPr>
          <w:b/>
          <w:bCs/>
        </w:rPr>
      </w:pPr>
      <w:bookmarkStart w:id="0" w:name="_Toc93241641"/>
      <w:bookmarkStart w:id="1" w:name="_Toc93242392"/>
      <w:bookmarkStart w:id="2" w:name="_Toc93246032"/>
      <w:r w:rsidRPr="00435469">
        <w:rPr>
          <w:b/>
          <w:bCs/>
        </w:rPr>
        <w:t>Drivers of sex differences in South African adult tuberculosis incidence and mortality, 1990-2019</w:t>
      </w:r>
    </w:p>
    <w:p w14:paraId="67DF6DDE" w14:textId="77777777" w:rsidR="002C5B53" w:rsidRPr="00435469" w:rsidRDefault="002C5B53" w:rsidP="00955FFB">
      <w:pPr>
        <w:pStyle w:val="1Para"/>
        <w:spacing w:line="240" w:lineRule="auto"/>
        <w:jc w:val="center"/>
        <w:rPr>
          <w:rFonts w:cs="Times New Roman"/>
          <w:b/>
          <w:bCs/>
          <w:sz w:val="20"/>
          <w:szCs w:val="20"/>
        </w:rPr>
      </w:pPr>
      <w:r w:rsidRPr="00435469">
        <w:rPr>
          <w:rFonts w:cs="Times New Roman"/>
          <w:b/>
          <w:bCs/>
          <w:sz w:val="20"/>
          <w:szCs w:val="20"/>
        </w:rPr>
        <w:t>[Supplementary material</w:t>
      </w:r>
      <w:bookmarkEnd w:id="0"/>
      <w:bookmarkEnd w:id="1"/>
      <w:bookmarkEnd w:id="2"/>
      <w:r w:rsidRPr="00435469">
        <w:rPr>
          <w:rFonts w:cs="Times New Roman"/>
          <w:b/>
          <w:bCs/>
          <w:sz w:val="20"/>
          <w:szCs w:val="20"/>
        </w:rPr>
        <w:t>]</w:t>
      </w:r>
    </w:p>
    <w:p w14:paraId="0186C26E" w14:textId="77777777" w:rsidR="002C5B53" w:rsidRPr="00435469" w:rsidRDefault="002C5B53" w:rsidP="00955FFB">
      <w:pPr>
        <w:spacing w:after="0" w:line="240" w:lineRule="auto"/>
        <w:jc w:val="center"/>
        <w:rPr>
          <w:rFonts w:cs="Times New Roman"/>
          <w:bCs/>
          <w:sz w:val="20"/>
          <w:szCs w:val="20"/>
          <w:vertAlign w:val="superscript"/>
        </w:rPr>
      </w:pPr>
      <w:r w:rsidRPr="00435469">
        <w:rPr>
          <w:rFonts w:cs="Times New Roman"/>
          <w:bCs/>
          <w:sz w:val="20"/>
          <w:szCs w:val="20"/>
        </w:rPr>
        <w:t>Mmamapudi Kubjane</w:t>
      </w:r>
      <w:r w:rsidRPr="00435469">
        <w:rPr>
          <w:rFonts w:cs="Times New Roman"/>
          <w:bCs/>
          <w:sz w:val="20"/>
          <w:szCs w:val="20"/>
          <w:vertAlign w:val="superscript"/>
        </w:rPr>
        <w:t>1</w:t>
      </w:r>
      <w:r w:rsidRPr="00435469">
        <w:rPr>
          <w:rFonts w:cs="Times New Roman"/>
          <w:bCs/>
          <w:sz w:val="20"/>
          <w:szCs w:val="20"/>
        </w:rPr>
        <w:t xml:space="preserve">, </w:t>
      </w:r>
      <w:proofErr w:type="spellStart"/>
      <w:r w:rsidRPr="00435469">
        <w:rPr>
          <w:rFonts w:cs="Times New Roman"/>
          <w:bCs/>
          <w:sz w:val="20"/>
          <w:szCs w:val="20"/>
        </w:rPr>
        <w:t>Morna</w:t>
      </w:r>
      <w:proofErr w:type="spellEnd"/>
      <w:r w:rsidRPr="00435469">
        <w:rPr>
          <w:rFonts w:cs="Times New Roman"/>
          <w:bCs/>
          <w:sz w:val="20"/>
          <w:szCs w:val="20"/>
        </w:rPr>
        <w:t xml:space="preserve"> Cornell</w:t>
      </w:r>
      <w:r w:rsidRPr="00435469">
        <w:rPr>
          <w:rFonts w:cs="Times New Roman"/>
          <w:bCs/>
          <w:sz w:val="20"/>
          <w:szCs w:val="20"/>
          <w:vertAlign w:val="superscript"/>
        </w:rPr>
        <w:t>1</w:t>
      </w:r>
      <w:r w:rsidRPr="00435469">
        <w:rPr>
          <w:rFonts w:cs="Times New Roman"/>
          <w:bCs/>
          <w:sz w:val="20"/>
          <w:szCs w:val="20"/>
        </w:rPr>
        <w:t>, Muhammad Osman</w:t>
      </w:r>
      <w:r w:rsidRPr="00435469">
        <w:rPr>
          <w:rFonts w:cs="Times New Roman"/>
          <w:bCs/>
          <w:sz w:val="20"/>
          <w:szCs w:val="20"/>
          <w:vertAlign w:val="superscript"/>
        </w:rPr>
        <w:t>2,3</w:t>
      </w:r>
      <w:r w:rsidRPr="00435469">
        <w:rPr>
          <w:rFonts w:cs="Times New Roman"/>
          <w:bCs/>
          <w:sz w:val="20"/>
          <w:szCs w:val="20"/>
        </w:rPr>
        <w:t>, Andrew Boulle</w:t>
      </w:r>
      <w:r w:rsidRPr="00435469">
        <w:rPr>
          <w:rFonts w:cs="Times New Roman"/>
          <w:bCs/>
          <w:sz w:val="20"/>
          <w:szCs w:val="20"/>
          <w:vertAlign w:val="superscript"/>
        </w:rPr>
        <w:t>1,4</w:t>
      </w:r>
      <w:r w:rsidRPr="00435469">
        <w:rPr>
          <w:rFonts w:cs="Times New Roman"/>
          <w:bCs/>
          <w:sz w:val="20"/>
          <w:szCs w:val="20"/>
        </w:rPr>
        <w:t>, Leigh F. Johnson</w:t>
      </w:r>
      <w:r w:rsidRPr="00435469">
        <w:rPr>
          <w:rFonts w:cs="Times New Roman"/>
          <w:bCs/>
          <w:sz w:val="20"/>
          <w:szCs w:val="20"/>
          <w:vertAlign w:val="superscript"/>
        </w:rPr>
        <w:t>1</w:t>
      </w:r>
    </w:p>
    <w:p w14:paraId="29DDB534" w14:textId="77777777" w:rsidR="002C5B53" w:rsidRPr="00435469" w:rsidRDefault="002C5B53" w:rsidP="00955FFB">
      <w:pPr>
        <w:spacing w:after="0" w:line="240" w:lineRule="auto"/>
        <w:jc w:val="center"/>
        <w:rPr>
          <w:rFonts w:cs="Times New Roman"/>
          <w:bCs/>
          <w:sz w:val="20"/>
          <w:szCs w:val="20"/>
          <w:vertAlign w:val="superscript"/>
          <w:lang w:val="en-ZA"/>
        </w:rPr>
      </w:pPr>
    </w:p>
    <w:p w14:paraId="397D4B0F" w14:textId="77777777" w:rsidR="002C5B53" w:rsidRPr="00435469" w:rsidRDefault="002C5B53" w:rsidP="00955FFB">
      <w:pPr>
        <w:spacing w:after="0" w:line="240" w:lineRule="auto"/>
        <w:jc w:val="center"/>
        <w:rPr>
          <w:rFonts w:cs="Times New Roman"/>
          <w:bCs/>
          <w:sz w:val="20"/>
          <w:szCs w:val="20"/>
        </w:rPr>
      </w:pPr>
      <w:r w:rsidRPr="00435469">
        <w:rPr>
          <w:rFonts w:cs="Times New Roman"/>
          <w:bCs/>
          <w:sz w:val="20"/>
          <w:szCs w:val="20"/>
          <w:vertAlign w:val="superscript"/>
        </w:rPr>
        <w:t>1</w:t>
      </w:r>
      <w:r w:rsidRPr="00435469">
        <w:rPr>
          <w:rFonts w:cs="Times New Roman"/>
          <w:bCs/>
          <w:sz w:val="20"/>
          <w:szCs w:val="20"/>
        </w:rPr>
        <w:t>Centre for Infectious Disease Epidemiology and Research, School of Public Health and Family Medicine, University of Cape Town, South Africa.</w:t>
      </w:r>
    </w:p>
    <w:p w14:paraId="16B54226" w14:textId="77777777" w:rsidR="002C5B53" w:rsidRPr="00435469" w:rsidRDefault="002C5B53" w:rsidP="00955FFB">
      <w:pPr>
        <w:spacing w:after="0" w:line="240" w:lineRule="auto"/>
        <w:jc w:val="center"/>
        <w:rPr>
          <w:rFonts w:cs="Times New Roman"/>
          <w:bCs/>
          <w:sz w:val="20"/>
          <w:szCs w:val="20"/>
        </w:rPr>
      </w:pPr>
      <w:r w:rsidRPr="00435469">
        <w:rPr>
          <w:rFonts w:cs="Times New Roman"/>
          <w:bCs/>
          <w:sz w:val="20"/>
          <w:szCs w:val="20"/>
          <w:vertAlign w:val="superscript"/>
        </w:rPr>
        <w:t>2</w:t>
      </w:r>
      <w:r w:rsidRPr="00435469">
        <w:rPr>
          <w:rFonts w:cs="Times New Roman"/>
          <w:bCs/>
          <w:sz w:val="20"/>
          <w:szCs w:val="20"/>
        </w:rPr>
        <w:t xml:space="preserve">Desmond Tutu TB Centre, Department of </w:t>
      </w:r>
      <w:proofErr w:type="spellStart"/>
      <w:r w:rsidRPr="00435469">
        <w:rPr>
          <w:rFonts w:cs="Times New Roman"/>
          <w:bCs/>
          <w:sz w:val="20"/>
          <w:szCs w:val="20"/>
        </w:rPr>
        <w:t>Paediatrics</w:t>
      </w:r>
      <w:proofErr w:type="spellEnd"/>
      <w:r w:rsidRPr="00435469">
        <w:rPr>
          <w:rFonts w:cs="Times New Roman"/>
          <w:bCs/>
          <w:sz w:val="20"/>
          <w:szCs w:val="20"/>
        </w:rPr>
        <w:t xml:space="preserve"> and Child Health, Faculty of Health Sciences, Stellenbosch University, Cape Town, South Africa.</w:t>
      </w:r>
    </w:p>
    <w:p w14:paraId="42B776BC" w14:textId="77777777" w:rsidR="002C5B53" w:rsidRPr="00435469" w:rsidRDefault="002C5B53" w:rsidP="00955FFB">
      <w:pPr>
        <w:spacing w:after="0" w:line="240" w:lineRule="auto"/>
        <w:jc w:val="center"/>
        <w:rPr>
          <w:rFonts w:cs="Times New Roman"/>
          <w:bCs/>
          <w:sz w:val="20"/>
          <w:szCs w:val="20"/>
        </w:rPr>
      </w:pPr>
      <w:r w:rsidRPr="00435469">
        <w:rPr>
          <w:rFonts w:cs="Times New Roman"/>
          <w:bCs/>
          <w:sz w:val="20"/>
          <w:szCs w:val="20"/>
          <w:vertAlign w:val="superscript"/>
        </w:rPr>
        <w:t>3</w:t>
      </w:r>
      <w:r w:rsidRPr="00435469">
        <w:rPr>
          <w:rFonts w:cs="Times New Roman"/>
          <w:bCs/>
          <w:sz w:val="20"/>
          <w:szCs w:val="20"/>
        </w:rPr>
        <w:t>School of Human Sciences, Faculty of Education, Health and Human Sciences, University of Greenwich, United Kingdom.</w:t>
      </w:r>
    </w:p>
    <w:p w14:paraId="1352D65A" w14:textId="15B3F14B" w:rsidR="006026F6" w:rsidRPr="00435469" w:rsidRDefault="002C5B53" w:rsidP="00955FFB">
      <w:pPr>
        <w:spacing w:after="0" w:line="240" w:lineRule="auto"/>
        <w:jc w:val="center"/>
        <w:rPr>
          <w:rFonts w:cs="Times New Roman"/>
          <w:bCs/>
          <w:sz w:val="20"/>
          <w:szCs w:val="20"/>
        </w:rPr>
      </w:pPr>
      <w:r w:rsidRPr="00435469">
        <w:rPr>
          <w:rFonts w:cs="Times New Roman"/>
          <w:bCs/>
          <w:sz w:val="20"/>
          <w:szCs w:val="20"/>
          <w:vertAlign w:val="superscript"/>
        </w:rPr>
        <w:t>4</w:t>
      </w:r>
      <w:r w:rsidRPr="00435469">
        <w:rPr>
          <w:rFonts w:cs="Times New Roman"/>
          <w:bCs/>
          <w:sz w:val="20"/>
          <w:szCs w:val="20"/>
        </w:rPr>
        <w:t>Western Cape Provincial Department of Health, South Africa</w:t>
      </w:r>
    </w:p>
    <w:p w14:paraId="333C934D" w14:textId="77777777" w:rsidR="006026F6" w:rsidRPr="00435469" w:rsidRDefault="006026F6" w:rsidP="00955FFB">
      <w:pPr>
        <w:spacing w:after="160" w:line="240" w:lineRule="auto"/>
        <w:rPr>
          <w:rFonts w:cs="Times New Roman"/>
          <w:bCs/>
          <w:sz w:val="20"/>
          <w:szCs w:val="20"/>
        </w:rPr>
      </w:pPr>
      <w:r w:rsidRPr="00435469">
        <w:rPr>
          <w:rFonts w:cs="Times New Roman"/>
          <w:bCs/>
          <w:sz w:val="20"/>
          <w:szCs w:val="20"/>
        </w:rPr>
        <w:br w:type="page"/>
      </w:r>
    </w:p>
    <w:sdt>
      <w:sdtPr>
        <w:rPr>
          <w:rFonts w:ascii="Times New Roman" w:eastAsiaTheme="minorHAnsi" w:hAnsi="Times New Roman" w:cs="Times New Roman"/>
          <w:b w:val="0"/>
          <w:bCs w:val="0"/>
          <w:color w:val="auto"/>
          <w:sz w:val="20"/>
          <w:szCs w:val="20"/>
          <w:lang w:eastAsia="en-US"/>
        </w:rPr>
        <w:id w:val="-629390880"/>
        <w:docPartObj>
          <w:docPartGallery w:val="Table of Contents"/>
          <w:docPartUnique/>
        </w:docPartObj>
      </w:sdtPr>
      <w:sdtEndPr>
        <w:rPr>
          <w:rFonts w:cstheme="minorBidi"/>
          <w:noProof/>
        </w:rPr>
      </w:sdtEndPr>
      <w:sdtContent>
        <w:p w14:paraId="2ADDB310" w14:textId="77777777" w:rsidR="00DF747A" w:rsidRPr="00435469" w:rsidRDefault="00DF747A" w:rsidP="00955FFB">
          <w:pPr>
            <w:pStyle w:val="TOCHeading"/>
            <w:spacing w:line="240" w:lineRule="auto"/>
            <w:rPr>
              <w:rFonts w:ascii="Times New Roman" w:hAnsi="Times New Roman" w:cs="Times New Roman"/>
              <w:color w:val="auto"/>
              <w:sz w:val="20"/>
              <w:szCs w:val="20"/>
            </w:rPr>
          </w:pPr>
          <w:r w:rsidRPr="00435469">
            <w:rPr>
              <w:rFonts w:ascii="Times New Roman" w:eastAsiaTheme="minorHAnsi" w:hAnsi="Times New Roman" w:cs="Times New Roman"/>
              <w:color w:val="auto"/>
              <w:sz w:val="20"/>
              <w:szCs w:val="20"/>
              <w:lang w:eastAsia="en-US"/>
            </w:rPr>
            <w:t>List of c</w:t>
          </w:r>
          <w:r w:rsidRPr="00435469">
            <w:rPr>
              <w:rFonts w:ascii="Times New Roman" w:hAnsi="Times New Roman" w:cs="Times New Roman"/>
              <w:color w:val="auto"/>
              <w:sz w:val="20"/>
              <w:szCs w:val="20"/>
            </w:rPr>
            <w:t>ontents</w:t>
          </w:r>
        </w:p>
        <w:p w14:paraId="166CA409" w14:textId="53DDE48F" w:rsidR="005477F1" w:rsidRPr="00435469" w:rsidRDefault="00DF747A">
          <w:pPr>
            <w:pStyle w:val="TOC2"/>
            <w:rPr>
              <w:rFonts w:asciiTheme="minorHAnsi" w:eastAsiaTheme="minorEastAsia" w:hAnsiTheme="minorHAnsi"/>
              <w:bCs w:val="0"/>
              <w:noProof/>
              <w:sz w:val="20"/>
              <w:lang w:val="en-ZA" w:eastAsia="en-ZA"/>
            </w:rPr>
          </w:pPr>
          <w:r w:rsidRPr="00435469">
            <w:rPr>
              <w:bCs w:val="0"/>
              <w:sz w:val="20"/>
            </w:rPr>
            <w:fldChar w:fldCharType="begin"/>
          </w:r>
          <w:r w:rsidRPr="00435469">
            <w:rPr>
              <w:sz w:val="20"/>
            </w:rPr>
            <w:instrText xml:space="preserve"> TOC \o "1-3" \h \z \u </w:instrText>
          </w:r>
          <w:r w:rsidRPr="00435469">
            <w:rPr>
              <w:bCs w:val="0"/>
              <w:sz w:val="20"/>
            </w:rPr>
            <w:fldChar w:fldCharType="separate"/>
          </w:r>
          <w:hyperlink w:anchor="_Toc103252916" w:history="1">
            <w:r w:rsidR="005477F1" w:rsidRPr="00435469">
              <w:rPr>
                <w:rStyle w:val="Hyperlink"/>
                <w:noProof/>
                <w:color w:val="auto"/>
                <w:sz w:val="20"/>
              </w:rPr>
              <w:t>1.</w:t>
            </w:r>
            <w:r w:rsidR="005477F1" w:rsidRPr="00435469">
              <w:rPr>
                <w:rFonts w:asciiTheme="minorHAnsi" w:eastAsiaTheme="minorEastAsia" w:hAnsiTheme="minorHAnsi"/>
                <w:bCs w:val="0"/>
                <w:noProof/>
                <w:sz w:val="20"/>
                <w:lang w:val="en-ZA" w:eastAsia="en-ZA"/>
              </w:rPr>
              <w:tab/>
            </w:r>
            <w:r w:rsidR="005477F1" w:rsidRPr="00435469">
              <w:rPr>
                <w:rStyle w:val="Hyperlink"/>
                <w:noProof/>
                <w:color w:val="auto"/>
                <w:sz w:val="20"/>
              </w:rPr>
              <w:t>Overview</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_Toc103252916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5</w:t>
            </w:r>
            <w:r w:rsidR="005477F1" w:rsidRPr="00435469">
              <w:rPr>
                <w:noProof/>
                <w:webHidden/>
                <w:sz w:val="20"/>
              </w:rPr>
              <w:fldChar w:fldCharType="end"/>
            </w:r>
          </w:hyperlink>
        </w:p>
        <w:p w14:paraId="60DDB426" w14:textId="460BD1DD" w:rsidR="005477F1" w:rsidRPr="00435469" w:rsidRDefault="00000000">
          <w:pPr>
            <w:pStyle w:val="TOC2"/>
            <w:rPr>
              <w:rFonts w:asciiTheme="minorHAnsi" w:eastAsiaTheme="minorEastAsia" w:hAnsiTheme="minorHAnsi"/>
              <w:bCs w:val="0"/>
              <w:noProof/>
              <w:sz w:val="20"/>
              <w:lang w:val="en-ZA" w:eastAsia="en-ZA"/>
            </w:rPr>
          </w:pPr>
          <w:hyperlink w:anchor="_Toc103252917" w:history="1">
            <w:r w:rsidR="005477F1" w:rsidRPr="00435469">
              <w:rPr>
                <w:rStyle w:val="Hyperlink"/>
                <w:noProof/>
                <w:color w:val="auto"/>
                <w:sz w:val="20"/>
              </w:rPr>
              <w:t>2.</w:t>
            </w:r>
            <w:r w:rsidR="005477F1" w:rsidRPr="00435469">
              <w:rPr>
                <w:rFonts w:asciiTheme="minorHAnsi" w:eastAsiaTheme="minorEastAsia" w:hAnsiTheme="minorHAnsi"/>
                <w:bCs w:val="0"/>
                <w:noProof/>
                <w:sz w:val="20"/>
                <w:lang w:val="en-ZA" w:eastAsia="en-ZA"/>
              </w:rPr>
              <w:tab/>
            </w:r>
            <w:r w:rsidR="005477F1" w:rsidRPr="00435469">
              <w:rPr>
                <w:rStyle w:val="Hyperlink"/>
                <w:noProof/>
                <w:color w:val="auto"/>
                <w:sz w:val="20"/>
              </w:rPr>
              <w:t>Initial conditions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_Toc103252917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7</w:t>
            </w:r>
            <w:r w:rsidR="005477F1" w:rsidRPr="00435469">
              <w:rPr>
                <w:noProof/>
                <w:webHidden/>
                <w:sz w:val="20"/>
              </w:rPr>
              <w:fldChar w:fldCharType="end"/>
            </w:r>
          </w:hyperlink>
        </w:p>
        <w:p w14:paraId="34550F90" w14:textId="72B62A7D"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18" w:history="1">
            <w:r w:rsidR="005477F1" w:rsidRPr="00435469">
              <w:rPr>
                <w:rStyle w:val="Hyperlink"/>
                <w:noProof/>
                <w:color w:val="auto"/>
                <w:sz w:val="20"/>
              </w:rPr>
              <w:t>2.1</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Latent tuberculosis infection</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_Toc103252918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7</w:t>
            </w:r>
            <w:r w:rsidR="005477F1" w:rsidRPr="00435469">
              <w:rPr>
                <w:noProof/>
                <w:webHidden/>
                <w:sz w:val="20"/>
              </w:rPr>
              <w:fldChar w:fldCharType="end"/>
            </w:r>
          </w:hyperlink>
        </w:p>
        <w:p w14:paraId="3E42E785" w14:textId="0C0C691A"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19" w:history="1">
            <w:r w:rsidR="005477F1" w:rsidRPr="00435469">
              <w:rPr>
                <w:rStyle w:val="Hyperlink"/>
                <w:noProof/>
                <w:color w:val="auto"/>
                <w:sz w:val="20"/>
              </w:rPr>
              <w:t>2.2</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Initial active tuberculosis profiles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_Toc103252919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7</w:t>
            </w:r>
            <w:r w:rsidR="005477F1" w:rsidRPr="00435469">
              <w:rPr>
                <w:noProof/>
                <w:webHidden/>
                <w:sz w:val="20"/>
              </w:rPr>
              <w:fldChar w:fldCharType="end"/>
            </w:r>
          </w:hyperlink>
        </w:p>
        <w:p w14:paraId="27B8BBD9" w14:textId="5C0B03EA"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20" w:history="1">
            <w:r w:rsidR="005477F1" w:rsidRPr="00435469">
              <w:rPr>
                <w:rStyle w:val="Hyperlink"/>
                <w:noProof/>
                <w:color w:val="auto"/>
                <w:sz w:val="20"/>
              </w:rPr>
              <w:t>2.3</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The initial proportion of individuals previously treated for active tuberculosis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_Toc103252920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9</w:t>
            </w:r>
            <w:r w:rsidR="005477F1" w:rsidRPr="00435469">
              <w:rPr>
                <w:noProof/>
                <w:webHidden/>
                <w:sz w:val="20"/>
              </w:rPr>
              <w:fldChar w:fldCharType="end"/>
            </w:r>
          </w:hyperlink>
        </w:p>
        <w:p w14:paraId="750B4833" w14:textId="3E556F2A" w:rsidR="005477F1" w:rsidRPr="00435469" w:rsidRDefault="00000000">
          <w:pPr>
            <w:pStyle w:val="TOC2"/>
            <w:rPr>
              <w:rFonts w:asciiTheme="minorHAnsi" w:eastAsiaTheme="minorEastAsia" w:hAnsiTheme="minorHAnsi"/>
              <w:bCs w:val="0"/>
              <w:noProof/>
              <w:sz w:val="20"/>
              <w:lang w:val="en-ZA" w:eastAsia="en-ZA"/>
            </w:rPr>
          </w:pPr>
          <w:hyperlink w:anchor="_Toc103252921" w:history="1">
            <w:r w:rsidR="005477F1" w:rsidRPr="00435469">
              <w:rPr>
                <w:rStyle w:val="Hyperlink"/>
                <w:noProof/>
                <w:color w:val="auto"/>
                <w:sz w:val="20"/>
              </w:rPr>
              <w:t>3.</w:t>
            </w:r>
            <w:r w:rsidR="005477F1" w:rsidRPr="00435469">
              <w:rPr>
                <w:rFonts w:asciiTheme="minorHAnsi" w:eastAsiaTheme="minorEastAsia" w:hAnsiTheme="minorHAnsi"/>
                <w:bCs w:val="0"/>
                <w:noProof/>
                <w:sz w:val="20"/>
                <w:lang w:val="en-ZA" w:eastAsia="en-ZA"/>
              </w:rPr>
              <w:tab/>
            </w:r>
            <w:r w:rsidR="005477F1" w:rsidRPr="00435469">
              <w:rPr>
                <w:rStyle w:val="Hyperlink"/>
                <w:noProof/>
                <w:color w:val="auto"/>
                <w:sz w:val="20"/>
              </w:rPr>
              <w:t>Estimating the proportion of new active tuberculosis cases that are smear-positive</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_Toc103252921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9</w:t>
            </w:r>
            <w:r w:rsidR="005477F1" w:rsidRPr="00435469">
              <w:rPr>
                <w:noProof/>
                <w:webHidden/>
                <w:sz w:val="20"/>
              </w:rPr>
              <w:fldChar w:fldCharType="end"/>
            </w:r>
          </w:hyperlink>
        </w:p>
        <w:p w14:paraId="4CDDBA99" w14:textId="1C67D5D1" w:rsidR="005477F1" w:rsidRPr="00435469" w:rsidRDefault="00000000">
          <w:pPr>
            <w:pStyle w:val="TOC2"/>
            <w:rPr>
              <w:rFonts w:asciiTheme="minorHAnsi" w:eastAsiaTheme="minorEastAsia" w:hAnsiTheme="minorHAnsi"/>
              <w:bCs w:val="0"/>
              <w:noProof/>
              <w:sz w:val="20"/>
              <w:lang w:val="en-ZA" w:eastAsia="en-ZA"/>
            </w:rPr>
          </w:pPr>
          <w:hyperlink w:anchor="_Toc103252922" w:history="1">
            <w:r w:rsidR="005477F1" w:rsidRPr="00435469">
              <w:rPr>
                <w:rStyle w:val="Hyperlink"/>
                <w:rFonts w:cs="Times New Roman"/>
                <w:noProof/>
                <w:color w:val="auto"/>
                <w:sz w:val="20"/>
              </w:rPr>
              <w:t>4.</w:t>
            </w:r>
            <w:r w:rsidR="005477F1" w:rsidRPr="00435469">
              <w:rPr>
                <w:rFonts w:asciiTheme="minorHAnsi" w:eastAsiaTheme="minorEastAsia" w:hAnsiTheme="minorHAnsi"/>
                <w:bCs w:val="0"/>
                <w:noProof/>
                <w:sz w:val="20"/>
                <w:lang w:val="en-ZA" w:eastAsia="en-ZA"/>
              </w:rPr>
              <w:tab/>
            </w:r>
            <w:r w:rsidR="005477F1" w:rsidRPr="00435469">
              <w:rPr>
                <w:rStyle w:val="Hyperlink"/>
                <w:rFonts w:cs="Times New Roman"/>
                <w:noProof/>
                <w:color w:val="auto"/>
                <w:sz w:val="20"/>
              </w:rPr>
              <w:t>Modelling tuberculosis transmission</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_Toc103252922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9</w:t>
            </w:r>
            <w:r w:rsidR="005477F1" w:rsidRPr="00435469">
              <w:rPr>
                <w:noProof/>
                <w:webHidden/>
                <w:sz w:val="20"/>
              </w:rPr>
              <w:fldChar w:fldCharType="end"/>
            </w:r>
          </w:hyperlink>
        </w:p>
        <w:p w14:paraId="714C52F9" w14:textId="6873577A"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23" w:history="1">
            <w:r w:rsidR="005477F1" w:rsidRPr="00435469">
              <w:rPr>
                <w:rStyle w:val="Hyperlink"/>
                <w:rFonts w:cs="Times New Roman"/>
                <w:bCs/>
                <w:noProof/>
                <w:color w:val="auto"/>
                <w:sz w:val="20"/>
              </w:rPr>
              <w:t>4.1</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The transmission probability per daily contact</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_Toc103252923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10</w:t>
            </w:r>
            <w:r w:rsidR="005477F1" w:rsidRPr="00435469">
              <w:rPr>
                <w:noProof/>
                <w:webHidden/>
                <w:sz w:val="20"/>
              </w:rPr>
              <w:fldChar w:fldCharType="end"/>
            </w:r>
          </w:hyperlink>
        </w:p>
        <w:p w14:paraId="18182108" w14:textId="2BCD6ACE"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24" w:history="1">
            <w:r w:rsidR="005477F1" w:rsidRPr="00435469">
              <w:rPr>
                <w:rStyle w:val="Hyperlink"/>
                <w:rFonts w:cs="Times New Roman"/>
                <w:noProof/>
                <w:color w:val="auto"/>
                <w:sz w:val="20"/>
              </w:rPr>
              <w:t>4.2</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Infectiousness in smear-positive and smear-negative active TB</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_Toc103252924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10</w:t>
            </w:r>
            <w:r w:rsidR="005477F1" w:rsidRPr="00435469">
              <w:rPr>
                <w:noProof/>
                <w:webHidden/>
                <w:sz w:val="20"/>
              </w:rPr>
              <w:fldChar w:fldCharType="end"/>
            </w:r>
          </w:hyperlink>
        </w:p>
        <w:p w14:paraId="70B7EC12" w14:textId="140EC822"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25" w:history="1">
            <w:r w:rsidR="005477F1" w:rsidRPr="00435469">
              <w:rPr>
                <w:rStyle w:val="Hyperlink"/>
                <w:noProof/>
                <w:color w:val="auto"/>
                <w:sz w:val="20"/>
              </w:rPr>
              <w:t>4.3</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Social mixing patterns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_Toc103252925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10</w:t>
            </w:r>
            <w:r w:rsidR="005477F1" w:rsidRPr="00435469">
              <w:rPr>
                <w:noProof/>
                <w:webHidden/>
                <w:sz w:val="20"/>
              </w:rPr>
              <w:fldChar w:fldCharType="end"/>
            </w:r>
          </w:hyperlink>
        </w:p>
        <w:p w14:paraId="5AE86945" w14:textId="7710E8CA" w:rsidR="005477F1" w:rsidRPr="00435469" w:rsidRDefault="00000000">
          <w:pPr>
            <w:pStyle w:val="TOC2"/>
            <w:rPr>
              <w:rFonts w:asciiTheme="minorHAnsi" w:eastAsiaTheme="minorEastAsia" w:hAnsiTheme="minorHAnsi"/>
              <w:bCs w:val="0"/>
              <w:noProof/>
              <w:sz w:val="20"/>
              <w:lang w:val="en-ZA" w:eastAsia="en-ZA"/>
            </w:rPr>
          </w:pPr>
          <w:hyperlink w:anchor="_Toc103252926" w:history="1">
            <w:r w:rsidR="005477F1" w:rsidRPr="00435469">
              <w:rPr>
                <w:rStyle w:val="Hyperlink"/>
                <w:rFonts w:cs="Times New Roman"/>
                <w:noProof/>
                <w:color w:val="auto"/>
                <w:sz w:val="20"/>
              </w:rPr>
              <w:t>5.</w:t>
            </w:r>
            <w:r w:rsidR="005477F1" w:rsidRPr="00435469">
              <w:rPr>
                <w:rFonts w:asciiTheme="minorHAnsi" w:eastAsiaTheme="minorEastAsia" w:hAnsiTheme="minorHAnsi"/>
                <w:bCs w:val="0"/>
                <w:noProof/>
                <w:sz w:val="20"/>
                <w:lang w:val="en-ZA" w:eastAsia="en-ZA"/>
              </w:rPr>
              <w:tab/>
            </w:r>
            <w:r w:rsidR="005477F1" w:rsidRPr="00435469">
              <w:rPr>
                <w:rStyle w:val="Hyperlink"/>
                <w:rFonts w:cs="Times New Roman"/>
                <w:noProof/>
                <w:color w:val="auto"/>
                <w:sz w:val="20"/>
              </w:rPr>
              <w:t>Modelling the tuberculosis natural history and the effects of human immunodeficiency virus and antiretroviral therapy</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_Toc103252926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11</w:t>
            </w:r>
            <w:r w:rsidR="005477F1" w:rsidRPr="00435469">
              <w:rPr>
                <w:noProof/>
                <w:webHidden/>
                <w:sz w:val="20"/>
              </w:rPr>
              <w:fldChar w:fldCharType="end"/>
            </w:r>
          </w:hyperlink>
        </w:p>
        <w:p w14:paraId="211B6A4A" w14:textId="74E6EDD3"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27" w:history="1">
            <w:r w:rsidR="005477F1" w:rsidRPr="00435469">
              <w:rPr>
                <w:rStyle w:val="Hyperlink"/>
                <w:rFonts w:cs="Times New Roman"/>
                <w:noProof/>
                <w:color w:val="auto"/>
                <w:sz w:val="20"/>
              </w:rPr>
              <w:t>5.1</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Progression to active tuberculosis disease: fast progression and reactivation</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_Toc103252927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11</w:t>
            </w:r>
            <w:r w:rsidR="005477F1" w:rsidRPr="00435469">
              <w:rPr>
                <w:noProof/>
                <w:webHidden/>
                <w:sz w:val="20"/>
              </w:rPr>
              <w:fldChar w:fldCharType="end"/>
            </w:r>
          </w:hyperlink>
        </w:p>
        <w:p w14:paraId="33C953C7" w14:textId="34313218"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28" w:history="1">
            <w:r w:rsidR="005477F1" w:rsidRPr="00435469">
              <w:rPr>
                <w:rStyle w:val="Hyperlink"/>
                <w:rFonts w:cs="Times New Roman"/>
                <w:noProof/>
                <w:color w:val="auto"/>
                <w:sz w:val="20"/>
              </w:rPr>
              <w:t>5.2</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Partial immunity</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_Toc103252928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12</w:t>
            </w:r>
            <w:r w:rsidR="005477F1" w:rsidRPr="00435469">
              <w:rPr>
                <w:noProof/>
                <w:webHidden/>
                <w:sz w:val="20"/>
              </w:rPr>
              <w:fldChar w:fldCharType="end"/>
            </w:r>
          </w:hyperlink>
        </w:p>
        <w:p w14:paraId="4D9FCA4A" w14:textId="7C6981EB"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29" w:history="1">
            <w:r w:rsidR="005477F1" w:rsidRPr="00435469">
              <w:rPr>
                <w:rStyle w:val="Hyperlink"/>
                <w:rFonts w:cs="Times New Roman"/>
                <w:noProof/>
                <w:color w:val="auto"/>
                <w:sz w:val="20"/>
              </w:rPr>
              <w:t>5.3</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Natural recovery (untreated tuberculosis)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_Toc103252929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13</w:t>
            </w:r>
            <w:r w:rsidR="005477F1" w:rsidRPr="00435469">
              <w:rPr>
                <w:noProof/>
                <w:webHidden/>
                <w:sz w:val="20"/>
              </w:rPr>
              <w:fldChar w:fldCharType="end"/>
            </w:r>
          </w:hyperlink>
        </w:p>
        <w:p w14:paraId="0620604A" w14:textId="757F8199"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30" w:history="1">
            <w:r w:rsidR="005477F1" w:rsidRPr="00435469">
              <w:rPr>
                <w:rStyle w:val="Hyperlink"/>
                <w:rFonts w:cs="Times New Roman"/>
                <w:noProof/>
                <w:color w:val="auto"/>
                <w:sz w:val="20"/>
              </w:rPr>
              <w:t>5.4</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Untreated active tuberculosis mortality</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_Toc103252930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13</w:t>
            </w:r>
            <w:r w:rsidR="005477F1" w:rsidRPr="00435469">
              <w:rPr>
                <w:noProof/>
                <w:webHidden/>
                <w:sz w:val="20"/>
              </w:rPr>
              <w:fldChar w:fldCharType="end"/>
            </w:r>
          </w:hyperlink>
        </w:p>
        <w:p w14:paraId="231A9D79" w14:textId="6D4F6351" w:rsidR="005477F1" w:rsidRPr="00435469" w:rsidRDefault="00000000">
          <w:pPr>
            <w:pStyle w:val="TOC2"/>
            <w:rPr>
              <w:rFonts w:asciiTheme="minorHAnsi" w:eastAsiaTheme="minorEastAsia" w:hAnsiTheme="minorHAnsi"/>
              <w:bCs w:val="0"/>
              <w:noProof/>
              <w:sz w:val="20"/>
              <w:lang w:val="en-ZA" w:eastAsia="en-ZA"/>
            </w:rPr>
          </w:pPr>
          <w:hyperlink w:anchor="_Toc103252931" w:history="1">
            <w:r w:rsidR="005477F1" w:rsidRPr="00435469">
              <w:rPr>
                <w:rStyle w:val="Hyperlink"/>
                <w:rFonts w:cs="Times New Roman"/>
                <w:noProof/>
                <w:color w:val="auto"/>
                <w:sz w:val="20"/>
              </w:rPr>
              <w:t>6.</w:t>
            </w:r>
            <w:r w:rsidR="005477F1" w:rsidRPr="00435469">
              <w:rPr>
                <w:rFonts w:asciiTheme="minorHAnsi" w:eastAsiaTheme="minorEastAsia" w:hAnsiTheme="minorHAnsi"/>
                <w:bCs w:val="0"/>
                <w:noProof/>
                <w:sz w:val="20"/>
                <w:lang w:val="en-ZA" w:eastAsia="en-ZA"/>
              </w:rPr>
              <w:tab/>
            </w:r>
            <w:r w:rsidR="005477F1" w:rsidRPr="00435469">
              <w:rPr>
                <w:rStyle w:val="Hyperlink"/>
                <w:rFonts w:cs="Times New Roman"/>
                <w:noProof/>
                <w:color w:val="auto"/>
                <w:sz w:val="20"/>
              </w:rPr>
              <w:t>Modelling the tuberculosis diagnostic pathway</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_Toc103252931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14</w:t>
            </w:r>
            <w:r w:rsidR="005477F1" w:rsidRPr="00435469">
              <w:rPr>
                <w:noProof/>
                <w:webHidden/>
                <w:sz w:val="20"/>
              </w:rPr>
              <w:fldChar w:fldCharType="end"/>
            </w:r>
          </w:hyperlink>
        </w:p>
        <w:p w14:paraId="4F17F356" w14:textId="7A6E899C"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32" w:history="1">
            <w:r w:rsidR="005477F1" w:rsidRPr="00435469">
              <w:rPr>
                <w:rStyle w:val="Hyperlink"/>
                <w:rFonts w:cs="Times New Roman"/>
                <w:noProof/>
                <w:color w:val="auto"/>
                <w:sz w:val="20"/>
              </w:rPr>
              <w:t>6.1</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Modelling tuberculosis health-seeking patterns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_Toc103252932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16</w:t>
            </w:r>
            <w:r w:rsidR="005477F1" w:rsidRPr="00435469">
              <w:rPr>
                <w:noProof/>
                <w:webHidden/>
                <w:sz w:val="20"/>
              </w:rPr>
              <w:fldChar w:fldCharType="end"/>
            </w:r>
          </w:hyperlink>
        </w:p>
        <w:p w14:paraId="64DF15EA" w14:textId="4F2C845D"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33" w:history="1">
            <w:r w:rsidR="005477F1" w:rsidRPr="00435469">
              <w:rPr>
                <w:rStyle w:val="Hyperlink"/>
                <w:rFonts w:cs="Times New Roman"/>
                <w:noProof/>
                <w:color w:val="auto"/>
                <w:sz w:val="20"/>
              </w:rPr>
              <w:t>6.2</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Specimens submitted for microbiological testing</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_Toc103252933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18</w:t>
            </w:r>
            <w:r w:rsidR="005477F1" w:rsidRPr="00435469">
              <w:rPr>
                <w:noProof/>
                <w:webHidden/>
                <w:sz w:val="20"/>
              </w:rPr>
              <w:fldChar w:fldCharType="end"/>
            </w:r>
          </w:hyperlink>
        </w:p>
        <w:p w14:paraId="5D588C85" w14:textId="6FDB8347"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34" w:history="1">
            <w:r w:rsidR="005477F1" w:rsidRPr="00435469">
              <w:rPr>
                <w:rStyle w:val="Hyperlink"/>
                <w:rFonts w:cs="Times New Roman"/>
                <w:noProof/>
                <w:color w:val="auto"/>
                <w:sz w:val="20"/>
              </w:rPr>
              <w:t>6.3</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Sensitivity and specificity of diagnostic algorithms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_Toc103252934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20</w:t>
            </w:r>
            <w:r w:rsidR="005477F1" w:rsidRPr="00435469">
              <w:rPr>
                <w:noProof/>
                <w:webHidden/>
                <w:sz w:val="20"/>
              </w:rPr>
              <w:fldChar w:fldCharType="end"/>
            </w:r>
          </w:hyperlink>
        </w:p>
        <w:p w14:paraId="2913B457" w14:textId="152E98D6"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35" w:history="1">
            <w:r w:rsidR="005477F1" w:rsidRPr="00435469">
              <w:rPr>
                <w:rStyle w:val="Hyperlink"/>
                <w:rFonts w:cs="Times New Roman"/>
                <w:noProof/>
                <w:color w:val="auto"/>
                <w:sz w:val="20"/>
              </w:rPr>
              <w:t>6.4</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Treatment initiation and initial loss to follow-up</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_Toc103252935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22</w:t>
            </w:r>
            <w:r w:rsidR="005477F1" w:rsidRPr="00435469">
              <w:rPr>
                <w:noProof/>
                <w:webHidden/>
                <w:sz w:val="20"/>
              </w:rPr>
              <w:fldChar w:fldCharType="end"/>
            </w:r>
          </w:hyperlink>
        </w:p>
        <w:p w14:paraId="73FA4844" w14:textId="0EB4C6E8"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36" w:history="1">
            <w:r w:rsidR="005477F1" w:rsidRPr="00435469">
              <w:rPr>
                <w:rStyle w:val="Hyperlink"/>
                <w:rFonts w:cs="Times New Roman"/>
                <w:noProof/>
                <w:color w:val="auto"/>
                <w:sz w:val="20"/>
              </w:rPr>
              <w:t>6.5</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Modelling empirical treatment</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_Toc103252936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22</w:t>
            </w:r>
            <w:r w:rsidR="005477F1" w:rsidRPr="00435469">
              <w:rPr>
                <w:noProof/>
                <w:webHidden/>
                <w:sz w:val="20"/>
              </w:rPr>
              <w:fldChar w:fldCharType="end"/>
            </w:r>
          </w:hyperlink>
        </w:p>
        <w:p w14:paraId="63B350A9" w14:textId="464BD153" w:rsidR="005477F1" w:rsidRPr="00435469" w:rsidRDefault="00000000">
          <w:pPr>
            <w:pStyle w:val="TOC2"/>
            <w:rPr>
              <w:rFonts w:asciiTheme="minorHAnsi" w:eastAsiaTheme="minorEastAsia" w:hAnsiTheme="minorHAnsi"/>
              <w:bCs w:val="0"/>
              <w:noProof/>
              <w:sz w:val="20"/>
              <w:lang w:val="en-ZA" w:eastAsia="en-ZA"/>
            </w:rPr>
          </w:pPr>
          <w:hyperlink w:anchor="_Toc103252937" w:history="1">
            <w:r w:rsidR="005477F1" w:rsidRPr="00435469">
              <w:rPr>
                <w:rStyle w:val="Hyperlink"/>
                <w:rFonts w:cs="Times New Roman"/>
                <w:noProof/>
                <w:color w:val="auto"/>
                <w:sz w:val="20"/>
              </w:rPr>
              <w:t>7.</w:t>
            </w:r>
            <w:r w:rsidR="005477F1" w:rsidRPr="00435469">
              <w:rPr>
                <w:rFonts w:asciiTheme="minorHAnsi" w:eastAsiaTheme="minorEastAsia" w:hAnsiTheme="minorHAnsi"/>
                <w:bCs w:val="0"/>
                <w:noProof/>
                <w:sz w:val="20"/>
                <w:lang w:val="en-ZA" w:eastAsia="en-ZA"/>
              </w:rPr>
              <w:tab/>
            </w:r>
            <w:r w:rsidR="005477F1" w:rsidRPr="00435469">
              <w:rPr>
                <w:rStyle w:val="Hyperlink"/>
                <w:rFonts w:cs="Times New Roman"/>
                <w:noProof/>
                <w:color w:val="auto"/>
                <w:sz w:val="20"/>
              </w:rPr>
              <w:t>Modelling tuberculosis treatment and treatment outcomes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_Toc103252937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24</w:t>
            </w:r>
            <w:r w:rsidR="005477F1" w:rsidRPr="00435469">
              <w:rPr>
                <w:noProof/>
                <w:webHidden/>
                <w:sz w:val="20"/>
              </w:rPr>
              <w:fldChar w:fldCharType="end"/>
            </w:r>
          </w:hyperlink>
        </w:p>
        <w:p w14:paraId="712A5C40" w14:textId="4F62908E"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38" w:history="1">
            <w:r w:rsidR="005477F1" w:rsidRPr="00435469">
              <w:rPr>
                <w:rStyle w:val="Hyperlink"/>
                <w:noProof/>
                <w:color w:val="auto"/>
                <w:sz w:val="20"/>
              </w:rPr>
              <w:t>7.1</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Modelling c</w:t>
            </w:r>
            <w:r w:rsidR="005477F1" w:rsidRPr="00435469">
              <w:rPr>
                <w:rStyle w:val="Hyperlink"/>
                <w:rFonts w:eastAsia="Yu Gothic Light"/>
                <w:noProof/>
                <w:color w:val="auto"/>
                <w:sz w:val="20"/>
              </w:rPr>
              <w:t>ure and failure</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_Toc103252938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28</w:t>
            </w:r>
            <w:r w:rsidR="005477F1" w:rsidRPr="00435469">
              <w:rPr>
                <w:noProof/>
                <w:webHidden/>
                <w:sz w:val="20"/>
              </w:rPr>
              <w:fldChar w:fldCharType="end"/>
            </w:r>
          </w:hyperlink>
        </w:p>
        <w:p w14:paraId="012202EF" w14:textId="114A06B2"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39" w:history="1">
            <w:r w:rsidR="005477F1" w:rsidRPr="00435469">
              <w:rPr>
                <w:rStyle w:val="Hyperlink"/>
                <w:noProof/>
                <w:color w:val="auto"/>
                <w:sz w:val="20"/>
              </w:rPr>
              <w:t>7.2</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Modelling treatment discontinuation</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_Toc103252939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28</w:t>
            </w:r>
            <w:r w:rsidR="005477F1" w:rsidRPr="00435469">
              <w:rPr>
                <w:noProof/>
                <w:webHidden/>
                <w:sz w:val="20"/>
              </w:rPr>
              <w:fldChar w:fldCharType="end"/>
            </w:r>
          </w:hyperlink>
        </w:p>
        <w:p w14:paraId="10D72BB9" w14:textId="02808006"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40" w:history="1">
            <w:r w:rsidR="005477F1" w:rsidRPr="00435469">
              <w:rPr>
                <w:rStyle w:val="Hyperlink"/>
                <w:noProof/>
                <w:color w:val="auto"/>
                <w:sz w:val="20"/>
              </w:rPr>
              <w:t>7.3</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Modelling tuberculosis deaths on treatment</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_Toc103252940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29</w:t>
            </w:r>
            <w:r w:rsidR="005477F1" w:rsidRPr="00435469">
              <w:rPr>
                <w:noProof/>
                <w:webHidden/>
                <w:sz w:val="20"/>
              </w:rPr>
              <w:fldChar w:fldCharType="end"/>
            </w:r>
          </w:hyperlink>
        </w:p>
        <w:p w14:paraId="29B501B8" w14:textId="49287418" w:rsidR="005477F1" w:rsidRPr="00435469" w:rsidRDefault="00000000">
          <w:pPr>
            <w:pStyle w:val="TOC2"/>
            <w:rPr>
              <w:rFonts w:asciiTheme="minorHAnsi" w:eastAsiaTheme="minorEastAsia" w:hAnsiTheme="minorHAnsi"/>
              <w:bCs w:val="0"/>
              <w:noProof/>
              <w:sz w:val="20"/>
              <w:lang w:val="en-ZA" w:eastAsia="en-ZA"/>
            </w:rPr>
          </w:pPr>
          <w:hyperlink w:anchor="_Toc103252941" w:history="1">
            <w:r w:rsidR="005477F1" w:rsidRPr="00435469">
              <w:rPr>
                <w:rStyle w:val="Hyperlink"/>
                <w:rFonts w:cs="Times New Roman"/>
                <w:noProof/>
                <w:color w:val="auto"/>
                <w:sz w:val="20"/>
              </w:rPr>
              <w:t>8.</w:t>
            </w:r>
            <w:r w:rsidR="005477F1" w:rsidRPr="00435469">
              <w:rPr>
                <w:rFonts w:asciiTheme="minorHAnsi" w:eastAsiaTheme="minorEastAsia" w:hAnsiTheme="minorHAnsi"/>
                <w:bCs w:val="0"/>
                <w:noProof/>
                <w:sz w:val="20"/>
                <w:lang w:val="en-ZA" w:eastAsia="en-ZA"/>
              </w:rPr>
              <w:tab/>
            </w:r>
            <w:r w:rsidR="005477F1" w:rsidRPr="00435469">
              <w:rPr>
                <w:rStyle w:val="Hyperlink"/>
                <w:rFonts w:cs="Times New Roman"/>
                <w:noProof/>
                <w:color w:val="auto"/>
                <w:sz w:val="20"/>
              </w:rPr>
              <w:t>Tuberculosis recurrence</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_Toc103252941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31</w:t>
            </w:r>
            <w:r w:rsidR="005477F1" w:rsidRPr="00435469">
              <w:rPr>
                <w:noProof/>
                <w:webHidden/>
                <w:sz w:val="20"/>
              </w:rPr>
              <w:fldChar w:fldCharType="end"/>
            </w:r>
          </w:hyperlink>
        </w:p>
        <w:p w14:paraId="200FC6F3" w14:textId="3AEA8392"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42" w:history="1">
            <w:r w:rsidR="005477F1" w:rsidRPr="00435469">
              <w:rPr>
                <w:rStyle w:val="Hyperlink"/>
                <w:noProof/>
                <w:color w:val="auto"/>
                <w:sz w:val="20"/>
              </w:rPr>
              <w:t>8.1</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Short-term post-treatment</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_Toc103252942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31</w:t>
            </w:r>
            <w:r w:rsidR="005477F1" w:rsidRPr="00435469">
              <w:rPr>
                <w:noProof/>
                <w:webHidden/>
                <w:sz w:val="20"/>
              </w:rPr>
              <w:fldChar w:fldCharType="end"/>
            </w:r>
          </w:hyperlink>
        </w:p>
        <w:p w14:paraId="185024F8" w14:textId="3FD87B11"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43" w:history="1">
            <w:r w:rsidR="005477F1" w:rsidRPr="00435469">
              <w:rPr>
                <w:rStyle w:val="Hyperlink"/>
                <w:noProof/>
                <w:color w:val="auto"/>
                <w:sz w:val="20"/>
              </w:rPr>
              <w:t>8.2</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Long-term post-treatment</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_Toc103252943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32</w:t>
            </w:r>
            <w:r w:rsidR="005477F1" w:rsidRPr="00435469">
              <w:rPr>
                <w:noProof/>
                <w:webHidden/>
                <w:sz w:val="20"/>
              </w:rPr>
              <w:fldChar w:fldCharType="end"/>
            </w:r>
          </w:hyperlink>
        </w:p>
        <w:p w14:paraId="55A70144" w14:textId="70BC55B1" w:rsidR="005477F1" w:rsidRPr="00435469" w:rsidRDefault="00000000">
          <w:pPr>
            <w:pStyle w:val="TOC2"/>
            <w:rPr>
              <w:rFonts w:asciiTheme="minorHAnsi" w:eastAsiaTheme="minorEastAsia" w:hAnsiTheme="minorHAnsi"/>
              <w:bCs w:val="0"/>
              <w:noProof/>
              <w:sz w:val="20"/>
              <w:lang w:val="en-ZA" w:eastAsia="en-ZA"/>
            </w:rPr>
          </w:pPr>
          <w:hyperlink w:anchor="_Toc103252944" w:history="1">
            <w:r w:rsidR="005477F1" w:rsidRPr="00435469">
              <w:rPr>
                <w:rStyle w:val="Hyperlink"/>
                <w:rFonts w:cs="Times New Roman"/>
                <w:noProof/>
                <w:color w:val="auto"/>
                <w:sz w:val="20"/>
              </w:rPr>
              <w:t>9.</w:t>
            </w:r>
            <w:r w:rsidR="005477F1" w:rsidRPr="00435469">
              <w:rPr>
                <w:rFonts w:asciiTheme="minorHAnsi" w:eastAsiaTheme="minorEastAsia" w:hAnsiTheme="minorHAnsi"/>
                <w:bCs w:val="0"/>
                <w:noProof/>
                <w:sz w:val="20"/>
                <w:lang w:val="en-ZA" w:eastAsia="en-ZA"/>
              </w:rPr>
              <w:tab/>
            </w:r>
            <w:r w:rsidR="005477F1" w:rsidRPr="00435469">
              <w:rPr>
                <w:rStyle w:val="Hyperlink"/>
                <w:rFonts w:cs="Times New Roman"/>
                <w:noProof/>
                <w:color w:val="auto"/>
                <w:sz w:val="20"/>
              </w:rPr>
              <w:t>Modelling the effect of isoniazid preventative therapy</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_Toc103252944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32</w:t>
            </w:r>
            <w:r w:rsidR="005477F1" w:rsidRPr="00435469">
              <w:rPr>
                <w:noProof/>
                <w:webHidden/>
                <w:sz w:val="20"/>
              </w:rPr>
              <w:fldChar w:fldCharType="end"/>
            </w:r>
          </w:hyperlink>
        </w:p>
        <w:p w14:paraId="02E8749F" w14:textId="4FA395BF"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45" w:history="1">
            <w:r w:rsidR="005477F1" w:rsidRPr="00435469">
              <w:rPr>
                <w:rStyle w:val="Hyperlink"/>
                <w:rFonts w:cs="Times New Roman"/>
                <w:noProof/>
                <w:color w:val="auto"/>
                <w:sz w:val="20"/>
              </w:rPr>
              <w:t>9.1</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Isoniazid preventative therapy</w:t>
            </w:r>
            <w:r w:rsidR="005477F1" w:rsidRPr="00435469">
              <w:rPr>
                <w:rStyle w:val="Hyperlink"/>
                <w:rFonts w:cs="Times New Roman"/>
                <w:bCs/>
                <w:noProof/>
                <w:color w:val="auto"/>
                <w:sz w:val="20"/>
              </w:rPr>
              <w:t xml:space="preserve"> initiation by LTBI/TST status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_Toc103252945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33</w:t>
            </w:r>
            <w:r w:rsidR="005477F1" w:rsidRPr="00435469">
              <w:rPr>
                <w:noProof/>
                <w:webHidden/>
                <w:sz w:val="20"/>
              </w:rPr>
              <w:fldChar w:fldCharType="end"/>
            </w:r>
          </w:hyperlink>
        </w:p>
        <w:p w14:paraId="2ACEAA91" w14:textId="1C0B6C86"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46" w:history="1">
            <w:r w:rsidR="005477F1" w:rsidRPr="00435469">
              <w:rPr>
                <w:rStyle w:val="Hyperlink"/>
                <w:rFonts w:cs="Times New Roman"/>
                <w:noProof/>
                <w:color w:val="auto"/>
                <w:sz w:val="20"/>
              </w:rPr>
              <w:t>9.2</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Isoniazid preventative therapy initiation by CD4 count</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_Toc103252946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33</w:t>
            </w:r>
            <w:r w:rsidR="005477F1" w:rsidRPr="00435469">
              <w:rPr>
                <w:noProof/>
                <w:webHidden/>
                <w:sz w:val="20"/>
              </w:rPr>
              <w:fldChar w:fldCharType="end"/>
            </w:r>
          </w:hyperlink>
        </w:p>
        <w:p w14:paraId="557235FF" w14:textId="5EB4FDCB"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47" w:history="1">
            <w:r w:rsidR="005477F1" w:rsidRPr="00435469">
              <w:rPr>
                <w:rStyle w:val="Hyperlink"/>
                <w:rFonts w:cs="Times New Roman"/>
                <w:noProof/>
                <w:color w:val="auto"/>
                <w:sz w:val="20"/>
              </w:rPr>
              <w:t>9.3</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Isoniazid preventative therapy initiation by ART status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_Toc103252947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33</w:t>
            </w:r>
            <w:r w:rsidR="005477F1" w:rsidRPr="00435469">
              <w:rPr>
                <w:noProof/>
                <w:webHidden/>
                <w:sz w:val="20"/>
              </w:rPr>
              <w:fldChar w:fldCharType="end"/>
            </w:r>
          </w:hyperlink>
        </w:p>
        <w:p w14:paraId="198E66C2" w14:textId="247B7C7A"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48" w:history="1">
            <w:r w:rsidR="005477F1" w:rsidRPr="00435469">
              <w:rPr>
                <w:rStyle w:val="Hyperlink"/>
                <w:rFonts w:cs="Times New Roman"/>
                <w:iCs/>
                <w:noProof/>
                <w:color w:val="auto"/>
                <w:sz w:val="20"/>
              </w:rPr>
              <w:t>9.4</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Isoniazid preventative therapy completion/drop-out</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_Toc103252948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34</w:t>
            </w:r>
            <w:r w:rsidR="005477F1" w:rsidRPr="00435469">
              <w:rPr>
                <w:noProof/>
                <w:webHidden/>
                <w:sz w:val="20"/>
              </w:rPr>
              <w:fldChar w:fldCharType="end"/>
            </w:r>
          </w:hyperlink>
        </w:p>
        <w:p w14:paraId="0708E244" w14:textId="63B01D73"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49" w:history="1">
            <w:r w:rsidR="005477F1" w:rsidRPr="00435469">
              <w:rPr>
                <w:rStyle w:val="Hyperlink"/>
                <w:rFonts w:cs="Times New Roman"/>
                <w:iCs/>
                <w:noProof/>
                <w:color w:val="auto"/>
                <w:sz w:val="20"/>
              </w:rPr>
              <w:t>9.5</w:t>
            </w:r>
            <w:r w:rsidR="005477F1" w:rsidRPr="00435469">
              <w:rPr>
                <w:rFonts w:asciiTheme="minorHAnsi" w:eastAsiaTheme="minorEastAsia" w:hAnsiTheme="minorHAnsi"/>
                <w:noProof/>
                <w:sz w:val="20"/>
                <w:lang w:val="en-ZA" w:eastAsia="en-ZA"/>
              </w:rPr>
              <w:tab/>
            </w:r>
            <w:r w:rsidR="005477F1" w:rsidRPr="00435469">
              <w:rPr>
                <w:rStyle w:val="Hyperlink"/>
                <w:rFonts w:cs="Times New Roman"/>
                <w:iCs/>
                <w:noProof/>
                <w:color w:val="auto"/>
                <w:sz w:val="20"/>
              </w:rPr>
              <w:t>Effectiveness of i</w:t>
            </w:r>
            <w:r w:rsidR="005477F1" w:rsidRPr="00435469">
              <w:rPr>
                <w:rStyle w:val="Hyperlink"/>
                <w:rFonts w:cs="Times New Roman"/>
                <w:noProof/>
                <w:color w:val="auto"/>
                <w:sz w:val="20"/>
              </w:rPr>
              <w:t>soniazid preventative therapy</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_Toc103252949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34</w:t>
            </w:r>
            <w:r w:rsidR="005477F1" w:rsidRPr="00435469">
              <w:rPr>
                <w:noProof/>
                <w:webHidden/>
                <w:sz w:val="20"/>
              </w:rPr>
              <w:fldChar w:fldCharType="end"/>
            </w:r>
          </w:hyperlink>
        </w:p>
        <w:p w14:paraId="7ADD109C" w14:textId="5D49BDC1" w:rsidR="005477F1" w:rsidRPr="00435469" w:rsidRDefault="00000000">
          <w:pPr>
            <w:pStyle w:val="TOC2"/>
            <w:rPr>
              <w:rFonts w:asciiTheme="minorHAnsi" w:eastAsiaTheme="minorEastAsia" w:hAnsiTheme="minorHAnsi"/>
              <w:bCs w:val="0"/>
              <w:noProof/>
              <w:sz w:val="20"/>
              <w:lang w:val="en-ZA" w:eastAsia="en-ZA"/>
            </w:rPr>
          </w:pPr>
          <w:hyperlink w:anchor="_Toc103252950" w:history="1">
            <w:r w:rsidR="005477F1" w:rsidRPr="00435469">
              <w:rPr>
                <w:rStyle w:val="Hyperlink"/>
                <w:rFonts w:cs="Times New Roman"/>
                <w:noProof/>
                <w:color w:val="auto"/>
                <w:sz w:val="20"/>
              </w:rPr>
              <w:t>10.</w:t>
            </w:r>
            <w:r w:rsidR="005477F1" w:rsidRPr="00435469">
              <w:rPr>
                <w:rFonts w:asciiTheme="minorHAnsi" w:eastAsiaTheme="minorEastAsia" w:hAnsiTheme="minorHAnsi"/>
                <w:bCs w:val="0"/>
                <w:noProof/>
                <w:sz w:val="20"/>
                <w:lang w:val="en-ZA" w:eastAsia="en-ZA"/>
              </w:rPr>
              <w:tab/>
            </w:r>
            <w:r w:rsidR="005477F1" w:rsidRPr="00435469">
              <w:rPr>
                <w:rStyle w:val="Hyperlink"/>
                <w:rFonts w:cs="Times New Roman"/>
                <w:noProof/>
                <w:color w:val="auto"/>
                <w:sz w:val="20"/>
              </w:rPr>
              <w:t>Modelling the effect of tuberculosis risk factors on tuberculosis incidence</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_Toc103252950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34</w:t>
            </w:r>
            <w:r w:rsidR="005477F1" w:rsidRPr="00435469">
              <w:rPr>
                <w:noProof/>
                <w:webHidden/>
                <w:sz w:val="20"/>
              </w:rPr>
              <w:fldChar w:fldCharType="end"/>
            </w:r>
          </w:hyperlink>
        </w:p>
        <w:p w14:paraId="0DD31C92" w14:textId="60F8C211"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51" w:history="1">
            <w:r w:rsidR="005477F1" w:rsidRPr="00435469">
              <w:rPr>
                <w:rStyle w:val="Hyperlink"/>
                <w:rFonts w:cs="Times New Roman"/>
                <w:noProof/>
                <w:color w:val="auto"/>
                <w:sz w:val="20"/>
              </w:rPr>
              <w:t>10.1</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Poorly controlled diabetes (HbA1c &gt; 6.5%)</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_Toc103252951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35</w:t>
            </w:r>
            <w:r w:rsidR="005477F1" w:rsidRPr="00435469">
              <w:rPr>
                <w:noProof/>
                <w:webHidden/>
                <w:sz w:val="20"/>
              </w:rPr>
              <w:fldChar w:fldCharType="end"/>
            </w:r>
          </w:hyperlink>
        </w:p>
        <w:p w14:paraId="76FBD617" w14:textId="444AA8FC"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52" w:history="1">
            <w:r w:rsidR="005477F1" w:rsidRPr="00435469">
              <w:rPr>
                <w:rStyle w:val="Hyperlink"/>
                <w:rFonts w:cs="Times New Roman"/>
                <w:noProof/>
                <w:color w:val="auto"/>
                <w:sz w:val="20"/>
              </w:rPr>
              <w:t>10.2</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Underweight (</w:t>
            </w:r>
            <w:r w:rsidR="005477F1" w:rsidRPr="00435469">
              <w:rPr>
                <w:rStyle w:val="Hyperlink"/>
                <w:rFonts w:cs="Times New Roman"/>
                <w:noProof/>
                <w:color w:val="auto"/>
                <w:sz w:val="20"/>
                <w:lang w:val="en-ZA"/>
              </w:rPr>
              <w:t>BMI &lt;18.5 kg/m²)</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_Toc103252952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35</w:t>
            </w:r>
            <w:r w:rsidR="005477F1" w:rsidRPr="00435469">
              <w:rPr>
                <w:noProof/>
                <w:webHidden/>
                <w:sz w:val="20"/>
              </w:rPr>
              <w:fldChar w:fldCharType="end"/>
            </w:r>
          </w:hyperlink>
        </w:p>
        <w:p w14:paraId="36513461" w14:textId="12507136"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53" w:history="1">
            <w:r w:rsidR="005477F1" w:rsidRPr="00435469">
              <w:rPr>
                <w:rStyle w:val="Hyperlink"/>
                <w:rFonts w:cs="Times New Roman"/>
                <w:noProof/>
                <w:color w:val="auto"/>
                <w:sz w:val="20"/>
              </w:rPr>
              <w:t>10.3</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Tobacco smoking</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_Toc103252953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35</w:t>
            </w:r>
            <w:r w:rsidR="005477F1" w:rsidRPr="00435469">
              <w:rPr>
                <w:noProof/>
                <w:webHidden/>
                <w:sz w:val="20"/>
              </w:rPr>
              <w:fldChar w:fldCharType="end"/>
            </w:r>
          </w:hyperlink>
        </w:p>
        <w:p w14:paraId="6453492C" w14:textId="1DA04803"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54" w:history="1">
            <w:r w:rsidR="005477F1" w:rsidRPr="00435469">
              <w:rPr>
                <w:rStyle w:val="Hyperlink"/>
                <w:rFonts w:cs="Times New Roman"/>
                <w:noProof/>
                <w:color w:val="auto"/>
                <w:sz w:val="20"/>
              </w:rPr>
              <w:t>10.4</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Alcohol abuse</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_Toc103252954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36</w:t>
            </w:r>
            <w:r w:rsidR="005477F1" w:rsidRPr="00435469">
              <w:rPr>
                <w:noProof/>
                <w:webHidden/>
                <w:sz w:val="20"/>
              </w:rPr>
              <w:fldChar w:fldCharType="end"/>
            </w:r>
          </w:hyperlink>
        </w:p>
        <w:p w14:paraId="6A2B1850" w14:textId="32FB1D6F"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55" w:history="1">
            <w:r w:rsidR="005477F1" w:rsidRPr="00435469">
              <w:rPr>
                <w:rStyle w:val="Hyperlink"/>
                <w:rFonts w:cs="Times New Roman"/>
                <w:noProof/>
                <w:color w:val="auto"/>
                <w:sz w:val="20"/>
              </w:rPr>
              <w:t>10.5</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Combined effect of TB risk factors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_Toc103252955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37</w:t>
            </w:r>
            <w:r w:rsidR="005477F1" w:rsidRPr="00435469">
              <w:rPr>
                <w:noProof/>
                <w:webHidden/>
                <w:sz w:val="20"/>
              </w:rPr>
              <w:fldChar w:fldCharType="end"/>
            </w:r>
          </w:hyperlink>
        </w:p>
        <w:p w14:paraId="1250B485" w14:textId="6339F423" w:rsidR="005477F1" w:rsidRPr="00435469" w:rsidRDefault="00000000">
          <w:pPr>
            <w:pStyle w:val="TOC2"/>
            <w:rPr>
              <w:rFonts w:asciiTheme="minorHAnsi" w:eastAsiaTheme="minorEastAsia" w:hAnsiTheme="minorHAnsi"/>
              <w:bCs w:val="0"/>
              <w:noProof/>
              <w:sz w:val="20"/>
              <w:lang w:val="en-ZA" w:eastAsia="en-ZA"/>
            </w:rPr>
          </w:pPr>
          <w:hyperlink w:anchor="_Toc103252956" w:history="1">
            <w:r w:rsidR="005477F1" w:rsidRPr="00435469">
              <w:rPr>
                <w:rStyle w:val="Hyperlink"/>
                <w:rFonts w:cs="Times New Roman"/>
                <w:noProof/>
                <w:color w:val="auto"/>
                <w:sz w:val="20"/>
              </w:rPr>
              <w:t>11.</w:t>
            </w:r>
            <w:r w:rsidR="005477F1" w:rsidRPr="00435469">
              <w:rPr>
                <w:rFonts w:asciiTheme="minorHAnsi" w:eastAsiaTheme="minorEastAsia" w:hAnsiTheme="minorHAnsi"/>
                <w:bCs w:val="0"/>
                <w:noProof/>
                <w:sz w:val="20"/>
                <w:lang w:val="en-ZA" w:eastAsia="en-ZA"/>
              </w:rPr>
              <w:tab/>
            </w:r>
            <w:r w:rsidR="005477F1" w:rsidRPr="00435469">
              <w:rPr>
                <w:rStyle w:val="Hyperlink"/>
                <w:rFonts w:cs="Times New Roman"/>
                <w:noProof/>
                <w:color w:val="auto"/>
                <w:sz w:val="20"/>
              </w:rPr>
              <w:t>Calibration data sources and defining likelihoods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_Toc103252956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38</w:t>
            </w:r>
            <w:r w:rsidR="005477F1" w:rsidRPr="00435469">
              <w:rPr>
                <w:noProof/>
                <w:webHidden/>
                <w:sz w:val="20"/>
              </w:rPr>
              <w:fldChar w:fldCharType="end"/>
            </w:r>
          </w:hyperlink>
        </w:p>
        <w:p w14:paraId="3D2A04AB" w14:textId="5EBE1BB0"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57" w:history="1">
            <w:r w:rsidR="005477F1" w:rsidRPr="00435469">
              <w:rPr>
                <w:rStyle w:val="Hyperlink"/>
                <w:noProof/>
                <w:color w:val="auto"/>
                <w:sz w:val="20"/>
              </w:rPr>
              <w:t>11.1</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The likelihood for recorded number of tuberculosis deaths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_Toc103252957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39</w:t>
            </w:r>
            <w:r w:rsidR="005477F1" w:rsidRPr="00435469">
              <w:rPr>
                <w:noProof/>
                <w:webHidden/>
                <w:sz w:val="20"/>
              </w:rPr>
              <w:fldChar w:fldCharType="end"/>
            </w:r>
          </w:hyperlink>
        </w:p>
        <w:p w14:paraId="1001F05C" w14:textId="2D4C0961"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58" w:history="1">
            <w:r w:rsidR="005477F1" w:rsidRPr="00435469">
              <w:rPr>
                <w:rStyle w:val="Hyperlink"/>
                <w:noProof/>
                <w:color w:val="auto"/>
                <w:sz w:val="20"/>
              </w:rPr>
              <w:t>11.2</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The likelihood for expected tuberculosis deaths in people living with HIV</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_Toc103252958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42</w:t>
            </w:r>
            <w:r w:rsidR="005477F1" w:rsidRPr="00435469">
              <w:rPr>
                <w:noProof/>
                <w:webHidden/>
                <w:sz w:val="20"/>
              </w:rPr>
              <w:fldChar w:fldCharType="end"/>
            </w:r>
          </w:hyperlink>
        </w:p>
        <w:p w14:paraId="356EC3E7" w14:textId="6E21238A"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59" w:history="1">
            <w:r w:rsidR="005477F1" w:rsidRPr="00435469">
              <w:rPr>
                <w:rStyle w:val="Hyperlink"/>
                <w:noProof/>
                <w:color w:val="auto"/>
                <w:sz w:val="20"/>
              </w:rPr>
              <w:t>11.3</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The likelihood for recorded number of tuberculosis cases initiated on treatment</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_Toc103252959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43</w:t>
            </w:r>
            <w:r w:rsidR="005477F1" w:rsidRPr="00435469">
              <w:rPr>
                <w:noProof/>
                <w:webHidden/>
                <w:sz w:val="20"/>
              </w:rPr>
              <w:fldChar w:fldCharType="end"/>
            </w:r>
          </w:hyperlink>
        </w:p>
        <w:p w14:paraId="755E3D85" w14:textId="00DA7371"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60" w:history="1">
            <w:r w:rsidR="005477F1" w:rsidRPr="00435469">
              <w:rPr>
                <w:rStyle w:val="Hyperlink"/>
                <w:noProof/>
                <w:color w:val="auto"/>
                <w:sz w:val="20"/>
              </w:rPr>
              <w:t>11.4</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The likelihood for tuberculosis deaths in the electronic tuberculosis treatment register</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_Toc103252960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45</w:t>
            </w:r>
            <w:r w:rsidR="005477F1" w:rsidRPr="00435469">
              <w:rPr>
                <w:noProof/>
                <w:webHidden/>
                <w:sz w:val="20"/>
              </w:rPr>
              <w:fldChar w:fldCharType="end"/>
            </w:r>
          </w:hyperlink>
        </w:p>
        <w:p w14:paraId="3B6B17E5" w14:textId="1C533B16"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61" w:history="1">
            <w:r w:rsidR="005477F1" w:rsidRPr="00435469">
              <w:rPr>
                <w:rStyle w:val="Hyperlink"/>
                <w:noProof/>
                <w:color w:val="auto"/>
                <w:sz w:val="20"/>
              </w:rPr>
              <w:t>11.5</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The likelihood for HIV prevalence in the electronic tuberculosis register</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_Toc103252961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45</w:t>
            </w:r>
            <w:r w:rsidR="005477F1" w:rsidRPr="00435469">
              <w:rPr>
                <w:noProof/>
                <w:webHidden/>
                <w:sz w:val="20"/>
              </w:rPr>
              <w:fldChar w:fldCharType="end"/>
            </w:r>
          </w:hyperlink>
        </w:p>
        <w:p w14:paraId="16807A58" w14:textId="077F62F0"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62" w:history="1">
            <w:r w:rsidR="005477F1" w:rsidRPr="00435469">
              <w:rPr>
                <w:rStyle w:val="Hyperlink"/>
                <w:noProof/>
                <w:color w:val="auto"/>
                <w:sz w:val="20"/>
              </w:rPr>
              <w:t>11.6</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 xml:space="preserve">The likelihood for the numbers of </w:t>
            </w:r>
            <w:r w:rsidR="005477F1" w:rsidRPr="00435469">
              <w:rPr>
                <w:rStyle w:val="Hyperlink"/>
                <w:rFonts w:cs="Times New Roman"/>
                <w:noProof/>
                <w:color w:val="auto"/>
                <w:sz w:val="20"/>
              </w:rPr>
              <w:t xml:space="preserve">microbiological </w:t>
            </w:r>
            <w:r w:rsidR="005477F1" w:rsidRPr="00435469">
              <w:rPr>
                <w:rStyle w:val="Hyperlink"/>
                <w:noProof/>
                <w:color w:val="auto"/>
                <w:sz w:val="20"/>
              </w:rPr>
              <w:t>tuberculosis tests performed</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_Toc103252962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46</w:t>
            </w:r>
            <w:r w:rsidR="005477F1" w:rsidRPr="00435469">
              <w:rPr>
                <w:noProof/>
                <w:webHidden/>
                <w:sz w:val="20"/>
              </w:rPr>
              <w:fldChar w:fldCharType="end"/>
            </w:r>
          </w:hyperlink>
        </w:p>
        <w:p w14:paraId="59E246C0" w14:textId="423176A3"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63" w:history="1">
            <w:r w:rsidR="005477F1" w:rsidRPr="00435469">
              <w:rPr>
                <w:rStyle w:val="Hyperlink"/>
                <w:noProof/>
                <w:color w:val="auto"/>
                <w:sz w:val="20"/>
              </w:rPr>
              <w:t>11.7</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The likelihood for the prevalence of bacteriologically confirmed active tuberculosis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_Toc103252963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46</w:t>
            </w:r>
            <w:r w:rsidR="005477F1" w:rsidRPr="00435469">
              <w:rPr>
                <w:noProof/>
                <w:webHidden/>
                <w:sz w:val="20"/>
              </w:rPr>
              <w:fldChar w:fldCharType="end"/>
            </w:r>
          </w:hyperlink>
        </w:p>
        <w:p w14:paraId="58C12A36" w14:textId="0545B0B6"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64" w:history="1">
            <w:r w:rsidR="005477F1" w:rsidRPr="00435469">
              <w:rPr>
                <w:rStyle w:val="Hyperlink"/>
                <w:rFonts w:cs="Times New Roman"/>
                <w:noProof/>
                <w:color w:val="auto"/>
                <w:sz w:val="20"/>
              </w:rPr>
              <w:t>11.8</w:t>
            </w:r>
            <w:r w:rsidR="005477F1" w:rsidRPr="00435469">
              <w:rPr>
                <w:rFonts w:asciiTheme="minorHAnsi" w:eastAsiaTheme="minorEastAsia" w:hAnsiTheme="minorHAnsi"/>
                <w:noProof/>
                <w:sz w:val="20"/>
                <w:lang w:val="en-ZA" w:eastAsia="en-ZA"/>
              </w:rPr>
              <w:tab/>
            </w:r>
            <w:r w:rsidR="005477F1" w:rsidRPr="00435469">
              <w:rPr>
                <w:rStyle w:val="Hyperlink"/>
                <w:rFonts w:cs="Times New Roman"/>
                <w:noProof/>
                <w:color w:val="auto"/>
                <w:sz w:val="20"/>
              </w:rPr>
              <w:t>Generating posterior distributions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_Toc103252964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47</w:t>
            </w:r>
            <w:r w:rsidR="005477F1" w:rsidRPr="00435469">
              <w:rPr>
                <w:noProof/>
                <w:webHidden/>
                <w:sz w:val="20"/>
              </w:rPr>
              <w:fldChar w:fldCharType="end"/>
            </w:r>
          </w:hyperlink>
        </w:p>
        <w:p w14:paraId="057D3A21" w14:textId="50852406" w:rsidR="005477F1" w:rsidRPr="00435469" w:rsidRDefault="00000000">
          <w:pPr>
            <w:pStyle w:val="TOC2"/>
            <w:rPr>
              <w:rFonts w:asciiTheme="minorHAnsi" w:eastAsiaTheme="minorEastAsia" w:hAnsiTheme="minorHAnsi"/>
              <w:bCs w:val="0"/>
              <w:noProof/>
              <w:sz w:val="20"/>
              <w:lang w:val="en-ZA" w:eastAsia="en-ZA"/>
            </w:rPr>
          </w:pPr>
          <w:hyperlink w:anchor="_Toc103252965" w:history="1">
            <w:r w:rsidR="005477F1" w:rsidRPr="00435469">
              <w:rPr>
                <w:rStyle w:val="Hyperlink"/>
                <w:noProof/>
                <w:color w:val="auto"/>
                <w:sz w:val="20"/>
              </w:rPr>
              <w:t>12.</w:t>
            </w:r>
            <w:r w:rsidR="005477F1" w:rsidRPr="00435469">
              <w:rPr>
                <w:rFonts w:asciiTheme="minorHAnsi" w:eastAsiaTheme="minorEastAsia" w:hAnsiTheme="minorHAnsi"/>
                <w:bCs w:val="0"/>
                <w:noProof/>
                <w:sz w:val="20"/>
                <w:lang w:val="en-ZA" w:eastAsia="en-ZA"/>
              </w:rPr>
              <w:tab/>
            </w:r>
            <w:r w:rsidR="005477F1" w:rsidRPr="00435469">
              <w:rPr>
                <w:rStyle w:val="Hyperlink"/>
                <w:noProof/>
                <w:color w:val="auto"/>
                <w:sz w:val="20"/>
              </w:rPr>
              <w:t>Results from model calibration</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_Toc103252965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49</w:t>
            </w:r>
            <w:r w:rsidR="005477F1" w:rsidRPr="00435469">
              <w:rPr>
                <w:noProof/>
                <w:webHidden/>
                <w:sz w:val="20"/>
              </w:rPr>
              <w:fldChar w:fldCharType="end"/>
            </w:r>
          </w:hyperlink>
        </w:p>
        <w:p w14:paraId="302BB5AB" w14:textId="5C8F341F"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66" w:history="1">
            <w:r w:rsidR="005477F1" w:rsidRPr="00435469">
              <w:rPr>
                <w:rStyle w:val="Hyperlink"/>
                <w:noProof/>
                <w:color w:val="auto"/>
                <w:sz w:val="20"/>
              </w:rPr>
              <w:t>12.1</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Comparison of prior and posterior distributions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_Toc103252966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49</w:t>
            </w:r>
            <w:r w:rsidR="005477F1" w:rsidRPr="00435469">
              <w:rPr>
                <w:noProof/>
                <w:webHidden/>
                <w:sz w:val="20"/>
              </w:rPr>
              <w:fldChar w:fldCharType="end"/>
            </w:r>
          </w:hyperlink>
        </w:p>
        <w:p w14:paraId="17E52502" w14:textId="3CAC1C03" w:rsidR="005477F1" w:rsidRPr="00435469" w:rsidRDefault="00000000">
          <w:pPr>
            <w:pStyle w:val="TOC3"/>
            <w:tabs>
              <w:tab w:val="left" w:pos="880"/>
              <w:tab w:val="right" w:leader="dot" w:pos="8636"/>
            </w:tabs>
            <w:rPr>
              <w:rFonts w:asciiTheme="minorHAnsi" w:eastAsiaTheme="minorEastAsia" w:hAnsiTheme="minorHAnsi"/>
              <w:noProof/>
              <w:sz w:val="20"/>
              <w:lang w:val="en-ZA" w:eastAsia="en-ZA"/>
            </w:rPr>
          </w:pPr>
          <w:hyperlink w:anchor="_Toc103252967" w:history="1">
            <w:r w:rsidR="005477F1" w:rsidRPr="00435469">
              <w:rPr>
                <w:rStyle w:val="Hyperlink"/>
                <w:noProof/>
                <w:color w:val="auto"/>
                <w:sz w:val="20"/>
              </w:rPr>
              <w:t>12.2</w:t>
            </w:r>
            <w:r w:rsidR="005477F1" w:rsidRPr="00435469">
              <w:rPr>
                <w:rFonts w:asciiTheme="minorHAnsi" w:eastAsiaTheme="minorEastAsia" w:hAnsiTheme="minorHAnsi"/>
                <w:noProof/>
                <w:sz w:val="20"/>
                <w:lang w:val="en-ZA" w:eastAsia="en-ZA"/>
              </w:rPr>
              <w:tab/>
            </w:r>
            <w:r w:rsidR="005477F1" w:rsidRPr="00435469">
              <w:rPr>
                <w:rStyle w:val="Hyperlink"/>
                <w:noProof/>
                <w:color w:val="auto"/>
                <w:sz w:val="20"/>
              </w:rPr>
              <w:t>Calibration graphs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_Toc103252967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50</w:t>
            </w:r>
            <w:r w:rsidR="005477F1" w:rsidRPr="00435469">
              <w:rPr>
                <w:noProof/>
                <w:webHidden/>
                <w:sz w:val="20"/>
              </w:rPr>
              <w:fldChar w:fldCharType="end"/>
            </w:r>
          </w:hyperlink>
        </w:p>
        <w:p w14:paraId="4CC986EE" w14:textId="7FD6173C" w:rsidR="005477F1" w:rsidRPr="00435469" w:rsidRDefault="00000000">
          <w:pPr>
            <w:pStyle w:val="TOC2"/>
            <w:rPr>
              <w:rFonts w:asciiTheme="minorHAnsi" w:eastAsiaTheme="minorEastAsia" w:hAnsiTheme="minorHAnsi"/>
              <w:bCs w:val="0"/>
              <w:noProof/>
              <w:sz w:val="20"/>
              <w:lang w:val="en-ZA" w:eastAsia="en-ZA"/>
            </w:rPr>
          </w:pPr>
          <w:hyperlink w:anchor="_Toc103252968" w:history="1">
            <w:r w:rsidR="005477F1" w:rsidRPr="00435469">
              <w:rPr>
                <w:rStyle w:val="Hyperlink"/>
                <w:noProof/>
                <w:color w:val="auto"/>
                <w:sz w:val="20"/>
              </w:rPr>
              <w:t>13.</w:t>
            </w:r>
            <w:r w:rsidR="005477F1" w:rsidRPr="00435469">
              <w:rPr>
                <w:rFonts w:asciiTheme="minorHAnsi" w:eastAsiaTheme="minorEastAsia" w:hAnsiTheme="minorHAnsi"/>
                <w:bCs w:val="0"/>
                <w:noProof/>
                <w:sz w:val="20"/>
                <w:lang w:val="en-ZA" w:eastAsia="en-ZA"/>
              </w:rPr>
              <w:tab/>
            </w:r>
            <w:r w:rsidR="005477F1" w:rsidRPr="00435469">
              <w:rPr>
                <w:rStyle w:val="Hyperlink"/>
                <w:noProof/>
                <w:color w:val="auto"/>
                <w:sz w:val="20"/>
              </w:rPr>
              <w:t>Comparison with other model estimates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_Toc103252968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56</w:t>
            </w:r>
            <w:r w:rsidR="005477F1" w:rsidRPr="00435469">
              <w:rPr>
                <w:noProof/>
                <w:webHidden/>
                <w:sz w:val="20"/>
              </w:rPr>
              <w:fldChar w:fldCharType="end"/>
            </w:r>
          </w:hyperlink>
        </w:p>
        <w:p w14:paraId="6A4A440E" w14:textId="4A530375" w:rsidR="005477F1" w:rsidRPr="00435469" w:rsidRDefault="00000000">
          <w:pPr>
            <w:pStyle w:val="TOC2"/>
            <w:rPr>
              <w:rFonts w:asciiTheme="minorHAnsi" w:eastAsiaTheme="minorEastAsia" w:hAnsiTheme="minorHAnsi"/>
              <w:bCs w:val="0"/>
              <w:noProof/>
              <w:sz w:val="20"/>
              <w:lang w:val="en-ZA" w:eastAsia="en-ZA"/>
            </w:rPr>
          </w:pPr>
          <w:hyperlink w:anchor="_Toc103252969" w:history="1">
            <w:r w:rsidR="005477F1" w:rsidRPr="00435469">
              <w:rPr>
                <w:rStyle w:val="Hyperlink"/>
                <w:noProof/>
                <w:color w:val="auto"/>
                <w:sz w:val="20"/>
              </w:rPr>
              <w:t>14.</w:t>
            </w:r>
            <w:r w:rsidR="005477F1" w:rsidRPr="00435469">
              <w:rPr>
                <w:rFonts w:asciiTheme="minorHAnsi" w:eastAsiaTheme="minorEastAsia" w:hAnsiTheme="minorHAnsi"/>
                <w:bCs w:val="0"/>
                <w:noProof/>
                <w:sz w:val="20"/>
                <w:lang w:val="en-ZA" w:eastAsia="en-ZA"/>
              </w:rPr>
              <w:tab/>
            </w:r>
            <w:r w:rsidR="005477F1" w:rsidRPr="00435469">
              <w:rPr>
                <w:rStyle w:val="Hyperlink"/>
                <w:noProof/>
                <w:color w:val="auto"/>
                <w:sz w:val="20"/>
              </w:rPr>
              <w:t>References</w:t>
            </w:r>
            <w:r w:rsidR="005477F1" w:rsidRPr="00435469">
              <w:rPr>
                <w:noProof/>
                <w:webHidden/>
                <w:sz w:val="20"/>
              </w:rPr>
              <w:tab/>
            </w:r>
            <w:r w:rsidR="005477F1" w:rsidRPr="00435469">
              <w:rPr>
                <w:noProof/>
                <w:webHidden/>
                <w:sz w:val="20"/>
              </w:rPr>
              <w:fldChar w:fldCharType="begin"/>
            </w:r>
            <w:r w:rsidR="005477F1" w:rsidRPr="00435469">
              <w:rPr>
                <w:noProof/>
                <w:webHidden/>
                <w:sz w:val="20"/>
              </w:rPr>
              <w:instrText xml:space="preserve"> PAGEREF _Toc103252969 \h </w:instrText>
            </w:r>
            <w:r w:rsidR="005477F1" w:rsidRPr="00435469">
              <w:rPr>
                <w:noProof/>
                <w:webHidden/>
                <w:sz w:val="20"/>
              </w:rPr>
            </w:r>
            <w:r w:rsidR="005477F1" w:rsidRPr="00435469">
              <w:rPr>
                <w:noProof/>
                <w:webHidden/>
                <w:sz w:val="20"/>
              </w:rPr>
              <w:fldChar w:fldCharType="separate"/>
            </w:r>
            <w:r w:rsidR="00186C2F" w:rsidRPr="00435469">
              <w:rPr>
                <w:noProof/>
                <w:webHidden/>
                <w:sz w:val="20"/>
              </w:rPr>
              <w:t>60</w:t>
            </w:r>
            <w:r w:rsidR="005477F1" w:rsidRPr="00435469">
              <w:rPr>
                <w:noProof/>
                <w:webHidden/>
                <w:sz w:val="20"/>
              </w:rPr>
              <w:fldChar w:fldCharType="end"/>
            </w:r>
          </w:hyperlink>
        </w:p>
        <w:p w14:paraId="178DCA88" w14:textId="64AF1245" w:rsidR="00DF747A" w:rsidRPr="00435469" w:rsidRDefault="00DF747A" w:rsidP="00955FFB">
          <w:pPr>
            <w:tabs>
              <w:tab w:val="right" w:pos="8646"/>
            </w:tabs>
            <w:spacing w:line="240" w:lineRule="auto"/>
            <w:rPr>
              <w:noProof/>
              <w:sz w:val="20"/>
              <w:szCs w:val="20"/>
            </w:rPr>
          </w:pPr>
          <w:r w:rsidRPr="00435469">
            <w:rPr>
              <w:b/>
              <w:bCs/>
              <w:noProof/>
              <w:sz w:val="20"/>
              <w:szCs w:val="20"/>
            </w:rPr>
            <w:fldChar w:fldCharType="end"/>
          </w:r>
          <w:r w:rsidRPr="00435469">
            <w:rPr>
              <w:b/>
              <w:bCs/>
              <w:noProof/>
              <w:sz w:val="20"/>
              <w:szCs w:val="20"/>
            </w:rPr>
            <w:tab/>
          </w:r>
        </w:p>
      </w:sdtContent>
    </w:sdt>
    <w:p w14:paraId="359F8F4F" w14:textId="77777777" w:rsidR="00DF747A" w:rsidRPr="00435469" w:rsidRDefault="00DF747A" w:rsidP="00955FFB">
      <w:pPr>
        <w:pStyle w:val="TableofFigures"/>
        <w:tabs>
          <w:tab w:val="right" w:leader="dot" w:pos="8636"/>
        </w:tabs>
        <w:ind w:left="0" w:firstLine="0"/>
        <w:rPr>
          <w:b/>
          <w:bCs/>
          <w:sz w:val="20"/>
          <w:szCs w:val="20"/>
        </w:rPr>
      </w:pPr>
      <w:r w:rsidRPr="00435469">
        <w:rPr>
          <w:b/>
          <w:bCs/>
          <w:sz w:val="20"/>
          <w:szCs w:val="20"/>
        </w:rPr>
        <w:t>List of tables</w:t>
      </w:r>
    </w:p>
    <w:p w14:paraId="2E568544" w14:textId="7777A0D6" w:rsidR="002F48BA" w:rsidRPr="00435469" w:rsidRDefault="00DF747A">
      <w:pPr>
        <w:pStyle w:val="TableofFigures"/>
        <w:tabs>
          <w:tab w:val="right" w:leader="dot" w:pos="8636"/>
        </w:tabs>
        <w:rPr>
          <w:rFonts w:asciiTheme="minorHAnsi" w:eastAsiaTheme="minorEastAsia" w:hAnsiTheme="minorHAnsi"/>
          <w:noProof/>
          <w:sz w:val="20"/>
          <w:szCs w:val="20"/>
          <w:lang w:val="en-ZA" w:eastAsia="en-ZA"/>
        </w:rPr>
      </w:pPr>
      <w:r w:rsidRPr="00435469">
        <w:rPr>
          <w:sz w:val="20"/>
          <w:szCs w:val="20"/>
        </w:rPr>
        <w:fldChar w:fldCharType="begin"/>
      </w:r>
      <w:r w:rsidRPr="00435469">
        <w:rPr>
          <w:sz w:val="20"/>
          <w:szCs w:val="20"/>
        </w:rPr>
        <w:instrText xml:space="preserve"> TOC \h \z \c "Table" </w:instrText>
      </w:r>
      <w:r w:rsidRPr="00435469">
        <w:rPr>
          <w:sz w:val="20"/>
          <w:szCs w:val="20"/>
        </w:rPr>
        <w:fldChar w:fldCharType="separate"/>
      </w:r>
      <w:hyperlink w:anchor="_Toc103253654" w:history="1">
        <w:r w:rsidR="002F48BA" w:rsidRPr="00435469">
          <w:rPr>
            <w:rStyle w:val="Hyperlink"/>
            <w:noProof/>
            <w:color w:val="auto"/>
            <w:sz w:val="20"/>
            <w:szCs w:val="20"/>
          </w:rPr>
          <w:t>Table 1: Changes in average CD4 count after ART initiation</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_Toc103253654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6</w:t>
        </w:r>
        <w:r w:rsidR="002F48BA" w:rsidRPr="00435469">
          <w:rPr>
            <w:noProof/>
            <w:webHidden/>
            <w:sz w:val="20"/>
            <w:szCs w:val="20"/>
          </w:rPr>
          <w:fldChar w:fldCharType="end"/>
        </w:r>
      </w:hyperlink>
    </w:p>
    <w:p w14:paraId="48435014" w14:textId="27CFB1EC"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55" w:history="1">
        <w:r w:rsidR="002F48BA" w:rsidRPr="00435469">
          <w:rPr>
            <w:rStyle w:val="Hyperlink"/>
            <w:noProof/>
            <w:color w:val="auto"/>
            <w:sz w:val="20"/>
            <w:szCs w:val="20"/>
          </w:rPr>
          <w:t>Table 2: Latent tuberculosis prevalence in HIV-negative individuals</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_Toc103253655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7</w:t>
        </w:r>
        <w:r w:rsidR="002F48BA" w:rsidRPr="00435469">
          <w:rPr>
            <w:noProof/>
            <w:webHidden/>
            <w:sz w:val="20"/>
            <w:szCs w:val="20"/>
          </w:rPr>
          <w:fldChar w:fldCharType="end"/>
        </w:r>
      </w:hyperlink>
    </w:p>
    <w:p w14:paraId="5963E8F4" w14:textId="49ACB74A"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56" w:history="1">
        <w:r w:rsidR="002F48BA" w:rsidRPr="00435469">
          <w:rPr>
            <w:rStyle w:val="Hyperlink"/>
            <w:noProof/>
            <w:color w:val="auto"/>
            <w:sz w:val="20"/>
            <w:szCs w:val="20"/>
          </w:rPr>
          <w:t>Table 3: I</w:t>
        </w:r>
        <w:r w:rsidR="002F48BA" w:rsidRPr="00435469">
          <w:rPr>
            <w:rStyle w:val="Hyperlink"/>
            <w:bCs/>
            <w:noProof/>
            <w:color w:val="auto"/>
            <w:sz w:val="20"/>
            <w:szCs w:val="20"/>
          </w:rPr>
          <w:t>nitial prevalence of tuberculosis by age and sex</w:t>
        </w:r>
        <w:r w:rsidR="002F48BA" w:rsidRPr="00435469">
          <w:rPr>
            <w:rStyle w:val="Hyperlink"/>
            <w:noProof/>
            <w:color w:val="auto"/>
            <w:sz w:val="20"/>
            <w:szCs w:val="20"/>
          </w:rPr>
          <w:t xml:space="preserve"> in an HIV-negative population</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_Toc103253656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8</w:t>
        </w:r>
        <w:r w:rsidR="002F48BA" w:rsidRPr="00435469">
          <w:rPr>
            <w:noProof/>
            <w:webHidden/>
            <w:sz w:val="20"/>
            <w:szCs w:val="20"/>
          </w:rPr>
          <w:fldChar w:fldCharType="end"/>
        </w:r>
      </w:hyperlink>
    </w:p>
    <w:p w14:paraId="68ECC2BD" w14:textId="67EBEA73"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57" w:history="1">
        <w:r w:rsidR="002F48BA" w:rsidRPr="00435469">
          <w:rPr>
            <w:rStyle w:val="Hyperlink"/>
            <w:noProof/>
            <w:color w:val="auto"/>
            <w:sz w:val="20"/>
            <w:szCs w:val="20"/>
          </w:rPr>
          <w:t>Table 4: Initial prevalence (%) of previous tuberculosis</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_Toc103253657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9</w:t>
        </w:r>
        <w:r w:rsidR="002F48BA" w:rsidRPr="00435469">
          <w:rPr>
            <w:noProof/>
            <w:webHidden/>
            <w:sz w:val="20"/>
            <w:szCs w:val="20"/>
          </w:rPr>
          <w:fldChar w:fldCharType="end"/>
        </w:r>
      </w:hyperlink>
    </w:p>
    <w:p w14:paraId="5DF7AE4A" w14:textId="4B43167D"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58" w:history="1">
        <w:r w:rsidR="002F48BA" w:rsidRPr="00435469">
          <w:rPr>
            <w:rStyle w:val="Hyperlink"/>
            <w:noProof/>
            <w:color w:val="auto"/>
            <w:sz w:val="20"/>
            <w:szCs w:val="20"/>
          </w:rPr>
          <w:t>Table 5: Age- and sex-stratified proportions of social contacts in different age and sex groups, and mean contact rates</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_Toc103253658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11</w:t>
        </w:r>
        <w:r w:rsidR="002F48BA" w:rsidRPr="00435469">
          <w:rPr>
            <w:noProof/>
            <w:webHidden/>
            <w:sz w:val="20"/>
            <w:szCs w:val="20"/>
          </w:rPr>
          <w:fldChar w:fldCharType="end"/>
        </w:r>
      </w:hyperlink>
    </w:p>
    <w:p w14:paraId="01E640BA" w14:textId="2F1C09F9"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59" w:history="1">
        <w:r w:rsidR="002F48BA" w:rsidRPr="00435469">
          <w:rPr>
            <w:rStyle w:val="Hyperlink"/>
            <w:noProof/>
            <w:color w:val="auto"/>
            <w:sz w:val="20"/>
            <w:szCs w:val="20"/>
          </w:rPr>
          <w:t>Table 6: Proportions of patients with TB symptoms who are screened and submit sputum specimens</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_Toc103253659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18</w:t>
        </w:r>
        <w:r w:rsidR="002F48BA" w:rsidRPr="00435469">
          <w:rPr>
            <w:noProof/>
            <w:webHidden/>
            <w:sz w:val="20"/>
            <w:szCs w:val="20"/>
          </w:rPr>
          <w:fldChar w:fldCharType="end"/>
        </w:r>
      </w:hyperlink>
    </w:p>
    <w:p w14:paraId="794DCC00" w14:textId="557A852D"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60" w:history="1">
        <w:r w:rsidR="002F48BA" w:rsidRPr="00435469">
          <w:rPr>
            <w:rStyle w:val="Hyperlink"/>
            <w:noProof/>
            <w:color w:val="auto"/>
            <w:sz w:val="20"/>
            <w:szCs w:val="20"/>
          </w:rPr>
          <w:t>Table 7: Recorded numbers of laboratory confirmed tuberculosis cases by year</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_Toc103253660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20</w:t>
        </w:r>
        <w:r w:rsidR="002F48BA" w:rsidRPr="00435469">
          <w:rPr>
            <w:noProof/>
            <w:webHidden/>
            <w:sz w:val="20"/>
            <w:szCs w:val="20"/>
          </w:rPr>
          <w:fldChar w:fldCharType="end"/>
        </w:r>
      </w:hyperlink>
    </w:p>
    <w:p w14:paraId="38981131" w14:textId="28814CF4"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61" w:history="1">
        <w:r w:rsidR="002F48BA" w:rsidRPr="00435469">
          <w:rPr>
            <w:rStyle w:val="Hyperlink"/>
            <w:noProof/>
            <w:color w:val="auto"/>
            <w:sz w:val="20"/>
            <w:szCs w:val="20"/>
          </w:rPr>
          <w:t>Table 8: Utilisation of GeneXpert MTB/RIF as a first-line diagnostic test in South Africa</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_Toc103253661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20</w:t>
        </w:r>
        <w:r w:rsidR="002F48BA" w:rsidRPr="00435469">
          <w:rPr>
            <w:noProof/>
            <w:webHidden/>
            <w:sz w:val="20"/>
            <w:szCs w:val="20"/>
          </w:rPr>
          <w:fldChar w:fldCharType="end"/>
        </w:r>
      </w:hyperlink>
    </w:p>
    <w:p w14:paraId="3CD852A7" w14:textId="4528141E"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62" w:history="1">
        <w:r w:rsidR="002F48BA" w:rsidRPr="00435469">
          <w:rPr>
            <w:rStyle w:val="Hyperlink"/>
            <w:noProof/>
            <w:color w:val="auto"/>
            <w:sz w:val="20"/>
            <w:szCs w:val="20"/>
          </w:rPr>
          <w:t>Table 9: Assumptions on follow-up tests by culture</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_Toc103253662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21</w:t>
        </w:r>
        <w:r w:rsidR="002F48BA" w:rsidRPr="00435469">
          <w:rPr>
            <w:noProof/>
            <w:webHidden/>
            <w:sz w:val="20"/>
            <w:szCs w:val="20"/>
          </w:rPr>
          <w:fldChar w:fldCharType="end"/>
        </w:r>
      </w:hyperlink>
    </w:p>
    <w:p w14:paraId="51E79FF1" w14:textId="54CCF8CB"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63" w:history="1">
        <w:r w:rsidR="002F48BA" w:rsidRPr="00435469">
          <w:rPr>
            <w:rStyle w:val="Hyperlink"/>
            <w:noProof/>
            <w:color w:val="auto"/>
            <w:sz w:val="20"/>
            <w:szCs w:val="20"/>
          </w:rPr>
          <w:t>Table 10: Assumed sensitivity and specificity of diagnostic tests by smear-status</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_Toc103253663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22</w:t>
        </w:r>
        <w:r w:rsidR="002F48BA" w:rsidRPr="00435469">
          <w:rPr>
            <w:noProof/>
            <w:webHidden/>
            <w:sz w:val="20"/>
            <w:szCs w:val="20"/>
          </w:rPr>
          <w:fldChar w:fldCharType="end"/>
        </w:r>
      </w:hyperlink>
    </w:p>
    <w:p w14:paraId="3DEFC122" w14:textId="58A3F832"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64" w:history="1">
        <w:r w:rsidR="002F48BA" w:rsidRPr="00435469">
          <w:rPr>
            <w:rStyle w:val="Hyperlink"/>
            <w:noProof/>
            <w:color w:val="auto"/>
            <w:sz w:val="20"/>
            <w:szCs w:val="20"/>
          </w:rPr>
          <w:t>Table 11: Definitions of data used for treatment outcomes as per the e</w:t>
        </w:r>
        <w:r w:rsidR="002F48BA" w:rsidRPr="00435469">
          <w:rPr>
            <w:rStyle w:val="Hyperlink"/>
            <w:rFonts w:eastAsia="Yu Gothic Light"/>
            <w:noProof/>
            <w:color w:val="auto"/>
            <w:sz w:val="20"/>
            <w:szCs w:val="20"/>
          </w:rPr>
          <w:t>lectronic tuberculosis register</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_Toc103253664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24</w:t>
        </w:r>
        <w:r w:rsidR="002F48BA" w:rsidRPr="00435469">
          <w:rPr>
            <w:noProof/>
            <w:webHidden/>
            <w:sz w:val="20"/>
            <w:szCs w:val="20"/>
          </w:rPr>
          <w:fldChar w:fldCharType="end"/>
        </w:r>
      </w:hyperlink>
    </w:p>
    <w:p w14:paraId="31D1145D" w14:textId="24E96CF4"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65" w:history="1">
        <w:r w:rsidR="002F48BA" w:rsidRPr="00435469">
          <w:rPr>
            <w:rStyle w:val="Hyperlink"/>
            <w:noProof/>
            <w:color w:val="auto"/>
            <w:sz w:val="20"/>
            <w:szCs w:val="20"/>
          </w:rPr>
          <w:t xml:space="preserve">Table 12: Electronic Tuberculosis Register </w:t>
        </w:r>
        <w:r w:rsidR="002F48BA" w:rsidRPr="00435469">
          <w:rPr>
            <w:rStyle w:val="Hyperlink"/>
            <w:rFonts w:eastAsia="Calibri"/>
            <w:noProof/>
            <w:color w:val="auto"/>
            <w:sz w:val="20"/>
            <w:szCs w:val="20"/>
          </w:rPr>
          <w:t xml:space="preserve">Treatment outcomes by year (2004 – 2016) sex </w:t>
        </w:r>
        <w:r w:rsidR="002F48BA" w:rsidRPr="00435469">
          <w:rPr>
            <w:rStyle w:val="Hyperlink"/>
            <w:noProof/>
            <w:color w:val="auto"/>
            <w:sz w:val="20"/>
            <w:szCs w:val="20"/>
          </w:rPr>
          <w:t xml:space="preserve">and HIV-status expressed as </w:t>
        </w:r>
        <w:r w:rsidR="002F48BA" w:rsidRPr="00435469">
          <w:rPr>
            <w:rStyle w:val="Hyperlink"/>
            <w:rFonts w:eastAsia="Calibri"/>
            <w:noProof/>
            <w:color w:val="auto"/>
            <w:sz w:val="20"/>
            <w:szCs w:val="20"/>
          </w:rPr>
          <w:t>proportions</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_Toc103253665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26</w:t>
        </w:r>
        <w:r w:rsidR="002F48BA" w:rsidRPr="00435469">
          <w:rPr>
            <w:noProof/>
            <w:webHidden/>
            <w:sz w:val="20"/>
            <w:szCs w:val="20"/>
          </w:rPr>
          <w:fldChar w:fldCharType="end"/>
        </w:r>
      </w:hyperlink>
    </w:p>
    <w:p w14:paraId="3D06F38D" w14:textId="30784BEA"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66" w:history="1">
        <w:r w:rsidR="002F48BA" w:rsidRPr="00435469">
          <w:rPr>
            <w:rStyle w:val="Hyperlink"/>
            <w:noProof/>
            <w:color w:val="auto"/>
            <w:sz w:val="20"/>
            <w:szCs w:val="20"/>
          </w:rPr>
          <w:t xml:space="preserve">Table 13: Electronic Tuberculosis Register </w:t>
        </w:r>
        <w:r w:rsidR="002F48BA" w:rsidRPr="00435469">
          <w:rPr>
            <w:rStyle w:val="Hyperlink"/>
            <w:rFonts w:eastAsia="Calibri"/>
            <w:noProof/>
            <w:color w:val="auto"/>
            <w:sz w:val="20"/>
            <w:szCs w:val="20"/>
          </w:rPr>
          <w:t xml:space="preserve">Treatment outcomes </w:t>
        </w:r>
        <w:r w:rsidR="002F48BA" w:rsidRPr="00435469">
          <w:rPr>
            <w:rStyle w:val="Hyperlink"/>
            <w:noProof/>
            <w:color w:val="auto"/>
            <w:sz w:val="20"/>
            <w:szCs w:val="20"/>
          </w:rPr>
          <w:t xml:space="preserve">by year </w:t>
        </w:r>
        <w:r w:rsidR="002F48BA" w:rsidRPr="00435469">
          <w:rPr>
            <w:rStyle w:val="Hyperlink"/>
            <w:rFonts w:eastAsia="Calibri"/>
            <w:noProof/>
            <w:color w:val="auto"/>
            <w:sz w:val="20"/>
            <w:szCs w:val="20"/>
          </w:rPr>
          <w:t>(2004 – 2016)</w:t>
        </w:r>
        <w:r w:rsidR="002F48BA" w:rsidRPr="00435469">
          <w:rPr>
            <w:rStyle w:val="Hyperlink"/>
            <w:noProof/>
            <w:color w:val="auto"/>
            <w:sz w:val="20"/>
            <w:szCs w:val="20"/>
          </w:rPr>
          <w:t>, sex and HIV-status expressed as rates</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_Toc103253666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27</w:t>
        </w:r>
        <w:r w:rsidR="002F48BA" w:rsidRPr="00435469">
          <w:rPr>
            <w:noProof/>
            <w:webHidden/>
            <w:sz w:val="20"/>
            <w:szCs w:val="20"/>
          </w:rPr>
          <w:fldChar w:fldCharType="end"/>
        </w:r>
      </w:hyperlink>
    </w:p>
    <w:p w14:paraId="4EBA31CD" w14:textId="6BD5737C"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67" w:history="1">
        <w:r w:rsidR="002F48BA" w:rsidRPr="00435469">
          <w:rPr>
            <w:rStyle w:val="Hyperlink"/>
            <w:noProof/>
            <w:color w:val="auto"/>
            <w:sz w:val="20"/>
            <w:szCs w:val="20"/>
          </w:rPr>
          <w:t>Table 14: Average treatment discontinuation and death rates by HIV status, based on the ETR</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_Toc103253667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28</w:t>
        </w:r>
        <w:r w:rsidR="002F48BA" w:rsidRPr="00435469">
          <w:rPr>
            <w:noProof/>
            <w:webHidden/>
            <w:sz w:val="20"/>
            <w:szCs w:val="20"/>
          </w:rPr>
          <w:fldChar w:fldCharType="end"/>
        </w:r>
      </w:hyperlink>
    </w:p>
    <w:p w14:paraId="58156D8C" w14:textId="2F4F017C"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68" w:history="1">
        <w:r w:rsidR="002F48BA" w:rsidRPr="00435469">
          <w:rPr>
            <w:rStyle w:val="Hyperlink"/>
            <w:noProof/>
            <w:color w:val="auto"/>
            <w:sz w:val="20"/>
            <w:szCs w:val="20"/>
          </w:rPr>
          <w:t>Table 15: Odds ratios for mortality in the 2+ and 3+ categories, relative to the &lt;2+ category</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_Toc103253668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29</w:t>
        </w:r>
        <w:r w:rsidR="002F48BA" w:rsidRPr="00435469">
          <w:rPr>
            <w:noProof/>
            <w:webHidden/>
            <w:sz w:val="20"/>
            <w:szCs w:val="20"/>
          </w:rPr>
          <w:fldChar w:fldCharType="end"/>
        </w:r>
      </w:hyperlink>
    </w:p>
    <w:p w14:paraId="4918792A" w14:textId="586A8CDC"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69" w:history="1">
        <w:r w:rsidR="002F48BA" w:rsidRPr="00435469">
          <w:rPr>
            <w:rStyle w:val="Hyperlink"/>
            <w:noProof/>
            <w:color w:val="auto"/>
            <w:sz w:val="20"/>
            <w:szCs w:val="20"/>
          </w:rPr>
          <w:t>Table 16: Isoniazid Preventative Therapy eligibility, requirement, and duration</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_Toc103253669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32</w:t>
        </w:r>
        <w:r w:rsidR="002F48BA" w:rsidRPr="00435469">
          <w:rPr>
            <w:noProof/>
            <w:webHidden/>
            <w:sz w:val="20"/>
            <w:szCs w:val="20"/>
          </w:rPr>
          <w:fldChar w:fldCharType="end"/>
        </w:r>
      </w:hyperlink>
    </w:p>
    <w:p w14:paraId="4AED09E9" w14:textId="517F9C03"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70" w:history="1">
        <w:r w:rsidR="002F48BA" w:rsidRPr="00435469">
          <w:rPr>
            <w:rStyle w:val="Hyperlink"/>
            <w:noProof/>
            <w:color w:val="auto"/>
            <w:sz w:val="20"/>
            <w:szCs w:val="20"/>
          </w:rPr>
          <w:t>Table 17: Number of HIV-infected new eligible individuals initiated on isoniazid preventative therapy by province</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_Toc103253670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34</w:t>
        </w:r>
        <w:r w:rsidR="002F48BA" w:rsidRPr="00435469">
          <w:rPr>
            <w:noProof/>
            <w:webHidden/>
            <w:sz w:val="20"/>
            <w:szCs w:val="20"/>
          </w:rPr>
          <w:fldChar w:fldCharType="end"/>
        </w:r>
      </w:hyperlink>
    </w:p>
    <w:p w14:paraId="02A21EB1" w14:textId="7E46242A"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71" w:history="1">
        <w:r w:rsidR="002F48BA" w:rsidRPr="00435469">
          <w:rPr>
            <w:rStyle w:val="Hyperlink"/>
            <w:noProof/>
            <w:color w:val="auto"/>
            <w:sz w:val="20"/>
            <w:szCs w:val="20"/>
          </w:rPr>
          <w:t>Table 18: Age- and sex-specific prevalence (%) of risk factors: HbA1c &gt; 6.5%, underweight, alcohol abuse and tobacco smoking</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_Toc103253671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34</w:t>
        </w:r>
        <w:r w:rsidR="002F48BA" w:rsidRPr="00435469">
          <w:rPr>
            <w:noProof/>
            <w:webHidden/>
            <w:sz w:val="20"/>
            <w:szCs w:val="20"/>
          </w:rPr>
          <w:fldChar w:fldCharType="end"/>
        </w:r>
      </w:hyperlink>
    </w:p>
    <w:p w14:paraId="2080271F" w14:textId="19AF2F2F"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72" w:history="1">
        <w:r w:rsidR="002F48BA" w:rsidRPr="00435469">
          <w:rPr>
            <w:rStyle w:val="Hyperlink"/>
            <w:noProof/>
            <w:color w:val="auto"/>
            <w:sz w:val="20"/>
            <w:szCs w:val="20"/>
          </w:rPr>
          <w:t>Table 19: Cumulative age- and sex- effect of selected tuberculosis risk factors HbA1c &gt; 6.5%, underweight, smoking and alcohol abuse</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_Toc103253672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37</w:t>
        </w:r>
        <w:r w:rsidR="002F48BA" w:rsidRPr="00435469">
          <w:rPr>
            <w:noProof/>
            <w:webHidden/>
            <w:sz w:val="20"/>
            <w:szCs w:val="20"/>
          </w:rPr>
          <w:fldChar w:fldCharType="end"/>
        </w:r>
      </w:hyperlink>
    </w:p>
    <w:p w14:paraId="6F699A4A" w14:textId="71E332D4"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73" w:history="1">
        <w:r w:rsidR="002F48BA" w:rsidRPr="00435469">
          <w:rPr>
            <w:rStyle w:val="Hyperlink"/>
            <w:noProof/>
            <w:color w:val="auto"/>
            <w:sz w:val="20"/>
            <w:szCs w:val="20"/>
          </w:rPr>
          <w:t>Table 20: Summary of model parameters (with prior means and standard deviations) that are varied and estimated through calibration</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_Toc103253673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38</w:t>
        </w:r>
        <w:r w:rsidR="002F48BA" w:rsidRPr="00435469">
          <w:rPr>
            <w:noProof/>
            <w:webHidden/>
            <w:sz w:val="20"/>
            <w:szCs w:val="20"/>
          </w:rPr>
          <w:fldChar w:fldCharType="end"/>
        </w:r>
      </w:hyperlink>
    </w:p>
    <w:p w14:paraId="41510B68" w14:textId="15B1FFC8"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74" w:history="1">
        <w:r w:rsidR="002F48BA" w:rsidRPr="00435469">
          <w:rPr>
            <w:rStyle w:val="Hyperlink"/>
            <w:noProof/>
            <w:color w:val="auto"/>
            <w:sz w:val="20"/>
            <w:szCs w:val="20"/>
          </w:rPr>
          <w:t>Table 21: Number of tuberculosis deaths and adjustments</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_Toc103253674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41</w:t>
        </w:r>
        <w:r w:rsidR="002F48BA" w:rsidRPr="00435469">
          <w:rPr>
            <w:noProof/>
            <w:webHidden/>
            <w:sz w:val="20"/>
            <w:szCs w:val="20"/>
          </w:rPr>
          <w:fldChar w:fldCharType="end"/>
        </w:r>
      </w:hyperlink>
    </w:p>
    <w:p w14:paraId="5D2F7ECE" w14:textId="049FA030"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75" w:history="1">
        <w:r w:rsidR="002F48BA" w:rsidRPr="00435469">
          <w:rPr>
            <w:rStyle w:val="Hyperlink"/>
            <w:noProof/>
            <w:color w:val="auto"/>
            <w:sz w:val="20"/>
            <w:szCs w:val="20"/>
          </w:rPr>
          <w:t>Table 22: Expected number of tuberculosis deaths in people living with HIV</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_Toc103253675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43</w:t>
        </w:r>
        <w:r w:rsidR="002F48BA" w:rsidRPr="00435469">
          <w:rPr>
            <w:noProof/>
            <w:webHidden/>
            <w:sz w:val="20"/>
            <w:szCs w:val="20"/>
          </w:rPr>
          <w:fldChar w:fldCharType="end"/>
        </w:r>
      </w:hyperlink>
    </w:p>
    <w:p w14:paraId="02207F81" w14:textId="3FE7347B"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76" w:history="1">
        <w:r w:rsidR="002F48BA" w:rsidRPr="00435469">
          <w:rPr>
            <w:rStyle w:val="Hyperlink"/>
            <w:noProof/>
            <w:color w:val="auto"/>
            <w:sz w:val="20"/>
            <w:szCs w:val="20"/>
          </w:rPr>
          <w:t xml:space="preserve">Table 23: Number of </w:t>
        </w:r>
        <w:r w:rsidR="002F48BA" w:rsidRPr="00435469">
          <w:rPr>
            <w:rStyle w:val="Hyperlink"/>
            <w:rFonts w:cs="Times New Roman"/>
            <w:noProof/>
            <w:color w:val="auto"/>
            <w:sz w:val="20"/>
            <w:szCs w:val="20"/>
          </w:rPr>
          <w:t xml:space="preserve">tuberculosis cases initiated on treatment </w:t>
        </w:r>
        <w:r w:rsidR="002F48BA" w:rsidRPr="00435469">
          <w:rPr>
            <w:rStyle w:val="Hyperlink"/>
            <w:noProof/>
            <w:color w:val="auto"/>
            <w:sz w:val="20"/>
            <w:szCs w:val="20"/>
          </w:rPr>
          <w:t>by year, sex and HIV status</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_Toc103253676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44</w:t>
        </w:r>
        <w:r w:rsidR="002F48BA" w:rsidRPr="00435469">
          <w:rPr>
            <w:noProof/>
            <w:webHidden/>
            <w:sz w:val="20"/>
            <w:szCs w:val="20"/>
          </w:rPr>
          <w:fldChar w:fldCharType="end"/>
        </w:r>
      </w:hyperlink>
    </w:p>
    <w:p w14:paraId="33C82319" w14:textId="450B577D"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77" w:history="1">
        <w:r w:rsidR="002F48BA" w:rsidRPr="00435469">
          <w:rPr>
            <w:rStyle w:val="Hyperlink"/>
            <w:noProof/>
            <w:color w:val="auto"/>
            <w:sz w:val="20"/>
            <w:szCs w:val="20"/>
          </w:rPr>
          <w:t>Table 24: Recorded numbers of microbiological tuberculosis test performed by year</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_Toc103253677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46</w:t>
        </w:r>
        <w:r w:rsidR="002F48BA" w:rsidRPr="00435469">
          <w:rPr>
            <w:noProof/>
            <w:webHidden/>
            <w:sz w:val="20"/>
            <w:szCs w:val="20"/>
          </w:rPr>
          <w:fldChar w:fldCharType="end"/>
        </w:r>
      </w:hyperlink>
    </w:p>
    <w:p w14:paraId="1FF74882" w14:textId="239C1B40"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78" w:history="1">
        <w:r w:rsidR="002F48BA" w:rsidRPr="00435469">
          <w:rPr>
            <w:rStyle w:val="Hyperlink"/>
            <w:noProof/>
            <w:color w:val="auto"/>
            <w:sz w:val="20"/>
            <w:szCs w:val="20"/>
          </w:rPr>
          <w:t>Table 25: Comparison of prior and posterior distributions for model parameters</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_Toc103253678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49</w:t>
        </w:r>
        <w:r w:rsidR="002F48BA" w:rsidRPr="00435469">
          <w:rPr>
            <w:noProof/>
            <w:webHidden/>
            <w:sz w:val="20"/>
            <w:szCs w:val="20"/>
          </w:rPr>
          <w:fldChar w:fldCharType="end"/>
        </w:r>
      </w:hyperlink>
    </w:p>
    <w:p w14:paraId="6CA56636" w14:textId="210A8934"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79" w:history="1">
        <w:r w:rsidR="002F48BA" w:rsidRPr="00435469">
          <w:rPr>
            <w:rStyle w:val="Hyperlink"/>
            <w:noProof/>
            <w:color w:val="auto"/>
            <w:sz w:val="20"/>
            <w:szCs w:val="20"/>
          </w:rPr>
          <w:t>Table 26: Comparison of 2019 tuberculosis disease burden estimates by the three models: Thembisa TB/HIV, the Institute for Health Metrics and Evaluation and the World Health Organization</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_Toc103253679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57</w:t>
        </w:r>
        <w:r w:rsidR="002F48BA" w:rsidRPr="00435469">
          <w:rPr>
            <w:noProof/>
            <w:webHidden/>
            <w:sz w:val="20"/>
            <w:szCs w:val="20"/>
          </w:rPr>
          <w:fldChar w:fldCharType="end"/>
        </w:r>
      </w:hyperlink>
    </w:p>
    <w:p w14:paraId="204F0E4B" w14:textId="6D4EEBF0"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80" w:history="1">
        <w:r w:rsidR="002F48BA" w:rsidRPr="00435469">
          <w:rPr>
            <w:rStyle w:val="Hyperlink"/>
            <w:noProof/>
            <w:color w:val="auto"/>
            <w:sz w:val="20"/>
            <w:szCs w:val="20"/>
          </w:rPr>
          <w:t>Table 27: Comparison of 2019 tuberculosis disease burden estimates by the three models, by sex: Thembisa TB/HIV, the Institute for Health Metrics and Evaluation and the World Health Organization</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_Toc103253680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57</w:t>
        </w:r>
        <w:r w:rsidR="002F48BA" w:rsidRPr="00435469">
          <w:rPr>
            <w:noProof/>
            <w:webHidden/>
            <w:sz w:val="20"/>
            <w:szCs w:val="20"/>
          </w:rPr>
          <w:fldChar w:fldCharType="end"/>
        </w:r>
      </w:hyperlink>
    </w:p>
    <w:p w14:paraId="13E423A6" w14:textId="2805BA1E" w:rsidR="002F48BA"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681" w:history="1">
        <w:r w:rsidR="002F48BA" w:rsidRPr="00435469">
          <w:rPr>
            <w:rStyle w:val="Hyperlink"/>
            <w:noProof/>
            <w:color w:val="auto"/>
            <w:sz w:val="20"/>
            <w:szCs w:val="20"/>
          </w:rPr>
          <w:t>Table 28: General differences between Thembisa TB/HIV, the Institute for Health Metrics and Evaluation and the World Health Organization for 2019 TB burden estimates</w:t>
        </w:r>
        <w:r w:rsidR="002F48BA" w:rsidRPr="00435469">
          <w:rPr>
            <w:noProof/>
            <w:webHidden/>
            <w:sz w:val="20"/>
            <w:szCs w:val="20"/>
          </w:rPr>
          <w:tab/>
        </w:r>
        <w:r w:rsidR="002F48BA" w:rsidRPr="00435469">
          <w:rPr>
            <w:noProof/>
            <w:webHidden/>
            <w:sz w:val="20"/>
            <w:szCs w:val="20"/>
          </w:rPr>
          <w:fldChar w:fldCharType="begin"/>
        </w:r>
        <w:r w:rsidR="002F48BA" w:rsidRPr="00435469">
          <w:rPr>
            <w:noProof/>
            <w:webHidden/>
            <w:sz w:val="20"/>
            <w:szCs w:val="20"/>
          </w:rPr>
          <w:instrText xml:space="preserve"> PAGEREF _Toc103253681 \h </w:instrText>
        </w:r>
        <w:r w:rsidR="002F48BA" w:rsidRPr="00435469">
          <w:rPr>
            <w:noProof/>
            <w:webHidden/>
            <w:sz w:val="20"/>
            <w:szCs w:val="20"/>
          </w:rPr>
        </w:r>
        <w:r w:rsidR="002F48BA" w:rsidRPr="00435469">
          <w:rPr>
            <w:noProof/>
            <w:webHidden/>
            <w:sz w:val="20"/>
            <w:szCs w:val="20"/>
          </w:rPr>
          <w:fldChar w:fldCharType="separate"/>
        </w:r>
        <w:r w:rsidR="00186C2F" w:rsidRPr="00435469">
          <w:rPr>
            <w:noProof/>
            <w:webHidden/>
            <w:sz w:val="20"/>
            <w:szCs w:val="20"/>
          </w:rPr>
          <w:t>59</w:t>
        </w:r>
        <w:r w:rsidR="002F48BA" w:rsidRPr="00435469">
          <w:rPr>
            <w:noProof/>
            <w:webHidden/>
            <w:sz w:val="20"/>
            <w:szCs w:val="20"/>
          </w:rPr>
          <w:fldChar w:fldCharType="end"/>
        </w:r>
      </w:hyperlink>
    </w:p>
    <w:p w14:paraId="323C8083" w14:textId="323846F6" w:rsidR="00DF747A" w:rsidRPr="00435469" w:rsidRDefault="00DF747A" w:rsidP="00955FFB">
      <w:pPr>
        <w:pStyle w:val="TableofFigures"/>
        <w:tabs>
          <w:tab w:val="right" w:leader="dot" w:pos="8636"/>
        </w:tabs>
        <w:rPr>
          <w:sz w:val="20"/>
          <w:szCs w:val="20"/>
        </w:rPr>
      </w:pPr>
      <w:r w:rsidRPr="00435469">
        <w:rPr>
          <w:sz w:val="20"/>
          <w:szCs w:val="20"/>
        </w:rPr>
        <w:fldChar w:fldCharType="end"/>
      </w:r>
    </w:p>
    <w:p w14:paraId="561AF9A1" w14:textId="77777777" w:rsidR="00DF747A" w:rsidRPr="00435469" w:rsidRDefault="00DF747A" w:rsidP="00955FFB">
      <w:pPr>
        <w:pStyle w:val="TableofFigures"/>
        <w:tabs>
          <w:tab w:val="right" w:leader="dot" w:pos="8636"/>
        </w:tabs>
        <w:rPr>
          <w:b/>
          <w:bCs/>
          <w:sz w:val="20"/>
          <w:szCs w:val="20"/>
        </w:rPr>
      </w:pPr>
      <w:r w:rsidRPr="00435469">
        <w:rPr>
          <w:b/>
          <w:bCs/>
          <w:sz w:val="20"/>
          <w:szCs w:val="20"/>
        </w:rPr>
        <w:t>List of figures</w:t>
      </w:r>
    </w:p>
    <w:p w14:paraId="5867C3D5" w14:textId="6CF5ED42" w:rsidR="005477F1" w:rsidRPr="00435469" w:rsidRDefault="00DF747A">
      <w:pPr>
        <w:pStyle w:val="TableofFigures"/>
        <w:tabs>
          <w:tab w:val="right" w:leader="dot" w:pos="8636"/>
        </w:tabs>
        <w:rPr>
          <w:rFonts w:asciiTheme="minorHAnsi" w:eastAsiaTheme="minorEastAsia" w:hAnsiTheme="minorHAnsi"/>
          <w:noProof/>
          <w:sz w:val="20"/>
          <w:szCs w:val="20"/>
          <w:lang w:val="en-ZA" w:eastAsia="en-ZA"/>
        </w:rPr>
      </w:pPr>
      <w:r w:rsidRPr="00435469">
        <w:rPr>
          <w:sz w:val="20"/>
          <w:szCs w:val="20"/>
        </w:rPr>
        <w:fldChar w:fldCharType="begin"/>
      </w:r>
      <w:r w:rsidRPr="00435469">
        <w:rPr>
          <w:sz w:val="20"/>
          <w:szCs w:val="20"/>
        </w:rPr>
        <w:instrText xml:space="preserve"> TOC \h \z \c "Figure" </w:instrText>
      </w:r>
      <w:r w:rsidRPr="00435469">
        <w:rPr>
          <w:sz w:val="20"/>
          <w:szCs w:val="20"/>
        </w:rPr>
        <w:fldChar w:fldCharType="separate"/>
      </w:r>
      <w:hyperlink w:anchor="_Toc103252998" w:history="1">
        <w:r w:rsidR="005477F1" w:rsidRPr="00435469">
          <w:rPr>
            <w:rStyle w:val="Hyperlink"/>
            <w:noProof/>
            <w:color w:val="auto"/>
            <w:sz w:val="20"/>
            <w:szCs w:val="20"/>
          </w:rPr>
          <w:t>Figure 1: The tuberculosis natural history model structure</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_Toc103252998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w:t>
        </w:r>
        <w:r w:rsidR="005477F1" w:rsidRPr="00435469">
          <w:rPr>
            <w:noProof/>
            <w:webHidden/>
            <w:sz w:val="20"/>
            <w:szCs w:val="20"/>
          </w:rPr>
          <w:fldChar w:fldCharType="end"/>
        </w:r>
      </w:hyperlink>
    </w:p>
    <w:p w14:paraId="1FD0B1F3" w14:textId="446A0C34"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2999" w:history="1">
        <w:r w:rsidR="005477F1" w:rsidRPr="00435469">
          <w:rPr>
            <w:rStyle w:val="Hyperlink"/>
            <w:noProof/>
            <w:color w:val="auto"/>
            <w:sz w:val="20"/>
            <w:szCs w:val="20"/>
          </w:rPr>
          <w:t xml:space="preserve">Figure 2: </w:t>
        </w:r>
        <w:r w:rsidR="005477F1" w:rsidRPr="00435469">
          <w:rPr>
            <w:rStyle w:val="Hyperlink"/>
            <w:iCs/>
            <w:noProof/>
            <w:color w:val="auto"/>
            <w:sz w:val="20"/>
            <w:szCs w:val="20"/>
          </w:rPr>
          <w:t>The Thembisa HIV model structure</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_Toc103252999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6</w:t>
        </w:r>
        <w:r w:rsidR="005477F1" w:rsidRPr="00435469">
          <w:rPr>
            <w:noProof/>
            <w:webHidden/>
            <w:sz w:val="20"/>
            <w:szCs w:val="20"/>
          </w:rPr>
          <w:fldChar w:fldCharType="end"/>
        </w:r>
      </w:hyperlink>
    </w:p>
    <w:p w14:paraId="24477C83" w14:textId="7A11213B"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00" w:history="1">
        <w:r w:rsidR="005477F1" w:rsidRPr="00435469">
          <w:rPr>
            <w:rStyle w:val="Hyperlink"/>
            <w:noProof/>
            <w:color w:val="auto"/>
            <w:sz w:val="20"/>
            <w:szCs w:val="20"/>
          </w:rPr>
          <w:t>Figure 3: Illustration of the modelled tuberculosis diagnostic pathway</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_Toc103253000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14</w:t>
        </w:r>
        <w:r w:rsidR="005477F1" w:rsidRPr="00435469">
          <w:rPr>
            <w:noProof/>
            <w:webHidden/>
            <w:sz w:val="20"/>
            <w:szCs w:val="20"/>
          </w:rPr>
          <w:fldChar w:fldCharType="end"/>
        </w:r>
      </w:hyperlink>
    </w:p>
    <w:p w14:paraId="65808122" w14:textId="48618A7B"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01" w:history="1">
        <w:r w:rsidR="005477F1" w:rsidRPr="00435469">
          <w:rPr>
            <w:rStyle w:val="Hyperlink"/>
            <w:noProof/>
            <w:color w:val="auto"/>
            <w:sz w:val="20"/>
            <w:szCs w:val="20"/>
          </w:rPr>
          <w:t>Figure 4: Simplified diagnostic algorithm considered in the model</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_Toc103253001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21</w:t>
        </w:r>
        <w:r w:rsidR="005477F1" w:rsidRPr="00435469">
          <w:rPr>
            <w:noProof/>
            <w:webHidden/>
            <w:sz w:val="20"/>
            <w:szCs w:val="20"/>
          </w:rPr>
          <w:fldChar w:fldCharType="end"/>
        </w:r>
      </w:hyperlink>
    </w:p>
    <w:p w14:paraId="0DE6E380" w14:textId="6851E097"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02" w:history="1">
        <w:r w:rsidR="005477F1" w:rsidRPr="00435469">
          <w:rPr>
            <w:rStyle w:val="Hyperlink"/>
            <w:noProof/>
            <w:color w:val="auto"/>
            <w:sz w:val="20"/>
            <w:szCs w:val="20"/>
          </w:rPr>
          <w:t>Figure 5: Flow for cleaning mortality data from the vital register</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_Toc103253002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40</w:t>
        </w:r>
        <w:r w:rsidR="005477F1" w:rsidRPr="00435469">
          <w:rPr>
            <w:noProof/>
            <w:webHidden/>
            <w:sz w:val="20"/>
            <w:szCs w:val="20"/>
          </w:rPr>
          <w:fldChar w:fldCharType="end"/>
        </w:r>
      </w:hyperlink>
    </w:p>
    <w:p w14:paraId="6DB2596C" w14:textId="38EECC62"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03" w:history="1">
        <w:r w:rsidR="005477F1" w:rsidRPr="00435469">
          <w:rPr>
            <w:rStyle w:val="Hyperlink"/>
            <w:noProof/>
            <w:color w:val="auto"/>
            <w:sz w:val="20"/>
            <w:szCs w:val="20"/>
          </w:rPr>
          <w:t>Figure 6: Recorded number of tuberculosis deaths (adjusted) and model estimated deaths in males 15+</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_Toc103253003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51</w:t>
        </w:r>
        <w:r w:rsidR="005477F1" w:rsidRPr="00435469">
          <w:rPr>
            <w:noProof/>
            <w:webHidden/>
            <w:sz w:val="20"/>
            <w:szCs w:val="20"/>
          </w:rPr>
          <w:fldChar w:fldCharType="end"/>
        </w:r>
      </w:hyperlink>
    </w:p>
    <w:p w14:paraId="6E1D7FB7" w14:textId="3F46A972"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04" w:history="1">
        <w:r w:rsidR="005477F1" w:rsidRPr="00435469">
          <w:rPr>
            <w:rStyle w:val="Hyperlink"/>
            <w:noProof/>
            <w:color w:val="auto"/>
            <w:sz w:val="20"/>
            <w:szCs w:val="20"/>
          </w:rPr>
          <w:t>Figure 7: Recorded number of tuberculosis deaths (adjusted) and model estimated deaths in females 15+ years</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_Toc103253004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51</w:t>
        </w:r>
        <w:r w:rsidR="005477F1" w:rsidRPr="00435469">
          <w:rPr>
            <w:noProof/>
            <w:webHidden/>
            <w:sz w:val="20"/>
            <w:szCs w:val="20"/>
          </w:rPr>
          <w:fldChar w:fldCharType="end"/>
        </w:r>
      </w:hyperlink>
    </w:p>
    <w:p w14:paraId="7CB97681" w14:textId="5756CBC8"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05" w:history="1">
        <w:r w:rsidR="005477F1" w:rsidRPr="00435469">
          <w:rPr>
            <w:rStyle w:val="Hyperlink"/>
            <w:noProof/>
            <w:color w:val="auto"/>
            <w:sz w:val="20"/>
            <w:szCs w:val="20"/>
          </w:rPr>
          <w:t>Figure 8: Expected tuberculosis deaths in people living with HIV and model estimated tuberculosis deaths in HIV-positive individuals</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_Toc103253005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52</w:t>
        </w:r>
        <w:r w:rsidR="005477F1" w:rsidRPr="00435469">
          <w:rPr>
            <w:noProof/>
            <w:webHidden/>
            <w:sz w:val="20"/>
            <w:szCs w:val="20"/>
          </w:rPr>
          <w:fldChar w:fldCharType="end"/>
        </w:r>
      </w:hyperlink>
    </w:p>
    <w:p w14:paraId="720429C6" w14:textId="7539D4A1"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06" w:history="1">
        <w:r w:rsidR="005477F1" w:rsidRPr="00435469">
          <w:rPr>
            <w:rStyle w:val="Hyperlink"/>
            <w:noProof/>
            <w:color w:val="auto"/>
            <w:sz w:val="20"/>
            <w:szCs w:val="20"/>
          </w:rPr>
          <w:t>Figure 9: Recorded number of tuberculosis cases initiated on treatment (adjusted) and model estimated tuberculosis cases on treatment in males 15+ years</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_Toc103253006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52</w:t>
        </w:r>
        <w:r w:rsidR="005477F1" w:rsidRPr="00435469">
          <w:rPr>
            <w:noProof/>
            <w:webHidden/>
            <w:sz w:val="20"/>
            <w:szCs w:val="20"/>
          </w:rPr>
          <w:fldChar w:fldCharType="end"/>
        </w:r>
      </w:hyperlink>
    </w:p>
    <w:p w14:paraId="24C374F6" w14:textId="5E55D9D4"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07" w:history="1">
        <w:r w:rsidR="005477F1" w:rsidRPr="00435469">
          <w:rPr>
            <w:rStyle w:val="Hyperlink"/>
            <w:noProof/>
            <w:color w:val="auto"/>
            <w:sz w:val="20"/>
            <w:szCs w:val="20"/>
          </w:rPr>
          <w:t>Figure 10: Recorded number of tuberculosis cases initiated on treatment (adjusted) and model estimated tuberculosis cases on treatment in females 15+ years</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_Toc103253007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53</w:t>
        </w:r>
        <w:r w:rsidR="005477F1" w:rsidRPr="00435469">
          <w:rPr>
            <w:noProof/>
            <w:webHidden/>
            <w:sz w:val="20"/>
            <w:szCs w:val="20"/>
          </w:rPr>
          <w:fldChar w:fldCharType="end"/>
        </w:r>
      </w:hyperlink>
    </w:p>
    <w:p w14:paraId="796AC7B9" w14:textId="7495BD2A"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08" w:history="1">
        <w:r w:rsidR="005477F1" w:rsidRPr="00435469">
          <w:rPr>
            <w:rStyle w:val="Hyperlink"/>
            <w:noProof/>
            <w:color w:val="auto"/>
            <w:sz w:val="20"/>
            <w:szCs w:val="20"/>
          </w:rPr>
          <w:t>Figure 11: Proportion of tuberculosis deaths recorded in the electronic tuberculosis treatment register and model estimates for proportion of tuberculosis deaths on treatment for males 15+ years</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_Toc103253008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53</w:t>
        </w:r>
        <w:r w:rsidR="005477F1" w:rsidRPr="00435469">
          <w:rPr>
            <w:noProof/>
            <w:webHidden/>
            <w:sz w:val="20"/>
            <w:szCs w:val="20"/>
          </w:rPr>
          <w:fldChar w:fldCharType="end"/>
        </w:r>
      </w:hyperlink>
    </w:p>
    <w:p w14:paraId="107CF38E" w14:textId="68293B81"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09" w:history="1">
        <w:r w:rsidR="005477F1" w:rsidRPr="00435469">
          <w:rPr>
            <w:rStyle w:val="Hyperlink"/>
            <w:noProof/>
            <w:color w:val="auto"/>
            <w:sz w:val="20"/>
            <w:szCs w:val="20"/>
          </w:rPr>
          <w:t>Figure 12: Proportion of tuberculosis deaths recorded in the electronic tuberculosis treatment register and model estimates for proportion of tuberculosis deaths for females 15+ years on treatment</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_Toc103253009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54</w:t>
        </w:r>
        <w:r w:rsidR="005477F1" w:rsidRPr="00435469">
          <w:rPr>
            <w:noProof/>
            <w:webHidden/>
            <w:sz w:val="20"/>
            <w:szCs w:val="20"/>
          </w:rPr>
          <w:fldChar w:fldCharType="end"/>
        </w:r>
      </w:hyperlink>
    </w:p>
    <w:p w14:paraId="24983F11" w14:textId="7EC54414"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10" w:history="1">
        <w:r w:rsidR="005477F1" w:rsidRPr="00435469">
          <w:rPr>
            <w:rStyle w:val="Hyperlink"/>
            <w:noProof/>
            <w:color w:val="auto"/>
            <w:sz w:val="20"/>
            <w:szCs w:val="20"/>
          </w:rPr>
          <w:t>Figure 13: HIV prevalence in the electronic tuberculosis register and model estimated HIV prevalence in adults on treatment</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_Toc103253010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54</w:t>
        </w:r>
        <w:r w:rsidR="005477F1" w:rsidRPr="00435469">
          <w:rPr>
            <w:noProof/>
            <w:webHidden/>
            <w:sz w:val="20"/>
            <w:szCs w:val="20"/>
          </w:rPr>
          <w:fldChar w:fldCharType="end"/>
        </w:r>
      </w:hyperlink>
    </w:p>
    <w:p w14:paraId="7FB836A7" w14:textId="38A52B58"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11" w:history="1">
        <w:r w:rsidR="005477F1" w:rsidRPr="00435469">
          <w:rPr>
            <w:rStyle w:val="Hyperlink"/>
            <w:noProof/>
            <w:color w:val="auto"/>
            <w:sz w:val="20"/>
            <w:szCs w:val="20"/>
          </w:rPr>
          <w:t xml:space="preserve">Figure 14: The numbers of </w:t>
        </w:r>
        <w:r w:rsidR="005477F1" w:rsidRPr="00435469">
          <w:rPr>
            <w:rStyle w:val="Hyperlink"/>
            <w:rFonts w:cs="Times New Roman"/>
            <w:noProof/>
            <w:color w:val="auto"/>
            <w:sz w:val="20"/>
            <w:szCs w:val="20"/>
          </w:rPr>
          <w:t xml:space="preserve">microbiological </w:t>
        </w:r>
        <w:r w:rsidR="005477F1" w:rsidRPr="00435469">
          <w:rPr>
            <w:rStyle w:val="Hyperlink"/>
            <w:noProof/>
            <w:color w:val="auto"/>
            <w:sz w:val="20"/>
            <w:szCs w:val="20"/>
          </w:rPr>
          <w:t>tuberculosis tests performed and model estimates for microbiological tests performed</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_Toc103253011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55</w:t>
        </w:r>
        <w:r w:rsidR="005477F1" w:rsidRPr="00435469">
          <w:rPr>
            <w:noProof/>
            <w:webHidden/>
            <w:sz w:val="20"/>
            <w:szCs w:val="20"/>
          </w:rPr>
          <w:fldChar w:fldCharType="end"/>
        </w:r>
      </w:hyperlink>
    </w:p>
    <w:p w14:paraId="5915AFCF" w14:textId="4DF7FACE"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12" w:history="1">
        <w:r w:rsidR="005477F1" w:rsidRPr="00435469">
          <w:rPr>
            <w:rStyle w:val="Hyperlink"/>
            <w:noProof/>
            <w:color w:val="auto"/>
            <w:sz w:val="20"/>
            <w:szCs w:val="20"/>
          </w:rPr>
          <w:t>Figure 15: The prevalence of bacteriologically confirmed active tuberculosis and model estimated prevalence of tuberculosis in males 15+ years</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_Toc103253012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56</w:t>
        </w:r>
        <w:r w:rsidR="005477F1" w:rsidRPr="00435469">
          <w:rPr>
            <w:noProof/>
            <w:webHidden/>
            <w:sz w:val="20"/>
            <w:szCs w:val="20"/>
          </w:rPr>
          <w:fldChar w:fldCharType="end"/>
        </w:r>
      </w:hyperlink>
    </w:p>
    <w:p w14:paraId="30067DE1" w14:textId="49B793D8" w:rsidR="005477F1" w:rsidRPr="00435469" w:rsidRDefault="00000000">
      <w:pPr>
        <w:pStyle w:val="TableofFigures"/>
        <w:tabs>
          <w:tab w:val="right" w:leader="dot" w:pos="8636"/>
        </w:tabs>
        <w:rPr>
          <w:rFonts w:asciiTheme="minorHAnsi" w:eastAsiaTheme="minorEastAsia" w:hAnsiTheme="minorHAnsi"/>
          <w:noProof/>
          <w:sz w:val="20"/>
          <w:szCs w:val="20"/>
          <w:lang w:val="en-ZA" w:eastAsia="en-ZA"/>
        </w:rPr>
      </w:pPr>
      <w:hyperlink w:anchor="_Toc103253013" w:history="1">
        <w:r w:rsidR="005477F1" w:rsidRPr="00435469">
          <w:rPr>
            <w:rStyle w:val="Hyperlink"/>
            <w:noProof/>
            <w:color w:val="auto"/>
            <w:sz w:val="20"/>
            <w:szCs w:val="20"/>
          </w:rPr>
          <w:t>Figure 16: The prevalence of bacteriologically confirmed active tuberculosis and model estimated prevalence of tuberculosis in females 15+ years</w:t>
        </w:r>
        <w:r w:rsidR="005477F1" w:rsidRPr="00435469">
          <w:rPr>
            <w:noProof/>
            <w:webHidden/>
            <w:sz w:val="20"/>
            <w:szCs w:val="20"/>
          </w:rPr>
          <w:tab/>
        </w:r>
        <w:r w:rsidR="005477F1" w:rsidRPr="00435469">
          <w:rPr>
            <w:noProof/>
            <w:webHidden/>
            <w:sz w:val="20"/>
            <w:szCs w:val="20"/>
          </w:rPr>
          <w:fldChar w:fldCharType="begin"/>
        </w:r>
        <w:r w:rsidR="005477F1" w:rsidRPr="00435469">
          <w:rPr>
            <w:noProof/>
            <w:webHidden/>
            <w:sz w:val="20"/>
            <w:szCs w:val="20"/>
          </w:rPr>
          <w:instrText xml:space="preserve"> PAGEREF _Toc103253013 \h </w:instrText>
        </w:r>
        <w:r w:rsidR="005477F1" w:rsidRPr="00435469">
          <w:rPr>
            <w:noProof/>
            <w:webHidden/>
            <w:sz w:val="20"/>
            <w:szCs w:val="20"/>
          </w:rPr>
        </w:r>
        <w:r w:rsidR="005477F1" w:rsidRPr="00435469">
          <w:rPr>
            <w:noProof/>
            <w:webHidden/>
            <w:sz w:val="20"/>
            <w:szCs w:val="20"/>
          </w:rPr>
          <w:fldChar w:fldCharType="separate"/>
        </w:r>
        <w:r w:rsidR="00186C2F" w:rsidRPr="00435469">
          <w:rPr>
            <w:noProof/>
            <w:webHidden/>
            <w:sz w:val="20"/>
            <w:szCs w:val="20"/>
          </w:rPr>
          <w:t>56</w:t>
        </w:r>
        <w:r w:rsidR="005477F1" w:rsidRPr="00435469">
          <w:rPr>
            <w:noProof/>
            <w:webHidden/>
            <w:sz w:val="20"/>
            <w:szCs w:val="20"/>
          </w:rPr>
          <w:fldChar w:fldCharType="end"/>
        </w:r>
      </w:hyperlink>
    </w:p>
    <w:p w14:paraId="38C6214B" w14:textId="0417E6E0" w:rsidR="000C72AC" w:rsidRPr="00435469" w:rsidRDefault="00DF747A" w:rsidP="00955FFB">
      <w:pPr>
        <w:spacing w:after="160" w:line="240" w:lineRule="auto"/>
        <w:rPr>
          <w:sz w:val="20"/>
          <w:szCs w:val="20"/>
        </w:rPr>
        <w:sectPr w:rsidR="000C72AC" w:rsidRPr="00435469" w:rsidSect="008C04F2">
          <w:footerReference w:type="default" r:id="rId8"/>
          <w:pgSz w:w="12240" w:h="15840"/>
          <w:pgMar w:top="1440" w:right="1797" w:bottom="1440" w:left="1797" w:header="720" w:footer="720" w:gutter="0"/>
          <w:pgNumType w:fmt="lowerRoman" w:start="1" w:chapStyle="1"/>
          <w:cols w:space="720"/>
          <w:docGrid w:linePitch="360"/>
        </w:sectPr>
      </w:pPr>
      <w:r w:rsidRPr="00435469">
        <w:rPr>
          <w:sz w:val="20"/>
          <w:szCs w:val="20"/>
        </w:rPr>
        <w:fldChar w:fldCharType="end"/>
      </w:r>
      <w:r w:rsidR="00A13E08" w:rsidRPr="00435469">
        <w:rPr>
          <w:sz w:val="20"/>
          <w:szCs w:val="20"/>
        </w:rPr>
        <w:br w:type="page"/>
      </w:r>
    </w:p>
    <w:p w14:paraId="192F5F58" w14:textId="4AB73648" w:rsidR="00F17D56" w:rsidRPr="00435469" w:rsidRDefault="009C3323" w:rsidP="00955FFB">
      <w:pPr>
        <w:pStyle w:val="Heading2"/>
        <w:rPr>
          <w:color w:val="auto"/>
          <w:sz w:val="20"/>
          <w:szCs w:val="20"/>
        </w:rPr>
      </w:pPr>
      <w:bookmarkStart w:id="3" w:name="_Toc103252916"/>
      <w:bookmarkStart w:id="4" w:name="_Toc88488548"/>
      <w:r w:rsidRPr="00435469">
        <w:rPr>
          <w:color w:val="auto"/>
          <w:sz w:val="20"/>
          <w:szCs w:val="20"/>
        </w:rPr>
        <w:lastRenderedPageBreak/>
        <w:t>Overview</w:t>
      </w:r>
      <w:bookmarkEnd w:id="3"/>
      <w:r w:rsidRPr="00435469">
        <w:rPr>
          <w:color w:val="auto"/>
          <w:sz w:val="20"/>
          <w:szCs w:val="20"/>
        </w:rPr>
        <w:t xml:space="preserve"> </w:t>
      </w:r>
    </w:p>
    <w:p w14:paraId="00F49B83" w14:textId="6B3A1DD2" w:rsidR="009C3323" w:rsidRPr="00435469" w:rsidRDefault="009C3323" w:rsidP="00955FFB">
      <w:pPr>
        <w:spacing w:line="240" w:lineRule="auto"/>
        <w:rPr>
          <w:rFonts w:cs="Times New Roman"/>
          <w:sz w:val="20"/>
          <w:szCs w:val="20"/>
        </w:rPr>
      </w:pPr>
      <w:r w:rsidRPr="00435469">
        <w:rPr>
          <w:rFonts w:cs="Times New Roman"/>
          <w:sz w:val="20"/>
          <w:szCs w:val="20"/>
        </w:rPr>
        <w:t xml:space="preserve">We developed an age- and sex-structured deterministic compartmental model of the </w:t>
      </w:r>
      <w:r w:rsidR="00874A21" w:rsidRPr="00435469">
        <w:rPr>
          <w:rFonts w:cs="Times New Roman"/>
          <w:sz w:val="20"/>
          <w:szCs w:val="20"/>
        </w:rPr>
        <w:t>tu</w:t>
      </w:r>
      <w:r w:rsidR="00ED62D6" w:rsidRPr="00435469">
        <w:rPr>
          <w:rFonts w:cs="Times New Roman"/>
          <w:sz w:val="20"/>
          <w:szCs w:val="20"/>
        </w:rPr>
        <w:t xml:space="preserve">berculosis </w:t>
      </w:r>
      <w:r w:rsidR="00874A21" w:rsidRPr="00435469">
        <w:rPr>
          <w:rFonts w:cs="Times New Roman"/>
          <w:sz w:val="20"/>
          <w:szCs w:val="20"/>
        </w:rPr>
        <w:t>(</w:t>
      </w:r>
      <w:r w:rsidRPr="00435469">
        <w:rPr>
          <w:rFonts w:cs="Times New Roman"/>
          <w:sz w:val="20"/>
          <w:szCs w:val="20"/>
        </w:rPr>
        <w:t>TB</w:t>
      </w:r>
      <w:r w:rsidR="00874A21" w:rsidRPr="00435469">
        <w:rPr>
          <w:rFonts w:cs="Times New Roman"/>
          <w:sz w:val="20"/>
          <w:szCs w:val="20"/>
        </w:rPr>
        <w:t>)</w:t>
      </w:r>
      <w:r w:rsidRPr="00435469">
        <w:rPr>
          <w:rFonts w:cs="Times New Roman"/>
          <w:sz w:val="20"/>
          <w:szCs w:val="20"/>
        </w:rPr>
        <w:t xml:space="preserve"> and HIV epidemics for the South African adult population (ages 15 years and older). The core TB states </w:t>
      </w:r>
      <w:r w:rsidR="00310E21" w:rsidRPr="00435469">
        <w:rPr>
          <w:rFonts w:cs="Times New Roman"/>
          <w:sz w:val="20"/>
          <w:szCs w:val="20"/>
        </w:rPr>
        <w:t>we</w:t>
      </w:r>
      <w:r w:rsidRPr="00435469">
        <w:rPr>
          <w:rFonts w:cs="Times New Roman"/>
          <w:sz w:val="20"/>
          <w:szCs w:val="20"/>
        </w:rPr>
        <w:t xml:space="preserve">re modelled following conventions used by previous modelling studies </w:t>
      </w:r>
      <w:r w:rsidRPr="00435469">
        <w:rPr>
          <w:rFonts w:cs="Times New Roman"/>
          <w:sz w:val="20"/>
          <w:szCs w:val="20"/>
        </w:rPr>
        <w:fldChar w:fldCharType="begin" w:fldLock="1"/>
      </w:r>
      <w:r w:rsidRPr="00435469">
        <w:rPr>
          <w:rFonts w:cs="Times New Roman"/>
          <w:sz w:val="20"/>
          <w:szCs w:val="20"/>
        </w:rPr>
        <w:instrText>ADDIN CSL_CITATION {"citationItems":[{"id":"ITEM-1","itemData":{"DOI":"10.1017/S0950268897007917","ISBN":"0950-2688 (Print)\\r0950-2688 (Linking)","ISSN":"0950-2688","PMID":"9363017","abstract":"Many aspects of the natural history of tuberculosis are poorly understood. Though it is recognized that clinical tuberculosis may follow shortly after initial infection ('primary' disease), or many years thereafter through either endogenous reactivation or after reinfection, the relative importance of these mechanisms is often disputed. The issue is complicated by the fact that the risks of developing disease are age-dependent, and reflect infection risks which may change over time. This paper estimates the age-dependent risks of developing tuberculosis using an age-structured deterministic model of the dynamics of tuberculous infection and disease in England and Wales since 1900. The work extends the classical studies of Sutherland and colleagues. The best estimates of the risks of developing 'primary' disease (within 5 years of initial infection) were approximately 4%, 9% and 14% for individuals infected at ages 0-10, 15 years and over 20 years respectively, and a previous infection appeared to impart little protection against (further) reinfection, but 16-41% protection against disease subsequent to reinfection for adolescents and adults. We also provide evidence that reinfection made an important contribution to tuberculous morbidity in the past, as (i) exclusion of exogenous disease from the model considerably worsened the fit to observed notification rates, and (ii) the dramatic decline in the risk of tuberculous infection from 1950 in England and Wales accelerated the decline in morbidity among all individuals, even among the older age groups with a high prevalence of tuberculous infection. We conclude that the risk of infection is the single most important factor affecting the magnitude of the tuberculous morbidity in a population, as it determines both the age pattern of initial infection (and hence the risk of developing disease) and the risk of reinfection.","author":[{"dropping-particle":"","family":"Vynnycky","given":"E","non-dropping-particle":"","parse-names":false,"suffix":""},{"dropping-particle":"","family":"Fine","given":"P E","non-dropping-particle":"","parse-names":false,"suffix":""}],"container-title":"Epidemiology and infection","id":"ITEM-1","issue":"2","issued":{"date-parts":[["1997"]]},"page":"183-201","title":"The natural history of tuberculosis: the implications of age-dependent risks of disease and the role of reinfection.","type":"article-journal","volume":"119"},"uris":["http://www.mendeley.com/documents/?uuid=6728f462-5800-4a8c-a148-1551286406c6"]},{"id":"ITEM-2","itemData":{"DOI":"10.1037/a0021881","author":[{"dropping-particle":"","family":"Dye","given":"Christopher","non-dropping-particle":"","parse-names":false,"suffix":""},{"dropping-particle":"","family":"Floyd","given":"Katherine","non-dropping-particle":"","parse-names":false,"suffix":""}],"container-title":"In Disease Control Priorities in Developing Countries","id":"ITEM-2","issued":{"date-parts":[["2006"]]},"page":"289-309","title":"Chapter 16. Tuberculosis","type":"chapter"},"uris":["http://www.mendeley.com/documents/?uuid=a17fc89d-d0f9-4bf8-bacc-615216164613"]},{"id":"ITEM-3","itemData":{"DOI":"10.1164/rccm.201310-1846OC","ISBN":"1535-4970 (Electronic)\\r1073-449X (Linking)","ISSN":"15354970","PMID":"24559425","abstract":"RATIONALE: Household contact tracing has recently been endorsed for global tuberculosis (TB) control, but its potential population-level impact remains uncertain.\\n\\nOBJECTIVES: To project the maximum impact of household contact tracing for TB in a moderate-burden setting.\\n\\nMETHODS: We developed a stochastic, agent-based simulation model of a simplified TB epidemic, calibrated to a setting of moderate TB incidence. We used data from the literature to generate \"community-driven\" and \"household-driven\" scenarios in which 22 and 50% of TB transmission occurred within the household, respectively. In each scenario, we simulated an intervention in which the household members are screened and treated for TB at the time of an index patient's active TB diagnosis.\\n\\nMEASUREMENTS AND MAIN RESULTS: By the time of TB diagnosis, 75 to 95% of initial household infections had already occurred, but only 1.5 to 3.0% of contacts had sufficient time to progress to active TB. With 100% sensitive tracing of all contacts for 5 consecutive years, TB incidence declined by 10 to 15%, with a mean year-over-year decline of 2% per year. Effects were sustained for many years after stopping the intervention. Providing preventive therapy with contact tracing nearly doubled this impact (17-27% decline in incidence). Impact was proportional to sensitivity and coverage; thus, if 50% of contacts were screened with a 50% sensitive test, TB incidence declined by only 0.5% per year.\\n\\nCONCLUSIONS: Household contact tracing is unlikely to transform TB epidemiology in isolation but has the potential, especially with provision of preventive therapy, to augment a comprehensive package of interventions that could substantially reduce the population-level burden of TB.","author":[{"dropping-particle":"","family":"Kasaie","given":"Parastu","non-dropping-particle":"","parse-names":false,"suffix":""},{"dropping-particle":"","family":"Andrews","given":"Jason R.","non-dropping-particle":"","parse-names":false,"suffix":""},{"dropping-particle":"","family":"Kelton","given":"W. David","non-dropping-particle":"","parse-names":false,"suffix":""},{"dropping-particle":"","family":"Dowdy","given":"David W.","non-dropping-particle":"","parse-names":false,"suffix":""}],"container-title":"American Journal of Respiratory and Critical Care Medicine","id":"ITEM-3","issue":"7","issued":{"date-parts":[["2014"]]},"page":"845-852","title":"Timing of tuberculosis transmission and the impact of household contact tracing: An agent-based model.","type":"article-journal","volume":"189"},"uris":["http://www.mendeley.com/documents/?uuid=8ce7842c-b3c6-4b40-91ad-3a1afd48f5b4"]}],"mendeley":{"formattedCitation":"(1–3)","plainTextFormattedCitation":"(1–3)","previouslyFormattedCitation":"(1–3)"},"properties":{"noteIndex":0},"schema":"https://github.com/citation-style-language/schema/raw/master/csl-citation.json"}</w:instrText>
      </w:r>
      <w:r w:rsidRPr="00435469">
        <w:rPr>
          <w:rFonts w:cs="Times New Roman"/>
          <w:sz w:val="20"/>
          <w:szCs w:val="20"/>
        </w:rPr>
        <w:fldChar w:fldCharType="separate"/>
      </w:r>
      <w:r w:rsidRPr="00435469">
        <w:rPr>
          <w:rFonts w:cs="Times New Roman"/>
          <w:noProof/>
          <w:sz w:val="20"/>
          <w:szCs w:val="20"/>
        </w:rPr>
        <w:t>(1–3)</w:t>
      </w:r>
      <w:r w:rsidRPr="00435469">
        <w:rPr>
          <w:rFonts w:cs="Times New Roman"/>
          <w:sz w:val="20"/>
          <w:szCs w:val="20"/>
        </w:rPr>
        <w:fldChar w:fldCharType="end"/>
      </w:r>
      <w:r w:rsidRPr="00435469">
        <w:rPr>
          <w:rFonts w:cs="Times New Roman"/>
          <w:sz w:val="20"/>
          <w:szCs w:val="20"/>
        </w:rPr>
        <w:t xml:space="preserve">. We considered the following epidemiological states: susceptible, latent tuberculosis infection (LTBI), active TB smear-positive, active TB smear-negative, receiving treatment, and two post-TB treatment states – recent (six months after treatment) and long-term (more than six months after treatment), as shown in Figure 1. </w:t>
      </w:r>
    </w:p>
    <w:p w14:paraId="42FE9E12" w14:textId="07E82311" w:rsidR="009C3323" w:rsidRPr="00435469" w:rsidRDefault="009C3323" w:rsidP="00955FFB">
      <w:pPr>
        <w:pStyle w:val="3CaptionAbove"/>
        <w:rPr>
          <w:sz w:val="20"/>
          <w:szCs w:val="20"/>
        </w:rPr>
      </w:pPr>
      <w:bookmarkStart w:id="5" w:name="_Toc103252998"/>
      <w:r w:rsidRPr="00435469">
        <w:rPr>
          <w:sz w:val="20"/>
          <w:szCs w:val="20"/>
        </w:rPr>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1</w:t>
      </w:r>
      <w:r w:rsidRPr="00435469">
        <w:rPr>
          <w:sz w:val="20"/>
          <w:szCs w:val="20"/>
        </w:rPr>
        <w:fldChar w:fldCharType="end"/>
      </w:r>
      <w:r w:rsidRPr="00435469">
        <w:rPr>
          <w:sz w:val="20"/>
          <w:szCs w:val="20"/>
        </w:rPr>
        <w:t>: The tuberculosis natural history model structure</w:t>
      </w:r>
      <w:bookmarkEnd w:id="5"/>
    </w:p>
    <w:p w14:paraId="3D02FC32" w14:textId="77777777" w:rsidR="009C3323" w:rsidRPr="00435469" w:rsidRDefault="009C3323" w:rsidP="00955FFB">
      <w:pPr>
        <w:spacing w:line="240" w:lineRule="auto"/>
        <w:jc w:val="center"/>
        <w:rPr>
          <w:rFonts w:cs="Times New Roman"/>
          <w:sz w:val="20"/>
          <w:szCs w:val="20"/>
        </w:rPr>
      </w:pPr>
      <w:r w:rsidRPr="00435469">
        <w:rPr>
          <w:rFonts w:cs="Times New Roman"/>
          <w:noProof/>
          <w:sz w:val="20"/>
          <w:szCs w:val="20"/>
        </w:rPr>
        <w:drawing>
          <wp:inline distT="0" distB="0" distL="0" distR="0" wp14:anchorId="6FE8F889" wp14:editId="5793939C">
            <wp:extent cx="5753240" cy="2592125"/>
            <wp:effectExtent l="0" t="0" r="0" b="0"/>
            <wp:docPr id="16" name="Picture 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815937" cy="2620373"/>
                    </a:xfrm>
                    <a:prstGeom prst="rect">
                      <a:avLst/>
                    </a:prstGeom>
                    <a:noFill/>
                    <a:ln>
                      <a:noFill/>
                    </a:ln>
                  </pic:spPr>
                </pic:pic>
              </a:graphicData>
            </a:graphic>
          </wp:inline>
        </w:drawing>
      </w:r>
    </w:p>
    <w:p w14:paraId="3691DF6F" w14:textId="77777777" w:rsidR="009C3323" w:rsidRPr="00435469" w:rsidRDefault="009C3323" w:rsidP="00955FFB">
      <w:pPr>
        <w:spacing w:line="240" w:lineRule="auto"/>
        <w:jc w:val="center"/>
        <w:rPr>
          <w:rFonts w:cs="Times New Roman"/>
          <w:sz w:val="20"/>
          <w:szCs w:val="20"/>
        </w:rPr>
      </w:pPr>
      <w:r w:rsidRPr="00435469">
        <w:rPr>
          <w:rFonts w:cs="Times New Roman"/>
          <w:sz w:val="20"/>
          <w:szCs w:val="20"/>
        </w:rPr>
        <w:t xml:space="preserve">TB = tuberculosis. Rx = treatment. </w:t>
      </w:r>
      <w:proofErr w:type="spellStart"/>
      <w:r w:rsidRPr="00435469">
        <w:rPr>
          <w:rFonts w:cs="Times New Roman"/>
          <w:sz w:val="20"/>
          <w:szCs w:val="20"/>
        </w:rPr>
        <w:t>Sm</w:t>
      </w:r>
      <w:proofErr w:type="spellEnd"/>
      <w:r w:rsidRPr="00435469">
        <w:rPr>
          <w:rFonts w:cs="Times New Roman"/>
          <w:sz w:val="20"/>
          <w:szCs w:val="20"/>
        </w:rPr>
        <w:t xml:space="preserve">+ = </w:t>
      </w:r>
      <w:proofErr w:type="gramStart"/>
      <w:r w:rsidRPr="00435469">
        <w:rPr>
          <w:rFonts w:cs="Times New Roman"/>
          <w:sz w:val="20"/>
          <w:szCs w:val="20"/>
        </w:rPr>
        <w:t>smear-positive</w:t>
      </w:r>
      <w:proofErr w:type="gramEnd"/>
      <w:r w:rsidRPr="00435469">
        <w:rPr>
          <w:rFonts w:cs="Times New Roman"/>
          <w:sz w:val="20"/>
          <w:szCs w:val="20"/>
        </w:rPr>
        <w:t xml:space="preserve">. </w:t>
      </w:r>
      <w:proofErr w:type="spellStart"/>
      <w:r w:rsidRPr="00435469">
        <w:rPr>
          <w:rFonts w:cs="Times New Roman"/>
          <w:sz w:val="20"/>
          <w:szCs w:val="20"/>
        </w:rPr>
        <w:t>Sm</w:t>
      </w:r>
      <w:proofErr w:type="spellEnd"/>
      <w:r w:rsidRPr="00435469">
        <w:rPr>
          <w:rFonts w:cs="Times New Roman"/>
          <w:sz w:val="20"/>
          <w:szCs w:val="20"/>
        </w:rPr>
        <w:t>- = smear negative.</w:t>
      </w:r>
    </w:p>
    <w:p w14:paraId="09D389B6" w14:textId="77777777" w:rsidR="00513802" w:rsidRPr="0039408D" w:rsidRDefault="00513802" w:rsidP="00513802">
      <w:pPr>
        <w:spacing w:line="240" w:lineRule="auto"/>
        <w:rPr>
          <w:sz w:val="20"/>
          <w:szCs w:val="20"/>
        </w:rPr>
      </w:pPr>
      <w:r w:rsidRPr="0039408D">
        <w:rPr>
          <w:rFonts w:cs="Times New Roman"/>
          <w:sz w:val="20"/>
          <w:szCs w:val="20"/>
        </w:rPr>
        <w:t xml:space="preserve">Although the model produces estimates for individuals with 15 years and older, it simulates </w:t>
      </w:r>
      <w:r w:rsidRPr="0039408D">
        <w:rPr>
          <w:sz w:val="20"/>
          <w:szCs w:val="20"/>
        </w:rPr>
        <w:t xml:space="preserve">TB transmission and the natural history from age 10 years. We assume a fixed proportion of children are latently infected with TB on reaching age 10. </w:t>
      </w:r>
      <w:r w:rsidRPr="0039408D">
        <w:rPr>
          <w:rFonts w:cs="Times New Roman"/>
          <w:sz w:val="20"/>
          <w:szCs w:val="20"/>
          <w:lang w:val="en-ZA"/>
        </w:rPr>
        <w:t xml:space="preserve">The prevalence of LTBI is based on an age-dependent function described in </w:t>
      </w:r>
      <w:r w:rsidRPr="0039408D">
        <w:rPr>
          <w:rFonts w:cs="Times New Roman"/>
          <w:b/>
          <w:bCs/>
          <w:sz w:val="20"/>
          <w:szCs w:val="20"/>
          <w:lang w:val="en-ZA"/>
        </w:rPr>
        <w:t>section 2</w:t>
      </w:r>
      <w:r w:rsidRPr="0039408D">
        <w:rPr>
          <w:rFonts w:cs="Times New Roman"/>
          <w:iCs/>
          <w:sz w:val="20"/>
          <w:szCs w:val="20"/>
          <w:lang w:val="en-ZA"/>
        </w:rPr>
        <w:t xml:space="preserve">, and the </w:t>
      </w:r>
      <w:r w:rsidRPr="0039408D">
        <w:rPr>
          <w:rFonts w:cs="Times New Roman"/>
          <w:sz w:val="20"/>
          <w:szCs w:val="20"/>
          <w:lang w:val="en-ZA"/>
        </w:rPr>
        <w:t xml:space="preserve">LTBI prevalence at the age of ten years is </w:t>
      </w:r>
      <m:oMath>
        <m:sSub>
          <m:sSubPr>
            <m:ctrlPr>
              <w:rPr>
                <w:rFonts w:ascii="Cambria Math" w:hAnsi="Cambria Math" w:cs="Times New Roman"/>
                <w:i/>
                <w:sz w:val="20"/>
                <w:szCs w:val="20"/>
                <w:lang w:val="en-ZA"/>
              </w:rPr>
            </m:ctrlPr>
          </m:sSubPr>
          <m:e>
            <m:r>
              <w:rPr>
                <w:rFonts w:ascii="Cambria Math" w:hAnsi="Cambria Math" w:cs="Times New Roman"/>
                <w:sz w:val="20"/>
                <w:szCs w:val="20"/>
                <w:lang w:val="en-ZA"/>
              </w:rPr>
              <m:t>F</m:t>
            </m:r>
          </m:e>
          <m:sub>
            <m:r>
              <w:rPr>
                <w:rFonts w:ascii="Cambria Math" w:hAnsi="Cambria Math" w:cs="Times New Roman"/>
                <w:sz w:val="20"/>
                <w:szCs w:val="20"/>
                <w:lang w:val="en-ZA"/>
              </w:rPr>
              <m:t>ltbi</m:t>
            </m:r>
          </m:sub>
        </m:sSub>
        <m:d>
          <m:dPr>
            <m:ctrlPr>
              <w:rPr>
                <w:rFonts w:ascii="Cambria Math" w:hAnsi="Cambria Math" w:cs="Times New Roman"/>
                <w:i/>
                <w:sz w:val="20"/>
                <w:szCs w:val="20"/>
                <w:lang w:val="en-ZA"/>
              </w:rPr>
            </m:ctrlPr>
          </m:dPr>
          <m:e>
            <m:r>
              <w:rPr>
                <w:rFonts w:ascii="Cambria Math" w:hAnsi="Cambria Math" w:cs="Times New Roman"/>
                <w:sz w:val="20"/>
                <w:szCs w:val="20"/>
                <w:lang w:val="en-ZA"/>
              </w:rPr>
              <m:t>10</m:t>
            </m:r>
          </m:e>
        </m:d>
        <m:r>
          <w:rPr>
            <w:rFonts w:ascii="Cambria Math" w:hAnsi="Cambria Math" w:cs="Times New Roman"/>
            <w:sz w:val="20"/>
            <w:szCs w:val="20"/>
            <w:lang w:val="en-ZA"/>
          </w:rPr>
          <m:t>=0.47</m:t>
        </m:r>
      </m:oMath>
      <w:r w:rsidRPr="0039408D">
        <w:rPr>
          <w:rFonts w:cs="Times New Roman"/>
          <w:sz w:val="20"/>
          <w:szCs w:val="20"/>
          <w:lang w:val="en-ZA"/>
        </w:rPr>
        <w:t xml:space="preserve">, which is where we then start simulating the potential for disease progression and transmission. </w:t>
      </w:r>
    </w:p>
    <w:p w14:paraId="153573ED" w14:textId="1C966E34" w:rsidR="009C3323" w:rsidRPr="00435469" w:rsidRDefault="009C3323" w:rsidP="00955FFB">
      <w:pPr>
        <w:spacing w:line="240" w:lineRule="auto"/>
        <w:rPr>
          <w:rFonts w:cs="Times New Roman"/>
          <w:sz w:val="20"/>
          <w:szCs w:val="20"/>
        </w:rPr>
      </w:pPr>
      <w:r w:rsidRPr="00435469">
        <w:rPr>
          <w:rFonts w:cs="Times New Roman"/>
          <w:sz w:val="20"/>
          <w:szCs w:val="20"/>
        </w:rPr>
        <w:t xml:space="preserve">The TB transmission process and associated parameters are described in </w:t>
      </w:r>
      <w:r w:rsidRPr="00435469">
        <w:rPr>
          <w:rFonts w:cs="Times New Roman"/>
          <w:b/>
          <w:bCs/>
          <w:sz w:val="20"/>
          <w:szCs w:val="20"/>
        </w:rPr>
        <w:t xml:space="preserve">section </w:t>
      </w:r>
      <w:r w:rsidR="00914C12" w:rsidRPr="00435469">
        <w:rPr>
          <w:rFonts w:cs="Times New Roman"/>
          <w:b/>
          <w:bCs/>
          <w:sz w:val="20"/>
          <w:szCs w:val="20"/>
        </w:rPr>
        <w:t>4</w:t>
      </w:r>
      <w:r w:rsidRPr="00435469">
        <w:rPr>
          <w:rFonts w:cs="Times New Roman"/>
          <w:sz w:val="20"/>
          <w:szCs w:val="20"/>
        </w:rPr>
        <w:t xml:space="preserve">. Following infection, individuals progress to TB disease through fast progression or remain infected with latent TB and may develop TB disease through reactivation or reinfection (described in </w:t>
      </w:r>
      <w:r w:rsidR="00914C12" w:rsidRPr="00435469">
        <w:rPr>
          <w:rFonts w:cs="Times New Roman"/>
          <w:b/>
          <w:bCs/>
          <w:sz w:val="20"/>
          <w:szCs w:val="20"/>
        </w:rPr>
        <w:t>section 5</w:t>
      </w:r>
      <w:r w:rsidRPr="00435469">
        <w:rPr>
          <w:rFonts w:cs="Times New Roman"/>
          <w:sz w:val="20"/>
          <w:szCs w:val="20"/>
        </w:rPr>
        <w:t xml:space="preserve">). Individuals with LTBI have partial immunity, which affords them a reduced risk of fast progression to TB disease following reinfection. Individuals with TB disease </w:t>
      </w:r>
      <w:r w:rsidR="00B70A5B" w:rsidRPr="00435469">
        <w:rPr>
          <w:rFonts w:cs="Times New Roman"/>
          <w:sz w:val="20"/>
          <w:szCs w:val="20"/>
        </w:rPr>
        <w:t>we</w:t>
      </w:r>
      <w:r w:rsidRPr="00435469">
        <w:rPr>
          <w:rFonts w:cs="Times New Roman"/>
          <w:sz w:val="20"/>
          <w:szCs w:val="20"/>
        </w:rPr>
        <w:t xml:space="preserve">re further </w:t>
      </w:r>
      <w:proofErr w:type="spellStart"/>
      <w:r w:rsidRPr="00435469">
        <w:rPr>
          <w:rFonts w:cs="Times New Roman"/>
          <w:sz w:val="20"/>
          <w:szCs w:val="20"/>
        </w:rPr>
        <w:t>categorised</w:t>
      </w:r>
      <w:proofErr w:type="spellEnd"/>
      <w:r w:rsidRPr="00435469">
        <w:rPr>
          <w:rFonts w:cs="Times New Roman"/>
          <w:sz w:val="20"/>
          <w:szCs w:val="20"/>
        </w:rPr>
        <w:t xml:space="preserve"> by smear status – smear-positive or smear-negative. In these TB disease states, individuals may die or recover naturally and return to the LTBI state. Active TB individuals can also be linked to TB care, which depends on attending a health facility, being screened, being diagnosed (empirically or microbiologically), and ultimately initiating treatment; the TB diagnosis and treatment initiation process </w:t>
      </w:r>
      <w:r w:rsidR="002923F7" w:rsidRPr="00435469">
        <w:rPr>
          <w:rFonts w:cs="Times New Roman"/>
          <w:sz w:val="20"/>
          <w:szCs w:val="20"/>
        </w:rPr>
        <w:t xml:space="preserve">is </w:t>
      </w:r>
      <w:r w:rsidRPr="00435469">
        <w:rPr>
          <w:rFonts w:cs="Times New Roman"/>
          <w:sz w:val="20"/>
          <w:szCs w:val="20"/>
        </w:rPr>
        <w:t xml:space="preserve">explained in </w:t>
      </w:r>
      <w:r w:rsidR="00914C12" w:rsidRPr="00435469">
        <w:rPr>
          <w:rFonts w:cs="Times New Roman"/>
          <w:b/>
          <w:bCs/>
          <w:sz w:val="20"/>
          <w:szCs w:val="20"/>
        </w:rPr>
        <w:t xml:space="preserve">section </w:t>
      </w:r>
      <w:r w:rsidR="006956FA" w:rsidRPr="00435469">
        <w:rPr>
          <w:rFonts w:cs="Times New Roman"/>
          <w:b/>
          <w:bCs/>
          <w:sz w:val="20"/>
          <w:szCs w:val="20"/>
        </w:rPr>
        <w:t>6</w:t>
      </w:r>
      <w:r w:rsidR="00914C12" w:rsidRPr="00435469">
        <w:rPr>
          <w:rFonts w:cs="Times New Roman"/>
          <w:sz w:val="20"/>
          <w:szCs w:val="20"/>
        </w:rPr>
        <w:t>.</w:t>
      </w:r>
      <w:r w:rsidRPr="00435469">
        <w:rPr>
          <w:rFonts w:cs="Times New Roman"/>
          <w:b/>
          <w:bCs/>
          <w:sz w:val="20"/>
          <w:szCs w:val="20"/>
        </w:rPr>
        <w:t xml:space="preserve"> </w:t>
      </w:r>
      <w:r w:rsidRPr="00435469">
        <w:rPr>
          <w:rFonts w:cs="Times New Roman"/>
          <w:sz w:val="20"/>
          <w:szCs w:val="20"/>
        </w:rPr>
        <w:t xml:space="preserve">Complete treatment is assumed to last an average of six months. Those on treatment can experience the following outcomes: a) cure; b) failure, after which they will return to the active TB states; c) discontinuation of treatment, of which a proportion will return to TB disease state and the remainder to the recovered state; and d) death. These treatment outcomes are further described in </w:t>
      </w:r>
      <w:r w:rsidR="006956FA" w:rsidRPr="00435469">
        <w:rPr>
          <w:rFonts w:cs="Times New Roman"/>
          <w:b/>
          <w:bCs/>
          <w:sz w:val="20"/>
          <w:szCs w:val="20"/>
        </w:rPr>
        <w:t>section 7</w:t>
      </w:r>
      <w:r w:rsidRPr="00435469">
        <w:rPr>
          <w:rFonts w:cs="Times New Roman"/>
          <w:sz w:val="20"/>
          <w:szCs w:val="20"/>
        </w:rPr>
        <w:t>. Following treatment completion, we consider two post-TB treatment states that depend on the time since treatment cure/completion, which account for recurrent TB episodes through reinfection and relapse (described in</w:t>
      </w:r>
      <w:r w:rsidRPr="00435469">
        <w:rPr>
          <w:rFonts w:cs="Times New Roman"/>
          <w:b/>
          <w:bCs/>
          <w:sz w:val="20"/>
          <w:szCs w:val="20"/>
        </w:rPr>
        <w:t xml:space="preserve"> </w:t>
      </w:r>
      <w:r w:rsidR="006956FA" w:rsidRPr="00435469">
        <w:rPr>
          <w:rFonts w:cs="Times New Roman"/>
          <w:b/>
          <w:bCs/>
          <w:sz w:val="20"/>
          <w:szCs w:val="20"/>
        </w:rPr>
        <w:t>section 8</w:t>
      </w:r>
      <w:r w:rsidRPr="00435469">
        <w:rPr>
          <w:rFonts w:cs="Times New Roman"/>
          <w:sz w:val="20"/>
          <w:szCs w:val="20"/>
        </w:rPr>
        <w:t>).</w:t>
      </w:r>
    </w:p>
    <w:p w14:paraId="3EAD1354" w14:textId="28642464" w:rsidR="009C3323" w:rsidRPr="00435469" w:rsidRDefault="009C3323" w:rsidP="00955FFB">
      <w:pPr>
        <w:spacing w:line="240" w:lineRule="auto"/>
        <w:rPr>
          <w:rFonts w:cs="Times New Roman"/>
          <w:sz w:val="20"/>
          <w:szCs w:val="20"/>
        </w:rPr>
      </w:pPr>
      <w:r w:rsidRPr="00435469">
        <w:rPr>
          <w:rFonts w:cs="Times New Roman"/>
          <w:sz w:val="20"/>
          <w:szCs w:val="20"/>
        </w:rPr>
        <w:t xml:space="preserve">To incorporate the effect of HIV and ART, the TB model was integrated into the </w:t>
      </w:r>
      <w:proofErr w:type="spellStart"/>
      <w:r w:rsidRPr="00435469">
        <w:rPr>
          <w:rFonts w:cs="Times New Roman"/>
          <w:sz w:val="20"/>
          <w:szCs w:val="20"/>
        </w:rPr>
        <w:t>Thembisa</w:t>
      </w:r>
      <w:proofErr w:type="spellEnd"/>
      <w:r w:rsidRPr="00435469">
        <w:rPr>
          <w:rFonts w:cs="Times New Roman"/>
          <w:sz w:val="20"/>
          <w:szCs w:val="20"/>
        </w:rPr>
        <w:t xml:space="preserve"> HIV model. The </w:t>
      </w:r>
      <w:proofErr w:type="spellStart"/>
      <w:r w:rsidRPr="00435469">
        <w:rPr>
          <w:rFonts w:cs="Times New Roman"/>
          <w:sz w:val="20"/>
          <w:szCs w:val="20"/>
        </w:rPr>
        <w:t>Thembisa</w:t>
      </w:r>
      <w:proofErr w:type="spellEnd"/>
      <w:r w:rsidRPr="00435469">
        <w:rPr>
          <w:rFonts w:cs="Times New Roman"/>
          <w:sz w:val="20"/>
          <w:szCs w:val="20"/>
        </w:rPr>
        <w:t xml:space="preserve"> model simulates the South African population, by age and sex, at monthly time steps from 1985 </w:t>
      </w:r>
      <w:r w:rsidRPr="00435469">
        <w:rPr>
          <w:rFonts w:cs="Times New Roman"/>
          <w:sz w:val="20"/>
          <w:szCs w:val="20"/>
        </w:rPr>
        <w:fldChar w:fldCharType="begin" w:fldLock="1"/>
      </w:r>
      <w:r w:rsidRPr="00435469">
        <w:rPr>
          <w:rFonts w:cs="Times New Roman"/>
          <w:sz w:val="20"/>
          <w:szCs w:val="20"/>
        </w:rPr>
        <w:instrText>ADDIN CSL_CITATION {"citationItems":[{"id":"ITEM-1","itemData":{"author":[{"dropping-particle":"","family":"Johnson","given":"L","non-dropping-particle":"","parse-names":false,"suffix":""},{"dropping-particle":"","family":"Dorrington","given":"R","non-dropping-particle":"","parse-names":false,"suffix":""}],"id":"ITEM-1","issued":{"date-parts":[["2018"]]},"number-of-pages":"1-164","title":"Thembisa version 4.1: A model for evaluating the impact of HIV/AIDS in South Africa","type":"report"},"uris":["http://www.mendeley.com/documents/?uuid=fdc110ae-19dd-44a8-aef9-35f206152ed7"]}],"mendeley":{"formattedCitation":"(4)","plainTextFormattedCitation":"(4)","previouslyFormattedCitation":"(4)"},"properties":{"noteIndex":0},"schema":"https://github.com/citation-style-language/schema/raw/master/csl-citation.json"}</w:instrText>
      </w:r>
      <w:r w:rsidRPr="00435469">
        <w:rPr>
          <w:rFonts w:cs="Times New Roman"/>
          <w:sz w:val="20"/>
          <w:szCs w:val="20"/>
        </w:rPr>
        <w:fldChar w:fldCharType="separate"/>
      </w:r>
      <w:r w:rsidRPr="00435469">
        <w:rPr>
          <w:rFonts w:cs="Times New Roman"/>
          <w:noProof/>
          <w:sz w:val="20"/>
          <w:szCs w:val="20"/>
        </w:rPr>
        <w:t>(4)</w:t>
      </w:r>
      <w:r w:rsidRPr="00435469">
        <w:rPr>
          <w:rFonts w:cs="Times New Roman"/>
          <w:sz w:val="20"/>
          <w:szCs w:val="20"/>
        </w:rPr>
        <w:fldChar w:fldCharType="end"/>
      </w:r>
      <w:r w:rsidRPr="00435469">
        <w:rPr>
          <w:rFonts w:cs="Times New Roman"/>
          <w:sz w:val="20"/>
          <w:szCs w:val="20"/>
        </w:rPr>
        <w:t>. The structure of the HIV model is given in</w:t>
      </w:r>
      <w:r w:rsidR="00484B0B" w:rsidRPr="00435469">
        <w:rPr>
          <w:rFonts w:cs="Times New Roman"/>
          <w:sz w:val="20"/>
          <w:szCs w:val="20"/>
        </w:rPr>
        <w:t xml:space="preserve"> </w:t>
      </w:r>
      <w:r w:rsidRPr="00435469">
        <w:rPr>
          <w:rFonts w:cs="Times New Roman"/>
          <w:sz w:val="20"/>
          <w:szCs w:val="20"/>
        </w:rPr>
        <w:t xml:space="preserve"> </w:t>
      </w:r>
      <w:r w:rsidR="003370E0" w:rsidRPr="00435469">
        <w:rPr>
          <w:rFonts w:cs="Times New Roman"/>
          <w:sz w:val="20"/>
          <w:szCs w:val="20"/>
        </w:rPr>
        <w:fldChar w:fldCharType="begin"/>
      </w:r>
      <w:r w:rsidR="003370E0" w:rsidRPr="00435469">
        <w:rPr>
          <w:rFonts w:cs="Times New Roman"/>
          <w:sz w:val="20"/>
          <w:szCs w:val="20"/>
        </w:rPr>
        <w:instrText xml:space="preserve"> REF _Ref101906688 \h </w:instrText>
      </w:r>
      <w:r w:rsidR="00955FFB" w:rsidRPr="00435469">
        <w:rPr>
          <w:rFonts w:cs="Times New Roman"/>
          <w:sz w:val="20"/>
          <w:szCs w:val="20"/>
        </w:rPr>
        <w:instrText xml:space="preserve"> \* MERGEFORMAT </w:instrText>
      </w:r>
      <w:r w:rsidR="003370E0" w:rsidRPr="00435469">
        <w:rPr>
          <w:rFonts w:cs="Times New Roman"/>
          <w:sz w:val="20"/>
          <w:szCs w:val="20"/>
        </w:rPr>
      </w:r>
      <w:r w:rsidR="003370E0" w:rsidRPr="00435469">
        <w:rPr>
          <w:rFonts w:cs="Times New Roman"/>
          <w:sz w:val="20"/>
          <w:szCs w:val="20"/>
        </w:rPr>
        <w:fldChar w:fldCharType="separate"/>
      </w:r>
      <w:r w:rsidR="00186C2F" w:rsidRPr="00435469">
        <w:rPr>
          <w:sz w:val="20"/>
          <w:szCs w:val="20"/>
        </w:rPr>
        <w:t xml:space="preserve">Figure </w:t>
      </w:r>
      <w:r w:rsidR="00186C2F" w:rsidRPr="00435469">
        <w:rPr>
          <w:noProof/>
          <w:sz w:val="20"/>
          <w:szCs w:val="20"/>
        </w:rPr>
        <w:t>2</w:t>
      </w:r>
      <w:r w:rsidR="003370E0" w:rsidRPr="00435469">
        <w:rPr>
          <w:rFonts w:cs="Times New Roman"/>
          <w:sz w:val="20"/>
          <w:szCs w:val="20"/>
        </w:rPr>
        <w:fldChar w:fldCharType="end"/>
      </w:r>
      <w:r w:rsidRPr="00435469">
        <w:rPr>
          <w:rFonts w:cs="Times New Roman"/>
          <w:sz w:val="20"/>
          <w:szCs w:val="20"/>
        </w:rPr>
        <w:t>, and a detailed description of the HIV model (</w:t>
      </w:r>
      <w:proofErr w:type="spellStart"/>
      <w:r w:rsidRPr="00435469">
        <w:rPr>
          <w:rFonts w:cs="Times New Roman"/>
          <w:sz w:val="20"/>
          <w:szCs w:val="20"/>
        </w:rPr>
        <w:t>Thembisa</w:t>
      </w:r>
      <w:proofErr w:type="spellEnd"/>
      <w:r w:rsidRPr="00435469">
        <w:rPr>
          <w:rFonts w:cs="Times New Roman"/>
          <w:sz w:val="20"/>
          <w:szCs w:val="20"/>
        </w:rPr>
        <w:t xml:space="preserve"> 4.3) has been published </w:t>
      </w:r>
      <w:r w:rsidRPr="00435469">
        <w:rPr>
          <w:rFonts w:cs="Times New Roman"/>
          <w:sz w:val="20"/>
          <w:szCs w:val="20"/>
        </w:rPr>
        <w:fldChar w:fldCharType="begin" w:fldLock="1"/>
      </w:r>
      <w:r w:rsidRPr="00435469">
        <w:rPr>
          <w:rFonts w:cs="Times New Roman"/>
          <w:sz w:val="20"/>
          <w:szCs w:val="20"/>
        </w:rPr>
        <w:instrText>ADDIN CSL_CITATION {"citationItems":[{"id":"ITEM-1","itemData":{"abstract":"This working paper provides a detailed technical description of the THEMBISA model, an integrated demographic and epidemiological model of the South African HIV/AIDS epidemic. The model stratifies the population by demographic characteristics (age and sex), behavioural characteristics (marital status, sexual experience, propensity for concurrent partnerships) and access to HIV prevention (HIV testing history, male circumcision status and receipt of microbicides and pre-exposure prophylaxis). In the HIV-positive population, individuals are further stratified according to their CD4 count, history of HIV diagnosis, receipt of ART and duration of treatment. The model simulates the change in population profile and the spread of HIV over time, starting in 1985. The model is fitted to age-specific HIV prevalence data and recorded death data, as well as self-reported HIV testing history data, using a Bayesian approach. Model results suggest that HIV incidence in South Africa has declined substantially since 2000, and that AIDS mortality rates have declined dramatically since 2005. However, results differ significantly from the two most widely-used HIV models in South Africa, the Spectrum/EPP and ASSA2008 models. Further work is required to refine the demographic parameters in the model and to apply the model to each of South Africa's provinces.","author":[{"dropping-particle":"","family":"Johnson","given":"Leigh;","non-dropping-particle":"","parse-names":false,"suffix":""},{"dropping-particle":"","family":"Dorrington","given":"Rob","non-dropping-particle":"","parse-names":false,"suffix":""}],"id":"ITEM-1","issued":{"date-parts":[["2021"]]},"number-of-pages":"1-164","title":"Thembisa version 4.4: A model for evaluating the impact of HIV/AIDS in South Africa","type":"report"},"uris":["http://www.mendeley.com/documents/?uuid=8d48f7a1-eb1c-4d9d-95f7-2b1b1f88448a"]}],"mendeley":{"formattedCitation":"(5)","plainTextFormattedCitation":"(5)","previouslyFormattedCitation":"(5)"},"properties":{"noteIndex":0},"schema":"https://github.com/citation-style-language/schema/raw/master/csl-citation.json"}</w:instrText>
      </w:r>
      <w:r w:rsidRPr="00435469">
        <w:rPr>
          <w:rFonts w:cs="Times New Roman"/>
          <w:sz w:val="20"/>
          <w:szCs w:val="20"/>
        </w:rPr>
        <w:fldChar w:fldCharType="separate"/>
      </w:r>
      <w:r w:rsidRPr="00435469">
        <w:rPr>
          <w:rFonts w:cs="Times New Roman"/>
          <w:noProof/>
          <w:sz w:val="20"/>
          <w:szCs w:val="20"/>
        </w:rPr>
        <w:t>(5)</w:t>
      </w:r>
      <w:r w:rsidRPr="00435469">
        <w:rPr>
          <w:rFonts w:cs="Times New Roman"/>
          <w:sz w:val="20"/>
          <w:szCs w:val="20"/>
        </w:rPr>
        <w:fldChar w:fldCharType="end"/>
      </w:r>
      <w:r w:rsidRPr="00435469">
        <w:rPr>
          <w:rFonts w:cs="Times New Roman"/>
          <w:sz w:val="20"/>
          <w:szCs w:val="20"/>
        </w:rPr>
        <w:t xml:space="preserve">. Briefly, in this model, HIV-infected sub-populations are stratified by HIV testing history, CD4 count and antiretroviral treatment duration. For those diagnosed with HIV, there is an indicator for </w:t>
      </w:r>
      <w:r w:rsidRPr="00435469">
        <w:rPr>
          <w:rFonts w:cs="Times New Roman"/>
          <w:sz w:val="20"/>
          <w:szCs w:val="20"/>
        </w:rPr>
        <w:lastRenderedPageBreak/>
        <w:t xml:space="preserve">ART initiation, and the CD4 count levels are used to represent the HIV stage or baseline CD4 at which </w:t>
      </w:r>
      <w:proofErr w:type="gramStart"/>
      <w:r w:rsidRPr="00435469">
        <w:rPr>
          <w:rFonts w:cs="Times New Roman"/>
          <w:sz w:val="20"/>
          <w:szCs w:val="20"/>
        </w:rPr>
        <w:t>individuals initiated</w:t>
      </w:r>
      <w:proofErr w:type="gramEnd"/>
      <w:r w:rsidRPr="00435469">
        <w:rPr>
          <w:rFonts w:cs="Times New Roman"/>
          <w:sz w:val="20"/>
          <w:szCs w:val="20"/>
        </w:rPr>
        <w:t xml:space="preserve"> ART. For those not on ART yet, the CD4 compartment represents their CD4 count at that given point (</w:t>
      </w:r>
      <w:r w:rsidRPr="00435469">
        <w:rPr>
          <w:rFonts w:cs="Times New Roman"/>
          <w:i/>
          <w:sz w:val="20"/>
          <w:szCs w:val="20"/>
        </w:rPr>
        <w:t>current CD4</w:t>
      </w:r>
      <w:r w:rsidRPr="00435469">
        <w:rPr>
          <w:rFonts w:cs="Times New Roman"/>
          <w:sz w:val="20"/>
          <w:szCs w:val="20"/>
        </w:rPr>
        <w:t xml:space="preserve">). For those on ART, the duration that they have been on ART treatment is also tracked, and for each duration compartment an average CD4 count is calculated, which depends on the baseline CD4 count </w:t>
      </w:r>
      <w:r w:rsidRPr="00435469">
        <w:rPr>
          <w:rFonts w:cs="Times New Roman"/>
          <w:sz w:val="20"/>
          <w:szCs w:val="20"/>
        </w:rPr>
        <w:fldChar w:fldCharType="begin" w:fldLock="1"/>
      </w:r>
      <w:r w:rsidRPr="00435469">
        <w:rPr>
          <w:rFonts w:cs="Times New Roman"/>
          <w:sz w:val="20"/>
          <w:szCs w:val="20"/>
        </w:rPr>
        <w:instrText>ADDIN CSL_CITATION {"citationItems":[{"id":"ITEM-1","itemData":{"abstract":"This working paper provides a detailed technical description of the THEMBISA model, an integrated demographic and epidemiological model of the South African HIV/AIDS epidemic. The model stratifies the population by demographic characteristics (age and sex), behavioural characteristics (marital status, sexual experience, propensity for concurrent partnerships) and access to HIV prevention (HIV testing history, male circumcision status and receipt of microbicides and pre-exposure prophylaxis). In the HIV-positive population, individuals are further stratified according to their CD4 count, history of HIV diagnosis, receipt of ART and duration of treatment. The model simulates the change in population profile and the spread of HIV over time, starting in 1985. The model is fitted to age-specific HIV prevalence data and recorded death data, as well as self-reported HIV testing history data, using a Bayesian approach. Model results suggest that HIV incidence in South Africa has declined substantially since 2000, and that AIDS mortality rates have declined dramatically since 2005. However, results differ significantly from the two most widely-used HIV models in South Africa, the Spectrum/EPP and ASSA2008 models. Further work is required to refine the demographic parameters in the model and to apply the model to each of South Africa's provinces.","author":[{"dropping-particle":"","family":"Johnson","given":"Leigh;","non-dropping-particle":"","parse-names":false,"suffix":""},{"dropping-particle":"","family":"Dorrington","given":"Rob","non-dropping-particle":"","parse-names":false,"suffix":""}],"id":"ITEM-1","issued":{"date-parts":[["2021"]]},"number-of-pages":"1-164","title":"Thembisa version 4.4: A model for evaluating the impact of HIV/AIDS in South Africa","type":"report"},"uris":["http://www.mendeley.com/documents/?uuid=8d48f7a1-eb1c-4d9d-95f7-2b1b1f88448a"]}],"mendeley":{"formattedCitation":"(5)","plainTextFormattedCitation":"(5)","previouslyFormattedCitation":"(5)"},"properties":{"noteIndex":0},"schema":"https://github.com/citation-style-language/schema/raw/master/csl-citation.json"}</w:instrText>
      </w:r>
      <w:r w:rsidRPr="00435469">
        <w:rPr>
          <w:rFonts w:cs="Times New Roman"/>
          <w:sz w:val="20"/>
          <w:szCs w:val="20"/>
        </w:rPr>
        <w:fldChar w:fldCharType="separate"/>
      </w:r>
      <w:r w:rsidRPr="00435469">
        <w:rPr>
          <w:rFonts w:cs="Times New Roman"/>
          <w:noProof/>
          <w:sz w:val="20"/>
          <w:szCs w:val="20"/>
        </w:rPr>
        <w:t>(5)</w:t>
      </w:r>
      <w:r w:rsidRPr="00435469">
        <w:rPr>
          <w:rFonts w:cs="Times New Roman"/>
          <w:sz w:val="20"/>
          <w:szCs w:val="20"/>
        </w:rPr>
        <w:fldChar w:fldCharType="end"/>
      </w:r>
      <w:r w:rsidRPr="00435469">
        <w:rPr>
          <w:rFonts w:cs="Times New Roman"/>
          <w:sz w:val="20"/>
          <w:szCs w:val="20"/>
        </w:rPr>
        <w:t>. The descriptions of how HIV and ART affect the TB natural history and health-seeking patterns are provided in the sections</w:t>
      </w:r>
      <w:r w:rsidR="002923F7" w:rsidRPr="00435469">
        <w:rPr>
          <w:rFonts w:cs="Times New Roman"/>
          <w:sz w:val="20"/>
          <w:szCs w:val="20"/>
        </w:rPr>
        <w:t xml:space="preserve"> 5 and 6 respectively</w:t>
      </w:r>
      <w:r w:rsidRPr="00435469">
        <w:rPr>
          <w:rFonts w:cs="Times New Roman"/>
          <w:sz w:val="20"/>
          <w:szCs w:val="20"/>
        </w:rPr>
        <w:t>.</w:t>
      </w:r>
    </w:p>
    <w:p w14:paraId="10CB5B41" w14:textId="29140E2A" w:rsidR="009C3323" w:rsidRPr="00435469" w:rsidRDefault="009C3323" w:rsidP="00955FFB">
      <w:pPr>
        <w:spacing w:line="240" w:lineRule="auto"/>
        <w:rPr>
          <w:rFonts w:cs="Times New Roman"/>
          <w:sz w:val="20"/>
          <w:szCs w:val="20"/>
        </w:rPr>
      </w:pPr>
      <w:r w:rsidRPr="00435469">
        <w:rPr>
          <w:rFonts w:cs="Times New Roman"/>
          <w:sz w:val="20"/>
          <w:szCs w:val="20"/>
        </w:rPr>
        <w:t xml:space="preserve">Additionally, in the model, we have incorporated the effect of isoniazid preventative therapy (described in </w:t>
      </w:r>
      <w:r w:rsidRPr="00435469">
        <w:rPr>
          <w:rFonts w:cs="Times New Roman"/>
          <w:b/>
          <w:bCs/>
          <w:sz w:val="20"/>
          <w:szCs w:val="20"/>
        </w:rPr>
        <w:t>section</w:t>
      </w:r>
      <w:r w:rsidR="00840933" w:rsidRPr="00435469">
        <w:rPr>
          <w:rFonts w:cs="Times New Roman"/>
          <w:b/>
          <w:bCs/>
          <w:sz w:val="20"/>
          <w:szCs w:val="20"/>
        </w:rPr>
        <w:t xml:space="preserve"> 9</w:t>
      </w:r>
      <w:r w:rsidRPr="00435469">
        <w:rPr>
          <w:rFonts w:cs="Times New Roman"/>
          <w:b/>
          <w:bCs/>
          <w:sz w:val="20"/>
          <w:szCs w:val="20"/>
        </w:rPr>
        <w:t>)</w:t>
      </w:r>
      <w:r w:rsidRPr="00435469">
        <w:rPr>
          <w:rFonts w:cs="Times New Roman"/>
          <w:sz w:val="20"/>
          <w:szCs w:val="20"/>
        </w:rPr>
        <w:t xml:space="preserve">. We have also explored the effect of selected TB risk factors on TB incidence in </w:t>
      </w:r>
      <w:r w:rsidRPr="00435469">
        <w:rPr>
          <w:rFonts w:cs="Times New Roman"/>
          <w:b/>
          <w:bCs/>
          <w:sz w:val="20"/>
          <w:szCs w:val="20"/>
        </w:rPr>
        <w:t xml:space="preserve">section </w:t>
      </w:r>
      <w:r w:rsidR="008142BD" w:rsidRPr="00435469">
        <w:rPr>
          <w:rFonts w:cs="Times New Roman"/>
          <w:b/>
          <w:bCs/>
          <w:sz w:val="20"/>
          <w:szCs w:val="20"/>
        </w:rPr>
        <w:t>10</w:t>
      </w:r>
      <w:r w:rsidRPr="00435469">
        <w:rPr>
          <w:rFonts w:cs="Times New Roman"/>
          <w:sz w:val="20"/>
          <w:szCs w:val="20"/>
        </w:rPr>
        <w:t xml:space="preserve">, as these are particularly relevant in representing sex differences in TB incidence. </w:t>
      </w:r>
      <w:r w:rsidR="00613F06" w:rsidRPr="00435469">
        <w:rPr>
          <w:rFonts w:cs="Times New Roman"/>
          <w:b/>
          <w:bCs/>
          <w:sz w:val="20"/>
          <w:szCs w:val="20"/>
        </w:rPr>
        <w:t>Section 11</w:t>
      </w:r>
      <w:r w:rsidR="00613F06" w:rsidRPr="00435469">
        <w:rPr>
          <w:rFonts w:cs="Times New Roman"/>
          <w:sz w:val="20"/>
          <w:szCs w:val="20"/>
        </w:rPr>
        <w:t xml:space="preserve"> describes the approach and data sources we used to calibrate the model.</w:t>
      </w:r>
      <w:r w:rsidR="00204B13" w:rsidRPr="00435469">
        <w:rPr>
          <w:rFonts w:cs="Times New Roman"/>
          <w:sz w:val="20"/>
          <w:szCs w:val="20"/>
        </w:rPr>
        <w:t xml:space="preserve"> </w:t>
      </w:r>
      <w:r w:rsidR="00C400A0" w:rsidRPr="00435469">
        <w:rPr>
          <w:rFonts w:cs="Times New Roman"/>
          <w:sz w:val="20"/>
          <w:szCs w:val="20"/>
          <w:shd w:val="clear" w:color="auto" w:fill="FFFFFF"/>
        </w:rPr>
        <w:t xml:space="preserve">Before this current analysis, </w:t>
      </w:r>
      <w:r w:rsidR="008C2570" w:rsidRPr="00435469">
        <w:rPr>
          <w:rFonts w:cs="Times New Roman"/>
          <w:sz w:val="20"/>
          <w:szCs w:val="20"/>
          <w:shd w:val="clear" w:color="auto" w:fill="FFFFFF"/>
        </w:rPr>
        <w:t xml:space="preserve">other </w:t>
      </w:r>
      <w:r w:rsidR="00C400A0" w:rsidRPr="00435469">
        <w:rPr>
          <w:rFonts w:cs="Times New Roman"/>
          <w:sz w:val="20"/>
          <w:szCs w:val="20"/>
          <w:shd w:val="clear" w:color="auto" w:fill="FFFFFF"/>
        </w:rPr>
        <w:t>calibration analys</w:t>
      </w:r>
      <w:r w:rsidR="004B500F" w:rsidRPr="00435469">
        <w:rPr>
          <w:rFonts w:cs="Times New Roman"/>
          <w:sz w:val="20"/>
          <w:szCs w:val="20"/>
          <w:shd w:val="clear" w:color="auto" w:fill="FFFFFF"/>
        </w:rPr>
        <w:t>e</w:t>
      </w:r>
      <w:r w:rsidR="00C400A0" w:rsidRPr="00435469">
        <w:rPr>
          <w:rFonts w:cs="Times New Roman"/>
          <w:sz w:val="20"/>
          <w:szCs w:val="20"/>
          <w:shd w:val="clear" w:color="auto" w:fill="FFFFFF"/>
        </w:rPr>
        <w:t>s w</w:t>
      </w:r>
      <w:r w:rsidR="004B500F" w:rsidRPr="00435469">
        <w:rPr>
          <w:rFonts w:cs="Times New Roman"/>
          <w:sz w:val="20"/>
          <w:szCs w:val="20"/>
          <w:shd w:val="clear" w:color="auto" w:fill="FFFFFF"/>
        </w:rPr>
        <w:t xml:space="preserve">ere </w:t>
      </w:r>
      <w:r w:rsidR="00C400A0" w:rsidRPr="00435469">
        <w:rPr>
          <w:rFonts w:cs="Times New Roman"/>
          <w:sz w:val="20"/>
          <w:szCs w:val="20"/>
          <w:shd w:val="clear" w:color="auto" w:fill="FFFFFF"/>
        </w:rPr>
        <w:t xml:space="preserve">performed to </w:t>
      </w:r>
      <w:r w:rsidR="00691490" w:rsidRPr="00435469">
        <w:rPr>
          <w:rFonts w:cs="Times New Roman"/>
          <w:sz w:val="20"/>
          <w:szCs w:val="20"/>
          <w:shd w:val="clear" w:color="auto" w:fill="FFFFFF"/>
        </w:rPr>
        <w:t>identify</w:t>
      </w:r>
      <w:r w:rsidR="00610E3C" w:rsidRPr="00435469">
        <w:rPr>
          <w:rFonts w:cs="Times New Roman"/>
          <w:sz w:val="20"/>
          <w:szCs w:val="20"/>
          <w:shd w:val="clear" w:color="auto" w:fill="FFFFFF"/>
        </w:rPr>
        <w:t xml:space="preserve"> </w:t>
      </w:r>
      <w:r w:rsidR="008B31D7" w:rsidRPr="00435469">
        <w:rPr>
          <w:rFonts w:cs="Times New Roman"/>
          <w:sz w:val="20"/>
          <w:szCs w:val="20"/>
          <w:shd w:val="clear" w:color="auto" w:fill="FFFFFF"/>
        </w:rPr>
        <w:t xml:space="preserve">the </w:t>
      </w:r>
      <w:r w:rsidR="00610E3C" w:rsidRPr="00435469">
        <w:rPr>
          <w:rFonts w:cs="Times New Roman"/>
          <w:sz w:val="20"/>
          <w:szCs w:val="20"/>
          <w:shd w:val="clear" w:color="auto" w:fill="FFFFFF"/>
        </w:rPr>
        <w:t>values for which</w:t>
      </w:r>
      <w:r w:rsidR="00691490" w:rsidRPr="00435469">
        <w:rPr>
          <w:rFonts w:cs="Times New Roman"/>
          <w:sz w:val="20"/>
          <w:szCs w:val="20"/>
          <w:shd w:val="clear" w:color="auto" w:fill="FFFFFF"/>
        </w:rPr>
        <w:t xml:space="preserve"> 1) </w:t>
      </w:r>
      <w:r w:rsidR="00610E3C" w:rsidRPr="00435469">
        <w:rPr>
          <w:rFonts w:cs="Times New Roman"/>
          <w:sz w:val="20"/>
          <w:szCs w:val="20"/>
          <w:shd w:val="clear" w:color="auto" w:fill="FFFFFF"/>
        </w:rPr>
        <w:t xml:space="preserve">transmission and </w:t>
      </w:r>
      <w:r w:rsidR="00C400A0" w:rsidRPr="00435469">
        <w:rPr>
          <w:rFonts w:cs="Times New Roman"/>
          <w:sz w:val="20"/>
          <w:szCs w:val="20"/>
          <w:shd w:val="clear" w:color="auto" w:fill="FFFFFF"/>
        </w:rPr>
        <w:t>natural history parameters</w:t>
      </w:r>
      <w:r w:rsidR="00691490" w:rsidRPr="00435469">
        <w:rPr>
          <w:rFonts w:cs="Times New Roman"/>
          <w:sz w:val="20"/>
          <w:szCs w:val="20"/>
          <w:shd w:val="clear" w:color="auto" w:fill="FFFFFF"/>
        </w:rPr>
        <w:t xml:space="preserve">, </w:t>
      </w:r>
      <w:r w:rsidR="005E6BF8" w:rsidRPr="00435469">
        <w:rPr>
          <w:rFonts w:cs="Times New Roman"/>
          <w:sz w:val="20"/>
          <w:szCs w:val="20"/>
          <w:shd w:val="clear" w:color="auto" w:fill="FFFFFF"/>
        </w:rPr>
        <w:t>and</w:t>
      </w:r>
      <w:r w:rsidR="00FC5E51" w:rsidRPr="00435469">
        <w:rPr>
          <w:rFonts w:cs="Times New Roman"/>
          <w:sz w:val="20"/>
          <w:szCs w:val="20"/>
          <w:shd w:val="clear" w:color="auto" w:fill="FFFFFF"/>
        </w:rPr>
        <w:t xml:space="preserve"> </w:t>
      </w:r>
      <w:r w:rsidR="00691490" w:rsidRPr="00435469">
        <w:rPr>
          <w:rFonts w:cs="Times New Roman"/>
          <w:sz w:val="20"/>
          <w:szCs w:val="20"/>
          <w:shd w:val="clear" w:color="auto" w:fill="FFFFFF"/>
        </w:rPr>
        <w:t xml:space="preserve">2) </w:t>
      </w:r>
      <w:r w:rsidR="00EC5B12" w:rsidRPr="00435469">
        <w:rPr>
          <w:rFonts w:cs="Times New Roman"/>
          <w:sz w:val="20"/>
          <w:szCs w:val="20"/>
          <w:shd w:val="clear" w:color="auto" w:fill="FFFFFF"/>
        </w:rPr>
        <w:t>parameters</w:t>
      </w:r>
      <w:r w:rsidR="00C400A0" w:rsidRPr="00435469">
        <w:rPr>
          <w:rFonts w:cs="Times New Roman"/>
          <w:sz w:val="20"/>
          <w:szCs w:val="20"/>
          <w:shd w:val="clear" w:color="auto" w:fill="FFFFFF"/>
        </w:rPr>
        <w:t xml:space="preserve"> mostly related to the effects of HIV, ART and control interventions</w:t>
      </w:r>
      <w:r w:rsidR="008B31D7" w:rsidRPr="00435469">
        <w:rPr>
          <w:rFonts w:cs="Times New Roman"/>
          <w:sz w:val="20"/>
          <w:szCs w:val="20"/>
          <w:shd w:val="clear" w:color="auto" w:fill="FFFFFF"/>
        </w:rPr>
        <w:t xml:space="preserve"> best fit the South African TB data</w:t>
      </w:r>
      <w:r w:rsidR="0014555F" w:rsidRPr="00435469">
        <w:rPr>
          <w:rFonts w:cs="Times New Roman"/>
          <w:sz w:val="20"/>
          <w:szCs w:val="20"/>
          <w:shd w:val="clear" w:color="auto" w:fill="FFFFFF"/>
        </w:rPr>
        <w:t>.</w:t>
      </w:r>
      <w:r w:rsidR="00A668FC" w:rsidRPr="00435469">
        <w:rPr>
          <w:rFonts w:cs="Times New Roman"/>
          <w:sz w:val="20"/>
          <w:szCs w:val="20"/>
          <w:shd w:val="clear" w:color="auto" w:fill="FFFFFF"/>
        </w:rPr>
        <w:t xml:space="preserve"> The</w:t>
      </w:r>
      <w:r w:rsidR="004A5645" w:rsidRPr="00435469">
        <w:rPr>
          <w:rFonts w:cs="Times New Roman"/>
          <w:sz w:val="20"/>
          <w:szCs w:val="20"/>
          <w:shd w:val="clear" w:color="auto" w:fill="FFFFFF"/>
        </w:rPr>
        <w:t>se were published</w:t>
      </w:r>
      <w:r w:rsidR="009B4888" w:rsidRPr="00435469">
        <w:rPr>
          <w:rFonts w:cs="Times New Roman"/>
          <w:sz w:val="20"/>
          <w:szCs w:val="20"/>
          <w:shd w:val="clear" w:color="auto" w:fill="FFFFFF"/>
        </w:rPr>
        <w:t xml:space="preserve"> </w:t>
      </w:r>
      <w:r w:rsidR="0063047A" w:rsidRPr="00435469">
        <w:rPr>
          <w:rFonts w:cs="Times New Roman"/>
          <w:sz w:val="20"/>
          <w:szCs w:val="20"/>
          <w:shd w:val="clear" w:color="auto" w:fill="FFFFFF"/>
        </w:rPr>
        <w:fldChar w:fldCharType="begin" w:fldLock="1"/>
      </w:r>
      <w:r w:rsidR="002F049E" w:rsidRPr="00435469">
        <w:rPr>
          <w:rFonts w:cs="Times New Roman"/>
          <w:sz w:val="20"/>
          <w:szCs w:val="20"/>
          <w:shd w:val="clear" w:color="auto" w:fill="FFFFFF"/>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63047A" w:rsidRPr="00435469">
        <w:rPr>
          <w:rFonts w:cs="Times New Roman"/>
          <w:sz w:val="20"/>
          <w:szCs w:val="20"/>
          <w:shd w:val="clear" w:color="auto" w:fill="FFFFFF"/>
        </w:rPr>
        <w:fldChar w:fldCharType="separate"/>
      </w:r>
      <w:r w:rsidR="0063047A" w:rsidRPr="00435469">
        <w:rPr>
          <w:rFonts w:cs="Times New Roman"/>
          <w:noProof/>
          <w:sz w:val="20"/>
          <w:szCs w:val="20"/>
          <w:shd w:val="clear" w:color="auto" w:fill="FFFFFF"/>
        </w:rPr>
        <w:t>(6)</w:t>
      </w:r>
      <w:r w:rsidR="0063047A" w:rsidRPr="00435469">
        <w:rPr>
          <w:rFonts w:cs="Times New Roman"/>
          <w:sz w:val="20"/>
          <w:szCs w:val="20"/>
          <w:shd w:val="clear" w:color="auto" w:fill="FFFFFF"/>
        </w:rPr>
        <w:fldChar w:fldCharType="end"/>
      </w:r>
      <w:r w:rsidR="004A5645" w:rsidRPr="00435469">
        <w:rPr>
          <w:rFonts w:cs="Times New Roman"/>
          <w:sz w:val="20"/>
          <w:szCs w:val="20"/>
          <w:shd w:val="clear" w:color="auto" w:fill="FFFFFF"/>
        </w:rPr>
        <w:t>.</w:t>
      </w:r>
      <w:r w:rsidR="0014555F" w:rsidRPr="00435469">
        <w:rPr>
          <w:rFonts w:cs="Times New Roman"/>
          <w:sz w:val="20"/>
          <w:szCs w:val="20"/>
          <w:shd w:val="clear" w:color="auto" w:fill="FFFFFF"/>
        </w:rPr>
        <w:t xml:space="preserve"> In this analysis, we focus on parameters which are more likely to influence sex differences in TB incidence</w:t>
      </w:r>
      <w:r w:rsidR="00C400A0" w:rsidRPr="00435469">
        <w:rPr>
          <w:rFonts w:cs="Times New Roman"/>
          <w:sz w:val="20"/>
          <w:szCs w:val="20"/>
          <w:shd w:val="clear" w:color="auto" w:fill="FFFFFF"/>
        </w:rPr>
        <w:t>; these are described in detail in section 11, Table 20</w:t>
      </w:r>
      <w:r w:rsidR="00C400A0" w:rsidRPr="00435469">
        <w:rPr>
          <w:rFonts w:cs="Times New Roman"/>
          <w:sz w:val="20"/>
          <w:szCs w:val="20"/>
        </w:rPr>
        <w:t xml:space="preserve">. </w:t>
      </w:r>
      <w:r w:rsidR="0014555F" w:rsidRPr="00435469">
        <w:rPr>
          <w:rFonts w:cs="Times New Roman"/>
          <w:sz w:val="20"/>
          <w:szCs w:val="20"/>
        </w:rPr>
        <w:t>In</w:t>
      </w:r>
      <w:r w:rsidR="0014555F" w:rsidRPr="00435469">
        <w:rPr>
          <w:rFonts w:cs="Times New Roman"/>
          <w:b/>
          <w:bCs/>
          <w:sz w:val="20"/>
          <w:szCs w:val="20"/>
        </w:rPr>
        <w:t xml:space="preserve"> </w:t>
      </w:r>
      <w:r w:rsidR="00840933" w:rsidRPr="00435469">
        <w:rPr>
          <w:rFonts w:cs="Times New Roman"/>
          <w:b/>
          <w:bCs/>
          <w:sz w:val="20"/>
          <w:szCs w:val="20"/>
        </w:rPr>
        <w:t>s</w:t>
      </w:r>
      <w:r w:rsidRPr="00435469">
        <w:rPr>
          <w:rFonts w:cs="Times New Roman"/>
          <w:b/>
          <w:bCs/>
          <w:sz w:val="20"/>
          <w:szCs w:val="20"/>
        </w:rPr>
        <w:t xml:space="preserve">ection </w:t>
      </w:r>
      <w:r w:rsidR="008142BD" w:rsidRPr="00435469">
        <w:rPr>
          <w:rFonts w:cs="Times New Roman"/>
          <w:b/>
          <w:bCs/>
          <w:sz w:val="20"/>
          <w:szCs w:val="20"/>
        </w:rPr>
        <w:t>12</w:t>
      </w:r>
      <w:r w:rsidRPr="00435469">
        <w:rPr>
          <w:rFonts w:cs="Times New Roman"/>
          <w:sz w:val="20"/>
          <w:szCs w:val="20"/>
        </w:rPr>
        <w:t xml:space="preserve"> model calibration results are presented. Lastly, </w:t>
      </w:r>
      <w:r w:rsidR="00A27BE3" w:rsidRPr="00435469">
        <w:rPr>
          <w:rFonts w:cs="Times New Roman"/>
          <w:b/>
          <w:bCs/>
          <w:sz w:val="20"/>
          <w:szCs w:val="20"/>
        </w:rPr>
        <w:t>s</w:t>
      </w:r>
      <w:r w:rsidRPr="00435469">
        <w:rPr>
          <w:rFonts w:cs="Times New Roman"/>
          <w:b/>
          <w:bCs/>
          <w:sz w:val="20"/>
          <w:szCs w:val="20"/>
        </w:rPr>
        <w:t xml:space="preserve">ection </w:t>
      </w:r>
      <w:r w:rsidR="00AB6F00" w:rsidRPr="00435469">
        <w:rPr>
          <w:rFonts w:cs="Times New Roman"/>
          <w:b/>
          <w:bCs/>
          <w:sz w:val="20"/>
          <w:szCs w:val="20"/>
        </w:rPr>
        <w:t>13</w:t>
      </w:r>
      <w:r w:rsidRPr="00435469">
        <w:rPr>
          <w:rFonts w:cs="Times New Roman"/>
          <w:sz w:val="20"/>
          <w:szCs w:val="20"/>
        </w:rPr>
        <w:t xml:space="preserve"> compares the </w:t>
      </w:r>
      <w:proofErr w:type="spellStart"/>
      <w:r w:rsidRPr="00435469">
        <w:rPr>
          <w:rFonts w:cs="Times New Roman"/>
          <w:sz w:val="20"/>
          <w:szCs w:val="20"/>
        </w:rPr>
        <w:t>Thembisa</w:t>
      </w:r>
      <w:proofErr w:type="spellEnd"/>
      <w:r w:rsidRPr="00435469">
        <w:rPr>
          <w:rFonts w:cs="Times New Roman"/>
          <w:sz w:val="20"/>
          <w:szCs w:val="20"/>
        </w:rPr>
        <w:t xml:space="preserve"> TB/HIV model estimates to those produced by the World Health Organisation (WHO) and the Institute for Health Metrics and Evaluation (IHME).</w:t>
      </w:r>
      <w:r w:rsidR="001B12F7" w:rsidRPr="00435469">
        <w:rPr>
          <w:rFonts w:cs="Times New Roman"/>
          <w:sz w:val="20"/>
          <w:szCs w:val="20"/>
        </w:rPr>
        <w:t xml:space="preserve"> </w:t>
      </w:r>
    </w:p>
    <w:p w14:paraId="64788901" w14:textId="5DBB8672" w:rsidR="009C3323" w:rsidRPr="00435469" w:rsidRDefault="009C3323" w:rsidP="00955FFB">
      <w:pPr>
        <w:pStyle w:val="3CaptionAbove"/>
        <w:rPr>
          <w:i/>
          <w:iCs/>
          <w:sz w:val="20"/>
          <w:szCs w:val="20"/>
        </w:rPr>
      </w:pPr>
      <w:bookmarkStart w:id="6" w:name="_Ref101906688"/>
      <w:bookmarkStart w:id="7" w:name="_Toc103252999"/>
      <w:r w:rsidRPr="00435469">
        <w:rPr>
          <w:sz w:val="20"/>
          <w:szCs w:val="20"/>
        </w:rPr>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2</w:t>
      </w:r>
      <w:r w:rsidRPr="00435469">
        <w:rPr>
          <w:sz w:val="20"/>
          <w:szCs w:val="20"/>
        </w:rPr>
        <w:fldChar w:fldCharType="end"/>
      </w:r>
      <w:bookmarkEnd w:id="6"/>
      <w:r w:rsidRPr="00435469">
        <w:rPr>
          <w:sz w:val="20"/>
          <w:szCs w:val="20"/>
        </w:rPr>
        <w:t xml:space="preserve">: </w:t>
      </w:r>
      <w:r w:rsidRPr="00435469">
        <w:rPr>
          <w:iCs/>
          <w:sz w:val="20"/>
          <w:szCs w:val="20"/>
        </w:rPr>
        <w:t>The Thembisa HIV model structure</w:t>
      </w:r>
      <w:bookmarkEnd w:id="7"/>
    </w:p>
    <w:p w14:paraId="7F2CD4A2" w14:textId="77777777" w:rsidR="009C3323" w:rsidRPr="00435469" w:rsidRDefault="009C3323" w:rsidP="00955FFB">
      <w:pPr>
        <w:spacing w:line="240" w:lineRule="auto"/>
        <w:jc w:val="center"/>
        <w:rPr>
          <w:rFonts w:cs="Times New Roman"/>
          <w:i/>
          <w:iCs/>
          <w:sz w:val="20"/>
          <w:szCs w:val="20"/>
        </w:rPr>
      </w:pPr>
      <w:r w:rsidRPr="00435469">
        <w:rPr>
          <w:rFonts w:cs="Times New Roman"/>
          <w:i/>
          <w:iCs/>
          <w:noProof/>
          <w:sz w:val="20"/>
          <w:szCs w:val="20"/>
        </w:rPr>
        <w:drawing>
          <wp:inline distT="0" distB="0" distL="0" distR="0" wp14:anchorId="53929A9E" wp14:editId="367E3100">
            <wp:extent cx="4433977" cy="3123062"/>
            <wp:effectExtent l="0" t="0" r="5080" b="1270"/>
            <wp:docPr id="27" name="Picture 27"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timelin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8804" cy="3147592"/>
                    </a:xfrm>
                    <a:prstGeom prst="rect">
                      <a:avLst/>
                    </a:prstGeom>
                    <a:noFill/>
                    <a:ln>
                      <a:noFill/>
                    </a:ln>
                  </pic:spPr>
                </pic:pic>
              </a:graphicData>
            </a:graphic>
          </wp:inline>
        </w:drawing>
      </w:r>
    </w:p>
    <w:p w14:paraId="2007FC2E" w14:textId="222A8B7E" w:rsidR="009C3323" w:rsidRPr="00435469" w:rsidRDefault="009C3323" w:rsidP="00955FFB">
      <w:pPr>
        <w:pStyle w:val="Default"/>
        <w:jc w:val="center"/>
        <w:rPr>
          <w:rFonts w:ascii="Times New Roman" w:hAnsi="Times New Roman" w:cs="Times New Roman"/>
          <w:color w:val="auto"/>
          <w:sz w:val="20"/>
          <w:szCs w:val="20"/>
        </w:rPr>
      </w:pPr>
      <w:r w:rsidRPr="00435469">
        <w:rPr>
          <w:rFonts w:ascii="Times New Roman" w:hAnsi="Times New Roman" w:cs="Times New Roman"/>
          <w:color w:val="auto"/>
          <w:sz w:val="20"/>
          <w:szCs w:val="20"/>
        </w:rPr>
        <w:t xml:space="preserve">Figure from Johnson &amp; Dorrington  </w:t>
      </w:r>
      <w:r w:rsidRPr="00435469">
        <w:rPr>
          <w:rFonts w:ascii="Times New Roman" w:hAnsi="Times New Roman" w:cs="Times New Roman"/>
          <w:color w:val="auto"/>
          <w:sz w:val="20"/>
          <w:szCs w:val="20"/>
        </w:rPr>
        <w:fldChar w:fldCharType="begin" w:fldLock="1"/>
      </w:r>
      <w:r w:rsidRPr="00435469">
        <w:rPr>
          <w:rFonts w:ascii="Times New Roman" w:hAnsi="Times New Roman" w:cs="Times New Roman"/>
          <w:color w:val="auto"/>
          <w:sz w:val="20"/>
          <w:szCs w:val="20"/>
        </w:rPr>
        <w:instrText>ADDIN CSL_CITATION {"citationItems":[{"id":"ITEM-1","itemData":{"abstract":"This working paper provides a detailed technical description of the THEMBISA model, an integrated demographic and epidemiological model of the South African HIV/AIDS epidemic. The model stratifies the population by demographic characteristics (age and sex), behavioural characteristics (marital status, sexual experience, propensity for concurrent partnerships) and access to HIV prevention (HIV testing history, male circumcision status and receipt of microbicides and pre-exposure prophylaxis). In the HIV-positive population, individuals are further stratified according to their CD4 count, history of HIV diagnosis, receipt of ART and duration of treatment. The model simulates the change in population profile and the spread of HIV over time, starting in 1985. The model is fitted to age-specific HIV prevalence data and recorded death data, as well as self-reported HIV testing history data, using a Bayesian approach. Model results suggest that HIV incidence in South Africa has declined substantially since 2000, and that AIDS mortality rates have declined dramatically since 2005. However, results differ significantly from the two most widely-used HIV models in South Africa, the Spectrum/EPP and ASSA2008 models. Further work is required to refine the demographic parameters in the model and to apply the model to each of South Africa's provinces.","author":[{"dropping-particle":"","family":"Johnson","given":"Leigh;","non-dropping-particle":"","parse-names":false,"suffix":""},{"dropping-particle":"","family":"Dorrington","given":"Rob","non-dropping-particle":"","parse-names":false,"suffix":""}],"id":"ITEM-1","issued":{"date-parts":[["2021"]]},"number-of-pages":"1-164","title":"Thembisa version 4.4: A model for evaluating the impact of HIV/AIDS in South Africa","type":"report"},"uris":["http://www.mendeley.com/documents/?uuid=8d48f7a1-eb1c-4d9d-95f7-2b1b1f88448a"]}],"mendeley":{"formattedCitation":"(5)","plainTextFormattedCitation":"(5)","previouslyFormattedCitation":"(5)"},"properties":{"noteIndex":0},"schema":"https://github.com/citation-style-language/schema/raw/master/csl-citation.json"}</w:instrText>
      </w:r>
      <w:r w:rsidRPr="00435469">
        <w:rPr>
          <w:rFonts w:ascii="Times New Roman" w:hAnsi="Times New Roman" w:cs="Times New Roman"/>
          <w:color w:val="auto"/>
          <w:sz w:val="20"/>
          <w:szCs w:val="20"/>
        </w:rPr>
        <w:fldChar w:fldCharType="separate"/>
      </w:r>
      <w:r w:rsidRPr="00435469">
        <w:rPr>
          <w:rFonts w:ascii="Times New Roman" w:hAnsi="Times New Roman" w:cs="Times New Roman"/>
          <w:noProof/>
          <w:color w:val="auto"/>
          <w:sz w:val="20"/>
          <w:szCs w:val="20"/>
        </w:rPr>
        <w:t>(5)</w:t>
      </w:r>
      <w:r w:rsidRPr="00435469">
        <w:rPr>
          <w:rFonts w:ascii="Times New Roman" w:hAnsi="Times New Roman" w:cs="Times New Roman"/>
          <w:color w:val="auto"/>
          <w:sz w:val="20"/>
          <w:szCs w:val="20"/>
        </w:rPr>
        <w:fldChar w:fldCharType="end"/>
      </w:r>
    </w:p>
    <w:p w14:paraId="553626FB" w14:textId="77777777" w:rsidR="006777D9" w:rsidRPr="00435469" w:rsidRDefault="006777D9" w:rsidP="00955FFB">
      <w:pPr>
        <w:pStyle w:val="Default"/>
        <w:jc w:val="center"/>
        <w:rPr>
          <w:rFonts w:ascii="Times New Roman" w:hAnsi="Times New Roman" w:cs="Times New Roman"/>
          <w:color w:val="auto"/>
          <w:sz w:val="20"/>
          <w:szCs w:val="20"/>
        </w:rPr>
      </w:pPr>
    </w:p>
    <w:p w14:paraId="6D623F75" w14:textId="01E58102" w:rsidR="009C3323" w:rsidRPr="00435469" w:rsidRDefault="009C3323" w:rsidP="00955FFB">
      <w:pPr>
        <w:spacing w:line="240" w:lineRule="auto"/>
        <w:rPr>
          <w:rFonts w:eastAsia="Calibri" w:cs="Times New Roman"/>
          <w:sz w:val="20"/>
          <w:szCs w:val="20"/>
        </w:rPr>
      </w:pPr>
      <w:r w:rsidRPr="00435469">
        <w:rPr>
          <w:rFonts w:eastAsia="Calibri" w:cs="Times New Roman"/>
          <w:sz w:val="20"/>
          <w:szCs w:val="20"/>
        </w:rPr>
        <w:t xml:space="preserve">In the </w:t>
      </w:r>
      <w:proofErr w:type="spellStart"/>
      <w:r w:rsidRPr="00435469">
        <w:rPr>
          <w:rFonts w:eastAsia="Calibri" w:cs="Times New Roman"/>
          <w:sz w:val="20"/>
          <w:szCs w:val="20"/>
        </w:rPr>
        <w:t>Thembisa</w:t>
      </w:r>
      <w:proofErr w:type="spellEnd"/>
      <w:r w:rsidRPr="00435469">
        <w:rPr>
          <w:rFonts w:eastAsia="Calibri" w:cs="Times New Roman"/>
          <w:sz w:val="20"/>
          <w:szCs w:val="20"/>
        </w:rPr>
        <w:t xml:space="preserve"> HIV model, an average CD4 count in HIV-positive individuals who are not on ART is assumed for each of four CD4 </w:t>
      </w:r>
      <w:proofErr w:type="gramStart"/>
      <w:r w:rsidRPr="00435469">
        <w:rPr>
          <w:rFonts w:eastAsia="Calibri" w:cs="Times New Roman"/>
          <w:sz w:val="20"/>
          <w:szCs w:val="20"/>
        </w:rPr>
        <w:t>stages, and</w:t>
      </w:r>
      <w:proofErr w:type="gramEnd"/>
      <w:r w:rsidRPr="00435469">
        <w:rPr>
          <w:rFonts w:eastAsia="Calibri" w:cs="Times New Roman"/>
          <w:sz w:val="20"/>
          <w:szCs w:val="20"/>
        </w:rPr>
        <w:t xml:space="preserve"> is given in the first column in the table below (</w:t>
      </w:r>
      <w:r w:rsidR="00A75801" w:rsidRPr="00435469">
        <w:rPr>
          <w:rFonts w:eastAsia="Calibri" w:cs="Times New Roman"/>
          <w:sz w:val="20"/>
          <w:szCs w:val="20"/>
        </w:rPr>
        <w:fldChar w:fldCharType="begin"/>
      </w:r>
      <w:r w:rsidR="00A75801" w:rsidRPr="00435469">
        <w:rPr>
          <w:rFonts w:eastAsia="Calibri" w:cs="Times New Roman"/>
          <w:sz w:val="20"/>
          <w:szCs w:val="20"/>
        </w:rPr>
        <w:instrText xml:space="preserve"> REF _Ref101932937 \h </w:instrText>
      </w:r>
      <w:r w:rsidR="00955FFB" w:rsidRPr="00435469">
        <w:rPr>
          <w:rFonts w:eastAsia="Calibri" w:cs="Times New Roman"/>
          <w:sz w:val="20"/>
          <w:szCs w:val="20"/>
        </w:rPr>
        <w:instrText xml:space="preserve"> \* MERGEFORMAT </w:instrText>
      </w:r>
      <w:r w:rsidR="00A75801" w:rsidRPr="00435469">
        <w:rPr>
          <w:rFonts w:eastAsia="Calibri" w:cs="Times New Roman"/>
          <w:sz w:val="20"/>
          <w:szCs w:val="20"/>
        </w:rPr>
      </w:r>
      <w:r w:rsidR="00A75801" w:rsidRPr="00435469">
        <w:rPr>
          <w:rFonts w:eastAsia="Calibri" w:cs="Times New Roman"/>
          <w:sz w:val="20"/>
          <w:szCs w:val="20"/>
        </w:rPr>
        <w:fldChar w:fldCharType="separate"/>
      </w:r>
      <w:r w:rsidR="00186C2F" w:rsidRPr="00435469">
        <w:rPr>
          <w:sz w:val="20"/>
          <w:szCs w:val="20"/>
        </w:rPr>
        <w:t xml:space="preserve">Table </w:t>
      </w:r>
      <w:r w:rsidR="00186C2F" w:rsidRPr="00435469">
        <w:rPr>
          <w:noProof/>
          <w:sz w:val="20"/>
          <w:szCs w:val="20"/>
        </w:rPr>
        <w:t>1</w:t>
      </w:r>
      <w:r w:rsidR="00A75801" w:rsidRPr="00435469">
        <w:rPr>
          <w:rFonts w:eastAsia="Calibri" w:cs="Times New Roman"/>
          <w:sz w:val="20"/>
          <w:szCs w:val="20"/>
        </w:rPr>
        <w:fldChar w:fldCharType="end"/>
      </w:r>
      <w:r w:rsidRPr="00435469">
        <w:rPr>
          <w:rFonts w:eastAsia="Calibri" w:cs="Times New Roman"/>
          <w:sz w:val="20"/>
          <w:szCs w:val="20"/>
        </w:rPr>
        <w:t xml:space="preserve">). CD4 counts in HIV-positive individuals receiving ART are dependent on the baseline CD4 count when they initiated ART and the number of </w:t>
      </w:r>
      <w:proofErr w:type="gramStart"/>
      <w:r w:rsidRPr="00435469">
        <w:rPr>
          <w:rFonts w:eastAsia="Calibri" w:cs="Times New Roman"/>
          <w:sz w:val="20"/>
          <w:szCs w:val="20"/>
        </w:rPr>
        <w:t>years</w:t>
      </w:r>
      <w:proofErr w:type="gramEnd"/>
      <w:r w:rsidRPr="00435469">
        <w:rPr>
          <w:rFonts w:eastAsia="Calibri" w:cs="Times New Roman"/>
          <w:sz w:val="20"/>
          <w:szCs w:val="20"/>
        </w:rPr>
        <w:t xml:space="preserve"> they have been receiving ART. These are shown</w:t>
      </w:r>
      <w:r w:rsidR="00096D53" w:rsidRPr="00435469">
        <w:rPr>
          <w:rFonts w:eastAsia="Calibri" w:cs="Times New Roman"/>
          <w:sz w:val="20"/>
          <w:szCs w:val="20"/>
        </w:rPr>
        <w:t xml:space="preserve"> in </w:t>
      </w:r>
      <w:r w:rsidR="00096D53" w:rsidRPr="00435469">
        <w:rPr>
          <w:rFonts w:eastAsia="Calibri" w:cs="Times New Roman"/>
          <w:sz w:val="20"/>
          <w:szCs w:val="20"/>
        </w:rPr>
        <w:fldChar w:fldCharType="begin"/>
      </w:r>
      <w:r w:rsidR="00096D53" w:rsidRPr="00435469">
        <w:rPr>
          <w:rFonts w:eastAsia="Calibri" w:cs="Times New Roman"/>
          <w:sz w:val="20"/>
          <w:szCs w:val="20"/>
        </w:rPr>
        <w:instrText xml:space="preserve"> REF _Ref101932937 \h </w:instrText>
      </w:r>
      <w:r w:rsidR="00955FFB" w:rsidRPr="00435469">
        <w:rPr>
          <w:rFonts w:eastAsia="Calibri" w:cs="Times New Roman"/>
          <w:sz w:val="20"/>
          <w:szCs w:val="20"/>
        </w:rPr>
        <w:instrText xml:space="preserve"> \* MERGEFORMAT </w:instrText>
      </w:r>
      <w:r w:rsidR="00096D53" w:rsidRPr="00435469">
        <w:rPr>
          <w:rFonts w:eastAsia="Calibri" w:cs="Times New Roman"/>
          <w:sz w:val="20"/>
          <w:szCs w:val="20"/>
        </w:rPr>
      </w:r>
      <w:r w:rsidR="00096D53" w:rsidRPr="00435469">
        <w:rPr>
          <w:rFonts w:eastAsia="Calibri" w:cs="Times New Roman"/>
          <w:sz w:val="20"/>
          <w:szCs w:val="20"/>
        </w:rPr>
        <w:fldChar w:fldCharType="separate"/>
      </w:r>
      <w:r w:rsidR="00186C2F" w:rsidRPr="00435469">
        <w:rPr>
          <w:sz w:val="20"/>
          <w:szCs w:val="20"/>
        </w:rPr>
        <w:t xml:space="preserve">Table </w:t>
      </w:r>
      <w:r w:rsidR="00186C2F" w:rsidRPr="00435469">
        <w:rPr>
          <w:noProof/>
          <w:sz w:val="20"/>
          <w:szCs w:val="20"/>
        </w:rPr>
        <w:t>1</w:t>
      </w:r>
      <w:r w:rsidR="00096D53" w:rsidRPr="00435469">
        <w:rPr>
          <w:rFonts w:eastAsia="Calibri" w:cs="Times New Roman"/>
          <w:sz w:val="20"/>
          <w:szCs w:val="20"/>
        </w:rPr>
        <w:fldChar w:fldCharType="end"/>
      </w:r>
      <w:r w:rsidR="00096D53" w:rsidRPr="00435469">
        <w:rPr>
          <w:rFonts w:eastAsia="Calibri" w:cs="Times New Roman"/>
          <w:sz w:val="20"/>
          <w:szCs w:val="20"/>
        </w:rPr>
        <w:t xml:space="preserve"> </w:t>
      </w:r>
      <w:r w:rsidRPr="00435469">
        <w:rPr>
          <w:rFonts w:eastAsia="Calibri" w:cs="Times New Roman"/>
          <w:sz w:val="20"/>
          <w:szCs w:val="20"/>
        </w:rPr>
        <w:t xml:space="preserve">below, </w:t>
      </w:r>
      <w:r w:rsidR="00C34C0B" w:rsidRPr="00435469">
        <w:rPr>
          <w:rFonts w:eastAsia="Calibri" w:cs="Times New Roman"/>
          <w:sz w:val="20"/>
          <w:szCs w:val="20"/>
        </w:rPr>
        <w:t xml:space="preserve">and </w:t>
      </w:r>
      <w:r w:rsidRPr="00435469">
        <w:rPr>
          <w:rFonts w:eastAsia="Calibri" w:cs="Times New Roman"/>
          <w:sz w:val="20"/>
          <w:szCs w:val="20"/>
        </w:rPr>
        <w:t xml:space="preserve">have been described and derived previously </w:t>
      </w:r>
      <w:r w:rsidRPr="00435469">
        <w:rPr>
          <w:rFonts w:eastAsia="Calibri" w:cs="Times New Roman"/>
          <w:sz w:val="20"/>
          <w:szCs w:val="20"/>
        </w:rPr>
        <w:fldChar w:fldCharType="begin" w:fldLock="1"/>
      </w:r>
      <w:r w:rsidR="002F049E" w:rsidRPr="00435469">
        <w:rPr>
          <w:rFonts w:eastAsia="Calibri" w:cs="Times New Roman"/>
          <w:sz w:val="20"/>
          <w:szCs w:val="20"/>
        </w:rPr>
        <w:instrText>ADDIN CSL_CITATION {"citationItems":[{"id":"ITEM-1","itemData":{"author":[{"dropping-particle":"","family":"Johnson","given":"Leigh","non-dropping-particle":"","parse-names":false,"suffix":""}],"id":"ITEM-1","issue":"February 2014","issued":{"date-parts":[["2014"]]},"number-of-pages":"1-164","title":"THEMBISA version 1.0: A model for evaluating the impact of HIV / AIDS in South Africa","type":"report"},"uris":["http://www.mendeley.com/documents/?uuid=5d98e5db-8476-4b84-82c4-442a73d3db24"]}],"mendeley":{"formattedCitation":"(7)","plainTextFormattedCitation":"(7)","previouslyFormattedCitation":"(7)"},"properties":{"noteIndex":0},"schema":"https://github.com/citation-style-language/schema/raw/master/csl-citation.json"}</w:instrText>
      </w:r>
      <w:r w:rsidRPr="00435469">
        <w:rPr>
          <w:rFonts w:eastAsia="Calibri" w:cs="Times New Roman"/>
          <w:sz w:val="20"/>
          <w:szCs w:val="20"/>
        </w:rPr>
        <w:fldChar w:fldCharType="separate"/>
      </w:r>
      <w:r w:rsidR="0063047A" w:rsidRPr="00435469">
        <w:rPr>
          <w:rFonts w:eastAsia="Calibri" w:cs="Times New Roman"/>
          <w:noProof/>
          <w:sz w:val="20"/>
          <w:szCs w:val="20"/>
        </w:rPr>
        <w:t>(7)</w:t>
      </w:r>
      <w:r w:rsidRPr="00435469">
        <w:rPr>
          <w:rFonts w:eastAsia="Calibri" w:cs="Times New Roman"/>
          <w:sz w:val="20"/>
          <w:szCs w:val="20"/>
        </w:rPr>
        <w:fldChar w:fldCharType="end"/>
      </w:r>
      <w:r w:rsidRPr="00435469">
        <w:rPr>
          <w:rFonts w:eastAsia="Calibri" w:cs="Times New Roman"/>
          <w:sz w:val="20"/>
          <w:szCs w:val="20"/>
        </w:rPr>
        <w:t>.</w:t>
      </w:r>
    </w:p>
    <w:p w14:paraId="6D296808" w14:textId="76D20182" w:rsidR="009C3323" w:rsidRDefault="009C3323" w:rsidP="00955FFB">
      <w:pPr>
        <w:spacing w:line="240" w:lineRule="auto"/>
        <w:rPr>
          <w:rFonts w:eastAsia="Calibri" w:cs="Times New Roman"/>
          <w:sz w:val="20"/>
          <w:szCs w:val="20"/>
        </w:rPr>
      </w:pPr>
      <w:proofErr w:type="gramStart"/>
      <w:r w:rsidRPr="00435469">
        <w:rPr>
          <w:rFonts w:eastAsia="Calibri" w:cs="Times New Roman"/>
          <w:sz w:val="20"/>
          <w:szCs w:val="20"/>
        </w:rPr>
        <w:t>For the purpose of</w:t>
      </w:r>
      <w:proofErr w:type="gramEnd"/>
      <w:r w:rsidRPr="00435469">
        <w:rPr>
          <w:rFonts w:eastAsia="Calibri" w:cs="Times New Roman"/>
          <w:sz w:val="20"/>
          <w:szCs w:val="20"/>
        </w:rPr>
        <w:t xml:space="preserve"> setting later assumptions about the effect of HIV on TB, it is necessary to assume an average CD4 count in the HIV-negative population. We set the average CD4 count in the HIV-negative population at 1000 cells/</w:t>
      </w:r>
      <w:proofErr w:type="spellStart"/>
      <w:r w:rsidRPr="00435469">
        <w:rPr>
          <w:rFonts w:eastAsia="Calibri" w:cs="Times New Roman"/>
          <w:sz w:val="20"/>
          <w:szCs w:val="20"/>
        </w:rPr>
        <w:t>μl</w:t>
      </w:r>
      <w:proofErr w:type="spellEnd"/>
      <w:r w:rsidRPr="00435469">
        <w:rPr>
          <w:rFonts w:eastAsia="Calibri" w:cs="Times New Roman"/>
          <w:sz w:val="20"/>
          <w:szCs w:val="20"/>
        </w:rPr>
        <w:t xml:space="preserve">, based on Williams </w:t>
      </w:r>
      <w:r w:rsidRPr="00435469">
        <w:rPr>
          <w:rFonts w:eastAsia="Calibri" w:cs="Times New Roman"/>
          <w:i/>
          <w:iCs/>
          <w:sz w:val="20"/>
          <w:szCs w:val="20"/>
        </w:rPr>
        <w:t>et al</w:t>
      </w:r>
      <w:r w:rsidRPr="00435469">
        <w:rPr>
          <w:rFonts w:eastAsia="Calibri" w:cs="Times New Roman"/>
          <w:sz w:val="20"/>
          <w:szCs w:val="20"/>
        </w:rPr>
        <w:t>., who reported a range of CD4 levels between 699 and 1244 cells/</w:t>
      </w:r>
      <w:proofErr w:type="spellStart"/>
      <w:r w:rsidRPr="00435469">
        <w:rPr>
          <w:rFonts w:eastAsia="Calibri" w:cs="Times New Roman"/>
          <w:sz w:val="20"/>
          <w:szCs w:val="20"/>
        </w:rPr>
        <w:t>μl</w:t>
      </w:r>
      <w:proofErr w:type="spellEnd"/>
      <w:r w:rsidRPr="00435469">
        <w:rPr>
          <w:rFonts w:eastAsia="Calibri" w:cs="Times New Roman"/>
          <w:sz w:val="20"/>
          <w:szCs w:val="20"/>
        </w:rPr>
        <w:t xml:space="preserve"> </w:t>
      </w:r>
      <w:r w:rsidRPr="00435469">
        <w:rPr>
          <w:rFonts w:eastAsia="Calibri" w:cs="Times New Roman"/>
          <w:sz w:val="20"/>
          <w:szCs w:val="20"/>
        </w:rPr>
        <w:fldChar w:fldCharType="begin" w:fldLock="1"/>
      </w:r>
      <w:r w:rsidR="002F049E" w:rsidRPr="00435469">
        <w:rPr>
          <w:rFonts w:eastAsia="Calibri" w:cs="Times New Roman"/>
          <w:sz w:val="20"/>
          <w:szCs w:val="20"/>
        </w:rPr>
        <w:instrText>ADDIN CSL_CITATION {"citationItems":[{"id":"ITEM-1","itemData":{"DOI":"10.1086/508206","ISSN":"0022-1899","abstract":"BACKGROUND: The variability in CD4+ cell counts within and among human immunodeficiency virus (HIV)-positive and -negative African populations has not been explained but has important implications for understanding the incidence of HIV-related opportunistic infections, especially tuberculosis, in both individuals and populations.\\n\\nMETHODS: In HIV-negative African adults, CD4+ cell counts vary within populations (interquartile ranges [IQRs], 169-603 cells/microL) and among populations (means vary from 699 to 1244 cells/microL), with similarly wide variations in HIV-positive adults. We developed dynamic mathematical models to predict the distribution of CD4+ cell counts in HIV-positive adults using the distribution in HIV-negative adults.\\n\\nRESULTS: Under the assumption that survival is independent of the CD4+ cell count before seroconversion, we fitted the observed distributions in HIV-positive adults. At a CD4+ cell count of 200 cells/microL, the median life expectancy of HIV-positive Zambians (4.0 years) was predicted to be 1.7 times that of HIV-positive South Africans (2.3 years).\\n\\nCONCLUSIONS: The model provides a way to estimate the changing distribution of CD4+ cell counts and, hence, the changing incidence of HIV-related opportunistic infections as the epidemic matures. This could substantially improve the planning of health services, including the need and demand for antiretroviral therapy. Better data are needed to test the model and its assumptions more rigorously and to fully understand the variability in CD4+ cell counts within and among populations.","author":[{"dropping-particle":"","family":"Williams","given":"Brian G.","non-dropping-particle":"","parse-names":false,"suffix":""},{"dropping-particle":"","family":"Korenromp","given":"Eline L.","non-dropping-particle":"","parse-names":false,"suffix":""},{"dropping-particle":"","family":"Gouws","given":"Eleanor","non-dropping-particle":"","parse-names":false,"suffix":""},{"dropping-particle":"","family":"Schmid","given":"George P.","non-dropping-particle":"","parse-names":false,"suffix":""},{"dropping-particle":"","family":"Auvert","given":"Bertran","non-dropping-particle":"","parse-names":false,"suffix":""},{"dropping-particle":"","family":"Dye","given":"Christopher","non-dropping-particle":"","parse-names":false,"suffix":""}],"container-title":"The Journal of Infectious Diseases","id":"ITEM-1","issue":"10","issued":{"date-parts":[["2006"]]},"page":"1450-1458","title":"HIV Infection, Antiretroviral Therapy, and CD4 + Cell Count Distributions in African Populations","type":"article-journal","volume":"194"},"uris":["http://www.mendeley.com/documents/?uuid=62b8cb1b-09e0-4e75-96c9-027ff321075c"]}],"mendeley":{"formattedCitation":"(8)","plainTextFormattedCitation":"(8)","previouslyFormattedCitation":"(8)"},"properties":{"noteIndex":0},"schema":"https://github.com/citation-style-language/schema/raw/master/csl-citation.json"}</w:instrText>
      </w:r>
      <w:r w:rsidRPr="00435469">
        <w:rPr>
          <w:rFonts w:eastAsia="Calibri" w:cs="Times New Roman"/>
          <w:sz w:val="20"/>
          <w:szCs w:val="20"/>
        </w:rPr>
        <w:fldChar w:fldCharType="separate"/>
      </w:r>
      <w:r w:rsidR="0063047A" w:rsidRPr="00435469">
        <w:rPr>
          <w:rFonts w:eastAsia="Calibri" w:cs="Times New Roman"/>
          <w:noProof/>
          <w:sz w:val="20"/>
          <w:szCs w:val="20"/>
        </w:rPr>
        <w:t>(8)</w:t>
      </w:r>
      <w:r w:rsidRPr="00435469">
        <w:rPr>
          <w:rFonts w:eastAsia="Calibri" w:cs="Times New Roman"/>
          <w:sz w:val="20"/>
          <w:szCs w:val="20"/>
        </w:rPr>
        <w:fldChar w:fldCharType="end"/>
      </w:r>
      <w:r w:rsidRPr="00435469">
        <w:rPr>
          <w:rFonts w:eastAsia="Calibri" w:cs="Times New Roman"/>
          <w:sz w:val="20"/>
          <w:szCs w:val="20"/>
        </w:rPr>
        <w:t>. We assume</w:t>
      </w:r>
      <w:r w:rsidR="00AF0AAB" w:rsidRPr="00435469">
        <w:rPr>
          <w:rFonts w:eastAsia="Calibri" w:cs="Times New Roman"/>
          <w:sz w:val="20"/>
          <w:szCs w:val="20"/>
        </w:rPr>
        <w:t>d</w:t>
      </w:r>
      <w:r w:rsidRPr="00435469">
        <w:rPr>
          <w:rFonts w:eastAsia="Calibri" w:cs="Times New Roman"/>
          <w:sz w:val="20"/>
          <w:szCs w:val="20"/>
        </w:rPr>
        <w:t xml:space="preserve"> CD4 counts in patients on ART do not rise above 1000. </w:t>
      </w:r>
    </w:p>
    <w:p w14:paraId="4E5A30F3" w14:textId="77777777" w:rsidR="00216911" w:rsidRDefault="00216911" w:rsidP="00955FFB">
      <w:pPr>
        <w:spacing w:line="240" w:lineRule="auto"/>
        <w:rPr>
          <w:rFonts w:eastAsia="Calibri" w:cs="Times New Roman"/>
          <w:sz w:val="20"/>
          <w:szCs w:val="20"/>
        </w:rPr>
      </w:pPr>
    </w:p>
    <w:p w14:paraId="354080BA" w14:textId="77777777" w:rsidR="00216911" w:rsidRPr="00435469" w:rsidRDefault="00216911" w:rsidP="00955FFB">
      <w:pPr>
        <w:spacing w:line="240" w:lineRule="auto"/>
        <w:rPr>
          <w:rFonts w:eastAsia="Calibri" w:cs="Times New Roman"/>
          <w:sz w:val="20"/>
          <w:szCs w:val="20"/>
        </w:rPr>
      </w:pPr>
    </w:p>
    <w:p w14:paraId="6888F6E9" w14:textId="0B9DAF91" w:rsidR="009C3323" w:rsidRPr="00435469" w:rsidRDefault="009C3323" w:rsidP="00955FFB">
      <w:pPr>
        <w:pStyle w:val="3CaptionBelowwithNote"/>
        <w:rPr>
          <w:rFonts w:eastAsia="Calibri"/>
          <w:iCs/>
          <w:sz w:val="20"/>
          <w:szCs w:val="20"/>
        </w:rPr>
      </w:pPr>
      <w:bookmarkStart w:id="8" w:name="_Ref101932937"/>
      <w:bookmarkStart w:id="9" w:name="_Toc103253654"/>
      <w:r w:rsidRPr="00435469">
        <w:rPr>
          <w:sz w:val="20"/>
          <w:szCs w:val="20"/>
        </w:rPr>
        <w:lastRenderedPageBreak/>
        <w:t xml:space="preserve">Table </w:t>
      </w:r>
      <w:r w:rsidRPr="00435469">
        <w:rPr>
          <w:iCs/>
          <w:noProof w:val="0"/>
          <w:sz w:val="20"/>
          <w:szCs w:val="20"/>
        </w:rPr>
        <w:fldChar w:fldCharType="begin"/>
      </w:r>
      <w:r w:rsidRPr="00435469">
        <w:rPr>
          <w:sz w:val="20"/>
          <w:szCs w:val="20"/>
        </w:rPr>
        <w:instrText xml:space="preserve"> SEQ Table \* ARABIC </w:instrText>
      </w:r>
      <w:r w:rsidRPr="00435469">
        <w:rPr>
          <w:iCs/>
          <w:noProof w:val="0"/>
          <w:sz w:val="20"/>
          <w:szCs w:val="20"/>
        </w:rPr>
        <w:fldChar w:fldCharType="separate"/>
      </w:r>
      <w:r w:rsidR="00186C2F" w:rsidRPr="00435469">
        <w:rPr>
          <w:sz w:val="20"/>
          <w:szCs w:val="20"/>
        </w:rPr>
        <w:t>1</w:t>
      </w:r>
      <w:r w:rsidRPr="00435469">
        <w:rPr>
          <w:iCs/>
          <w:sz w:val="20"/>
          <w:szCs w:val="20"/>
        </w:rPr>
        <w:fldChar w:fldCharType="end"/>
      </w:r>
      <w:bookmarkEnd w:id="8"/>
      <w:r w:rsidRPr="00435469">
        <w:rPr>
          <w:sz w:val="20"/>
          <w:szCs w:val="20"/>
        </w:rPr>
        <w:t>: Changes in average CD4 count after ART initiation</w:t>
      </w:r>
      <w:bookmarkEnd w:id="9"/>
      <w:r w:rsidRPr="00435469">
        <w:rPr>
          <w:sz w:val="20"/>
          <w:szCs w:val="20"/>
        </w:rPr>
        <w:t xml:space="preserve"> </w:t>
      </w:r>
    </w:p>
    <w:tbl>
      <w:tblPr>
        <w:tblW w:w="9039" w:type="dxa"/>
        <w:tblInd w:w="-108" w:type="dxa"/>
        <w:tblLayout w:type="fixed"/>
        <w:tblLook w:val="0000" w:firstRow="0" w:lastRow="0" w:firstColumn="0" w:lastColumn="0" w:noHBand="0" w:noVBand="0"/>
      </w:tblPr>
      <w:tblGrid>
        <w:gridCol w:w="2660"/>
        <w:gridCol w:w="1559"/>
        <w:gridCol w:w="851"/>
        <w:gridCol w:w="850"/>
        <w:gridCol w:w="851"/>
        <w:gridCol w:w="708"/>
        <w:gridCol w:w="1560"/>
      </w:tblGrid>
      <w:tr w:rsidR="0061685C" w:rsidRPr="00435469" w14:paraId="514517DA" w14:textId="77777777" w:rsidTr="001E0A46">
        <w:trPr>
          <w:trHeight w:val="113"/>
        </w:trPr>
        <w:tc>
          <w:tcPr>
            <w:tcW w:w="9039" w:type="dxa"/>
            <w:gridSpan w:val="7"/>
            <w:tcBorders>
              <w:top w:val="single" w:sz="4" w:space="0" w:color="auto"/>
            </w:tcBorders>
          </w:tcPr>
          <w:p w14:paraId="69753A29" w14:textId="77777777" w:rsidR="009C3323" w:rsidRPr="00435469" w:rsidRDefault="009C3323" w:rsidP="00955FFB">
            <w:pPr>
              <w:autoSpaceDE w:val="0"/>
              <w:autoSpaceDN w:val="0"/>
              <w:adjustRightInd w:val="0"/>
              <w:spacing w:after="0" w:line="240" w:lineRule="auto"/>
              <w:jc w:val="center"/>
              <w:rPr>
                <w:rFonts w:eastAsia="Calibri" w:cs="Times New Roman"/>
                <w:b/>
                <w:bCs/>
                <w:sz w:val="16"/>
                <w:szCs w:val="16"/>
              </w:rPr>
            </w:pPr>
            <w:r w:rsidRPr="00435469">
              <w:rPr>
                <w:rFonts w:eastAsia="Calibri" w:cs="Times New Roman"/>
                <w:b/>
                <w:bCs/>
                <w:sz w:val="16"/>
                <w:szCs w:val="16"/>
              </w:rPr>
              <w:t xml:space="preserve">                                                                 Years since ART initiation</w:t>
            </w:r>
          </w:p>
        </w:tc>
      </w:tr>
      <w:tr w:rsidR="0061685C" w:rsidRPr="00435469" w14:paraId="706E3173" w14:textId="77777777" w:rsidTr="001E0A46">
        <w:trPr>
          <w:trHeight w:val="113"/>
        </w:trPr>
        <w:tc>
          <w:tcPr>
            <w:tcW w:w="2660" w:type="dxa"/>
            <w:tcBorders>
              <w:bottom w:val="single" w:sz="4" w:space="0" w:color="auto"/>
            </w:tcBorders>
          </w:tcPr>
          <w:p w14:paraId="62B0E1AE" w14:textId="77777777" w:rsidR="009C3323" w:rsidRPr="00435469" w:rsidRDefault="009C3323" w:rsidP="00955FFB">
            <w:pPr>
              <w:autoSpaceDE w:val="0"/>
              <w:autoSpaceDN w:val="0"/>
              <w:adjustRightInd w:val="0"/>
              <w:spacing w:after="0" w:line="240" w:lineRule="auto"/>
              <w:rPr>
                <w:rFonts w:eastAsia="Calibri" w:cs="Times New Roman"/>
                <w:b/>
                <w:bCs/>
                <w:sz w:val="16"/>
                <w:szCs w:val="16"/>
              </w:rPr>
            </w:pPr>
          </w:p>
        </w:tc>
        <w:tc>
          <w:tcPr>
            <w:tcW w:w="1559" w:type="dxa"/>
            <w:tcBorders>
              <w:top w:val="single" w:sz="4" w:space="0" w:color="auto"/>
              <w:bottom w:val="single" w:sz="4" w:space="0" w:color="auto"/>
            </w:tcBorders>
          </w:tcPr>
          <w:p w14:paraId="36CEC819" w14:textId="77777777" w:rsidR="009C3323" w:rsidRPr="00435469" w:rsidRDefault="009C3323" w:rsidP="00955FFB">
            <w:pPr>
              <w:autoSpaceDE w:val="0"/>
              <w:autoSpaceDN w:val="0"/>
              <w:adjustRightInd w:val="0"/>
              <w:spacing w:after="0" w:line="240" w:lineRule="auto"/>
              <w:jc w:val="center"/>
              <w:rPr>
                <w:rFonts w:eastAsia="Calibri" w:cs="Times New Roman"/>
                <w:b/>
                <w:bCs/>
                <w:sz w:val="16"/>
                <w:szCs w:val="16"/>
              </w:rPr>
            </w:pPr>
            <w:r w:rsidRPr="00435469">
              <w:rPr>
                <w:rFonts w:eastAsia="Calibri" w:cs="Times New Roman"/>
                <w:b/>
                <w:bCs/>
                <w:sz w:val="16"/>
                <w:szCs w:val="16"/>
              </w:rPr>
              <w:t>Not on ART</w:t>
            </w:r>
          </w:p>
        </w:tc>
        <w:tc>
          <w:tcPr>
            <w:tcW w:w="851" w:type="dxa"/>
            <w:tcBorders>
              <w:top w:val="single" w:sz="4" w:space="0" w:color="auto"/>
              <w:bottom w:val="single" w:sz="4" w:space="0" w:color="auto"/>
            </w:tcBorders>
          </w:tcPr>
          <w:p w14:paraId="35DF3289" w14:textId="77777777" w:rsidR="009C3323" w:rsidRPr="00435469" w:rsidRDefault="009C3323" w:rsidP="00955FFB">
            <w:pPr>
              <w:autoSpaceDE w:val="0"/>
              <w:autoSpaceDN w:val="0"/>
              <w:adjustRightInd w:val="0"/>
              <w:spacing w:after="0" w:line="240" w:lineRule="auto"/>
              <w:jc w:val="center"/>
              <w:rPr>
                <w:rFonts w:eastAsia="Calibri" w:cs="Times New Roman"/>
                <w:b/>
                <w:bCs/>
                <w:sz w:val="16"/>
                <w:szCs w:val="16"/>
              </w:rPr>
            </w:pPr>
            <w:r w:rsidRPr="00435469">
              <w:rPr>
                <w:rFonts w:eastAsia="Calibri" w:cs="Times New Roman"/>
                <w:b/>
                <w:bCs/>
                <w:sz w:val="16"/>
                <w:szCs w:val="16"/>
              </w:rPr>
              <w:t>1</w:t>
            </w:r>
          </w:p>
        </w:tc>
        <w:tc>
          <w:tcPr>
            <w:tcW w:w="850" w:type="dxa"/>
            <w:tcBorders>
              <w:top w:val="single" w:sz="4" w:space="0" w:color="auto"/>
              <w:bottom w:val="single" w:sz="4" w:space="0" w:color="auto"/>
            </w:tcBorders>
          </w:tcPr>
          <w:p w14:paraId="4EA2883C" w14:textId="77777777" w:rsidR="009C3323" w:rsidRPr="00435469" w:rsidRDefault="009C3323" w:rsidP="00955FFB">
            <w:pPr>
              <w:autoSpaceDE w:val="0"/>
              <w:autoSpaceDN w:val="0"/>
              <w:adjustRightInd w:val="0"/>
              <w:spacing w:after="0" w:line="240" w:lineRule="auto"/>
              <w:jc w:val="center"/>
              <w:rPr>
                <w:rFonts w:eastAsia="Calibri" w:cs="Times New Roman"/>
                <w:b/>
                <w:bCs/>
                <w:sz w:val="16"/>
                <w:szCs w:val="16"/>
              </w:rPr>
            </w:pPr>
            <w:r w:rsidRPr="00435469">
              <w:rPr>
                <w:rFonts w:eastAsia="Calibri" w:cs="Times New Roman"/>
                <w:b/>
                <w:bCs/>
                <w:sz w:val="16"/>
                <w:szCs w:val="16"/>
              </w:rPr>
              <w:t>2</w:t>
            </w:r>
          </w:p>
        </w:tc>
        <w:tc>
          <w:tcPr>
            <w:tcW w:w="851" w:type="dxa"/>
            <w:tcBorders>
              <w:top w:val="single" w:sz="4" w:space="0" w:color="auto"/>
              <w:bottom w:val="single" w:sz="4" w:space="0" w:color="auto"/>
            </w:tcBorders>
          </w:tcPr>
          <w:p w14:paraId="4C51572A" w14:textId="77777777" w:rsidR="009C3323" w:rsidRPr="00435469" w:rsidRDefault="009C3323" w:rsidP="00955FFB">
            <w:pPr>
              <w:autoSpaceDE w:val="0"/>
              <w:autoSpaceDN w:val="0"/>
              <w:adjustRightInd w:val="0"/>
              <w:spacing w:after="0" w:line="240" w:lineRule="auto"/>
              <w:jc w:val="center"/>
              <w:rPr>
                <w:rFonts w:eastAsia="Calibri" w:cs="Times New Roman"/>
                <w:b/>
                <w:bCs/>
                <w:sz w:val="16"/>
                <w:szCs w:val="16"/>
              </w:rPr>
            </w:pPr>
            <w:r w:rsidRPr="00435469">
              <w:rPr>
                <w:rFonts w:eastAsia="Calibri" w:cs="Times New Roman"/>
                <w:b/>
                <w:bCs/>
                <w:sz w:val="16"/>
                <w:szCs w:val="16"/>
              </w:rPr>
              <w:t>3</w:t>
            </w:r>
          </w:p>
        </w:tc>
        <w:tc>
          <w:tcPr>
            <w:tcW w:w="708" w:type="dxa"/>
            <w:tcBorders>
              <w:top w:val="single" w:sz="4" w:space="0" w:color="auto"/>
              <w:bottom w:val="single" w:sz="4" w:space="0" w:color="auto"/>
            </w:tcBorders>
          </w:tcPr>
          <w:p w14:paraId="6789B947" w14:textId="77777777" w:rsidR="009C3323" w:rsidRPr="00435469" w:rsidRDefault="009C3323" w:rsidP="00955FFB">
            <w:pPr>
              <w:autoSpaceDE w:val="0"/>
              <w:autoSpaceDN w:val="0"/>
              <w:adjustRightInd w:val="0"/>
              <w:spacing w:after="0" w:line="240" w:lineRule="auto"/>
              <w:jc w:val="center"/>
              <w:rPr>
                <w:rFonts w:eastAsia="Calibri" w:cs="Times New Roman"/>
                <w:b/>
                <w:bCs/>
                <w:sz w:val="16"/>
                <w:szCs w:val="16"/>
              </w:rPr>
            </w:pPr>
            <w:r w:rsidRPr="00435469">
              <w:rPr>
                <w:rFonts w:eastAsia="Calibri" w:cs="Times New Roman"/>
                <w:b/>
                <w:bCs/>
                <w:sz w:val="16"/>
                <w:szCs w:val="16"/>
              </w:rPr>
              <w:t>4</w:t>
            </w:r>
          </w:p>
        </w:tc>
        <w:tc>
          <w:tcPr>
            <w:tcW w:w="1560" w:type="dxa"/>
            <w:tcBorders>
              <w:top w:val="single" w:sz="4" w:space="0" w:color="auto"/>
              <w:bottom w:val="single" w:sz="4" w:space="0" w:color="auto"/>
            </w:tcBorders>
          </w:tcPr>
          <w:p w14:paraId="2995BC86" w14:textId="77777777" w:rsidR="009C3323" w:rsidRPr="00435469" w:rsidRDefault="009C3323" w:rsidP="00955FFB">
            <w:pPr>
              <w:autoSpaceDE w:val="0"/>
              <w:autoSpaceDN w:val="0"/>
              <w:adjustRightInd w:val="0"/>
              <w:spacing w:after="0" w:line="240" w:lineRule="auto"/>
              <w:jc w:val="center"/>
              <w:rPr>
                <w:rFonts w:eastAsia="Calibri" w:cs="Times New Roman"/>
                <w:b/>
                <w:bCs/>
                <w:sz w:val="16"/>
                <w:szCs w:val="16"/>
              </w:rPr>
            </w:pPr>
            <w:r w:rsidRPr="00435469">
              <w:rPr>
                <w:rFonts w:eastAsia="Calibri" w:cs="Times New Roman"/>
                <w:b/>
                <w:bCs/>
                <w:sz w:val="16"/>
                <w:szCs w:val="16"/>
              </w:rPr>
              <w:t>+5</w:t>
            </w:r>
          </w:p>
        </w:tc>
      </w:tr>
      <w:tr w:rsidR="0061685C" w:rsidRPr="00435469" w14:paraId="0F26ECB0" w14:textId="77777777" w:rsidTr="001E0A46">
        <w:trPr>
          <w:trHeight w:val="113"/>
        </w:trPr>
        <w:tc>
          <w:tcPr>
            <w:tcW w:w="2660" w:type="dxa"/>
            <w:tcBorders>
              <w:top w:val="single" w:sz="4" w:space="0" w:color="auto"/>
            </w:tcBorders>
          </w:tcPr>
          <w:p w14:paraId="4E6C01A3" w14:textId="77777777" w:rsidR="009C3323" w:rsidRPr="00435469" w:rsidRDefault="009C3323" w:rsidP="00955FFB">
            <w:pPr>
              <w:autoSpaceDE w:val="0"/>
              <w:autoSpaceDN w:val="0"/>
              <w:adjustRightInd w:val="0"/>
              <w:spacing w:after="0" w:line="240" w:lineRule="auto"/>
              <w:rPr>
                <w:rFonts w:eastAsia="Calibri" w:cs="Times New Roman"/>
                <w:b/>
                <w:bCs/>
                <w:sz w:val="16"/>
                <w:szCs w:val="16"/>
              </w:rPr>
            </w:pPr>
            <w:r w:rsidRPr="00435469">
              <w:rPr>
                <w:rFonts w:eastAsia="Calibri" w:cs="Times New Roman"/>
                <w:b/>
                <w:bCs/>
                <w:sz w:val="16"/>
                <w:szCs w:val="16"/>
              </w:rPr>
              <w:t xml:space="preserve">Baseline CD4 &lt;200 </w:t>
            </w:r>
          </w:p>
        </w:tc>
        <w:tc>
          <w:tcPr>
            <w:tcW w:w="1559" w:type="dxa"/>
            <w:tcBorders>
              <w:top w:val="single" w:sz="4" w:space="0" w:color="auto"/>
            </w:tcBorders>
          </w:tcPr>
          <w:p w14:paraId="2087A39B"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100</w:t>
            </w:r>
          </w:p>
        </w:tc>
        <w:tc>
          <w:tcPr>
            <w:tcW w:w="851" w:type="dxa"/>
            <w:tcBorders>
              <w:top w:val="single" w:sz="4" w:space="0" w:color="auto"/>
            </w:tcBorders>
          </w:tcPr>
          <w:p w14:paraId="0E9C3F89"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297</w:t>
            </w:r>
          </w:p>
        </w:tc>
        <w:tc>
          <w:tcPr>
            <w:tcW w:w="850" w:type="dxa"/>
            <w:tcBorders>
              <w:top w:val="single" w:sz="4" w:space="0" w:color="auto"/>
            </w:tcBorders>
          </w:tcPr>
          <w:p w14:paraId="1B3E3686"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383</w:t>
            </w:r>
          </w:p>
        </w:tc>
        <w:tc>
          <w:tcPr>
            <w:tcW w:w="851" w:type="dxa"/>
            <w:tcBorders>
              <w:top w:val="single" w:sz="4" w:space="0" w:color="auto"/>
            </w:tcBorders>
          </w:tcPr>
          <w:p w14:paraId="3CBE7EA8"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426</w:t>
            </w:r>
          </w:p>
        </w:tc>
        <w:tc>
          <w:tcPr>
            <w:tcW w:w="708" w:type="dxa"/>
            <w:tcBorders>
              <w:top w:val="single" w:sz="4" w:space="0" w:color="auto"/>
            </w:tcBorders>
          </w:tcPr>
          <w:p w14:paraId="730DD3E9"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486</w:t>
            </w:r>
          </w:p>
        </w:tc>
        <w:tc>
          <w:tcPr>
            <w:tcW w:w="1560" w:type="dxa"/>
            <w:tcBorders>
              <w:top w:val="single" w:sz="4" w:space="0" w:color="auto"/>
            </w:tcBorders>
          </w:tcPr>
          <w:p w14:paraId="74878C86"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512</w:t>
            </w:r>
          </w:p>
        </w:tc>
      </w:tr>
      <w:tr w:rsidR="0061685C" w:rsidRPr="00435469" w14:paraId="6AB7322B" w14:textId="77777777" w:rsidTr="001E0A46">
        <w:trPr>
          <w:trHeight w:val="113"/>
        </w:trPr>
        <w:tc>
          <w:tcPr>
            <w:tcW w:w="2660" w:type="dxa"/>
          </w:tcPr>
          <w:p w14:paraId="6352E717" w14:textId="77777777" w:rsidR="009C3323" w:rsidRPr="00435469" w:rsidRDefault="009C3323" w:rsidP="00955FFB">
            <w:pPr>
              <w:autoSpaceDE w:val="0"/>
              <w:autoSpaceDN w:val="0"/>
              <w:adjustRightInd w:val="0"/>
              <w:spacing w:after="0" w:line="240" w:lineRule="auto"/>
              <w:rPr>
                <w:rFonts w:eastAsia="Calibri" w:cs="Times New Roman"/>
                <w:b/>
                <w:bCs/>
                <w:sz w:val="16"/>
                <w:szCs w:val="16"/>
              </w:rPr>
            </w:pPr>
            <w:r w:rsidRPr="00435469">
              <w:rPr>
                <w:rFonts w:eastAsia="Calibri" w:cs="Times New Roman"/>
                <w:b/>
                <w:bCs/>
                <w:sz w:val="16"/>
                <w:szCs w:val="16"/>
              </w:rPr>
              <w:t xml:space="preserve">Baseline CD4 200-349 </w:t>
            </w:r>
          </w:p>
        </w:tc>
        <w:tc>
          <w:tcPr>
            <w:tcW w:w="1559" w:type="dxa"/>
          </w:tcPr>
          <w:p w14:paraId="7E783E4F"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275</w:t>
            </w:r>
          </w:p>
        </w:tc>
        <w:tc>
          <w:tcPr>
            <w:tcW w:w="851" w:type="dxa"/>
          </w:tcPr>
          <w:p w14:paraId="65FB5E8C"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450</w:t>
            </w:r>
          </w:p>
        </w:tc>
        <w:tc>
          <w:tcPr>
            <w:tcW w:w="850" w:type="dxa"/>
          </w:tcPr>
          <w:p w14:paraId="776718D1"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539</w:t>
            </w:r>
          </w:p>
        </w:tc>
        <w:tc>
          <w:tcPr>
            <w:tcW w:w="851" w:type="dxa"/>
          </w:tcPr>
          <w:p w14:paraId="493002B6"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600</w:t>
            </w:r>
          </w:p>
        </w:tc>
        <w:tc>
          <w:tcPr>
            <w:tcW w:w="708" w:type="dxa"/>
          </w:tcPr>
          <w:p w14:paraId="51E4D276"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703</w:t>
            </w:r>
          </w:p>
        </w:tc>
        <w:tc>
          <w:tcPr>
            <w:tcW w:w="1560" w:type="dxa"/>
          </w:tcPr>
          <w:p w14:paraId="526AEA9C"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770</w:t>
            </w:r>
          </w:p>
        </w:tc>
      </w:tr>
      <w:tr w:rsidR="0061685C" w:rsidRPr="00435469" w14:paraId="6C86B6E5" w14:textId="77777777" w:rsidTr="001E0A46">
        <w:trPr>
          <w:trHeight w:val="113"/>
        </w:trPr>
        <w:tc>
          <w:tcPr>
            <w:tcW w:w="2660" w:type="dxa"/>
          </w:tcPr>
          <w:p w14:paraId="110C911D" w14:textId="77777777" w:rsidR="009C3323" w:rsidRPr="00435469" w:rsidRDefault="009C3323" w:rsidP="00955FFB">
            <w:pPr>
              <w:autoSpaceDE w:val="0"/>
              <w:autoSpaceDN w:val="0"/>
              <w:adjustRightInd w:val="0"/>
              <w:spacing w:after="0" w:line="240" w:lineRule="auto"/>
              <w:rPr>
                <w:rFonts w:eastAsia="Calibri" w:cs="Times New Roman"/>
                <w:b/>
                <w:bCs/>
                <w:sz w:val="16"/>
                <w:szCs w:val="16"/>
              </w:rPr>
            </w:pPr>
            <w:r w:rsidRPr="00435469">
              <w:rPr>
                <w:rFonts w:eastAsia="Calibri" w:cs="Times New Roman"/>
                <w:b/>
                <w:bCs/>
                <w:sz w:val="16"/>
                <w:szCs w:val="16"/>
              </w:rPr>
              <w:t xml:space="preserve">Baseline CD4 350-499 </w:t>
            </w:r>
          </w:p>
        </w:tc>
        <w:tc>
          <w:tcPr>
            <w:tcW w:w="1559" w:type="dxa"/>
          </w:tcPr>
          <w:p w14:paraId="2A27B1D2"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425</w:t>
            </w:r>
          </w:p>
        </w:tc>
        <w:tc>
          <w:tcPr>
            <w:tcW w:w="851" w:type="dxa"/>
          </w:tcPr>
          <w:p w14:paraId="4FDD862D"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564</w:t>
            </w:r>
          </w:p>
        </w:tc>
        <w:tc>
          <w:tcPr>
            <w:tcW w:w="850" w:type="dxa"/>
          </w:tcPr>
          <w:p w14:paraId="007151BB"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658</w:t>
            </w:r>
          </w:p>
        </w:tc>
        <w:tc>
          <w:tcPr>
            <w:tcW w:w="851" w:type="dxa"/>
          </w:tcPr>
          <w:p w14:paraId="16591D32"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738</w:t>
            </w:r>
          </w:p>
        </w:tc>
        <w:tc>
          <w:tcPr>
            <w:tcW w:w="708" w:type="dxa"/>
          </w:tcPr>
          <w:p w14:paraId="73C1CBB9"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882</w:t>
            </w:r>
          </w:p>
        </w:tc>
        <w:tc>
          <w:tcPr>
            <w:tcW w:w="1560" w:type="dxa"/>
          </w:tcPr>
          <w:p w14:paraId="6CB16543"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987</w:t>
            </w:r>
          </w:p>
        </w:tc>
      </w:tr>
      <w:tr w:rsidR="0061685C" w:rsidRPr="00435469" w14:paraId="484814BB" w14:textId="77777777" w:rsidTr="001E0A46">
        <w:trPr>
          <w:trHeight w:val="113"/>
        </w:trPr>
        <w:tc>
          <w:tcPr>
            <w:tcW w:w="2660" w:type="dxa"/>
            <w:tcBorders>
              <w:bottom w:val="single" w:sz="4" w:space="0" w:color="auto"/>
            </w:tcBorders>
          </w:tcPr>
          <w:p w14:paraId="07235D44" w14:textId="77777777" w:rsidR="009C3323" w:rsidRPr="00435469" w:rsidRDefault="009C3323" w:rsidP="00955FFB">
            <w:pPr>
              <w:autoSpaceDE w:val="0"/>
              <w:autoSpaceDN w:val="0"/>
              <w:adjustRightInd w:val="0"/>
              <w:spacing w:after="0" w:line="240" w:lineRule="auto"/>
              <w:rPr>
                <w:rFonts w:eastAsia="Calibri" w:cs="Times New Roman"/>
                <w:b/>
                <w:bCs/>
                <w:sz w:val="16"/>
                <w:szCs w:val="16"/>
              </w:rPr>
            </w:pPr>
            <w:r w:rsidRPr="00435469">
              <w:rPr>
                <w:rFonts w:eastAsia="Calibri" w:cs="Times New Roman"/>
                <w:b/>
                <w:bCs/>
                <w:sz w:val="16"/>
                <w:szCs w:val="16"/>
              </w:rPr>
              <w:t xml:space="preserve">Baseline CD4 500+ </w:t>
            </w:r>
          </w:p>
        </w:tc>
        <w:tc>
          <w:tcPr>
            <w:tcW w:w="1559" w:type="dxa"/>
            <w:tcBorders>
              <w:bottom w:val="single" w:sz="4" w:space="0" w:color="auto"/>
            </w:tcBorders>
          </w:tcPr>
          <w:p w14:paraId="72BDA6BB"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610</w:t>
            </w:r>
          </w:p>
        </w:tc>
        <w:tc>
          <w:tcPr>
            <w:tcW w:w="851" w:type="dxa"/>
            <w:tcBorders>
              <w:bottom w:val="single" w:sz="4" w:space="0" w:color="auto"/>
            </w:tcBorders>
          </w:tcPr>
          <w:p w14:paraId="70B25A81"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705</w:t>
            </w:r>
          </w:p>
        </w:tc>
        <w:tc>
          <w:tcPr>
            <w:tcW w:w="850" w:type="dxa"/>
            <w:tcBorders>
              <w:bottom w:val="single" w:sz="4" w:space="0" w:color="auto"/>
            </w:tcBorders>
          </w:tcPr>
          <w:p w14:paraId="0546E966"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805</w:t>
            </w:r>
          </w:p>
        </w:tc>
        <w:tc>
          <w:tcPr>
            <w:tcW w:w="851" w:type="dxa"/>
            <w:tcBorders>
              <w:bottom w:val="single" w:sz="4" w:space="0" w:color="auto"/>
            </w:tcBorders>
          </w:tcPr>
          <w:p w14:paraId="0C749C24"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909</w:t>
            </w:r>
          </w:p>
        </w:tc>
        <w:tc>
          <w:tcPr>
            <w:tcW w:w="708" w:type="dxa"/>
            <w:tcBorders>
              <w:bottom w:val="single" w:sz="4" w:space="0" w:color="auto"/>
            </w:tcBorders>
          </w:tcPr>
          <w:p w14:paraId="7096B963"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1000</w:t>
            </w:r>
          </w:p>
        </w:tc>
        <w:tc>
          <w:tcPr>
            <w:tcW w:w="1560" w:type="dxa"/>
            <w:tcBorders>
              <w:bottom w:val="single" w:sz="4" w:space="0" w:color="auto"/>
            </w:tcBorders>
          </w:tcPr>
          <w:p w14:paraId="61530087" w14:textId="77777777" w:rsidR="009C3323" w:rsidRPr="00435469" w:rsidRDefault="009C3323" w:rsidP="00955FFB">
            <w:pPr>
              <w:autoSpaceDE w:val="0"/>
              <w:autoSpaceDN w:val="0"/>
              <w:adjustRightInd w:val="0"/>
              <w:spacing w:after="0" w:line="240" w:lineRule="auto"/>
              <w:jc w:val="center"/>
              <w:rPr>
                <w:rFonts w:eastAsia="Calibri" w:cs="Times New Roman"/>
                <w:sz w:val="16"/>
                <w:szCs w:val="16"/>
              </w:rPr>
            </w:pPr>
            <w:r w:rsidRPr="00435469">
              <w:rPr>
                <w:rFonts w:eastAsia="Calibri" w:cs="Times New Roman"/>
                <w:sz w:val="16"/>
                <w:szCs w:val="16"/>
              </w:rPr>
              <w:t>1000</w:t>
            </w:r>
          </w:p>
        </w:tc>
      </w:tr>
    </w:tbl>
    <w:p w14:paraId="10503409" w14:textId="627A0BC9" w:rsidR="009C3323" w:rsidRPr="00435469" w:rsidRDefault="009C3323" w:rsidP="00955FFB">
      <w:pPr>
        <w:pStyle w:val="Default"/>
        <w:rPr>
          <w:rFonts w:ascii="Times New Roman" w:eastAsia="Calibri" w:hAnsi="Times New Roman" w:cs="Times New Roman"/>
          <w:color w:val="auto"/>
          <w:sz w:val="20"/>
          <w:szCs w:val="20"/>
        </w:rPr>
      </w:pPr>
      <w:r w:rsidRPr="00435469">
        <w:rPr>
          <w:rFonts w:ascii="Times New Roman" w:hAnsi="Times New Roman" w:cs="Times New Roman"/>
          <w:color w:val="auto"/>
          <w:sz w:val="20"/>
          <w:szCs w:val="20"/>
        </w:rPr>
        <w:t xml:space="preserve">Source: Johnson &amp; Dorrington </w:t>
      </w:r>
      <w:r w:rsidRPr="00435469">
        <w:rPr>
          <w:rFonts w:ascii="Times New Roman" w:eastAsia="Calibri" w:hAnsi="Times New Roman" w:cs="Times New Roman"/>
          <w:color w:val="auto"/>
          <w:sz w:val="20"/>
          <w:szCs w:val="20"/>
        </w:rPr>
        <w:fldChar w:fldCharType="begin" w:fldLock="1"/>
      </w:r>
      <w:r w:rsidR="002F049E" w:rsidRPr="00435469">
        <w:rPr>
          <w:rFonts w:ascii="Times New Roman" w:eastAsia="Calibri" w:hAnsi="Times New Roman" w:cs="Times New Roman"/>
          <w:color w:val="auto"/>
          <w:sz w:val="20"/>
          <w:szCs w:val="20"/>
        </w:rPr>
        <w:instrText>ADDIN CSL_CITATION {"citationItems":[{"id":"ITEM-1","itemData":{"author":[{"dropping-particle":"","family":"Johnson","given":"Leigh","non-dropping-particle":"","parse-names":false,"suffix":""}],"id":"ITEM-1","issue":"February 2014","issued":{"date-parts":[["2014"]]},"number-of-pages":"1-164","title":"THEMBISA version 1.0: A model for evaluating the impact of HIV / AIDS in South Africa","type":"report"},"uris":["http://www.mendeley.com/documents/?uuid=5d98e5db-8476-4b84-82c4-442a73d3db24"]}],"mendeley":{"formattedCitation":"(7)","plainTextFormattedCitation":"(7)","previouslyFormattedCitation":"(7)"},"properties":{"noteIndex":0},"schema":"https://github.com/citation-style-language/schema/raw/master/csl-citation.json"}</w:instrText>
      </w:r>
      <w:r w:rsidRPr="00435469">
        <w:rPr>
          <w:rFonts w:ascii="Times New Roman" w:eastAsia="Calibri" w:hAnsi="Times New Roman" w:cs="Times New Roman"/>
          <w:color w:val="auto"/>
          <w:sz w:val="20"/>
          <w:szCs w:val="20"/>
        </w:rPr>
        <w:fldChar w:fldCharType="separate"/>
      </w:r>
      <w:r w:rsidR="0063047A" w:rsidRPr="00435469">
        <w:rPr>
          <w:rFonts w:ascii="Times New Roman" w:eastAsia="Calibri" w:hAnsi="Times New Roman" w:cs="Times New Roman"/>
          <w:noProof/>
          <w:color w:val="auto"/>
          <w:sz w:val="20"/>
          <w:szCs w:val="20"/>
        </w:rPr>
        <w:t>(7)</w:t>
      </w:r>
      <w:r w:rsidRPr="00435469">
        <w:rPr>
          <w:rFonts w:ascii="Times New Roman" w:eastAsia="Calibri" w:hAnsi="Times New Roman" w:cs="Times New Roman"/>
          <w:color w:val="auto"/>
          <w:sz w:val="20"/>
          <w:szCs w:val="20"/>
        </w:rPr>
        <w:fldChar w:fldCharType="end"/>
      </w:r>
    </w:p>
    <w:p w14:paraId="0C961E7B" w14:textId="7755EF7A" w:rsidR="006C27BA" w:rsidRPr="00435469" w:rsidRDefault="006C27BA" w:rsidP="00955FFB">
      <w:pPr>
        <w:pStyle w:val="Heading2"/>
        <w:rPr>
          <w:color w:val="auto"/>
          <w:sz w:val="20"/>
          <w:szCs w:val="20"/>
        </w:rPr>
      </w:pPr>
      <w:bookmarkStart w:id="10" w:name="_Toc103252917"/>
      <w:r w:rsidRPr="00435469">
        <w:rPr>
          <w:color w:val="auto"/>
          <w:sz w:val="20"/>
          <w:szCs w:val="20"/>
        </w:rPr>
        <w:t>Initial conditions</w:t>
      </w:r>
      <w:bookmarkEnd w:id="4"/>
      <w:bookmarkEnd w:id="10"/>
      <w:r w:rsidRPr="00435469">
        <w:rPr>
          <w:color w:val="auto"/>
          <w:sz w:val="20"/>
          <w:szCs w:val="20"/>
        </w:rPr>
        <w:t xml:space="preserve"> </w:t>
      </w:r>
    </w:p>
    <w:p w14:paraId="761C13FF" w14:textId="651D1CD7" w:rsidR="006C27BA" w:rsidRPr="00435469" w:rsidRDefault="006C27BA" w:rsidP="00955FFB">
      <w:pPr>
        <w:pStyle w:val="1Para"/>
        <w:spacing w:line="240" w:lineRule="auto"/>
        <w:ind w:firstLine="0"/>
        <w:rPr>
          <w:sz w:val="20"/>
          <w:szCs w:val="20"/>
        </w:rPr>
      </w:pPr>
      <w:r w:rsidRPr="00435469">
        <w:rPr>
          <w:sz w:val="20"/>
          <w:szCs w:val="20"/>
        </w:rPr>
        <w:t>This section describes the assumptions we made about the proportion of the population with LTBI and active TB at the start of the simulation in 1985. All these</w:t>
      </w:r>
      <w:r w:rsidR="001B3690" w:rsidRPr="00435469">
        <w:rPr>
          <w:sz w:val="20"/>
          <w:szCs w:val="20"/>
        </w:rPr>
        <w:t xml:space="preserve"> initial</w:t>
      </w:r>
      <w:r w:rsidRPr="00435469">
        <w:rPr>
          <w:sz w:val="20"/>
          <w:szCs w:val="20"/>
        </w:rPr>
        <w:t xml:space="preserve"> assumptions are made for an HIV-negative population because HIV prevalence was very low in 1985.</w:t>
      </w:r>
    </w:p>
    <w:p w14:paraId="2E3815A3" w14:textId="0EC6043F" w:rsidR="006C27BA" w:rsidRPr="00435469" w:rsidRDefault="006C27BA" w:rsidP="00955FFB">
      <w:pPr>
        <w:pStyle w:val="Heading3"/>
        <w:rPr>
          <w:color w:val="auto"/>
          <w:sz w:val="20"/>
          <w:szCs w:val="20"/>
        </w:rPr>
      </w:pPr>
      <w:bookmarkStart w:id="11" w:name="_Toc88488549"/>
      <w:bookmarkStart w:id="12" w:name="_Toc103252918"/>
      <w:r w:rsidRPr="00435469">
        <w:rPr>
          <w:color w:val="auto"/>
          <w:sz w:val="20"/>
          <w:szCs w:val="20"/>
        </w:rPr>
        <w:t>Latent tuberculosis infection</w:t>
      </w:r>
      <w:bookmarkEnd w:id="11"/>
      <w:bookmarkEnd w:id="12"/>
      <w:r w:rsidRPr="00435469">
        <w:rPr>
          <w:color w:val="auto"/>
          <w:sz w:val="20"/>
          <w:szCs w:val="20"/>
        </w:rPr>
        <w:t xml:space="preserve">  </w:t>
      </w:r>
    </w:p>
    <w:p w14:paraId="38A2D0FA" w14:textId="19342097" w:rsidR="006C27BA" w:rsidRPr="00435469" w:rsidRDefault="006C27BA" w:rsidP="00955FFB">
      <w:pPr>
        <w:spacing w:before="240" w:line="240" w:lineRule="auto"/>
        <w:rPr>
          <w:rFonts w:eastAsiaTheme="minorEastAsia" w:cs="Times New Roman"/>
          <w:iCs/>
          <w:sz w:val="20"/>
          <w:szCs w:val="20"/>
          <w:lang w:eastAsia="en-ZA"/>
        </w:rPr>
      </w:pPr>
      <w:r w:rsidRPr="00435469">
        <w:rPr>
          <w:rFonts w:cs="Times New Roman"/>
          <w:sz w:val="20"/>
          <w:szCs w:val="20"/>
        </w:rPr>
        <w:t>In the model, we set the initial LTBI prevalence in the HIV-negative population using data from the CORTIS study</w:t>
      </w:r>
      <w:r w:rsidRPr="00435469">
        <w:rPr>
          <w:rFonts w:eastAsia="Times New Roman" w:cs="Times New Roman"/>
          <w:sz w:val="20"/>
          <w:szCs w:val="20"/>
          <w:shd w:val="clear" w:color="auto" w:fill="FFFFFF"/>
          <w:lang w:eastAsia="en-GB"/>
        </w:rPr>
        <w:t xml:space="preserve">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{"citationItems":[{"id":"ITEM-1","itemData":{"DOI":"10.1016/S1473-3099(20)30914-2","ISSN":"14744457","PMID":"33508224","abstract":"Background: Targeted preventive therapy for individuals at highest risk of incident tuberculosis might impact the epidemic by interrupting transmission. We tested performance of a transcriptomic signature of tuberculosis (RISK11) and efficacy of signature-guided preventive therapy in parallel, using a hybrid three-group study design. Methods: Adult volunteers aged 18–59 years were recruited at five geographically distinct communities in South Africa. Whole blood was sampled for RISK11 by quantitative RT-PCR assay from eligible volunteers without HIV, recent previous tuberculosis (ie, &lt;3 years before screening), or comorbidities at screening. RISK11-positive participants were block randomised (1:2; block size 15) to once-weekly, directly-observed, open-label isoniazid and rifapentine for 12 weeks (ie, RISK11 positive and 3HP positive), or no treatment (ie, RISK11 positive and 3HP negative). A subset of eligible RISK11-negative volunteers were randomly assigned to no treatment (ie, RISK11 negative and 3HP negative). Diagnostic discrimination of prevalent tuberculosis was tested in all participants at baseline. Thereafter, prognostic discrimination of incident tuberculosis was tested in the untreated RISK11-positive versus RISK11-negative groups, and treatment efficacy in the 3HP-treated versus untreated RISK11-positive groups, during active surveillance through 15 months. The primary endpoint was microbiologically confirmed pulmonary tuberculosis. The primary outcome measures were risk ratio [RR] for tuberculosis of RISK11-positive to RISK11-negative participants, and treatment efficacy. This trial is registered with ClinicalTrials.gov, NCT02735590. Findings: 20 207 volunteers were screened, and 2923 participants were enrolled, including RISK11-positive participants randomly assigned to 3HP (n=375) or no 3HP (n=764), and 1784 RISK11-negative participants. Cumulative probability of prevalent or incident tuberculosis disease was 0·066 (95% CI 0·049 to 0·084) in RISK11-positive (3HP negative) participants and 0·018 (0·011 to 0·025) in RISK11-negative participants (RR 3·69, 95% CI 2·25–6·05) over 15 months. Tuberculosis prevalence was 47 (4·1%) of 1139 versus 14 (0·78%) of 1984 in RISK11-positive compared with RISK11-negative participants, respectively (diagnostic RR 5·13, 95% CI 2·93 to 9·43). Tuberculosis incidence over 15 months was 2·09 (95% CI 0·97 to 3·19) vs 0·80 (0·30 to 1·30) per 100 person years in RISK11-positive (3HP-negative) participants compare…","author":[{"dropping-particle":"","family":"Scriba","given":"Thomas J.","non-dropping-particle":"","parse-names":false,"suffix":""},{"dropping-particle":"","family":"Fiore-Gartland","given":"Andrew","non-dropping-particle":"","parse-names":false,"suffix":""},{"dropping-particle":"","family":"Penn-Nicholson","given":"Adam","non-dropping-particle":"","parse-names":false,"suffix":""},{"dropping-particle":"","family":"Mulenga","given":"Humphrey","non-dropping-particle":"","parse-names":false,"suffix":""},{"dropping-particle":"","family":"Kimbung Mbandi","given":"Stanley","non-dropping-particle":"","parse-names":false,"suffix":""},{"dropping-particle":"","family":"Borate","given":"Bhavesh","non-dropping-particle":"","parse-names":false,"suffix":""},{"dropping-particle":"","family":"Mendelsohn","given":"Simon C.","non-dropping-particle":"","parse-names":false,"suffix":""},{"dropping-particle":"","family":"Hadley","given":"Katie","non-dropping-particle":"","parse-names":false,"suffix":""},{"dropping-particle":"","family":"Hikuam","given":"Chris","non-dropping-particle":"","parse-names":false,"suffix":""},{"dropping-particle":"","family":"Kaskar","given":"Masooda","non-dropping-particle":"","parse-names":false,"suffix":""},{"dropping-particle":"","family":"Musvosvi","given":"Munyaradzi","non-dropping-particle":"","parse-names":false,"suffix":""},{"dropping-particle":"","family":"Bilek","given":"Nicole","non-dropping-particle":"","parse-names":false,"suffix":""},{"dropping-particle":"","family":"Self","given":"Steven","non-dropping-particle":"","parse-names":false,"suffix":""},{"dropping-particle":"","family":"Sumner","given":"Tom","non-dropping-particle":"","parse-names":false,"suffix":""},{"dropping-particle":"","family":"White","given":"Richard G.","non-dropping-particle":"","parse-names":false,"suffix":""},{"dropping-particle":"","family":"Erasmus","given":"Mzwandile","non-dropping-particle":"","parse-names":false,"suffix":""},{"dropping-particle":"","family":"Jaxa","given":"Lungisa","non-dropping-particle":"","parse-names":false,"suffix":""},{"dropping-particle":"","family":"Raphela","given":"Rodney","non-dropping-particle":"","parse-names":false,"suffix":""},{"dropping-particle":"","family":"Innes","given":"Craig","non-dropping-particle":"","parse-names":false,"suffix":""},{"dropping-particle":"","family":"Brumskine","given":"William","non-dropping-particle":"","parse-names":false,"suffix":""},{"dropping-particle":"","family":"Hiemstra","given":"Andriëtte","non-dropping-particle":"","parse-names":false,"suffix":""},{"dropping-particle":"","family":"Malherbe","given":"Stephanus T.","non-dropping-particle":"","parse-names":false,"suffix":""},{"dropping-particle":"","family":"Hassan-Moosa","given":"Razia","non-dropping-particle":"","parse-names":false,"suffix":""},{"dropping-particle":"","family":"Tameris","given":"Michèle","non-dropping-particle":"","parse-names":false,"suffix":""},{"dropping-particle":"","family":"Walzl","given":"Gerhard","non-dropping-particle":"","parse-names":false,"suffix":""},{"dropping-particle":"","family":"Naidoo","given":"Kogieleum","non-dropping-particle":"","parse-names":false,"suffix":""},{"dropping-particle":"","family":"Churchyard","given":"Gavin","non-dropping-particle":"","parse-names":false,"suffix":""},{"dropping-particle":"","family":"Hatherill","given":"Mark","non-dropping-particle":"","parse-names":false,"suffix":""},{"dropping-particle":"","family":"Baepanye","given":"Kesenogile","non-dropping-particle":"","parse-names":false,"suffix":""},{"dropping-particle":"","family":"Baepanye","given":"Tshepiso","non-dropping-particle":"","parse-names":false,"suffix":""},{"dropping-particle":"","family":"Clarke","given":"Ken","non-dropping-particle":"","parse-names":false,"suffix":""},{"dropping-particle":"","family":"Collignon","given":"Marelize","non-dropping-particle":"","parse-names":false,"suffix":""},{"dropping-particle":"","family":"Dlamini","given":"Audrey","non-dropping-particle":"","parse-names":false,"suffix":""},{"dropping-particle":"","family":"Eyre","given":"Candice","non-dropping-particle":"","parse-names":false,"suffix":""},{"dropping-particle":"","family":"Feni","given":"Tebogo","non-dropping-particle":"","parse-names":false,"suffix":""},{"dropping-particle":"","family":"Fikizolo","given":"Moogo","non-dropping-particle":"","parse-names":false,"suffix":""},{"dropping-particle":"","family":"Galane","given":"Phinda","non-dropping-particle":"","parse-names":false,"suffix":""},{"dropping-particle":"","family":"Goliath","given":"Thelma","non-dropping-particle":"","parse-names":false,"suffix":""},{"dropping-particle":"","family":"Gangat","given":"Alia","non-dropping-particle":"","parse-names":false,"suffix":""},{"dropping-particle":"","family":"Malefo-Grootboom","given":"Shirley","non-dropping-particle":"","parse-names":false,"suffix":""},{"dropping-particle":"","family":"Janse van Rensburg","given":"Elba","non-dropping-particle":"","parse-names":false,"suffix":""},{"dropping-particle":"","family":"Janse van Rensburg","given":"Bonita","non-dropping-particle":"","parse-names":false,"suffix":""},{"dropping-particle":"","family":"Kekana","given":"Sophy","non-dropping-particle":"","parse-names":false,"suffix":""},{"dropping-particle":"","family":"Zietsman","given":"Marietjie","non-dropping-particle":"","parse-names":false,"suffix":""},{"dropping-particle":"","family":"Kock","given":"Adrianne","non-dropping-particle":"","parse-names":false,"suffix":""},{"dropping-particle":"","family":"Kunene","given":"Israel","non-dropping-particle":"","parse-names":false,"suffix":""},{"dropping-particle":"","family":"Lakhi","given":"Aneessa","non-dropping-particle":"","parse-names":false,"suffix":""},{"dropping-particle":"","family":"Langa","given":"Nondumiso","non-dropping-particle":"","parse-names":false,"suffix":""},{"dropping-particle":"","family":"Ledwaba","given":"Hilda","non-dropping-particle":"","parse-names":false,"suffix":""},{"dropping-particle":"","family":"Luphoko","given":"Marillyn","non-dropping-particle":"","parse-names":false,"suffix":""},{"dropping-particle":"","family":"Mabasa","given":"Immaculate","non-dropping-particle":"","parse-names":false,"suffix":""},{"dropping-particle":"","family":"Mabe","given":"Dorah","non-dropping-particle":"","parse-names":false,"suffix":""},{"dropping-particle":"","family":"Mabuza","given":"Nkosinathi","non-dropping-particle":"","parse-names":false,"suffix":""},{"dropping-particle":"","family":"Majola","given":"Molly","non-dropping-particle":"","parse-names":false,"suffix":""},{"dropping-particle":"","family":"Makhetha","given":"Mantai","non-dropping-particle":"","parse-names":false,"suffix":""},{"dropping-particle":"","family":"Makoanyane","given":"Mpho","non-dropping-particle":"","parse-names":false,"suffix":""},{"dropping-particle":"","family":"Makhubalo","given":"Blossom","non-dropping-particle":"","parse-names":false,"suffix":""},{"dropping-particle":"","family":"Malay","given":"Vernon","non-dropping-particle":"","parse-names":false,"suffix":""},{"dropping-particle":"","family":"Market","given":"Juanita","non-dropping-particle":"","parse-names":false,"suffix":""},{"dropping-particle":"","family":"Matshego","given":"Selvy","non-dropping-particle":"","parse-names":false,"suffix":""},{"dropping-particle":"","family":"Mbipa","given":"Nontsikelelo","non-dropping-particle":"","parse-names":false,"suffix":""},{"dropping-particle":"","family":"Mmotsa","given":"Tsiamo","non-dropping-particle":"","parse-names":false,"suffix":""},{"dropping-particle":"","family":"Modipa","given":"Sylvester","non-dropping-particle":"","parse-names":false,"suffix":""},{"dropping-particle":"","family":"Mopati","given":"Samuel","non-dropping-particle":"","parse-names":false,"suffix":""},{"dropping-particle":"","family":"Moswegu","given":"Palesa","non-dropping-particle":"","parse-names":false,"suffix":""},{"dropping-particle":"","family":"Mothaga","given":"Primrose","non-dropping-particle":"","parse-names":false,"suffix":""},{"dropping-particle":"","family":"Muller","given":"Dorothy","non-dropping-particle":"","parse-names":false,"suffix":""},{"dropping-particle":"","family":"Nchwe","given":"Grace","non-dropping-particle":"","parse-names":false,"suffix":""},{"dropping-particle":"","family":"Nel","given":"Maryna","non-dropping-particle":"","parse-names":false,"suffix":""},{"dropping-particle":"","family":"Nhlangulela","given":"Lindiwe","non-dropping-particle":"","parse-names":false,"suffix":""},{"dropping-particle":"","family":"Ntamo","given":"Bantubonke","non-dropping-particle":"","parse-names":false,"suffix":""},{"dropping-particle":"","family":"Ntoahae","given":"Lawerence","non-dropping-particle":"","parse-names":false,"suffix":""},{"dropping-particle":"","family":"Ntshauba","given":"Tedrius","non-dropping-particle":"","parse-names":false,"suffix":""},{"dropping-particle":"","family":"Sanyaka","given":"Nomsa","non-dropping-particle":"","parse-names":false,"suffix":""},{"dropping-particle":"","family":"Seabela","given":"Letlhogonolo","non-dropping-particle":"","parse-names":false,"suffix":""},{"dropping-particle":"","family":"Selepe","given":"Pearl","non-dropping-particle":"","parse-names":false,"suffix":""},{"dropping-particle":"","family":"Senne","given":"Melissa","non-dropping-particle":"","parse-names":false,"suffix":""},{"dropping-particle":"","family":"Serake","given":"M. G.","non-dropping-particle":"","parse-names":false,"suffix":""},{"dropping-particle":"","family":"Thlapi","given":"Maria","non-dropping-particle":"","parse-names":false,"suffix":""},{"dropping-particle":"","family":"Tshikovhi","given":"Vincent","non-dropping-particle":"","parse-names":false,"suffix":""},{"dropping-particle":"","family":"Tswaile","given":"Lebogang","non-dropping-particle":"","parse-names":false,"suffix":""},{"dropping-particle":"","family":"Aswegen","given":"Amanda","non-dropping-particle":"van","parse-names":false,"suffix":""},{"dropping-particle":"","family":"Mbata","given":"Lungile","non-dropping-particle":"","parse-names":false,"suffix":""},{"dropping-particle":"","family":"Takavamanya","given":"Constance","non-dropping-particle":"","parse-names":false,"suffix":""},{"dropping-particle":"","family":"Pinho","given":"Pedro","non-dropping-particle":"","parse-names":false,"suffix":""},{"dropping-particle":"","family":"Mdlulu","given":"John","non-dropping-particle":"","parse-names":false,"suffix":""},{"dropping-particle":"","family":"Taljaard","given":"Marthinette","non-dropping-particle":"","parse-names":false,"suffix":""},{"dropping-particle":"","family":"Slabbert","given":"Naydene","non-dropping-particle":"","parse-names":false,"suffix":""},{"dropping-particle":"","family":"Sayed","given":"Sharfuddin","non-dropping-particle":"","parse-names":false,"suffix":""},{"dropping-particle":"","family":"Nielson","given":"Tanya","non-dropping-particle":"","parse-names":false,"suffix":""},{"dropping-particle":"","family":"Ni Sein","given":"Ni","non-dropping-particle":"","parse-names":false,"suffix":""},{"dropping-particle":"","family":"Govender","given":"Dhineshree","non-dropping-particle":"","parse-names":false,"suffix":""},{"dropping-particle":"","family":"Chinappa","given":"Tilagavathy","non-dropping-particle":"","parse-names":false,"suffix":""},{"dropping-particle":"","family":"Zulu","given":"Mbali Ignatia","non-dropping-particle":"","parse-names":false,"suffix":""},{"dropping-particle":"","family":"Maphanga","given":"Nonhle Bridgette","non-dropping-particle":"","parse-names":false,"suffix":""},{"dropping-particle":"","family":"Hlathi","given":"Senzo Ralph","non-dropping-particle":"","parse-names":false,"suffix":""},{"dropping-particle":"","family":"Gumede","given":"Goodness Khanyisile","non-dropping-particle":"","parse-names":false,"suffix":""},{"dropping-particle":"","family":"Shezi","given":"Thandiwe Yvonne","non-dropping-particle":"","parse-names":false,"suffix":""},{"dropping-particle":"","family":"Maphanga","given":"Jabulisiwe Lethabo","non-dropping-particle":"","parse-names":false,"suffix":""},{"dropping-particle":"","family":"Jali","given":"Zandile Patrica","non-dropping-particle":"","parse-names":false,"suffix":""},{"dropping-particle":"","family":"Cwele","given":"Thobelani","non-dropping-particle":"","parse-names":false,"suffix":""},{"dropping-particle":"","family":"Gwamanda","given":"Nonhlanhla Zanele Elsie","non-dropping-particle":"","parse-names":false,"suffix":""},{"dropping-particle":"","family":"Dlamini","given":"Celaphiwe","non-dropping-particle":"","parse-names":false,"suffix":""},{"dropping-particle":"","family":"Sing","given":"Zibuyile Phindile Penlee","non-dropping-particle":"","parse-names":false,"suffix":""},{"dropping-particle":"","family":"Ntanjana","given":"Ntombozuko Gloria","non-dropping-particle":"","parse-names":false,"suffix":""},{"dropping-particle":"","family":"Nzimande","given":"Sphelele Simo","non-dropping-particle":"","parse-names":false,"suffix":""},{"dropping-particle":"","family":"Mbatha","given":"Siyabonga","non-dropping-particle":"","parse-names":false,"suffix":""},{"dropping-particle":"","family":"Maharaj","given":"Bhavna","non-dropping-particle":"","parse-names":false,"suffix":""},{"dropping-particle":"","family":"Moosa","given":"Atika","non-dropping-particle":"","parse-names":false,"suffix":""},{"dropping-particle":"","family":"Corris","given":"Cara Mia","non-dropping-particle":"","parse-names":false,"suffix":""},{"dropping-particle":"","family":"Kafaar","given":"Fazlin","non-dropping-particle":"","parse-names":false,"suffix":""},{"dropping-particle":"","family":"Geldenhuys","given":"Hennie","non-dropping-particle":"","parse-names":false,"suffix":""},{"dropping-particle":"","family":"Luabeya","given":"Angelique Kany Kany","non-dropping-particle":"","parse-names":false,"suffix":""},{"dropping-particle":"","family":"Shenje","given":"Justin","non-dropping-particle":"","parse-names":false,"suffix":""},{"dropping-particle":"","family":"Botes","given":"Natasja","non-dropping-particle":"","parse-names":false,"suffix":""},{"dropping-particle":"","family":"Rossouw","given":"Susan","non-dropping-particle":"","parse-names":false,"suffix":""},{"dropping-particle":"","family":"Africa","given":"Hadn","non-dropping-particle":"","parse-names":false,"suffix":""},{"dropping-particle":"","family":"Diamond","given":"Bongani","non-dropping-particle":"","parse-names":false,"suffix":""},{"dropping-particle":"","family":"Braaf","given":"Samentra","non-dropping-particle":"","parse-names":false,"suffix":""},{"dropping-particle":"","family":"Stryers","given":"Sonia","non-dropping-particle":"","parse-names":false,"suffix":""},{"dropping-particle":"","family":"Carstens","given":"Alida","non-dropping-particle":"","parse-names":false,"suffix":""},{"dropping-particle":"","family":"Jansen","given":"Ruwiyda","non-dropping-particle":"","parse-names":false,"suffix":""},{"dropping-particle":"","family":"Mabwe","given":"Simbarashe","non-dropping-particle":"","parse-names":false,"suffix":""},{"dropping-particle":"","family":"Herling","given":"Roxane","non-dropping-particle":"","parse-names":false,"suffix":""},{"dropping-particle":"","family":"Veldsman","given":"Ashley","non-dropping-particle":"","parse-names":false,"suffix":""},{"dropping-particle":"","family":"Makhete","given":"Lebohgang","non-dropping-particle":"","parse-names":false,"suffix":""},{"dropping-particle":"","family":"Steyn","given":"Marcia","non-dropping-particle":"","parse-names":false,"suffix":""},{"dropping-particle":"","family":"Buhlungu","given":"Sivuyile","non-dropping-particle":"","parse-names":false,"suffix":""},{"dropping-particle":"","family":"Erasmus","given":"Margareth","non-dropping-particle":"","parse-names":false,"suffix":""},{"dropping-particle":"","family":"Davids","given":"Ilse","non-dropping-particle":"","parse-names":false,"suffix":""},{"dropping-particle":"","family":"Plaatjie","given":"Patiswa","non-dropping-particle":"","parse-names":false,"suffix":""},{"dropping-particle":"","family":"Companie","given":"Alessandro","non-dropping-particle":"","parse-names":false,"suffix":""},{"dropping-particle":"","family":"Ratangee","given":"Frances","non-dropping-particle":"","parse-names":false,"suffix":""},{"dropping-particle":"","family":"Veldtsman","given":"Helen","non-dropping-particle":"","parse-names":false,"suffix":""},{"dropping-particle":"","family":"Petersen","given":"Christel","non-dropping-particle":"","parse-names":false,"suffix":""},{"dropping-particle":"","family":"Abrahams","given":"Charmaine","non-dropping-particle":"","parse-names":false,"suffix":""},{"dropping-particle":"","family":"Moses","given":"Miriam","non-dropping-particle":"","parse-names":false,"suffix":""},{"dropping-particle":"","family":"Kelepu","given":"Xoliswa","non-dropping-particle":"","parse-names":false,"suffix":""},{"dropping-particle":"","family":"Gregg","given":"Yolande","non-dropping-particle":"","parse-names":false,"suffix":""},{"dropping-particle":"","family":"Swanepoel","given":"Liticia","non-dropping-particle":"","parse-names":false,"suffix":""},{"dropping-particle":"","family":"Magawu","given":"Nomsitho","non-dropping-particle":"","parse-names":false,"suffix":""},{"dropping-particle":"","family":"Cetywayo","given":"Nompumelelo","non-dropping-particle":"","parse-names":false,"suffix":""},{"dropping-particle":"","family":"Mactavie","given":"Lauren","non-dropping-particle":"","parse-names":false,"suffix":""},{"dropping-particle":"","family":"Valley","given":"Habibullah","non-dropping-particle":"","parse-names":false,"suffix":""},{"dropping-particle":"","family":"Filander","given":"Elizabeth","non-dropping-particle":"","parse-names":false,"suffix":""},{"dropping-particle":"","family":"Nqakala","given":"Nambitha","non-dropping-particle":"","parse-names":false,"suffix":""},{"dropping-particle":"","family":"Maasdorp","given":"Elizna","non-dropping-particle":"","parse-names":false,"suffix":""},{"dropping-particle":"","family":"Khoury","given":"Justine","non-dropping-particle":"","parse-names":false,"suffix":""},{"dropping-particle":"","family":"Kriel","given":"Belinda","non-dropping-particle":"","parse-names":false,"suffix":""},{"dropping-particle":"","family":"Smith","given":"Bronwyn","non-dropping-particle":"","parse-names":false,"suffix":""},{"dropping-particle":"","family":"Muller","given":"Liesel","non-dropping-particle":"","parse-names":false,"suffix":""},{"dropping-particle":"","family":"Tonsing","given":"Susanne","non-dropping-particle":"","parse-names":false,"suffix":""},{"dropping-particle":"","family":"Loxton","given":"Andre","non-dropping-particle":"","parse-names":false,"suffix":""},{"dropping-particle":"","family":"Hiemstra","given":"Andriette","non-dropping-particle":"","parse-names":false,"suffix":""},{"dropping-particle":"","family":"Ahlers","given":"Petri","non-dropping-particle":"","parse-names":false,"suffix":""},{"dropping-particle":"","family":"Flinn","given":"Marika","non-dropping-particle":"","parse-names":false,"suffix":""},{"dropping-particle":"","family":"Chung","given":"Eva","non-dropping-particle":"","parse-names":false,"suffix":""},{"dropping-particle":"","family":"Chung","given":"Michelle","non-dropping-particle":"","parse-names":false,"suffix":""},{"dropping-particle":"","family":"Sato","given":"Alicia","non-dropping-particle":"","parse-names":false,"suffix":""}],"container-title":"The Lancet Infectious Diseases","id":"ITEM-1","issue":"3","issued":{"date-parts":[["2021"]]},"page":"354-365","title":"Biomarker-guided tuberculosis preventive therapy (CORTIS): a randomised controlled trial","type":"article-journal","volume":"21"},"uris":["http://www.mendeley.com/documents/?uuid=7f82fc17-a5b7-48ae-af4e-90064a726b6b"]}],"mendeley":{"formattedCitation":"(9)","plainTextFormattedCitation":"(9)","previouslyFormattedCitation":"(9)"},"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(9)</w:t>
      </w:r>
      <w:r w:rsidRPr="00435469">
        <w:rPr>
          <w:rFonts w:cs="Times New Roman"/>
          <w:sz w:val="20"/>
          <w:szCs w:val="20"/>
        </w:rPr>
        <w:fldChar w:fldCharType="end"/>
      </w:r>
      <w:r w:rsidRPr="00435469">
        <w:rPr>
          <w:rFonts w:cs="Times New Roman"/>
          <w:sz w:val="20"/>
          <w:szCs w:val="20"/>
        </w:rPr>
        <w:t>.</w:t>
      </w:r>
      <w:r w:rsidRPr="00435469">
        <w:rPr>
          <w:rFonts w:eastAsia="Times New Roman" w:cs="Times New Roman"/>
          <w:sz w:val="20"/>
          <w:szCs w:val="20"/>
          <w:shd w:val="clear" w:color="auto" w:fill="FFFFFF"/>
          <w:lang w:eastAsia="en-GB"/>
        </w:rPr>
        <w:t xml:space="preserve"> In this study, the </w:t>
      </w:r>
      <w:r w:rsidRPr="00435469">
        <w:rPr>
          <w:rFonts w:eastAsiaTheme="minorEastAsia" w:cs="Times New Roman"/>
          <w:iCs/>
          <w:sz w:val="20"/>
          <w:szCs w:val="20"/>
          <w:lang w:eastAsia="en-ZA"/>
        </w:rPr>
        <w:t xml:space="preserve">QuantiFERON-TB Gold </w:t>
      </w:r>
      <w:r w:rsidR="00746421" w:rsidRPr="00435469">
        <w:rPr>
          <w:rFonts w:eastAsiaTheme="minorEastAsia" w:cs="Times New Roman"/>
          <w:iCs/>
          <w:sz w:val="20"/>
          <w:szCs w:val="20"/>
          <w:lang w:eastAsia="en-ZA"/>
        </w:rPr>
        <w:t>Interferon Gamma Release Assay (</w:t>
      </w:r>
      <w:r w:rsidRPr="00435469">
        <w:rPr>
          <w:rFonts w:eastAsiaTheme="minorEastAsia" w:cs="Times New Roman"/>
          <w:iCs/>
          <w:sz w:val="20"/>
          <w:szCs w:val="20"/>
          <w:lang w:eastAsia="en-ZA"/>
        </w:rPr>
        <w:t>IGRA</w:t>
      </w:r>
      <w:r w:rsidR="00746421" w:rsidRPr="00435469">
        <w:rPr>
          <w:rFonts w:eastAsiaTheme="minorEastAsia" w:cs="Times New Roman"/>
          <w:iCs/>
          <w:sz w:val="20"/>
          <w:szCs w:val="20"/>
          <w:lang w:eastAsia="en-ZA"/>
        </w:rPr>
        <w:t>)</w:t>
      </w:r>
      <w:r w:rsidRPr="00435469">
        <w:rPr>
          <w:rFonts w:eastAsiaTheme="minorEastAsia" w:cs="Times New Roman"/>
          <w:iCs/>
          <w:sz w:val="20"/>
          <w:szCs w:val="20"/>
          <w:lang w:eastAsia="en-ZA"/>
        </w:rPr>
        <w:t xml:space="preserve"> assays were used to detect LTBI</w:t>
      </w:r>
      <w:r w:rsidR="0007426B" w:rsidRPr="00435469">
        <w:rPr>
          <w:rFonts w:eastAsiaTheme="minorEastAsia" w:cs="Times New Roman"/>
          <w:iCs/>
          <w:sz w:val="20"/>
          <w:szCs w:val="20"/>
          <w:lang w:eastAsia="en-ZA"/>
        </w:rPr>
        <w:t xml:space="preserve"> </w:t>
      </w:r>
      <w:r w:rsidR="0007426B" w:rsidRPr="00435469">
        <w:rPr>
          <w:rFonts w:cs="Times New Roman"/>
          <w:sz w:val="20"/>
          <w:szCs w:val="20"/>
        </w:rPr>
        <w:t>(</w:t>
      </w:r>
      <w:r w:rsidR="0007426B" w:rsidRPr="00435469">
        <w:rPr>
          <w:rFonts w:cs="Times New Roman"/>
          <w:sz w:val="20"/>
          <w:szCs w:val="20"/>
        </w:rPr>
        <w:fldChar w:fldCharType="begin"/>
      </w:r>
      <w:r w:rsidR="0007426B" w:rsidRPr="00435469">
        <w:rPr>
          <w:rFonts w:cs="Times New Roman"/>
          <w:sz w:val="20"/>
          <w:szCs w:val="20"/>
        </w:rPr>
        <w:instrText xml:space="preserve"> REF _Ref80370233 \h </w:instrText>
      </w:r>
      <w:r w:rsidR="00F334C7" w:rsidRPr="00435469">
        <w:rPr>
          <w:rFonts w:cs="Times New Roman"/>
          <w:sz w:val="20"/>
          <w:szCs w:val="20"/>
        </w:rPr>
        <w:instrText xml:space="preserve"> \* MERGEFORMAT </w:instrText>
      </w:r>
      <w:r w:rsidR="0007426B" w:rsidRPr="00435469">
        <w:rPr>
          <w:rFonts w:cs="Times New Roman"/>
          <w:sz w:val="20"/>
          <w:szCs w:val="20"/>
        </w:rPr>
      </w:r>
      <w:r w:rsidR="0007426B"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2</w:t>
      </w:r>
      <w:r w:rsidR="0007426B" w:rsidRPr="00435469">
        <w:rPr>
          <w:rFonts w:cs="Times New Roman"/>
          <w:sz w:val="20"/>
          <w:szCs w:val="20"/>
        </w:rPr>
        <w:fldChar w:fldCharType="end"/>
      </w:r>
      <w:r w:rsidR="0007426B" w:rsidRPr="00435469">
        <w:rPr>
          <w:rFonts w:cs="Times New Roman"/>
          <w:sz w:val="20"/>
          <w:szCs w:val="20"/>
        </w:rPr>
        <w:t xml:space="preserve">) </w:t>
      </w:r>
      <w:r w:rsidR="0007426B" w:rsidRPr="00435469">
        <w:rPr>
          <w:rFonts w:cs="Times New Roman"/>
          <w:sz w:val="20"/>
          <w:szCs w:val="20"/>
        </w:rPr>
        <w:fldChar w:fldCharType="begin" w:fldLock="1"/>
      </w:r>
      <w:r w:rsidR="002F049E" w:rsidRPr="00435469">
        <w:rPr>
          <w:rFonts w:cs="Times New Roman"/>
          <w:sz w:val="20"/>
          <w:szCs w:val="20"/>
        </w:rPr>
        <w:instrText>ADDIN CSL_CITATION {"citationItems":[{"id":"ITEM-1","itemData":{"DOI":"10.1016/S1473-3099(20)30914-2","ISSN":"14744457","PMID":"33508224","abstract":"Background: Targeted preventive therapy for individuals at highest risk of incident tuberculosis might impact the epidemic by interrupting transmission. We tested performance of a transcriptomic signature of tuberculosis (RISK11) and efficacy of signature-guided preventive therapy in parallel, using a hybrid three-group study design. Methods: Adult volunteers aged 18–59 years were recruited at five geographically distinct communities in South Africa. Whole blood was sampled for RISK11 by quantitative RT-PCR assay from eligible volunteers without HIV, recent previous tuberculosis (ie, &lt;3 years before screening), or comorbidities at screening. RISK11-positive participants were block randomised (1:2; block size 15) to once-weekly, directly-observed, open-label isoniazid and rifapentine for 12 weeks (ie, RISK11 positive and 3HP positive), or no treatment (ie, RISK11 positive and 3HP negative). A subset of eligible RISK11-negative volunteers were randomly assigned to no treatment (ie, RISK11 negative and 3HP negative). Diagnostic discrimination of prevalent tuberculosis was tested in all participants at baseline. Thereafter, prognostic discrimination of incident tuberculosis was tested in the untreated RISK11-positive versus RISK11-negative groups, and treatment efficacy in the 3HP-treated versus untreated RISK11-positive groups, during active surveillance through 15 months. The primary endpoint was microbiologically confirmed pulmonary tuberculosis. The primary outcome measures were risk ratio [RR] for tuberculosis of RISK11-positive to RISK11-negative participants, and treatment efficacy. This trial is registered with ClinicalTrials.gov, NCT02735590. Findings: 20 207 volunteers were screened, and 2923 participants were enrolled, including RISK11-positive participants randomly assigned to 3HP (n=375) or no 3HP (n=764), and 1784 RISK11-negative participants. Cumulative probability of prevalent or incident tuberculosis disease was 0·066 (95% CI 0·049 to 0·084) in RISK11-positive (3HP negative) participants and 0·018 (0·011 to 0·025) in RISK11-negative participants (RR 3·69, 95% CI 2·25–6·05) over 15 months. Tuberculosis prevalence was 47 (4·1%) of 1139 versus 14 (0·78%) of 1984 in RISK11-positive compared with RISK11-negative participants, respectively (diagnostic RR 5·13, 95% CI 2·93 to 9·43). Tuberculosis incidence over 15 months was 2·09 (95% CI 0·97 to 3·19) vs 0·80 (0·30 to 1·30) per 100 person years in RISK11-positive (3HP-negative) participants compare…","author":[{"dropping-particle":"","family":"Scriba","given":"Thomas J.","non-dropping-particle":"","parse-names":false,"suffix":""},{"dropping-particle":"","family":"Fiore-Gartland","given":"Andrew","non-dropping-particle":"","parse-names":false,"suffix":""},{"dropping-particle":"","family":"Penn-Nicholson","given":"Adam","non-dropping-particle":"","parse-names":false,"suffix":""},{"dropping-particle":"","family":"Mulenga","given":"Humphrey","non-dropping-particle":"","parse-names":false,"suffix":""},{"dropping-particle":"","family":"Kimbung Mbandi","given":"Stanley","non-dropping-particle":"","parse-names":false,"suffix":""},{"dropping-particle":"","family":"Borate","given":"Bhavesh","non-dropping-particle":"","parse-names":false,"suffix":""},{"dropping-particle":"","family":"Mendelsohn","given":"Simon C.","non-dropping-particle":"","parse-names":false,"suffix":""},{"dropping-particle":"","family":"Hadley","given":"Katie","non-dropping-particle":"","parse-names":false,"suffix":""},{"dropping-particle":"","family":"Hikuam","given":"Chris","non-dropping-particle":"","parse-names":false,"suffix":""},{"dropping-particle":"","family":"Kaskar","given":"Masooda","non-dropping-particle":"","parse-names":false,"suffix":""},{"dropping-particle":"","family":"Musvosvi","given":"Munyaradzi","non-dropping-particle":"","parse-names":false,"suffix":""},{"dropping-particle":"","family":"Bilek","given":"Nicole","non-dropping-particle":"","parse-names":false,"suffix":""},{"dropping-particle":"","family":"Self","given":"Steven","non-dropping-particle":"","parse-names":false,"suffix":""},{"dropping-particle":"","family":"Sumner","given":"Tom","non-dropping-particle":"","parse-names":false,"suffix":""},{"dropping-particle":"","family":"White","given":"Richard G.","non-dropping-particle":"","parse-names":false,"suffix":""},{"dropping-particle":"","family":"Erasmus","given":"Mzwandile","non-dropping-particle":"","parse-names":false,"suffix":""},{"dropping-particle":"","family":"Jaxa","given":"Lungisa","non-dropping-particle":"","parse-names":false,"suffix":""},{"dropping-particle":"","family":"Raphela","given":"Rodney","non-dropping-particle":"","parse-names":false,"suffix":""},{"dropping-particle":"","family":"Innes","given":"Craig","non-dropping-particle":"","parse-names":false,"suffix":""},{"dropping-particle":"","family":"Brumskine","given":"William","non-dropping-particle":"","parse-names":false,"suffix":""},{"dropping-particle":"","family":"Hiemstra","given":"Andriëtte","non-dropping-particle":"","parse-names":false,"suffix":""},{"dropping-particle":"","family":"Malherbe","given":"Stephanus T.","non-dropping-particle":"","parse-names":false,"suffix":""},{"dropping-particle":"","family":"Hassan-Moosa","given":"Razia","non-dropping-particle":"","parse-names":false,"suffix":""},{"dropping-particle":"","family":"Tameris","given":"Michèle","non-dropping-particle":"","parse-names":false,"suffix":""},{"dropping-particle":"","family":"Walzl","given":"Gerhard","non-dropping-particle":"","parse-names":false,"suffix":""},{"dropping-particle":"","family":"Naidoo","given":"Kogieleum","non-dropping-particle":"","parse-names":false,"suffix":""},{"dropping-particle":"","family":"Churchyard","given":"Gavin","non-dropping-particle":"","parse-names":false,"suffix":""},{"dropping-particle":"","family":"Hatherill","given":"Mark","non-dropping-particle":"","parse-names":false,"suffix":""},{"dropping-particle":"","family":"Baepanye","given":"Kesenogile","non-dropping-particle":"","parse-names":false,"suffix":""},{"dropping-particle":"","family":"Baepanye","given":"Tshepiso","non-dropping-particle":"","parse-names":false,"suffix":""},{"dropping-particle":"","family":"Clarke","given":"Ken","non-dropping-particle":"","parse-names":false,"suffix":""},{"dropping-particle":"","family":"Collignon","given":"Marelize","non-dropping-particle":"","parse-names":false,"suffix":""},{"dropping-particle":"","family":"Dlamini","given":"Audrey","non-dropping-particle":"","parse-names":false,"suffix":""},{"dropping-particle":"","family":"Eyre","given":"Candice","non-dropping-particle":"","parse-names":false,"suffix":""},{"dropping-particle":"","family":"Feni","given":"Tebogo","non-dropping-particle":"","parse-names":false,"suffix":""},{"dropping-particle":"","family":"Fikizolo","given":"Moogo","non-dropping-particle":"","parse-names":false,"suffix":""},{"dropping-particle":"","family":"Galane","given":"Phinda","non-dropping-particle":"","parse-names":false,"suffix":""},{"dropping-particle":"","family":"Goliath","given":"Thelma","non-dropping-particle":"","parse-names":false,"suffix":""},{"dropping-particle":"","family":"Gangat","given":"Alia","non-dropping-particle":"","parse-names":false,"suffix":""},{"dropping-particle":"","family":"Malefo-Grootboom","given":"Shirley","non-dropping-particle":"","parse-names":false,"suffix":""},{"dropping-particle":"","family":"Janse van Rensburg","given":"Elba","non-dropping-particle":"","parse-names":false,"suffix":""},{"dropping-particle":"","family":"Janse van Rensburg","given":"Bonita","non-dropping-particle":"","parse-names":false,"suffix":""},{"dropping-particle":"","family":"Kekana","given":"Sophy","non-dropping-particle":"","parse-names":false,"suffix":""},{"dropping-particle":"","family":"Zietsman","given":"Marietjie","non-dropping-particle":"","parse-names":false,"suffix":""},{"dropping-particle":"","family":"Kock","given":"Adrianne","non-dropping-particle":"","parse-names":false,"suffix":""},{"dropping-particle":"","family":"Kunene","given":"Israel","non-dropping-particle":"","parse-names":false,"suffix":""},{"dropping-particle":"","family":"Lakhi","given":"Aneessa","non-dropping-particle":"","parse-names":false,"suffix":""},{"dropping-particle":"","family":"Langa","given":"Nondumiso","non-dropping-particle":"","parse-names":false,"suffix":""},{"dropping-particle":"","family":"Ledwaba","given":"Hilda","non-dropping-particle":"","parse-names":false,"suffix":""},{"dropping-particle":"","family":"Luphoko","given":"Marillyn","non-dropping-particle":"","parse-names":false,"suffix":""},{"dropping-particle":"","family":"Mabasa","given":"Immaculate","non-dropping-particle":"","parse-names":false,"suffix":""},{"dropping-particle":"","family":"Mabe","given":"Dorah","non-dropping-particle":"","parse-names":false,"suffix":""},{"dropping-particle":"","family":"Mabuza","given":"Nkosinathi","non-dropping-particle":"","parse-names":false,"suffix":""},{"dropping-particle":"","family":"Majola","given":"Molly","non-dropping-particle":"","parse-names":false,"suffix":""},{"dropping-particle":"","family":"Makhetha","given":"Mantai","non-dropping-particle":"","parse-names":false,"suffix":""},{"dropping-particle":"","family":"Makoanyane","given":"Mpho","non-dropping-particle":"","parse-names":false,"suffix":""},{"dropping-particle":"","family":"Makhubalo","given":"Blossom","non-dropping-particle":"","parse-names":false,"suffix":""},{"dropping-particle":"","family":"Malay","given":"Vernon","non-dropping-particle":"","parse-names":false,"suffix":""},{"dropping-particle":"","family":"Market","given":"Juanita","non-dropping-particle":"","parse-names":false,"suffix":""},{"dropping-particle":"","family":"Matshego","given":"Selvy","non-dropping-particle":"","parse-names":false,"suffix":""},{"dropping-particle":"","family":"Mbipa","given":"Nontsikelelo","non-dropping-particle":"","parse-names":false,"suffix":""},{"dropping-particle":"","family":"Mmotsa","given":"Tsiamo","non-dropping-particle":"","parse-names":false,"suffix":""},{"dropping-particle":"","family":"Modipa","given":"Sylvester","non-dropping-particle":"","parse-names":false,"suffix":""},{"dropping-particle":"","family":"Mopati","given":"Samuel","non-dropping-particle":"","parse-names":false,"suffix":""},{"dropping-particle":"","family":"Moswegu","given":"Palesa","non-dropping-particle":"","parse-names":false,"suffix":""},{"dropping-particle":"","family":"Mothaga","given":"Primrose","non-dropping-particle":"","parse-names":false,"suffix":""},{"dropping-particle":"","family":"Muller","given":"Dorothy","non-dropping-particle":"","parse-names":false,"suffix":""},{"dropping-particle":"","family":"Nchwe","given":"Grace","non-dropping-particle":"","parse-names":false,"suffix":""},{"dropping-particle":"","family":"Nel","given":"Maryna","non-dropping-particle":"","parse-names":false,"suffix":""},{"dropping-particle":"","family":"Nhlangulela","given":"Lindiwe","non-dropping-particle":"","parse-names":false,"suffix":""},{"dropping-particle":"","family":"Ntamo","given":"Bantubonke","non-dropping-particle":"","parse-names":false,"suffix":""},{"dropping-particle":"","family":"Ntoahae","given":"Lawerence","non-dropping-particle":"","parse-names":false,"suffix":""},{"dropping-particle":"","family":"Ntshauba","given":"Tedrius","non-dropping-particle":"","parse-names":false,"suffix":""},{"dropping-particle":"","family":"Sanyaka","given":"Nomsa","non-dropping-particle":"","parse-names":false,"suffix":""},{"dropping-particle":"","family":"Seabela","given":"Letlhogonolo","non-dropping-particle":"","parse-names":false,"suffix":""},{"dropping-particle":"","family":"Selepe","given":"Pearl","non-dropping-particle":"","parse-names":false,"suffix":""},{"dropping-particle":"","family":"Senne","given":"Melissa","non-dropping-particle":"","parse-names":false,"suffix":""},{"dropping-particle":"","family":"Serake","given":"M. G.","non-dropping-particle":"","parse-names":false,"suffix":""},{"dropping-particle":"","family":"Thlapi","given":"Maria","non-dropping-particle":"","parse-names":false,"suffix":""},{"dropping-particle":"","family":"Tshikovhi","given":"Vincent","non-dropping-particle":"","parse-names":false,"suffix":""},{"dropping-particle":"","family":"Tswaile","given":"Lebogang","non-dropping-particle":"","parse-names":false,"suffix":""},{"dropping-particle":"","family":"Aswegen","given":"Amanda","non-dropping-particle":"van","parse-names":false,"suffix":""},{"dropping-particle":"","family":"Mbata","given":"Lungile","non-dropping-particle":"","parse-names":false,"suffix":""},{"dropping-particle":"","family":"Takavamanya","given":"Constance","non-dropping-particle":"","parse-names":false,"suffix":""},{"dropping-particle":"","family":"Pinho","given":"Pedro","non-dropping-particle":"","parse-names":false,"suffix":""},{"dropping-particle":"","family":"Mdlulu","given":"John","non-dropping-particle":"","parse-names":false,"suffix":""},{"dropping-particle":"","family":"Taljaard","given":"Marthinette","non-dropping-particle":"","parse-names":false,"suffix":""},{"dropping-particle":"","family":"Slabbert","given":"Naydene","non-dropping-particle":"","parse-names":false,"suffix":""},{"dropping-particle":"","family":"Sayed","given":"Sharfuddin","non-dropping-particle":"","parse-names":false,"suffix":""},{"dropping-particle":"","family":"Nielson","given":"Tanya","non-dropping-particle":"","parse-names":false,"suffix":""},{"dropping-particle":"","family":"Ni Sein","given":"Ni","non-dropping-particle":"","parse-names":false,"suffix":""},{"dropping-particle":"","family":"Govender","given":"Dhineshree","non-dropping-particle":"","parse-names":false,"suffix":""},{"dropping-particle":"","family":"Chinappa","given":"Tilagavathy","non-dropping-particle":"","parse-names":false,"suffix":""},{"dropping-particle":"","family":"Zulu","given":"Mbali Ignatia","non-dropping-particle":"","parse-names":false,"suffix":""},{"dropping-particle":"","family":"Maphanga","given":"Nonhle Bridgette","non-dropping-particle":"","parse-names":false,"suffix":""},{"dropping-particle":"","family":"Hlathi","given":"Senzo Ralph","non-dropping-particle":"","parse-names":false,"suffix":""},{"dropping-particle":"","family":"Gumede","given":"Goodness Khanyisile","non-dropping-particle":"","parse-names":false,"suffix":""},{"dropping-particle":"","family":"Shezi","given":"Thandiwe Yvonne","non-dropping-particle":"","parse-names":false,"suffix":""},{"dropping-particle":"","family":"Maphanga","given":"Jabulisiwe Lethabo","non-dropping-particle":"","parse-names":false,"suffix":""},{"dropping-particle":"","family":"Jali","given":"Zandile Patrica","non-dropping-particle":"","parse-names":false,"suffix":""},{"dropping-particle":"","family":"Cwele","given":"Thobelani","non-dropping-particle":"","parse-names":false,"suffix":""},{"dropping-particle":"","family":"Gwamanda","given":"Nonhlanhla Zanele Elsie","non-dropping-particle":"","parse-names":false,"suffix":""},{"dropping-particle":"","family":"Dlamini","given":"Celaphiwe","non-dropping-particle":"","parse-names":false,"suffix":""},{"dropping-particle":"","family":"Sing","given":"Zibuyile Phindile Penlee","non-dropping-particle":"","parse-names":false,"suffix":""},{"dropping-particle":"","family":"Ntanjana","given":"Ntombozuko Gloria","non-dropping-particle":"","parse-names":false,"suffix":""},{"dropping-particle":"","family":"Nzimande","given":"Sphelele Simo","non-dropping-particle":"","parse-names":false,"suffix":""},{"dropping-particle":"","family":"Mbatha","given":"Siyabonga","non-dropping-particle":"","parse-names":false,"suffix":""},{"dropping-particle":"","family":"Maharaj","given":"Bhavna","non-dropping-particle":"","parse-names":false,"suffix":""},{"dropping-particle":"","family":"Moosa","given":"Atika","non-dropping-particle":"","parse-names":false,"suffix":""},{"dropping-particle":"","family":"Corris","given":"Cara Mia","non-dropping-particle":"","parse-names":false,"suffix":""},{"dropping-particle":"","family":"Kafaar","given":"Fazlin","non-dropping-particle":"","parse-names":false,"suffix":""},{"dropping-particle":"","family":"Geldenhuys","given":"Hennie","non-dropping-particle":"","parse-names":false,"suffix":""},{"dropping-particle":"","family":"Luabeya","given":"Angelique Kany Kany","non-dropping-particle":"","parse-names":false,"suffix":""},{"dropping-particle":"","family":"Shenje","given":"Justin","non-dropping-particle":"","parse-names":false,"suffix":""},{"dropping-particle":"","family":"Botes","given":"Natasja","non-dropping-particle":"","parse-names":false,"suffix":""},{"dropping-particle":"","family":"Rossouw","given":"Susan","non-dropping-particle":"","parse-names":false,"suffix":""},{"dropping-particle":"","family":"Africa","given":"Hadn","non-dropping-particle":"","parse-names":false,"suffix":""},{"dropping-particle":"","family":"Diamond","given":"Bongani","non-dropping-particle":"","parse-names":false,"suffix":""},{"dropping-particle":"","family":"Braaf","given":"Samentra","non-dropping-particle":"","parse-names":false,"suffix":""},{"dropping-particle":"","family":"Stryers","given":"Sonia","non-dropping-particle":"","parse-names":false,"suffix":""},{"dropping-particle":"","family":"Carstens","given":"Alida","non-dropping-particle":"","parse-names":false,"suffix":""},{"dropping-particle":"","family":"Jansen","given":"Ruwiyda","non-dropping-particle":"","parse-names":false,"suffix":""},{"dropping-particle":"","family":"Mabwe","given":"Simbarashe","non-dropping-particle":"","parse-names":false,"suffix":""},{"dropping-particle":"","family":"Herling","given":"Roxane","non-dropping-particle":"","parse-names":false,"suffix":""},{"dropping-particle":"","family":"Veldsman","given":"Ashley","non-dropping-particle":"","parse-names":false,"suffix":""},{"dropping-particle":"","family":"Makhete","given":"Lebohgang","non-dropping-particle":"","parse-names":false,"suffix":""},{"dropping-particle":"","family":"Steyn","given":"Marcia","non-dropping-particle":"","parse-names":false,"suffix":""},{"dropping-particle":"","family":"Buhlungu","given":"Sivuyile","non-dropping-particle":"","parse-names":false,"suffix":""},{"dropping-particle":"","family":"Erasmus","given":"Margareth","non-dropping-particle":"","parse-names":false,"suffix":""},{"dropping-particle":"","family":"Davids","given":"Ilse","non-dropping-particle":"","parse-names":false,"suffix":""},{"dropping-particle":"","family":"Plaatjie","given":"Patiswa","non-dropping-particle":"","parse-names":false,"suffix":""},{"dropping-particle":"","family":"Companie","given":"Alessandro","non-dropping-particle":"","parse-names":false,"suffix":""},{"dropping-particle":"","family":"Ratangee","given":"Frances","non-dropping-particle":"","parse-names":false,"suffix":""},{"dropping-particle":"","family":"Veldtsman","given":"Helen","non-dropping-particle":"","parse-names":false,"suffix":""},{"dropping-particle":"","family":"Petersen","given":"Christel","non-dropping-particle":"","parse-names":false,"suffix":""},{"dropping-particle":"","family":"Abrahams","given":"Charmaine","non-dropping-particle":"","parse-names":false,"suffix":""},{"dropping-particle":"","family":"Moses","given":"Miriam","non-dropping-particle":"","parse-names":false,"suffix":""},{"dropping-particle":"","family":"Kelepu","given":"Xoliswa","non-dropping-particle":"","parse-names":false,"suffix":""},{"dropping-particle":"","family":"Gregg","given":"Yolande","non-dropping-particle":"","parse-names":false,"suffix":""},{"dropping-particle":"","family":"Swanepoel","given":"Liticia","non-dropping-particle":"","parse-names":false,"suffix":""},{"dropping-particle":"","family":"Magawu","given":"Nomsitho","non-dropping-particle":"","parse-names":false,"suffix":""},{"dropping-particle":"","family":"Cetywayo","given":"Nompumelelo","non-dropping-particle":"","parse-names":false,"suffix":""},{"dropping-particle":"","family":"Mactavie","given":"Lauren","non-dropping-particle":"","parse-names":false,"suffix":""},{"dropping-particle":"","family":"Valley","given":"Habibullah","non-dropping-particle":"","parse-names":false,"suffix":""},{"dropping-particle":"","family":"Filander","given":"Elizabeth","non-dropping-particle":"","parse-names":false,"suffix":""},{"dropping-particle":"","family":"Nqakala","given":"Nambitha","non-dropping-particle":"","parse-names":false,"suffix":""},{"dropping-particle":"","family":"Maasdorp","given":"Elizna","non-dropping-particle":"","parse-names":false,"suffix":""},{"dropping-particle":"","family":"Khoury","given":"Justine","non-dropping-particle":"","parse-names":false,"suffix":""},{"dropping-particle":"","family":"Kriel","given":"Belinda","non-dropping-particle":"","parse-names":false,"suffix":""},{"dropping-particle":"","family":"Smith","given":"Bronwyn","non-dropping-particle":"","parse-names":false,"suffix":""},{"dropping-particle":"","family":"Muller","given":"Liesel","non-dropping-particle":"","parse-names":false,"suffix":""},{"dropping-particle":"","family":"Tonsing","given":"Susanne","non-dropping-particle":"","parse-names":false,"suffix":""},{"dropping-particle":"","family":"Loxton","given":"Andre","non-dropping-particle":"","parse-names":false,"suffix":""},{"dropping-particle":"","family":"Hiemstra","given":"Andriette","non-dropping-particle":"","parse-names":false,"suffix":""},{"dropping-particle":"","family":"Ahlers","given":"Petri","non-dropping-particle":"","parse-names":false,"suffix":""},{"dropping-particle":"","family":"Flinn","given":"Marika","non-dropping-particle":"","parse-names":false,"suffix":""},{"dropping-particle":"","family":"Chung","given":"Eva","non-dropping-particle":"","parse-names":false,"suffix":""},{"dropping-particle":"","family":"Chung","given":"Michelle","non-dropping-particle":"","parse-names":false,"suffix":""},{"dropping-particle":"","family":"Sato","given":"Alicia","non-dropping-particle":"","parse-names":false,"suffix":""}],"container-title":"The Lancet Infectious Diseases","id":"ITEM-1","issue":"3","issued":{"date-parts":[["2021"]]},"page":"354-365","title":"Biomarker-guided tuberculosis preventive therapy (CORTIS): a randomised controlled trial","type":"article-journal","volume":"21"},"uris":["http://www.mendeley.com/documents/?uuid=7f82fc17-a5b7-48ae-af4e-90064a726b6b"]}],"mendeley":{"formattedCitation":"(9)","plainTextFormattedCitation":"(9)","previouslyFormattedCitation":"(9)"},"properties":{"noteIndex":0},"schema":"https://github.com/citation-style-language/schema/raw/master/csl-citation.json"}</w:instrText>
      </w:r>
      <w:r w:rsidR="0007426B" w:rsidRPr="00435469">
        <w:rPr>
          <w:rFonts w:cs="Times New Roman"/>
          <w:sz w:val="20"/>
          <w:szCs w:val="20"/>
        </w:rPr>
        <w:fldChar w:fldCharType="separate"/>
      </w:r>
      <w:r w:rsidR="0063047A" w:rsidRPr="00435469">
        <w:rPr>
          <w:rFonts w:cs="Times New Roman"/>
          <w:noProof/>
          <w:sz w:val="20"/>
          <w:szCs w:val="20"/>
        </w:rPr>
        <w:t>(9)</w:t>
      </w:r>
      <w:r w:rsidR="0007426B" w:rsidRPr="00435469">
        <w:rPr>
          <w:rFonts w:cs="Times New Roman"/>
          <w:sz w:val="20"/>
          <w:szCs w:val="20"/>
        </w:rPr>
        <w:fldChar w:fldCharType="end"/>
      </w:r>
      <w:r w:rsidRPr="00435469">
        <w:rPr>
          <w:rFonts w:eastAsia="Times New Roman" w:cs="Times New Roman"/>
          <w:sz w:val="20"/>
          <w:szCs w:val="20"/>
          <w:shd w:val="clear" w:color="auto" w:fill="FFFFFF"/>
          <w:lang w:eastAsia="en-GB"/>
        </w:rPr>
        <w:t xml:space="preserve">. However, we note that the relatively low sensitivity of IGRAs implies a high likelihood of missing true IGRA positives. </w:t>
      </w:r>
      <w:r w:rsidRPr="00435469">
        <w:rPr>
          <w:rFonts w:cs="Times New Roman"/>
          <w:sz w:val="20"/>
          <w:szCs w:val="20"/>
        </w:rPr>
        <w:t xml:space="preserve">Therefore, to approximate the proportion of true LTBI individuals given these imperfect diagnostic tools and the lack of a gold </w:t>
      </w:r>
      <w:r w:rsidR="009635D5" w:rsidRPr="00435469">
        <w:rPr>
          <w:rFonts w:cs="Times New Roman"/>
          <w:sz w:val="20"/>
          <w:szCs w:val="20"/>
        </w:rPr>
        <w:t xml:space="preserve">standard </w:t>
      </w:r>
      <w:r w:rsidRPr="00435469">
        <w:rPr>
          <w:rFonts w:cs="Times New Roman"/>
          <w:sz w:val="20"/>
          <w:szCs w:val="20"/>
        </w:rPr>
        <w:t xml:space="preserve">test for latent infection, we adjust the given prevalence using the </w:t>
      </w:r>
      <w:r w:rsidRPr="00435469">
        <w:rPr>
          <w:rFonts w:eastAsiaTheme="minorEastAsia" w:cs="Times New Roman"/>
          <w:iCs/>
          <w:sz w:val="20"/>
          <w:szCs w:val="20"/>
          <w:lang w:eastAsia="en-ZA"/>
        </w:rPr>
        <w:t xml:space="preserve">sensitivity and specificity of QuantiFERON-TB Gold. </w:t>
      </w:r>
      <w:r w:rsidR="001A342A" w:rsidRPr="00435469">
        <w:rPr>
          <w:rFonts w:eastAsiaTheme="minorEastAsia" w:cs="Times New Roman"/>
          <w:iCs/>
          <w:sz w:val="20"/>
          <w:szCs w:val="20"/>
          <w:lang w:eastAsia="en-ZA"/>
        </w:rPr>
        <w:t xml:space="preserve"> </w:t>
      </w:r>
    </w:p>
    <w:p w14:paraId="144C395C" w14:textId="3C88ADE7" w:rsidR="00D81E8E" w:rsidRPr="00435469" w:rsidRDefault="00D81E8E" w:rsidP="00AD6E54">
      <w:pPr>
        <w:pStyle w:val="3TableHead"/>
      </w:pPr>
      <w:bookmarkStart w:id="13" w:name="_Ref80370233"/>
      <w:bookmarkStart w:id="14" w:name="_Toc87863394"/>
      <w:bookmarkStart w:id="15" w:name="_Toc103253655"/>
      <w:r w:rsidRPr="00435469">
        <w:t xml:space="preserve">Table </w:t>
      </w:r>
      <w:r w:rsidR="00AB530B" w:rsidRPr="00435469">
        <w:fldChar w:fldCharType="begin"/>
      </w:r>
      <w:r w:rsidR="00AB530B" w:rsidRPr="00435469">
        <w:instrText xml:space="preserve"> SEQ Table \* ARABIC </w:instrText>
      </w:r>
      <w:r w:rsidR="00AB530B" w:rsidRPr="00435469">
        <w:fldChar w:fldCharType="separate"/>
      </w:r>
      <w:r w:rsidR="00186C2F" w:rsidRPr="00435469">
        <w:rPr>
          <w:noProof/>
        </w:rPr>
        <w:t>2</w:t>
      </w:r>
      <w:r w:rsidR="00AB530B" w:rsidRPr="00435469">
        <w:rPr>
          <w:noProof/>
        </w:rPr>
        <w:fldChar w:fldCharType="end"/>
      </w:r>
      <w:bookmarkEnd w:id="13"/>
      <w:r w:rsidRPr="00435469">
        <w:t>: Latent tuberculosis prevalence in HIV-negative individuals</w:t>
      </w:r>
      <w:bookmarkEnd w:id="14"/>
      <w:bookmarkEnd w:id="15"/>
      <w:r w:rsidRPr="00435469">
        <w:t xml:space="preserve"> </w:t>
      </w:r>
    </w:p>
    <w:tbl>
      <w:tblPr>
        <w:tblW w:w="9107" w:type="dxa"/>
        <w:tblLook w:val="04A0" w:firstRow="1" w:lastRow="0" w:firstColumn="1" w:lastColumn="0" w:noHBand="0" w:noVBand="1"/>
      </w:tblPr>
      <w:tblGrid>
        <w:gridCol w:w="2604"/>
        <w:gridCol w:w="1625"/>
        <w:gridCol w:w="2827"/>
        <w:gridCol w:w="2051"/>
      </w:tblGrid>
      <w:tr w:rsidR="00304411" w:rsidRPr="00435469" w14:paraId="681E7DF9" w14:textId="77777777" w:rsidTr="009735F0">
        <w:trPr>
          <w:trHeight w:val="164"/>
        </w:trPr>
        <w:tc>
          <w:tcPr>
            <w:tcW w:w="2604" w:type="dxa"/>
            <w:tcBorders>
              <w:top w:val="single" w:sz="4" w:space="0" w:color="auto"/>
              <w:left w:val="nil"/>
              <w:bottom w:val="single" w:sz="4" w:space="0" w:color="auto"/>
              <w:right w:val="nil"/>
            </w:tcBorders>
            <w:shd w:val="clear" w:color="auto" w:fill="auto"/>
            <w:noWrap/>
            <w:vAlign w:val="bottom"/>
            <w:hideMark/>
          </w:tcPr>
          <w:p w14:paraId="4B412D2D" w14:textId="77777777" w:rsidR="00D81E8E" w:rsidRPr="00435469" w:rsidRDefault="00D81E8E" w:rsidP="00AD6E54">
            <w:pPr>
              <w:pStyle w:val="3TableDatapacked"/>
              <w:framePr w:wrap="around"/>
            </w:pPr>
            <w:r w:rsidRPr="00435469">
              <w:t>Age Group</w:t>
            </w:r>
          </w:p>
        </w:tc>
        <w:tc>
          <w:tcPr>
            <w:tcW w:w="1625" w:type="dxa"/>
            <w:tcBorders>
              <w:top w:val="single" w:sz="4" w:space="0" w:color="auto"/>
              <w:left w:val="nil"/>
              <w:bottom w:val="single" w:sz="4" w:space="0" w:color="auto"/>
              <w:right w:val="nil"/>
            </w:tcBorders>
            <w:shd w:val="clear" w:color="auto" w:fill="auto"/>
            <w:noWrap/>
            <w:vAlign w:val="bottom"/>
            <w:hideMark/>
          </w:tcPr>
          <w:p w14:paraId="1E6EFE60" w14:textId="77777777" w:rsidR="00D81E8E" w:rsidRPr="00435469" w:rsidRDefault="00D81E8E" w:rsidP="00AD6E54">
            <w:pPr>
              <w:pStyle w:val="3TableDatapacked"/>
              <w:framePr w:wrap="around"/>
            </w:pPr>
            <w:r w:rsidRPr="00435469">
              <w:t>N</w:t>
            </w:r>
          </w:p>
        </w:tc>
        <w:tc>
          <w:tcPr>
            <w:tcW w:w="2827" w:type="dxa"/>
            <w:tcBorders>
              <w:top w:val="single" w:sz="4" w:space="0" w:color="auto"/>
              <w:left w:val="nil"/>
              <w:bottom w:val="single" w:sz="4" w:space="0" w:color="auto"/>
              <w:right w:val="nil"/>
            </w:tcBorders>
            <w:shd w:val="clear" w:color="auto" w:fill="auto"/>
            <w:noWrap/>
            <w:vAlign w:val="bottom"/>
            <w:hideMark/>
          </w:tcPr>
          <w:p w14:paraId="2321795A" w14:textId="77777777" w:rsidR="00D81E8E" w:rsidRPr="00435469" w:rsidRDefault="00D81E8E" w:rsidP="00AD6E54">
            <w:pPr>
              <w:pStyle w:val="3TableDatapacked"/>
              <w:framePr w:wrap="around"/>
            </w:pPr>
            <w:r w:rsidRPr="00435469">
              <w:t>Unadjusted IGRA+ prevalence</w:t>
            </w:r>
          </w:p>
          <w:p w14:paraId="56392851" w14:textId="33F081F7" w:rsidR="00D81E8E" w:rsidRPr="00435469" w:rsidRDefault="00000000" w:rsidP="00AD6E54">
            <w:pPr>
              <w:pStyle w:val="3TableDatapacked"/>
              <w:framePr w:wrap="around"/>
            </w:pPr>
            <m:oMath>
              <m:sSub>
                <m:sSubPr>
                  <m:ctrlPr>
                    <w:rPr>
                      <w:rFonts w:ascii="Cambria Math" w:hAnsi="Cambria Math"/>
                    </w:rPr>
                  </m:ctrlPr>
                </m:sSubPr>
                <m:e>
                  <m:r>
                    <m:rPr>
                      <m:sty m:val="bi"/>
                    </m:rPr>
                    <w:rPr>
                      <w:rFonts w:ascii="Cambria Math" w:hAnsi="Cambria Math"/>
                    </w:rPr>
                    <m:t>p</m:t>
                  </m:r>
                </m:e>
                <m:sub>
                  <m:r>
                    <m:rPr>
                      <m:sty m:val="b"/>
                    </m:rPr>
                    <w:rPr>
                      <w:rFonts w:ascii="Cambria Math" w:hAnsi="Cambria Math"/>
                    </w:rPr>
                    <m:t>1</m:t>
                  </m:r>
                </m:sub>
              </m:sSub>
            </m:oMath>
            <w:r w:rsidR="008B685F" w:rsidRPr="00435469">
              <w:t xml:space="preserve"> </w:t>
            </w:r>
          </w:p>
        </w:tc>
        <w:tc>
          <w:tcPr>
            <w:tcW w:w="2051" w:type="dxa"/>
            <w:tcBorders>
              <w:top w:val="single" w:sz="4" w:space="0" w:color="auto"/>
              <w:left w:val="nil"/>
              <w:bottom w:val="single" w:sz="4" w:space="0" w:color="auto"/>
              <w:right w:val="nil"/>
            </w:tcBorders>
          </w:tcPr>
          <w:p w14:paraId="69CC9539" w14:textId="77777777" w:rsidR="00D81E8E" w:rsidRPr="00435469" w:rsidRDefault="00D81E8E" w:rsidP="00AD6E54">
            <w:pPr>
              <w:pStyle w:val="3TableDatapacked"/>
              <w:framePr w:wrap="around"/>
            </w:pPr>
            <w:r w:rsidRPr="00435469">
              <w:t>Adjusted prevalence</w:t>
            </w:r>
          </w:p>
          <w:p w14:paraId="688597D4" w14:textId="2CB6A9DD" w:rsidR="00D81E8E" w:rsidRPr="00435469" w:rsidRDefault="00000000" w:rsidP="00AD6E54">
            <w:pPr>
              <w:pStyle w:val="3TableDatapacked"/>
              <w:framePr w:wrap="around"/>
            </w:pPr>
            <m:oMath>
              <m:sSub>
                <m:sSubPr>
                  <m:ctrlPr>
                    <w:rPr>
                      <w:rFonts w:ascii="Cambria Math" w:hAnsi="Cambria Math"/>
                    </w:rPr>
                  </m:ctrlPr>
                </m:sSubPr>
                <m:e>
                  <m:r>
                    <m:rPr>
                      <m:sty m:val="bi"/>
                    </m:rPr>
                    <w:rPr>
                      <w:rFonts w:ascii="Cambria Math" w:hAnsi="Cambria Math"/>
                    </w:rPr>
                    <m:t>p</m:t>
                  </m:r>
                </m:e>
                <m:sub>
                  <m:r>
                    <m:rPr>
                      <m:sty m:val="b"/>
                    </m:rPr>
                    <w:rPr>
                      <w:rFonts w:ascii="Cambria Math" w:hAnsi="Cambria Math"/>
                    </w:rPr>
                    <m:t>2</m:t>
                  </m:r>
                </m:sub>
              </m:sSub>
            </m:oMath>
            <w:r w:rsidR="008B685F" w:rsidRPr="00435469">
              <w:t xml:space="preserve"> </w:t>
            </w:r>
          </w:p>
        </w:tc>
      </w:tr>
      <w:tr w:rsidR="00304411" w:rsidRPr="00435469" w14:paraId="1EE4D87A" w14:textId="77777777" w:rsidTr="009735F0">
        <w:trPr>
          <w:trHeight w:val="164"/>
        </w:trPr>
        <w:tc>
          <w:tcPr>
            <w:tcW w:w="2604" w:type="dxa"/>
            <w:tcBorders>
              <w:top w:val="single" w:sz="4" w:space="0" w:color="auto"/>
              <w:left w:val="nil"/>
              <w:bottom w:val="nil"/>
            </w:tcBorders>
            <w:shd w:val="clear" w:color="auto" w:fill="auto"/>
            <w:noWrap/>
            <w:vAlign w:val="bottom"/>
            <w:hideMark/>
          </w:tcPr>
          <w:p w14:paraId="74D3B11D" w14:textId="7BFFCCF5" w:rsidR="00D81E8E" w:rsidRPr="00435469" w:rsidRDefault="00D81E8E" w:rsidP="00AD6E54">
            <w:pPr>
              <w:pStyle w:val="3TableDatapacked"/>
              <w:framePr w:wrap="around"/>
            </w:pPr>
          </w:p>
        </w:tc>
        <w:tc>
          <w:tcPr>
            <w:tcW w:w="1625" w:type="dxa"/>
            <w:tcBorders>
              <w:top w:val="single" w:sz="4" w:space="0" w:color="auto"/>
              <w:bottom w:val="nil"/>
            </w:tcBorders>
            <w:shd w:val="clear" w:color="auto" w:fill="auto"/>
            <w:noWrap/>
            <w:vAlign w:val="bottom"/>
            <w:hideMark/>
          </w:tcPr>
          <w:p w14:paraId="783EA8CE" w14:textId="77777777" w:rsidR="00D81E8E" w:rsidRPr="00435469" w:rsidRDefault="00D81E8E" w:rsidP="00AD6E54">
            <w:pPr>
              <w:pStyle w:val="3TableDatapacked"/>
              <w:framePr w:wrap="around"/>
            </w:pPr>
          </w:p>
        </w:tc>
        <w:tc>
          <w:tcPr>
            <w:tcW w:w="2827" w:type="dxa"/>
            <w:tcBorders>
              <w:top w:val="single" w:sz="4" w:space="0" w:color="auto"/>
              <w:bottom w:val="nil"/>
            </w:tcBorders>
            <w:shd w:val="clear" w:color="auto" w:fill="auto"/>
            <w:noWrap/>
            <w:vAlign w:val="bottom"/>
            <w:hideMark/>
          </w:tcPr>
          <w:p w14:paraId="16DEF008" w14:textId="77777777" w:rsidR="00D81E8E" w:rsidRPr="00435469" w:rsidRDefault="00D81E8E" w:rsidP="00AD6E54">
            <w:pPr>
              <w:pStyle w:val="3TableDatapacked"/>
              <w:framePr w:wrap="around"/>
            </w:pPr>
          </w:p>
        </w:tc>
        <w:tc>
          <w:tcPr>
            <w:tcW w:w="2051" w:type="dxa"/>
            <w:tcBorders>
              <w:top w:val="single" w:sz="4" w:space="0" w:color="auto"/>
              <w:bottom w:val="nil"/>
            </w:tcBorders>
          </w:tcPr>
          <w:p w14:paraId="01AB2CDD" w14:textId="77777777" w:rsidR="00D81E8E" w:rsidRPr="00435469" w:rsidRDefault="00D81E8E" w:rsidP="00AD6E54">
            <w:pPr>
              <w:pStyle w:val="3TableDatapacked"/>
              <w:framePr w:wrap="around"/>
            </w:pPr>
          </w:p>
        </w:tc>
      </w:tr>
      <w:tr w:rsidR="00304411" w:rsidRPr="00435469" w14:paraId="417CF425" w14:textId="77777777" w:rsidTr="009735F0">
        <w:trPr>
          <w:trHeight w:val="164"/>
        </w:trPr>
        <w:tc>
          <w:tcPr>
            <w:tcW w:w="2604" w:type="dxa"/>
            <w:tcBorders>
              <w:top w:val="nil"/>
              <w:left w:val="nil"/>
              <w:bottom w:val="nil"/>
            </w:tcBorders>
            <w:shd w:val="clear" w:color="auto" w:fill="auto"/>
            <w:noWrap/>
            <w:vAlign w:val="bottom"/>
            <w:hideMark/>
          </w:tcPr>
          <w:p w14:paraId="4C519105" w14:textId="77777777" w:rsidR="00D81E8E" w:rsidRPr="00435469" w:rsidRDefault="00D81E8E" w:rsidP="00AD6E54">
            <w:pPr>
              <w:pStyle w:val="3TableDatapacked"/>
              <w:framePr w:wrap="around"/>
            </w:pPr>
            <w:r w:rsidRPr="00435469">
              <w:t>15-24</w:t>
            </w:r>
          </w:p>
        </w:tc>
        <w:tc>
          <w:tcPr>
            <w:tcW w:w="1625" w:type="dxa"/>
            <w:tcBorders>
              <w:top w:val="nil"/>
              <w:bottom w:val="nil"/>
            </w:tcBorders>
            <w:shd w:val="clear" w:color="auto" w:fill="auto"/>
            <w:noWrap/>
            <w:vAlign w:val="bottom"/>
            <w:hideMark/>
          </w:tcPr>
          <w:p w14:paraId="70354F58" w14:textId="77777777" w:rsidR="00D81E8E" w:rsidRPr="00435469" w:rsidRDefault="00D81E8E" w:rsidP="00AD6E54">
            <w:pPr>
              <w:pStyle w:val="3TableDatapacked"/>
              <w:framePr w:wrap="around"/>
            </w:pPr>
            <w:r w:rsidRPr="00435469">
              <w:t>1249</w:t>
            </w:r>
          </w:p>
        </w:tc>
        <w:tc>
          <w:tcPr>
            <w:tcW w:w="2827" w:type="dxa"/>
            <w:tcBorders>
              <w:top w:val="nil"/>
              <w:bottom w:val="nil"/>
            </w:tcBorders>
            <w:shd w:val="clear" w:color="auto" w:fill="auto"/>
            <w:noWrap/>
            <w:vAlign w:val="bottom"/>
            <w:hideMark/>
          </w:tcPr>
          <w:p w14:paraId="4831DDB3" w14:textId="77777777" w:rsidR="00D81E8E" w:rsidRPr="00435469" w:rsidRDefault="00D81E8E" w:rsidP="00AD6E54">
            <w:pPr>
              <w:pStyle w:val="3TableDatapacked"/>
              <w:framePr w:wrap="around"/>
            </w:pPr>
            <w:r w:rsidRPr="00435469">
              <w:t>703 (56.3)</w:t>
            </w:r>
          </w:p>
        </w:tc>
        <w:tc>
          <w:tcPr>
            <w:tcW w:w="2051" w:type="dxa"/>
            <w:tcBorders>
              <w:top w:val="nil"/>
              <w:bottom w:val="nil"/>
            </w:tcBorders>
          </w:tcPr>
          <w:p w14:paraId="3C130A3F" w14:textId="77777777" w:rsidR="00D81E8E" w:rsidRPr="00435469" w:rsidRDefault="00D81E8E" w:rsidP="00AD6E54">
            <w:pPr>
              <w:pStyle w:val="3TableDatapacked"/>
              <w:framePr w:wrap="around"/>
            </w:pPr>
            <w:r w:rsidRPr="00435469">
              <w:t>70.7</w:t>
            </w:r>
          </w:p>
        </w:tc>
      </w:tr>
      <w:tr w:rsidR="00304411" w:rsidRPr="00435469" w14:paraId="5BD394F0" w14:textId="77777777" w:rsidTr="009735F0">
        <w:trPr>
          <w:trHeight w:val="164"/>
        </w:trPr>
        <w:tc>
          <w:tcPr>
            <w:tcW w:w="2604" w:type="dxa"/>
            <w:tcBorders>
              <w:top w:val="nil"/>
              <w:left w:val="nil"/>
              <w:bottom w:val="nil"/>
            </w:tcBorders>
            <w:shd w:val="clear" w:color="auto" w:fill="auto"/>
            <w:noWrap/>
            <w:vAlign w:val="bottom"/>
            <w:hideMark/>
          </w:tcPr>
          <w:p w14:paraId="71AF0070" w14:textId="77777777" w:rsidR="00D81E8E" w:rsidRPr="00435469" w:rsidRDefault="00D81E8E" w:rsidP="00AD6E54">
            <w:pPr>
              <w:pStyle w:val="3TableDatapacked"/>
              <w:framePr w:wrap="around"/>
            </w:pPr>
            <w:r w:rsidRPr="00435469">
              <w:t>25-34</w:t>
            </w:r>
          </w:p>
        </w:tc>
        <w:tc>
          <w:tcPr>
            <w:tcW w:w="1625" w:type="dxa"/>
            <w:tcBorders>
              <w:top w:val="nil"/>
              <w:bottom w:val="nil"/>
            </w:tcBorders>
            <w:shd w:val="clear" w:color="auto" w:fill="auto"/>
            <w:noWrap/>
            <w:vAlign w:val="bottom"/>
            <w:hideMark/>
          </w:tcPr>
          <w:p w14:paraId="61B0B016" w14:textId="77777777" w:rsidR="00D81E8E" w:rsidRPr="00435469" w:rsidRDefault="00D81E8E" w:rsidP="00AD6E54">
            <w:pPr>
              <w:pStyle w:val="3TableDatapacked"/>
              <w:framePr w:wrap="around"/>
            </w:pPr>
            <w:r w:rsidRPr="00435469">
              <w:t>1062</w:t>
            </w:r>
          </w:p>
        </w:tc>
        <w:tc>
          <w:tcPr>
            <w:tcW w:w="2827" w:type="dxa"/>
            <w:tcBorders>
              <w:top w:val="nil"/>
              <w:bottom w:val="nil"/>
            </w:tcBorders>
            <w:shd w:val="clear" w:color="auto" w:fill="auto"/>
            <w:noWrap/>
            <w:vAlign w:val="bottom"/>
            <w:hideMark/>
          </w:tcPr>
          <w:p w14:paraId="52602F4E" w14:textId="77777777" w:rsidR="00D81E8E" w:rsidRPr="00435469" w:rsidRDefault="00D81E8E" w:rsidP="00AD6E54">
            <w:pPr>
              <w:pStyle w:val="3TableDatapacked"/>
              <w:framePr w:wrap="around"/>
            </w:pPr>
            <w:r w:rsidRPr="00435469">
              <w:t>748 (70.4)</w:t>
            </w:r>
          </w:p>
        </w:tc>
        <w:tc>
          <w:tcPr>
            <w:tcW w:w="2051" w:type="dxa"/>
            <w:tcBorders>
              <w:top w:val="nil"/>
              <w:bottom w:val="nil"/>
            </w:tcBorders>
          </w:tcPr>
          <w:p w14:paraId="4F03B214" w14:textId="77777777" w:rsidR="00D81E8E" w:rsidRPr="00435469" w:rsidRDefault="00D81E8E" w:rsidP="00AD6E54">
            <w:pPr>
              <w:pStyle w:val="3TableDatapacked"/>
              <w:framePr w:wrap="around"/>
            </w:pPr>
            <w:r w:rsidRPr="00435469">
              <w:t>89.7</w:t>
            </w:r>
          </w:p>
        </w:tc>
      </w:tr>
      <w:tr w:rsidR="00304411" w:rsidRPr="00435469" w14:paraId="7AE61C79" w14:textId="77777777" w:rsidTr="009735F0">
        <w:trPr>
          <w:trHeight w:val="164"/>
        </w:trPr>
        <w:tc>
          <w:tcPr>
            <w:tcW w:w="2604" w:type="dxa"/>
            <w:tcBorders>
              <w:top w:val="nil"/>
              <w:left w:val="nil"/>
              <w:bottom w:val="nil"/>
            </w:tcBorders>
            <w:shd w:val="clear" w:color="auto" w:fill="auto"/>
            <w:noWrap/>
            <w:vAlign w:val="bottom"/>
            <w:hideMark/>
          </w:tcPr>
          <w:p w14:paraId="5F0595B3" w14:textId="77777777" w:rsidR="00D81E8E" w:rsidRPr="00435469" w:rsidRDefault="00D81E8E" w:rsidP="00AD6E54">
            <w:pPr>
              <w:pStyle w:val="3TableDatapacked"/>
              <w:framePr w:wrap="around"/>
            </w:pPr>
            <w:r w:rsidRPr="00435469">
              <w:t>35-44</w:t>
            </w:r>
          </w:p>
        </w:tc>
        <w:tc>
          <w:tcPr>
            <w:tcW w:w="1625" w:type="dxa"/>
            <w:tcBorders>
              <w:top w:val="nil"/>
              <w:bottom w:val="nil"/>
            </w:tcBorders>
            <w:shd w:val="clear" w:color="auto" w:fill="auto"/>
            <w:noWrap/>
            <w:vAlign w:val="bottom"/>
            <w:hideMark/>
          </w:tcPr>
          <w:p w14:paraId="744CDE0C" w14:textId="77777777" w:rsidR="00D81E8E" w:rsidRPr="00435469" w:rsidRDefault="00D81E8E" w:rsidP="00AD6E54">
            <w:pPr>
              <w:pStyle w:val="3TableDatapacked"/>
              <w:framePr w:wrap="around"/>
            </w:pPr>
            <w:r w:rsidRPr="00435469">
              <w:t>379</w:t>
            </w:r>
          </w:p>
        </w:tc>
        <w:tc>
          <w:tcPr>
            <w:tcW w:w="2827" w:type="dxa"/>
            <w:tcBorders>
              <w:top w:val="nil"/>
              <w:bottom w:val="nil"/>
            </w:tcBorders>
            <w:shd w:val="clear" w:color="auto" w:fill="auto"/>
            <w:noWrap/>
            <w:vAlign w:val="bottom"/>
            <w:hideMark/>
          </w:tcPr>
          <w:p w14:paraId="43EF7363" w14:textId="77777777" w:rsidR="00D81E8E" w:rsidRPr="00435469" w:rsidRDefault="00D81E8E" w:rsidP="00AD6E54">
            <w:pPr>
              <w:pStyle w:val="3TableDatapacked"/>
              <w:framePr w:wrap="around"/>
            </w:pPr>
            <w:r w:rsidRPr="00435469">
              <w:t>271 (71.5)</w:t>
            </w:r>
          </w:p>
        </w:tc>
        <w:tc>
          <w:tcPr>
            <w:tcW w:w="2051" w:type="dxa"/>
            <w:tcBorders>
              <w:top w:val="nil"/>
              <w:bottom w:val="nil"/>
            </w:tcBorders>
          </w:tcPr>
          <w:p w14:paraId="542A6EB6" w14:textId="77777777" w:rsidR="00D81E8E" w:rsidRPr="00435469" w:rsidRDefault="00D81E8E" w:rsidP="00AD6E54">
            <w:pPr>
              <w:pStyle w:val="3TableDatapacked"/>
              <w:framePr w:wrap="around"/>
            </w:pPr>
            <w:r w:rsidRPr="00435469">
              <w:t>91.2</w:t>
            </w:r>
          </w:p>
        </w:tc>
      </w:tr>
      <w:tr w:rsidR="00304411" w:rsidRPr="00435469" w14:paraId="5C1141E2" w14:textId="77777777" w:rsidTr="009735F0">
        <w:trPr>
          <w:trHeight w:val="172"/>
        </w:trPr>
        <w:tc>
          <w:tcPr>
            <w:tcW w:w="2604" w:type="dxa"/>
            <w:tcBorders>
              <w:top w:val="nil"/>
              <w:left w:val="nil"/>
              <w:bottom w:val="single" w:sz="4" w:space="0" w:color="auto"/>
            </w:tcBorders>
            <w:shd w:val="clear" w:color="auto" w:fill="auto"/>
            <w:noWrap/>
            <w:vAlign w:val="bottom"/>
            <w:hideMark/>
          </w:tcPr>
          <w:p w14:paraId="68DF3E6C" w14:textId="77777777" w:rsidR="00D81E8E" w:rsidRPr="00435469" w:rsidRDefault="00D81E8E" w:rsidP="00AD6E54">
            <w:pPr>
              <w:pStyle w:val="3TableDatapacked"/>
              <w:framePr w:wrap="around"/>
            </w:pPr>
            <w:r w:rsidRPr="00435469">
              <w:t>45+</w:t>
            </w:r>
          </w:p>
        </w:tc>
        <w:tc>
          <w:tcPr>
            <w:tcW w:w="1625" w:type="dxa"/>
            <w:tcBorders>
              <w:top w:val="nil"/>
              <w:bottom w:val="single" w:sz="4" w:space="0" w:color="auto"/>
            </w:tcBorders>
            <w:shd w:val="clear" w:color="auto" w:fill="auto"/>
            <w:noWrap/>
            <w:vAlign w:val="bottom"/>
            <w:hideMark/>
          </w:tcPr>
          <w:p w14:paraId="576AA7CC" w14:textId="77777777" w:rsidR="00D81E8E" w:rsidRPr="00435469" w:rsidRDefault="00D81E8E" w:rsidP="00AD6E54">
            <w:pPr>
              <w:pStyle w:val="3TableDatapacked"/>
              <w:framePr w:wrap="around"/>
            </w:pPr>
            <w:r w:rsidRPr="00435469">
              <w:t>223</w:t>
            </w:r>
          </w:p>
        </w:tc>
        <w:tc>
          <w:tcPr>
            <w:tcW w:w="2827" w:type="dxa"/>
            <w:tcBorders>
              <w:top w:val="nil"/>
              <w:bottom w:val="single" w:sz="4" w:space="0" w:color="auto"/>
            </w:tcBorders>
            <w:shd w:val="clear" w:color="auto" w:fill="auto"/>
            <w:noWrap/>
            <w:vAlign w:val="bottom"/>
            <w:hideMark/>
          </w:tcPr>
          <w:p w14:paraId="31B432E6" w14:textId="77777777" w:rsidR="00D81E8E" w:rsidRPr="00435469" w:rsidRDefault="00D81E8E" w:rsidP="00AD6E54">
            <w:pPr>
              <w:pStyle w:val="3TableDatapacked"/>
              <w:framePr w:wrap="around"/>
            </w:pPr>
            <w:r w:rsidRPr="00435469">
              <w:t>164 (73.5)</w:t>
            </w:r>
          </w:p>
        </w:tc>
        <w:tc>
          <w:tcPr>
            <w:tcW w:w="2051" w:type="dxa"/>
            <w:tcBorders>
              <w:top w:val="nil"/>
              <w:bottom w:val="single" w:sz="4" w:space="0" w:color="auto"/>
            </w:tcBorders>
          </w:tcPr>
          <w:p w14:paraId="691169B5" w14:textId="77777777" w:rsidR="00D81E8E" w:rsidRPr="00435469" w:rsidRDefault="00D81E8E" w:rsidP="00AD6E54">
            <w:pPr>
              <w:pStyle w:val="3TableDatapacked"/>
              <w:framePr w:wrap="around"/>
            </w:pPr>
            <w:r w:rsidRPr="00435469">
              <w:t>93.9</w:t>
            </w:r>
          </w:p>
        </w:tc>
      </w:tr>
      <w:tr w:rsidR="00304411" w:rsidRPr="00435469" w14:paraId="4324E09A" w14:textId="77777777" w:rsidTr="009735F0">
        <w:trPr>
          <w:trHeight w:val="180"/>
        </w:trPr>
        <w:tc>
          <w:tcPr>
            <w:tcW w:w="2604" w:type="dxa"/>
            <w:tcBorders>
              <w:top w:val="single" w:sz="4" w:space="0" w:color="auto"/>
              <w:left w:val="nil"/>
              <w:bottom w:val="single" w:sz="4" w:space="0" w:color="auto"/>
              <w:right w:val="nil"/>
            </w:tcBorders>
            <w:shd w:val="clear" w:color="auto" w:fill="auto"/>
            <w:noWrap/>
            <w:vAlign w:val="bottom"/>
            <w:hideMark/>
          </w:tcPr>
          <w:p w14:paraId="1D1961FB" w14:textId="77777777" w:rsidR="00D81E8E" w:rsidRPr="00435469" w:rsidRDefault="00D81E8E" w:rsidP="00AD6E54">
            <w:pPr>
              <w:pStyle w:val="3TableDatapacked"/>
              <w:framePr w:wrap="around"/>
            </w:pPr>
            <w:r w:rsidRPr="00435469">
              <w:t>Total</w:t>
            </w:r>
          </w:p>
        </w:tc>
        <w:tc>
          <w:tcPr>
            <w:tcW w:w="1625" w:type="dxa"/>
            <w:tcBorders>
              <w:top w:val="single" w:sz="4" w:space="0" w:color="auto"/>
              <w:left w:val="nil"/>
              <w:bottom w:val="single" w:sz="4" w:space="0" w:color="auto"/>
              <w:right w:val="nil"/>
            </w:tcBorders>
            <w:shd w:val="clear" w:color="auto" w:fill="auto"/>
            <w:noWrap/>
            <w:vAlign w:val="bottom"/>
            <w:hideMark/>
          </w:tcPr>
          <w:p w14:paraId="71D09CB8" w14:textId="77777777" w:rsidR="00D81E8E" w:rsidRPr="00435469" w:rsidRDefault="00D81E8E" w:rsidP="00AD6E54">
            <w:pPr>
              <w:pStyle w:val="3TableDatapacked"/>
              <w:framePr w:wrap="around"/>
            </w:pPr>
            <w:r w:rsidRPr="00435469">
              <w:t>2913</w:t>
            </w:r>
          </w:p>
        </w:tc>
        <w:tc>
          <w:tcPr>
            <w:tcW w:w="2827" w:type="dxa"/>
            <w:tcBorders>
              <w:top w:val="single" w:sz="4" w:space="0" w:color="auto"/>
              <w:left w:val="nil"/>
              <w:bottom w:val="single" w:sz="4" w:space="0" w:color="auto"/>
              <w:right w:val="nil"/>
            </w:tcBorders>
            <w:shd w:val="clear" w:color="auto" w:fill="auto"/>
            <w:noWrap/>
            <w:vAlign w:val="bottom"/>
            <w:hideMark/>
          </w:tcPr>
          <w:p w14:paraId="6B192412" w14:textId="77777777" w:rsidR="00D81E8E" w:rsidRPr="00435469" w:rsidRDefault="00D81E8E" w:rsidP="00AD6E54">
            <w:pPr>
              <w:pStyle w:val="3TableDatapacked"/>
              <w:framePr w:wrap="around"/>
            </w:pPr>
            <w:r w:rsidRPr="00435469">
              <w:t>1886 (64.7)</w:t>
            </w:r>
          </w:p>
        </w:tc>
        <w:tc>
          <w:tcPr>
            <w:tcW w:w="2051" w:type="dxa"/>
            <w:tcBorders>
              <w:top w:val="single" w:sz="4" w:space="0" w:color="auto"/>
              <w:left w:val="nil"/>
              <w:bottom w:val="single" w:sz="4" w:space="0" w:color="auto"/>
              <w:right w:val="nil"/>
            </w:tcBorders>
          </w:tcPr>
          <w:p w14:paraId="3E89AFAA" w14:textId="77777777" w:rsidR="00D81E8E" w:rsidRPr="00435469" w:rsidRDefault="00D81E8E" w:rsidP="00AD6E54">
            <w:pPr>
              <w:pStyle w:val="3TableDatapacked"/>
              <w:framePr w:wrap="around"/>
            </w:pPr>
            <w:r w:rsidRPr="00435469">
              <w:t>86.4</w:t>
            </w:r>
          </w:p>
        </w:tc>
      </w:tr>
    </w:tbl>
    <w:p w14:paraId="7C172108" w14:textId="0EE03E58" w:rsidR="00D81E8E" w:rsidRPr="00435469" w:rsidRDefault="00D81E8E" w:rsidP="00955FFB">
      <w:pPr>
        <w:spacing w:after="0" w:line="240" w:lineRule="auto"/>
        <w:rPr>
          <w:rFonts w:eastAsiaTheme="minorEastAsia" w:cs="Times New Roman"/>
          <w:iCs/>
          <w:sz w:val="20"/>
          <w:szCs w:val="20"/>
          <w:lang w:eastAsia="en-ZA"/>
        </w:rPr>
      </w:pPr>
      <w:r w:rsidRPr="00435469">
        <w:rPr>
          <w:rFonts w:cs="Times New Roman"/>
          <w:sz w:val="20"/>
          <w:szCs w:val="20"/>
          <w:lang w:eastAsia="en-ZA"/>
        </w:rPr>
        <w:t xml:space="preserve">Source: </w:t>
      </w:r>
      <w:r w:rsidRPr="00435469">
        <w:rPr>
          <w:rFonts w:cs="Times New Roman"/>
          <w:sz w:val="20"/>
          <w:szCs w:val="20"/>
        </w:rPr>
        <w:t xml:space="preserve">CORTIS study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{"citationItems":[{"id":"ITEM-1","itemData":{"DOI":"10.1016/S1473-3099(20)30914-2","ISSN":"14744457","PMID":"33508224","abstract":"Background: Targeted preventive therapy for individuals at highest risk of incident tuberculosis might impact the epidemic by interrupting transmission. We tested performance of a transcriptomic signature of tuberculosis (RISK11) and efficacy of signature-guided preventive therapy in parallel, using a hybrid three-group study design. Methods: Adult volunteers aged 18–59 years were recruited at five geographically distinct communities in South Africa. Whole blood was sampled for RISK11 by quantitative RT-PCR assay from eligible volunteers without HIV, recent previous tuberculosis (ie, &lt;3 years before screening), or comorbidities at screening. RISK11-positive participants were block randomised (1:2; block size 15) to once-weekly, directly-observed, open-label isoniazid and rifapentine for 12 weeks (ie, RISK11 positive and 3HP positive), or no treatment (ie, RISK11 positive and 3HP negative). A subset of eligible RISK11-negative volunteers were randomly assigned to no treatment (ie, RISK11 negative and 3HP negative). Diagnostic discrimination of prevalent tuberculosis was tested in all participants at baseline. Thereafter, prognostic discrimination of incident tuberculosis was tested in the untreated RISK11-positive versus RISK11-negative groups, and treatment efficacy in the 3HP-treated versus untreated RISK11-positive groups, during active surveillance through 15 months. The primary endpoint was microbiologically confirmed pulmonary tuberculosis. The primary outcome measures were risk ratio [RR] for tuberculosis of RISK11-positive to RISK11-negative participants, and treatment efficacy. This trial is registered with ClinicalTrials.gov, NCT02735590. Findings: 20 207 volunteers were screened, and 2923 participants were enrolled, including RISK11-positive participants randomly assigned to 3HP (n=375) or no 3HP (n=764), and 1784 RISK11-negative participants. Cumulative probability of prevalent or incident tuberculosis disease was 0·066 (95% CI 0·049 to 0·084) in RISK11-positive (3HP negative) participants and 0·018 (0·011 to 0·025) in RISK11-negative participants (RR 3·69, 95% CI 2·25–6·05) over 15 months. Tuberculosis prevalence was 47 (4·1%) of 1139 versus 14 (0·78%) of 1984 in RISK11-positive compared with RISK11-negative participants, respectively (diagnostic RR 5·13, 95% CI 2·93 to 9·43). Tuberculosis incidence over 15 months was 2·09 (95% CI 0·97 to 3·19) vs 0·80 (0·30 to 1·30) per 100 person years in RISK11-positive (3HP-negative) participants compare…","author":[{"dropping-particle":"","family":"Scriba","given":"Thomas J.","non-dropping-particle":"","parse-names":false,"suffix":""},{"dropping-particle":"","family":"Fiore-Gartland","given":"Andrew","non-dropping-particle":"","parse-names":false,"suffix":""},{"dropping-particle":"","family":"Penn-Nicholson","given":"Adam","non-dropping-particle":"","parse-names":false,"suffix":""},{"dropping-particle":"","family":"Mulenga","given":"Humphrey","non-dropping-particle":"","parse-names":false,"suffix":""},{"dropping-particle":"","family":"Kimbung Mbandi","given":"Stanley","non-dropping-particle":"","parse-names":false,"suffix":""},{"dropping-particle":"","family":"Borate","given":"Bhavesh","non-dropping-particle":"","parse-names":false,"suffix":""},{"dropping-particle":"","family":"Mendelsohn","given":"Simon C.","non-dropping-particle":"","parse-names":false,"suffix":""},{"dropping-particle":"","family":"Hadley","given":"Katie","non-dropping-particle":"","parse-names":false,"suffix":""},{"dropping-particle":"","family":"Hikuam","given":"Chris","non-dropping-particle":"","parse-names":false,"suffix":""},{"dropping-particle":"","family":"Kaskar","given":"Masooda","non-dropping-particle":"","parse-names":false,"suffix":""},{"dropping-particle":"","family":"Musvosvi","given":"Munyaradzi","non-dropping-particle":"","parse-names":false,"suffix":""},{"dropping-particle":"","family":"Bilek","given":"Nicole","non-dropping-particle":"","parse-names":false,"suffix":""},{"dropping-particle":"","family":"Self","given":"Steven","non-dropping-particle":"","parse-names":false,"suffix":""},{"dropping-particle":"","family":"Sumner","given":"Tom","non-dropping-particle":"","parse-names":false,"suffix":""},{"dropping-particle":"","family":"White","given":"Richard G.","non-dropping-particle":"","parse-names":false,"suffix":""},{"dropping-particle":"","family":"Erasmus","given":"Mzwandile","non-dropping-particle":"","parse-names":false,"suffix":""},{"dropping-particle":"","family":"Jaxa","given":"Lungisa","non-dropping-particle":"","parse-names":false,"suffix":""},{"dropping-particle":"","family":"Raphela","given":"Rodney","non-dropping-particle":"","parse-names":false,"suffix":""},{"dropping-particle":"","family":"Innes","given":"Craig","non-dropping-particle":"","parse-names":false,"suffix":""},{"dropping-particle":"","family":"Brumskine","given":"William","non-dropping-particle":"","parse-names":false,"suffix":""},{"dropping-particle":"","family":"Hiemstra","given":"Andriëtte","non-dropping-particle":"","parse-names":false,"suffix":""},{"dropping-particle":"","family":"Malherbe","given":"Stephanus T.","non-dropping-particle":"","parse-names":false,"suffix":""},{"dropping-particle":"","family":"Hassan-Moosa","given":"Razia","non-dropping-particle":"","parse-names":false,"suffix":""},{"dropping-particle":"","family":"Tameris","given":"Michèle","non-dropping-particle":"","parse-names":false,"suffix":""},{"dropping-particle":"","family":"Walzl","given":"Gerhard","non-dropping-particle":"","parse-names":false,"suffix":""},{"dropping-particle":"","family":"Naidoo","given":"Kogieleum","non-dropping-particle":"","parse-names":false,"suffix":""},{"dropping-particle":"","family":"Churchyard","given":"Gavin","non-dropping-particle":"","parse-names":false,"suffix":""},{"dropping-particle":"","family":"Hatherill","given":"Mark","non-dropping-particle":"","parse-names":false,"suffix":""},{"dropping-particle":"","family":"Baepanye","given":"Kesenogile","non-dropping-particle":"","parse-names":false,"suffix":""},{"dropping-particle":"","family":"Baepanye","given":"Tshepiso","non-dropping-particle":"","parse-names":false,"suffix":""},{"dropping-particle":"","family":"Clarke","given":"Ken","non-dropping-particle":"","parse-names":false,"suffix":""},{"dropping-particle":"","family":"Collignon","given":"Marelize","non-dropping-particle":"","parse-names":false,"suffix":""},{"dropping-particle":"","family":"Dlamini","given":"Audrey","non-dropping-particle":"","parse-names":false,"suffix":""},{"dropping-particle":"","family":"Eyre","given":"Candice","non-dropping-particle":"","parse-names":false,"suffix":""},{"dropping-particle":"","family":"Feni","given":"Tebogo","non-dropping-particle":"","parse-names":false,"suffix":""},{"dropping-particle":"","family":"Fikizolo","given":"Moogo","non-dropping-particle":"","parse-names":false,"suffix":""},{"dropping-particle":"","family":"Galane","given":"Phinda","non-dropping-particle":"","parse-names":false,"suffix":""},{"dropping-particle":"","family":"Goliath","given":"Thelma","non-dropping-particle":"","parse-names":false,"suffix":""},{"dropping-particle":"","family":"Gangat","given":"Alia","non-dropping-particle":"","parse-names":false,"suffix":""},{"dropping-particle":"","family":"Malefo-Grootboom","given":"Shirley","non-dropping-particle":"","parse-names":false,"suffix":""},{"dropping-particle":"","family":"Janse van Rensburg","given":"Elba","non-dropping-particle":"","parse-names":false,"suffix":""},{"dropping-particle":"","family":"Janse van Rensburg","given":"Bonita","non-dropping-particle":"","parse-names":false,"suffix":""},{"dropping-particle":"","family":"Kekana","given":"Sophy","non-dropping-particle":"","parse-names":false,"suffix":""},{"dropping-particle":"","family":"Zietsman","given":"Marietjie","non-dropping-particle":"","parse-names":false,"suffix":""},{"dropping-particle":"","family":"Kock","given":"Adrianne","non-dropping-particle":"","parse-names":false,"suffix":""},{"dropping-particle":"","family":"Kunene","given":"Israel","non-dropping-particle":"","parse-names":false,"suffix":""},{"dropping-particle":"","family":"Lakhi","given":"Aneessa","non-dropping-particle":"","parse-names":false,"suffix":""},{"dropping-particle":"","family":"Langa","given":"Nondumiso","non-dropping-particle":"","parse-names":false,"suffix":""},{"dropping-particle":"","family":"Ledwaba","given":"Hilda","non-dropping-particle":"","parse-names":false,"suffix":""},{"dropping-particle":"","family":"Luphoko","given":"Marillyn","non-dropping-particle":"","parse-names":false,"suffix":""},{"dropping-particle":"","family":"Mabasa","given":"Immaculate","non-dropping-particle":"","parse-names":false,"suffix":""},{"dropping-particle":"","family":"Mabe","given":"Dorah","non-dropping-particle":"","parse-names":false,"suffix":""},{"dropping-particle":"","family":"Mabuza","given":"Nkosinathi","non-dropping-particle":"","parse-names":false,"suffix":""},{"dropping-particle":"","family":"Majola","given":"Molly","non-dropping-particle":"","parse-names":false,"suffix":""},{"dropping-particle":"","family":"Makhetha","given":"Mantai","non-dropping-particle":"","parse-names":false,"suffix":""},{"dropping-particle":"","family":"Makoanyane","given":"Mpho","non-dropping-particle":"","parse-names":false,"suffix":""},{"dropping-particle":"","family":"Makhubalo","given":"Blossom","non-dropping-particle":"","parse-names":false,"suffix":""},{"dropping-particle":"","family":"Malay","given":"Vernon","non-dropping-particle":"","parse-names":false,"suffix":""},{"dropping-particle":"","family":"Market","given":"Juanita","non-dropping-particle":"","parse-names":false,"suffix":""},{"dropping-particle":"","family":"Matshego","given":"Selvy","non-dropping-particle":"","parse-names":false,"suffix":""},{"dropping-particle":"","family":"Mbipa","given":"Nontsikelelo","non-dropping-particle":"","parse-names":false,"suffix":""},{"dropping-particle":"","family":"Mmotsa","given":"Tsiamo","non-dropping-particle":"","parse-names":false,"suffix":""},{"dropping-particle":"","family":"Modipa","given":"Sylvester","non-dropping-particle":"","parse-names":false,"suffix":""},{"dropping-particle":"","family":"Mopati","given":"Samuel","non-dropping-particle":"","parse-names":false,"suffix":""},{"dropping-particle":"","family":"Moswegu","given":"Palesa","non-dropping-particle":"","parse-names":false,"suffix":""},{"dropping-particle":"","family":"Mothaga","given":"Primrose","non-dropping-particle":"","parse-names":false,"suffix":""},{"dropping-particle":"","family":"Muller","given":"Dorothy","non-dropping-particle":"","parse-names":false,"suffix":""},{"dropping-particle":"","family":"Nchwe","given":"Grace","non-dropping-particle":"","parse-names":false,"suffix":""},{"dropping-particle":"","family":"Nel","given":"Maryna","non-dropping-particle":"","parse-names":false,"suffix":""},{"dropping-particle":"","family":"Nhlangulela","given":"Lindiwe","non-dropping-particle":"","parse-names":false,"suffix":""},{"dropping-particle":"","family":"Ntamo","given":"Bantubonke","non-dropping-particle":"","parse-names":false,"suffix":""},{"dropping-particle":"","family":"Ntoahae","given":"Lawerence","non-dropping-particle":"","parse-names":false,"suffix":""},{"dropping-particle":"","family":"Ntshauba","given":"Tedrius","non-dropping-particle":"","parse-names":false,"suffix":""},{"dropping-particle":"","family":"Sanyaka","given":"Nomsa","non-dropping-particle":"","parse-names":false,"suffix":""},{"dropping-particle":"","family":"Seabela","given":"Letlhogonolo","non-dropping-particle":"","parse-names":false,"suffix":""},{"dropping-particle":"","family":"Selepe","given":"Pearl","non-dropping-particle":"","parse-names":false,"suffix":""},{"dropping-particle":"","family":"Senne","given":"Melissa","non-dropping-particle":"","parse-names":false,"suffix":""},{"dropping-particle":"","family":"Serake","given":"M. G.","non-dropping-particle":"","parse-names":false,"suffix":""},{"dropping-particle":"","family":"Thlapi","given":"Maria","non-dropping-particle":"","parse-names":false,"suffix":""},{"dropping-particle":"","family":"Tshikovhi","given":"Vincent","non-dropping-particle":"","parse-names":false,"suffix":""},{"dropping-particle":"","family":"Tswaile","given":"Lebogang","non-dropping-particle":"","parse-names":false,"suffix":""},{"dropping-particle":"","family":"Aswegen","given":"Amanda","non-dropping-particle":"van","parse-names":false,"suffix":""},{"dropping-particle":"","family":"Mbata","given":"Lungile","non-dropping-particle":"","parse-names":false,"suffix":""},{"dropping-particle":"","family":"Takavamanya","given":"Constance","non-dropping-particle":"","parse-names":false,"suffix":""},{"dropping-particle":"","family":"Pinho","given":"Pedro","non-dropping-particle":"","parse-names":false,"suffix":""},{"dropping-particle":"","family":"Mdlulu","given":"John","non-dropping-particle":"","parse-names":false,"suffix":""},{"dropping-particle":"","family":"Taljaard","given":"Marthinette","non-dropping-particle":"","parse-names":false,"suffix":""},{"dropping-particle":"","family":"Slabbert","given":"Naydene","non-dropping-particle":"","parse-names":false,"suffix":""},{"dropping-particle":"","family":"Sayed","given":"Sharfuddin","non-dropping-particle":"","parse-names":false,"suffix":""},{"dropping-particle":"","family":"Nielson","given":"Tanya","non-dropping-particle":"","parse-names":false,"suffix":""},{"dropping-particle":"","family":"Ni Sein","given":"Ni","non-dropping-particle":"","parse-names":false,"suffix":""},{"dropping-particle":"","family":"Govender","given":"Dhineshree","non-dropping-particle":"","parse-names":false,"suffix":""},{"dropping-particle":"","family":"Chinappa","given":"Tilagavathy","non-dropping-particle":"","parse-names":false,"suffix":""},{"dropping-particle":"","family":"Zulu","given":"Mbali Ignatia","non-dropping-particle":"","parse-names":false,"suffix":""},{"dropping-particle":"","family":"Maphanga","given":"Nonhle Bridgette","non-dropping-particle":"","parse-names":false,"suffix":""},{"dropping-particle":"","family":"Hlathi","given":"Senzo Ralph","non-dropping-particle":"","parse-names":false,"suffix":""},{"dropping-particle":"","family":"Gumede","given":"Goodness Khanyisile","non-dropping-particle":"","parse-names":false,"suffix":""},{"dropping-particle":"","family":"Shezi","given":"Thandiwe Yvonne","non-dropping-particle":"","parse-names":false,"suffix":""},{"dropping-particle":"","family":"Maphanga","given":"Jabulisiwe Lethabo","non-dropping-particle":"","parse-names":false,"suffix":""},{"dropping-particle":"","family":"Jali","given":"Zandile Patrica","non-dropping-particle":"","parse-names":false,"suffix":""},{"dropping-particle":"","family":"Cwele","given":"Thobelani","non-dropping-particle":"","parse-names":false,"suffix":""},{"dropping-particle":"","family":"Gwamanda","given":"Nonhlanhla Zanele Elsie","non-dropping-particle":"","parse-names":false,"suffix":""},{"dropping-particle":"","family":"Dlamini","given":"Celaphiwe","non-dropping-particle":"","parse-names":false,"suffix":""},{"dropping-particle":"","family":"Sing","given":"Zibuyile Phindile Penlee","non-dropping-particle":"","parse-names":false,"suffix":""},{"dropping-particle":"","family":"Ntanjana","given":"Ntombozuko Gloria","non-dropping-particle":"","parse-names":false,"suffix":""},{"dropping-particle":"","family":"Nzimande","given":"Sphelele Simo","non-dropping-particle":"","parse-names":false,"suffix":""},{"dropping-particle":"","family":"Mbatha","given":"Siyabonga","non-dropping-particle":"","parse-names":false,"suffix":""},{"dropping-particle":"","family":"Maharaj","given":"Bhavna","non-dropping-particle":"","parse-names":false,"suffix":""},{"dropping-particle":"","family":"Moosa","given":"Atika","non-dropping-particle":"","parse-names":false,"suffix":""},{"dropping-particle":"","family":"Corris","given":"Cara Mia","non-dropping-particle":"","parse-names":false,"suffix":""},{"dropping-particle":"","family":"Kafaar","given":"Fazlin","non-dropping-particle":"","parse-names":false,"suffix":""},{"dropping-particle":"","family":"Geldenhuys","given":"Hennie","non-dropping-particle":"","parse-names":false,"suffix":""},{"dropping-particle":"","family":"Luabeya","given":"Angelique Kany Kany","non-dropping-particle":"","parse-names":false,"suffix":""},{"dropping-particle":"","family":"Shenje","given":"Justin","non-dropping-particle":"","parse-names":false,"suffix":""},{"dropping-particle":"","family":"Botes","given":"Natasja","non-dropping-particle":"","parse-names":false,"suffix":""},{"dropping-particle":"","family":"Rossouw","given":"Susan","non-dropping-particle":"","parse-names":false,"suffix":""},{"dropping-particle":"","family":"Africa","given":"Hadn","non-dropping-particle":"","parse-names":false,"suffix":""},{"dropping-particle":"","family":"Diamond","given":"Bongani","non-dropping-particle":"","parse-names":false,"suffix":""},{"dropping-particle":"","family":"Braaf","given":"Samentra","non-dropping-particle":"","parse-names":false,"suffix":""},{"dropping-particle":"","family":"Stryers","given":"Sonia","non-dropping-particle":"","parse-names":false,"suffix":""},{"dropping-particle":"","family":"Carstens","given":"Alida","non-dropping-particle":"","parse-names":false,"suffix":""},{"dropping-particle":"","family":"Jansen","given":"Ruwiyda","non-dropping-particle":"","parse-names":false,"suffix":""},{"dropping-particle":"","family":"Mabwe","given":"Simbarashe","non-dropping-particle":"","parse-names":false,"suffix":""},{"dropping-particle":"","family":"Herling","given":"Roxane","non-dropping-particle":"","parse-names":false,"suffix":""},{"dropping-particle":"","family":"Veldsman","given":"Ashley","non-dropping-particle":"","parse-names":false,"suffix":""},{"dropping-particle":"","family":"Makhete","given":"Lebohgang","non-dropping-particle":"","parse-names":false,"suffix":""},{"dropping-particle":"","family":"Steyn","given":"Marcia","non-dropping-particle":"","parse-names":false,"suffix":""},{"dropping-particle":"","family":"Buhlungu","given":"Sivuyile","non-dropping-particle":"","parse-names":false,"suffix":""},{"dropping-particle":"","family":"Erasmus","given":"Margareth","non-dropping-particle":"","parse-names":false,"suffix":""},{"dropping-particle":"","family":"Davids","given":"Ilse","non-dropping-particle":"","parse-names":false,"suffix":""},{"dropping-particle":"","family":"Plaatjie","given":"Patiswa","non-dropping-particle":"","parse-names":false,"suffix":""},{"dropping-particle":"","family":"Companie","given":"Alessandro","non-dropping-particle":"","parse-names":false,"suffix":""},{"dropping-particle":"","family":"Ratangee","given":"Frances","non-dropping-particle":"","parse-names":false,"suffix":""},{"dropping-particle":"","family":"Veldtsman","given":"Helen","non-dropping-particle":"","parse-names":false,"suffix":""},{"dropping-particle":"","family":"Petersen","given":"Christel","non-dropping-particle":"","parse-names":false,"suffix":""},{"dropping-particle":"","family":"Abrahams","given":"Charmaine","non-dropping-particle":"","parse-names":false,"suffix":""},{"dropping-particle":"","family":"Moses","given":"Miriam","non-dropping-particle":"","parse-names":false,"suffix":""},{"dropping-particle":"","family":"Kelepu","given":"Xoliswa","non-dropping-particle":"","parse-names":false,"suffix":""},{"dropping-particle":"","family":"Gregg","given":"Yolande","non-dropping-particle":"","parse-names":false,"suffix":""},{"dropping-particle":"","family":"Swanepoel","given":"Liticia","non-dropping-particle":"","parse-names":false,"suffix":""},{"dropping-particle":"","family":"Magawu","given":"Nomsitho","non-dropping-particle":"","parse-names":false,"suffix":""},{"dropping-particle":"","family":"Cetywayo","given":"Nompumelelo","non-dropping-particle":"","parse-names":false,"suffix":""},{"dropping-particle":"","family":"Mactavie","given":"Lauren","non-dropping-particle":"","parse-names":false,"suffix":""},{"dropping-particle":"","family":"Valley","given":"Habibullah","non-dropping-particle":"","parse-names":false,"suffix":""},{"dropping-particle":"","family":"Filander","given":"Elizabeth","non-dropping-particle":"","parse-names":false,"suffix":""},{"dropping-particle":"","family":"Nqakala","given":"Nambitha","non-dropping-particle":"","parse-names":false,"suffix":""},{"dropping-particle":"","family":"Maasdorp","given":"Elizna","non-dropping-particle":"","parse-names":false,"suffix":""},{"dropping-particle":"","family":"Khoury","given":"Justine","non-dropping-particle":"","parse-names":false,"suffix":""},{"dropping-particle":"","family":"Kriel","given":"Belinda","non-dropping-particle":"","parse-names":false,"suffix":""},{"dropping-particle":"","family":"Smith","given":"Bronwyn","non-dropping-particle":"","parse-names":false,"suffix":""},{"dropping-particle":"","family":"Muller","given":"Liesel","non-dropping-particle":"","parse-names":false,"suffix":""},{"dropping-particle":"","family":"Tonsing","given":"Susanne","non-dropping-particle":"","parse-names":false,"suffix":""},{"dropping-particle":"","family":"Loxton","given":"Andre","non-dropping-particle":"","parse-names":false,"suffix":""},{"dropping-particle":"","family":"Hiemstra","given":"Andriette","non-dropping-particle":"","parse-names":false,"suffix":""},{"dropping-particle":"","family":"Ahlers","given":"Petri","non-dropping-particle":"","parse-names":false,"suffix":""},{"dropping-particle":"","family":"Flinn","given":"Marika","non-dropping-particle":"","parse-names":false,"suffix":""},{"dropping-particle":"","family":"Chung","given":"Eva","non-dropping-particle":"","parse-names":false,"suffix":""},{"dropping-particle":"","family":"Chung","given":"Michelle","non-dropping-particle":"","parse-names":false,"suffix":""},{"dropping-particle":"","family":"Sato","given":"Alicia","non-dropping-particle":"","parse-names":false,"suffix":""}],"container-title":"The Lancet Infectious Diseases","id":"ITEM-1","issue":"3","issued":{"date-parts":[["2021"]]},"page":"354-365","title":"Biomarker-guided tuberculosis preventive therapy (CORTIS): a randomised controlled trial","type":"article-journal","volume":"21"},"uris":["http://www.mendeley.com/documents/?uuid=7f82fc17-a5b7-48ae-af4e-90064a726b6b"]}],"mendeley":{"formattedCitation":"(9)","plainTextFormattedCitation":"(9)","previouslyFormattedCitation":"(9)"},"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(9)</w:t>
      </w:r>
      <w:r w:rsidRPr="00435469">
        <w:rPr>
          <w:rFonts w:cs="Times New Roman"/>
          <w:sz w:val="20"/>
          <w:szCs w:val="20"/>
        </w:rPr>
        <w:fldChar w:fldCharType="end"/>
      </w:r>
      <w:r w:rsidRPr="00435469">
        <w:rPr>
          <w:rFonts w:cs="Times New Roman"/>
          <w:sz w:val="20"/>
          <w:szCs w:val="20"/>
        </w:rPr>
        <w:t xml:space="preserve">. </w:t>
      </w:r>
      <w:hyperlink r:id="rId11" w:history="1">
        <w:r w:rsidRPr="00435469">
          <w:rPr>
            <w:rStyle w:val="Hyperlink"/>
            <w:rFonts w:eastAsia="Times New Roman" w:cs="Times New Roman"/>
            <w:bCs/>
            <w:color w:val="auto"/>
            <w:sz w:val="20"/>
            <w:szCs w:val="20"/>
            <w:lang w:eastAsia="en-ZA"/>
          </w:rPr>
          <w:t>https://www.clinicaltrials.gov/ct2/show/NCT02735590</w:t>
        </w:r>
      </w:hyperlink>
    </w:p>
    <w:p w14:paraId="1E5B1C7B" w14:textId="0EE20367" w:rsidR="00D81E8E" w:rsidRPr="00435469" w:rsidRDefault="00D81E8E" w:rsidP="00955FFB">
      <w:pPr>
        <w:spacing w:before="240" w:line="240" w:lineRule="auto"/>
        <w:rPr>
          <w:rFonts w:eastAsia="Times New Roman" w:cs="Times New Roman"/>
          <w:sz w:val="20"/>
          <w:szCs w:val="20"/>
          <w:shd w:val="clear" w:color="auto" w:fill="FFFFFF"/>
          <w:lang w:eastAsia="en-GB"/>
        </w:rPr>
      </w:pPr>
      <w:r w:rsidRPr="00435469">
        <w:rPr>
          <w:rFonts w:eastAsiaTheme="minorEastAsia" w:cs="Times New Roman"/>
          <w:iCs/>
          <w:sz w:val="20"/>
          <w:szCs w:val="20"/>
          <w:lang w:eastAsia="en-ZA"/>
        </w:rPr>
        <w:t>We suppose t</w:t>
      </w:r>
      <w:r w:rsidRPr="00435469">
        <w:rPr>
          <w:rFonts w:cs="Times New Roman"/>
          <w:sz w:val="20"/>
          <w:szCs w:val="20"/>
        </w:rPr>
        <w:t>he unadjusted LTBI prevalence, as measured by IGRA</w:t>
      </w:r>
      <w:r w:rsidR="00DF35D4" w:rsidRPr="00435469">
        <w:rPr>
          <w:rFonts w:cs="Times New Roman"/>
          <w:sz w:val="20"/>
          <w:szCs w:val="20"/>
        </w:rPr>
        <w:t xml:space="preserve"> (</w:t>
      </w:r>
      <w:r w:rsidR="00DF35D4" w:rsidRPr="00435469">
        <w:rPr>
          <w:rFonts w:cs="Times New Roman"/>
          <w:sz w:val="20"/>
          <w:szCs w:val="20"/>
        </w:rPr>
        <w:fldChar w:fldCharType="begin"/>
      </w:r>
      <w:r w:rsidR="00DF35D4" w:rsidRPr="00435469">
        <w:rPr>
          <w:rFonts w:cs="Times New Roman"/>
          <w:sz w:val="20"/>
          <w:szCs w:val="20"/>
        </w:rPr>
        <w:instrText xml:space="preserve"> REF _Ref80370233 \h </w:instrText>
      </w:r>
      <w:r w:rsidR="00F334C7" w:rsidRPr="00435469">
        <w:rPr>
          <w:rFonts w:cs="Times New Roman"/>
          <w:sz w:val="20"/>
          <w:szCs w:val="20"/>
        </w:rPr>
        <w:instrText xml:space="preserve"> \* MERGEFORMAT </w:instrText>
      </w:r>
      <w:r w:rsidR="00DF35D4" w:rsidRPr="00435469">
        <w:rPr>
          <w:rFonts w:cs="Times New Roman"/>
          <w:sz w:val="20"/>
          <w:szCs w:val="20"/>
        </w:rPr>
      </w:r>
      <w:r w:rsidR="00DF35D4"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2</w:t>
      </w:r>
      <w:r w:rsidR="00DF35D4" w:rsidRPr="00435469">
        <w:rPr>
          <w:rFonts w:cs="Times New Roman"/>
          <w:sz w:val="20"/>
          <w:szCs w:val="20"/>
        </w:rPr>
        <w:fldChar w:fldCharType="end"/>
      </w:r>
      <w:r w:rsidR="00DF35D4" w:rsidRPr="00435469">
        <w:rPr>
          <w:rFonts w:cs="Times New Roman"/>
          <w:sz w:val="20"/>
          <w:szCs w:val="20"/>
        </w:rPr>
        <w:t>)</w:t>
      </w:r>
      <w:r w:rsidRPr="00435469">
        <w:rPr>
          <w:rFonts w:cs="Times New Roman"/>
          <w:sz w:val="20"/>
          <w:szCs w:val="20"/>
        </w:rPr>
        <w:t>, can be expressed as</w:t>
      </w:r>
    </w:p>
    <w:p w14:paraId="28606CBB" w14:textId="22B815A8" w:rsidR="00D81E8E" w:rsidRPr="00435469" w:rsidRDefault="00000000" w:rsidP="00955FFB">
      <w:pPr>
        <w:spacing w:line="240" w:lineRule="auto"/>
        <w:jc w:val="center"/>
        <w:rPr>
          <w:rFonts w:cs="Times New Roman"/>
          <w:sz w:val="20"/>
          <w:szCs w:val="20"/>
          <w:lang w:eastAsia="en-ZA"/>
        </w:rPr>
      </w:pPr>
      <m:oMath>
        <m:sSub>
          <m:sSubPr>
            <m:ctrlPr>
              <w:rPr>
                <w:rFonts w:ascii="Cambria Math" w:hAnsi="Cambria Math" w:cs="Times New Roman"/>
                <w:i/>
                <w:iCs/>
                <w:sz w:val="20"/>
                <w:szCs w:val="20"/>
                <w:lang w:eastAsia="en-ZA"/>
              </w:rPr>
            </m:ctrlPr>
          </m:sSubPr>
          <m:e>
            <m:r>
              <w:rPr>
                <w:rFonts w:ascii="Cambria Math" w:hAnsi="Cambria Math" w:cs="Times New Roman"/>
                <w:sz w:val="20"/>
                <w:szCs w:val="20"/>
                <w:lang w:eastAsia="en-ZA"/>
              </w:rPr>
              <m:t>p</m:t>
            </m:r>
          </m:e>
          <m:sub>
            <m:r>
              <w:rPr>
                <w:rFonts w:ascii="Cambria Math" w:hAnsi="Cambria Math" w:cs="Times New Roman"/>
                <w:sz w:val="20"/>
                <w:szCs w:val="20"/>
                <w:lang w:eastAsia="en-ZA"/>
              </w:rPr>
              <m:t>1</m:t>
            </m:r>
          </m:sub>
        </m:sSub>
        <m:r>
          <w:rPr>
            <w:rFonts w:ascii="Cambria Math" w:eastAsiaTheme="minorEastAsia" w:hAnsi="Cambria Math" w:cs="Times New Roman"/>
            <w:sz w:val="20"/>
            <w:szCs w:val="20"/>
            <w:lang w:eastAsia="en-ZA"/>
          </w:rPr>
          <m:t>=</m:t>
        </m:r>
        <m:sSub>
          <m:sSubPr>
            <m:ctrlPr>
              <w:rPr>
                <w:rFonts w:ascii="Cambria Math" w:hAnsi="Cambria Math" w:cs="Times New Roman"/>
                <w:i/>
                <w:iCs/>
                <w:sz w:val="20"/>
                <w:szCs w:val="20"/>
                <w:lang w:eastAsia="en-ZA"/>
              </w:rPr>
            </m:ctrlPr>
          </m:sSubPr>
          <m:e>
            <m:r>
              <w:rPr>
                <w:rFonts w:ascii="Cambria Math" w:hAnsi="Cambria Math" w:cs="Times New Roman"/>
                <w:sz w:val="20"/>
                <w:szCs w:val="20"/>
                <w:lang w:eastAsia="en-ZA"/>
              </w:rPr>
              <m:t>p</m:t>
            </m:r>
          </m:e>
          <m:sub>
            <m:r>
              <w:rPr>
                <w:rFonts w:ascii="Cambria Math" w:hAnsi="Cambria Math" w:cs="Times New Roman"/>
                <w:sz w:val="20"/>
                <w:szCs w:val="20"/>
                <w:lang w:eastAsia="en-ZA"/>
              </w:rPr>
              <m:t>2</m:t>
            </m:r>
          </m:sub>
        </m:sSub>
        <m:r>
          <w:rPr>
            <w:rFonts w:ascii="Cambria Math" w:hAnsi="Cambria Math" w:cs="Times New Roman"/>
            <w:sz w:val="20"/>
            <w:szCs w:val="20"/>
            <w:lang w:eastAsia="en-ZA"/>
          </w:rPr>
          <m:t>Se+(1- </m:t>
        </m:r>
        <m:sSub>
          <m:sSubPr>
            <m:ctrlPr>
              <w:rPr>
                <w:rFonts w:ascii="Cambria Math" w:hAnsi="Cambria Math" w:cs="Times New Roman"/>
                <w:i/>
                <w:iCs/>
                <w:sz w:val="20"/>
                <w:szCs w:val="20"/>
                <w:lang w:eastAsia="en-ZA"/>
              </w:rPr>
            </m:ctrlPr>
          </m:sSubPr>
          <m:e>
            <m:r>
              <w:rPr>
                <w:rFonts w:ascii="Cambria Math" w:hAnsi="Cambria Math" w:cs="Times New Roman"/>
                <w:sz w:val="20"/>
                <w:szCs w:val="20"/>
                <w:lang w:eastAsia="en-ZA"/>
              </w:rPr>
              <m:t>p</m:t>
            </m:r>
          </m:e>
          <m:sub>
            <m:r>
              <w:rPr>
                <w:rFonts w:ascii="Cambria Math" w:hAnsi="Cambria Math" w:cs="Times New Roman"/>
                <w:sz w:val="20"/>
                <w:szCs w:val="20"/>
                <w:lang w:eastAsia="en-ZA"/>
              </w:rPr>
              <m:t>2</m:t>
            </m:r>
          </m:sub>
        </m:sSub>
        <m:r>
          <w:rPr>
            <w:rFonts w:ascii="Cambria Math" w:hAnsi="Cambria Math" w:cs="Times New Roman"/>
            <w:sz w:val="20"/>
            <w:szCs w:val="20"/>
            <w:lang w:eastAsia="en-ZA"/>
          </w:rPr>
          <m:t>)(1-Sp)</m:t>
        </m:r>
      </m:oMath>
      <w:r w:rsidR="00D81E8E" w:rsidRPr="00435469">
        <w:rPr>
          <w:rFonts w:eastAsiaTheme="minorEastAsia" w:cs="Times New Roman"/>
          <w:sz w:val="20"/>
          <w:szCs w:val="20"/>
          <w:lang w:eastAsia="en-ZA"/>
        </w:rPr>
        <w:t>,</w:t>
      </w:r>
    </w:p>
    <w:p w14:paraId="163817CE" w14:textId="1FCE713F" w:rsidR="00D81E8E" w:rsidRPr="00435469" w:rsidRDefault="00D81E8E" w:rsidP="00955FFB">
      <w:pPr>
        <w:spacing w:line="240" w:lineRule="auto"/>
        <w:rPr>
          <w:rFonts w:cs="Times New Roman"/>
          <w:sz w:val="20"/>
          <w:szCs w:val="20"/>
        </w:rPr>
      </w:pPr>
      <w:r w:rsidRPr="00435469">
        <w:rPr>
          <w:rFonts w:eastAsiaTheme="minorEastAsia" w:cs="Times New Roman"/>
          <w:iCs/>
          <w:sz w:val="20"/>
          <w:szCs w:val="20"/>
          <w:lang w:eastAsia="en-ZA"/>
        </w:rPr>
        <w:t xml:space="preserve">where </w:t>
      </w:r>
      <m:oMath>
        <m:sSub>
          <m:sSubPr>
            <m:ctrlPr>
              <w:rPr>
                <w:rFonts w:ascii="Cambria Math" w:hAnsi="Cambria Math" w:cs="Times New Roman"/>
                <w:i/>
                <w:iCs/>
                <w:sz w:val="20"/>
                <w:szCs w:val="20"/>
                <w:lang w:eastAsia="en-ZA"/>
              </w:rPr>
            </m:ctrlPr>
          </m:sSubPr>
          <m:e>
            <m:r>
              <w:rPr>
                <w:rFonts w:ascii="Cambria Math" w:hAnsi="Cambria Math" w:cs="Times New Roman"/>
                <w:sz w:val="20"/>
                <w:szCs w:val="20"/>
                <w:lang w:eastAsia="en-ZA"/>
              </w:rPr>
              <m:t>p</m:t>
            </m:r>
          </m:e>
          <m:sub>
            <m:r>
              <w:rPr>
                <w:rFonts w:ascii="Cambria Math" w:hAnsi="Cambria Math" w:cs="Times New Roman"/>
                <w:sz w:val="20"/>
                <w:szCs w:val="20"/>
                <w:lang w:eastAsia="en-ZA"/>
              </w:rPr>
              <m:t>2</m:t>
            </m:r>
          </m:sub>
        </m:sSub>
      </m:oMath>
      <w:r w:rsidRPr="00435469">
        <w:rPr>
          <w:rFonts w:eastAsiaTheme="minorEastAsia" w:cs="Times New Roman"/>
          <w:iCs/>
          <w:sz w:val="20"/>
          <w:szCs w:val="20"/>
          <w:lang w:eastAsia="en-ZA"/>
        </w:rPr>
        <w:t xml:space="preserve"> is the adjusted</w:t>
      </w:r>
      <w:r w:rsidR="00C34C0B" w:rsidRPr="00435469">
        <w:rPr>
          <w:rFonts w:eastAsiaTheme="minorEastAsia" w:cs="Times New Roman"/>
          <w:iCs/>
          <w:sz w:val="20"/>
          <w:szCs w:val="20"/>
          <w:lang w:eastAsia="en-ZA"/>
        </w:rPr>
        <w:t xml:space="preserve"> (true)</w:t>
      </w:r>
      <w:r w:rsidRPr="00435469">
        <w:rPr>
          <w:rFonts w:eastAsiaTheme="minorEastAsia" w:cs="Times New Roman"/>
          <w:iCs/>
          <w:sz w:val="20"/>
          <w:szCs w:val="20"/>
          <w:lang w:eastAsia="en-ZA"/>
        </w:rPr>
        <w:t xml:space="preserve"> LTBI prevalence, and </w:t>
      </w:r>
      <m:oMath>
        <m:r>
          <w:rPr>
            <w:rFonts w:ascii="Cambria Math" w:hAnsi="Cambria Math" w:cs="Times New Roman"/>
            <w:sz w:val="20"/>
            <w:szCs w:val="20"/>
            <w:lang w:eastAsia="en-ZA"/>
          </w:rPr>
          <m:t>Se</m:t>
        </m:r>
      </m:oMath>
      <w:r w:rsidRPr="00435469">
        <w:rPr>
          <w:rFonts w:eastAsiaTheme="minorEastAsia" w:cs="Times New Roman"/>
          <w:iCs/>
          <w:sz w:val="20"/>
          <w:szCs w:val="20"/>
          <w:lang w:eastAsia="en-ZA"/>
        </w:rPr>
        <w:t xml:space="preserve"> and </w:t>
      </w:r>
      <m:oMath>
        <m:r>
          <w:rPr>
            <w:rFonts w:ascii="Cambria Math" w:hAnsi="Cambria Math" w:cs="Times New Roman"/>
            <w:sz w:val="20"/>
            <w:szCs w:val="20"/>
            <w:lang w:eastAsia="en-ZA"/>
          </w:rPr>
          <m:t>Sp</m:t>
        </m:r>
      </m:oMath>
      <w:r w:rsidRPr="00435469">
        <w:rPr>
          <w:rFonts w:eastAsiaTheme="minorEastAsia" w:cs="Times New Roman"/>
          <w:iCs/>
          <w:sz w:val="20"/>
          <w:szCs w:val="20"/>
          <w:lang w:eastAsia="en-ZA"/>
        </w:rPr>
        <w:t xml:space="preserve"> are the sensitivity and specificity of QuantiFERON-TB Gold, respectively. The assumed sensitivity and specificity of QuantiFERON-TB Gold were 0.78 and </w:t>
      </w:r>
      <w:r w:rsidRPr="00435469">
        <w:rPr>
          <w:rFonts w:eastAsiaTheme="minorEastAsia" w:cs="Times New Roman"/>
          <w:iCs/>
          <w:sz w:val="20"/>
          <w:szCs w:val="20"/>
          <w:lang w:val="en-GB" w:eastAsia="en-ZA"/>
        </w:rPr>
        <w:t xml:space="preserve">0.96  </w:t>
      </w:r>
      <w:r w:rsidRPr="00435469">
        <w:rPr>
          <w:rFonts w:eastAsiaTheme="minorEastAsia" w:cs="Times New Roman"/>
          <w:iCs/>
          <w:sz w:val="20"/>
          <w:szCs w:val="20"/>
          <w:lang w:eastAsia="en-ZA"/>
        </w:rPr>
        <w:t xml:space="preserve">respectively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{"citationItems":[{"id":"ITEM-1","itemData":{"ISSN":"1539-3704","abstract":"BACKGROUND: Interferon-gamma-release assays (IGRAs) are alternatives to the tuberculin skin test (TST). A recent meta-analysis showed that IGRAs have high specificity, even among populations that have received bacille Calmette-Guérin (BCG) vaccination. Sensitivity was suboptimal for TST and IGRAs. PURPOSE: To incorporate newly reported evidence from 20 studies into an updated meta-analysis on the sensitivity and specificity of IGRAs. DATA SOURCES: PubMed was searched through 31 March 2008, and citations of all original articles, guidelines, and reviews for studies published in English were reviewed. STUDY SELECTION: Studies that evaluated QuantiFERON-TB Gold, QuantiFERON-TB Gold In-Tube (both from Cellestis, Victoria, Australia), and T-SPOT.TB (Oxford Immunotec, Oxford, United Kingdom) or its precommercial ELISpot version, when data on the commercial version were lacking. For assessing sensitivity, the study sample had to have microbiologically confirmed active tuberculosis. For assessing specificity, the sample had to comprise healthy, low-risk individuals without known exposure to tuberculosis. Studies with fewer than 10 participants and those that included only immunocompromised participants were excluded. DATA EXTRACTION: One reviewer abstracted data on participant characteristics, test characteristics, and test performance from 38 studies; these data were double-checked by a second reviewer. The original investigators were contacted for additional information when necessary. DATA SYNTHESIS: A fixed-effects meta-analysis with correction for overdispersion was done to pool data within prespecified subgroups. The pooled sensitivity was 78% (95% CI, 73% to 82%) for QuantiFERON-TB Gold, 70% (CI, 63% to 78%) for QuantiFERON-TB Gold In-Tube, and 90% (CI, 86% to 93%) for T-SPOT.TB. The pooled specificity for both QuantiFERON tests was 99% among non-BCG-vaccinated participants (CI, 98% to 100%) and 96% (CI, 94% to 98%) among BCG-vaccinated participants. The pooled specificity of T-SPOT.TB (including its precommercial ELISpot version) was 93% (CI, 86% to 100%). Tuberculin skin test results were heterogeneous, but specificity in non-BCG-vaccinated participants was consistently high (97% [CI, 95% to 99%]). LIMITATIONS: Most studies were small and had limitations, including no gold standard for diagnosing latent tuberculosis and variable TST methods and cutoff values. Data on the specificity of the commercial T-SPOT.TB assay were limited. CONCLUSION: The IGRAs,…","author":[{"dropping-particle":"","family":"Pai","given":"Madhukar","non-dropping-particle":"","parse-names":false,"suffix":""},{"dropping-particle":"","family":"Zwerling","given":"Alice","non-dropping-particle":"","parse-names":false,"suffix":""},{"dropping-particle":"","family":"Menzies","given":"Dick","non-dropping-particle":"","parse-names":false,"suffix":""}],"container-title":"Annals of Internal Medicine","id":"ITEM-1","issue":"3","issued":{"date-parts":[["2008"]]},"page":"177-184","title":"Systematic review: T-cell-based assays for the diagnosis of latent tuberculosis infection: an update","type":"article-journal","volume":"149"},"uris":["http://www.mendeley.com/documents/?uuid=43d12837-611e-4dd8-9fce-1c211f861344"]}],"mendeley":{"formattedCitation":"(10)","plainTextFormattedCitation":"(10)","previouslyFormattedCitation":"(10)"},"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(10)</w:t>
      </w:r>
      <w:r w:rsidRPr="00435469">
        <w:rPr>
          <w:rFonts w:cs="Times New Roman"/>
          <w:sz w:val="20"/>
          <w:szCs w:val="20"/>
        </w:rPr>
        <w:fldChar w:fldCharType="end"/>
      </w:r>
      <w:r w:rsidRPr="00435469">
        <w:rPr>
          <w:rFonts w:cs="Times New Roman"/>
          <w:sz w:val="20"/>
          <w:szCs w:val="20"/>
        </w:rPr>
        <w:t>. Then we have</w:t>
      </w:r>
    </w:p>
    <w:p w14:paraId="00F5F376" w14:textId="46F5C8CD" w:rsidR="00D81E8E" w:rsidRPr="00435469" w:rsidRDefault="00000000" w:rsidP="00955FFB">
      <w:pPr>
        <w:spacing w:line="240" w:lineRule="auto"/>
        <w:jc w:val="center"/>
        <w:rPr>
          <w:rFonts w:cs="Times New Roman"/>
          <w:sz w:val="20"/>
          <w:szCs w:val="20"/>
        </w:rPr>
      </w:pPr>
      <m:oMath>
        <m:sSub>
          <m:sSubPr>
            <m:ctrlPr>
              <w:rPr>
                <w:rFonts w:ascii="Cambria Math" w:hAnsi="Cambria Math" w:cs="Times New Roman"/>
                <w:i/>
                <w:iCs/>
                <w:sz w:val="20"/>
                <w:szCs w:val="20"/>
                <w:lang w:eastAsia="en-ZA"/>
              </w:rPr>
            </m:ctrlPr>
          </m:sSubPr>
          <m:e>
            <m:sSub>
              <m:sSubPr>
                <m:ctrlPr>
                  <w:rPr>
                    <w:rFonts w:ascii="Cambria Math" w:hAnsi="Cambria Math" w:cs="Times New Roman"/>
                    <w:i/>
                    <w:iCs/>
                    <w:sz w:val="20"/>
                    <w:szCs w:val="20"/>
                    <w:lang w:eastAsia="en-ZA"/>
                  </w:rPr>
                </m:ctrlPr>
              </m:sSubPr>
              <m:e>
                <m:r>
                  <w:rPr>
                    <w:rFonts w:ascii="Cambria Math" w:hAnsi="Cambria Math" w:cs="Times New Roman"/>
                    <w:sz w:val="20"/>
                    <w:szCs w:val="20"/>
                    <w:lang w:eastAsia="en-ZA"/>
                  </w:rPr>
                  <m:t>p</m:t>
                </m:r>
              </m:e>
              <m:sub>
                <m:r>
                  <w:rPr>
                    <w:rFonts w:ascii="Cambria Math" w:hAnsi="Cambria Math" w:cs="Times New Roman"/>
                    <w:sz w:val="20"/>
                    <w:szCs w:val="20"/>
                    <w:lang w:eastAsia="en-ZA"/>
                  </w:rPr>
                  <m:t>2</m:t>
                </m:r>
              </m:sub>
            </m:sSub>
            <m:r>
              <w:rPr>
                <w:rFonts w:ascii="Cambria Math" w:hAnsi="Cambria Math" w:cs="Times New Roman"/>
                <w:sz w:val="20"/>
                <w:szCs w:val="20"/>
                <w:lang w:eastAsia="en-ZA"/>
              </w:rPr>
              <m:t>=(p</m:t>
            </m:r>
          </m:e>
          <m:sub>
            <m:r>
              <w:rPr>
                <w:rFonts w:ascii="Cambria Math" w:hAnsi="Cambria Math" w:cs="Times New Roman"/>
                <w:sz w:val="20"/>
                <w:szCs w:val="20"/>
                <w:lang w:eastAsia="en-ZA"/>
              </w:rPr>
              <m:t>1</m:t>
            </m:r>
          </m:sub>
        </m:sSub>
        <m:r>
          <w:rPr>
            <w:rFonts w:ascii="Cambria Math" w:hAnsi="Cambria Math" w:cs="Times New Roman"/>
            <w:sz w:val="20"/>
            <w:szCs w:val="20"/>
            <w:lang w:eastAsia="en-ZA"/>
          </w:rPr>
          <m:t>(1-Sp))/(Se+Sp –1</m:t>
        </m:r>
      </m:oMath>
      <w:r w:rsidR="00D81E8E" w:rsidRPr="00435469">
        <w:rPr>
          <w:rFonts w:eastAsiaTheme="minorEastAsia" w:cs="Times New Roman"/>
          <w:iCs/>
          <w:sz w:val="20"/>
          <w:szCs w:val="20"/>
          <w:lang w:eastAsia="en-ZA"/>
        </w:rPr>
        <w:t>).</w:t>
      </w:r>
    </w:p>
    <w:p w14:paraId="76899D20" w14:textId="69B54082" w:rsidR="00D81E8E" w:rsidRPr="00435469" w:rsidRDefault="00D81E8E" w:rsidP="00955FFB">
      <w:pPr>
        <w:spacing w:line="240" w:lineRule="auto"/>
        <w:rPr>
          <w:rFonts w:eastAsiaTheme="minorEastAsia" w:cs="Times New Roman"/>
          <w:iCs/>
          <w:sz w:val="20"/>
          <w:szCs w:val="20"/>
        </w:rPr>
      </w:pPr>
      <w:r w:rsidRPr="00435469">
        <w:rPr>
          <w:rFonts w:cs="Times New Roman"/>
          <w:sz w:val="20"/>
          <w:szCs w:val="20"/>
        </w:rPr>
        <w:t xml:space="preserve">We fitted an exponential function to </w:t>
      </w:r>
      <w:r w:rsidR="009635D5" w:rsidRPr="00435469">
        <w:rPr>
          <w:rFonts w:cs="Times New Roman"/>
          <w:sz w:val="20"/>
          <w:szCs w:val="20"/>
        </w:rPr>
        <w:t>represent the relationship between age and</w:t>
      </w:r>
      <w:r w:rsidRPr="00435469">
        <w:rPr>
          <w:rFonts w:cs="Times New Roman"/>
          <w:sz w:val="20"/>
          <w:szCs w:val="20"/>
        </w:rPr>
        <w:t xml:space="preserve"> prevalence </w:t>
      </w:r>
      <m:oMath>
        <m:sSub>
          <m:sSubPr>
            <m:ctrlPr>
              <w:rPr>
                <w:rFonts w:ascii="Cambria Math" w:hAnsi="Cambria Math" w:cs="Times New Roman"/>
                <w:i/>
                <w:iCs/>
                <w:sz w:val="20"/>
                <w:szCs w:val="20"/>
                <w:lang w:eastAsia="en-ZA"/>
              </w:rPr>
            </m:ctrlPr>
          </m:sSubPr>
          <m:e>
            <m:r>
              <w:rPr>
                <w:rFonts w:ascii="Cambria Math" w:hAnsi="Cambria Math" w:cs="Times New Roman"/>
                <w:sz w:val="20"/>
                <w:szCs w:val="20"/>
                <w:lang w:eastAsia="en-ZA"/>
              </w:rPr>
              <m:t>p</m:t>
            </m:r>
          </m:e>
          <m:sub>
            <m:r>
              <w:rPr>
                <w:rFonts w:ascii="Cambria Math" w:hAnsi="Cambria Math" w:cs="Times New Roman"/>
                <w:sz w:val="20"/>
                <w:szCs w:val="20"/>
                <w:lang w:eastAsia="en-ZA"/>
              </w:rPr>
              <m:t>2</m:t>
            </m:r>
          </m:sub>
        </m:sSub>
      </m:oMath>
      <w:r w:rsidRPr="00435469">
        <w:rPr>
          <w:rFonts w:cs="Times New Roman"/>
          <w:sz w:val="20"/>
          <w:szCs w:val="20"/>
        </w:rPr>
        <w:t xml:space="preserve">, and thus the prevalence of LTBI can be given by the expression dependent on age: </w:t>
      </w:r>
      <m:oMath>
        <m:sSub>
          <m:sSubPr>
            <m:ctrlPr>
              <w:rPr>
                <w:rFonts w:ascii="Cambria Math" w:eastAsia="Times New Roman" w:hAnsi="Cambria Math" w:cs="Times New Roman"/>
                <w:i/>
                <w:sz w:val="20"/>
                <w:szCs w:val="20"/>
                <w:shd w:val="clear" w:color="auto" w:fill="FFFFFF"/>
                <w:lang w:eastAsia="en-GB"/>
              </w:rPr>
            </m:ctrlPr>
          </m:sSubPr>
          <m:e>
            <m:r>
              <w:rPr>
                <w:rFonts w:ascii="Cambria Math" w:eastAsia="Times New Roman" w:hAnsi="Cambria Math" w:cs="Times New Roman"/>
                <w:sz w:val="20"/>
                <w:szCs w:val="20"/>
                <w:shd w:val="clear" w:color="auto" w:fill="FFFFFF"/>
                <w:lang w:eastAsia="en-GB"/>
              </w:rPr>
              <m:t>F</m:t>
            </m:r>
          </m:e>
          <m:sub>
            <m:r>
              <w:rPr>
                <w:rFonts w:ascii="Cambria Math" w:eastAsia="Times New Roman" w:hAnsi="Cambria Math" w:cs="Times New Roman"/>
                <w:sz w:val="20"/>
                <w:szCs w:val="20"/>
                <w:shd w:val="clear" w:color="auto" w:fill="FFFFFF"/>
                <w:lang w:eastAsia="en-GB"/>
              </w:rPr>
              <m:t>ltbi</m:t>
            </m:r>
          </m:sub>
        </m:sSub>
        <m:d>
          <m:dPr>
            <m:ctrlPr>
              <w:rPr>
                <w:rFonts w:ascii="Cambria Math" w:eastAsia="Times New Roman" w:hAnsi="Cambria Math" w:cs="Times New Roman"/>
                <w:i/>
                <w:sz w:val="20"/>
                <w:szCs w:val="20"/>
                <w:shd w:val="clear" w:color="auto" w:fill="FFFFFF"/>
                <w:lang w:eastAsia="en-GB"/>
              </w:rPr>
            </m:ctrlPr>
          </m:dPr>
          <m:e>
            <m:r>
              <w:rPr>
                <w:rFonts w:ascii="Cambria Math" w:eastAsia="Times New Roman" w:hAnsi="Cambria Math" w:cs="Times New Roman"/>
                <w:sz w:val="20"/>
                <w:szCs w:val="20"/>
                <w:shd w:val="clear" w:color="auto" w:fill="FFFFFF"/>
                <w:lang w:eastAsia="en-GB"/>
              </w:rPr>
              <m:t>age</m:t>
            </m:r>
          </m:e>
        </m:d>
        <m:r>
          <w:rPr>
            <w:rFonts w:ascii="Cambria Math" w:eastAsia="Times New Roman" w:hAnsi="Cambria Math" w:cs="Times New Roman"/>
            <w:sz w:val="20"/>
            <w:szCs w:val="20"/>
            <w:shd w:val="clear" w:color="auto" w:fill="FFFFFF"/>
            <w:lang w:eastAsia="en-GB"/>
          </w:rPr>
          <m:t>=</m:t>
        </m:r>
        <m:r>
          <w:rPr>
            <w:rFonts w:ascii="Cambria Math" w:hAnsi="Cambria Math" w:cs="Times New Roman"/>
            <w:sz w:val="20"/>
            <w:szCs w:val="20"/>
          </w:rPr>
          <m:t>0.98</m:t>
        </m:r>
        <m:d>
          <m:dPr>
            <m:ctrlPr>
              <w:rPr>
                <w:rFonts w:ascii="Cambria Math" w:hAnsi="Cambria Math" w:cs="Times New Roman"/>
                <w:i/>
                <w:sz w:val="20"/>
                <w:szCs w:val="20"/>
              </w:rPr>
            </m:ctrlPr>
          </m:dPr>
          <m:e>
            <m:r>
              <w:rPr>
                <w:rFonts w:ascii="Cambria Math" w:hAnsi="Cambria Math" w:cs="Times New Roman"/>
                <w:sz w:val="20"/>
                <w:szCs w:val="20"/>
              </w:rPr>
              <m:t>1-</m:t>
            </m:r>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-0.066age</m:t>
                </m:r>
              </m:sup>
            </m:sSup>
          </m:e>
        </m:d>
      </m:oMath>
      <w:r w:rsidRPr="00435469">
        <w:rPr>
          <w:rFonts w:eastAsiaTheme="minorEastAsia" w:cs="Times New Roman"/>
          <w:iCs/>
          <w:sz w:val="20"/>
          <w:szCs w:val="20"/>
        </w:rPr>
        <w:t xml:space="preserve">. </w:t>
      </w:r>
    </w:p>
    <w:p w14:paraId="3BF1CBA3" w14:textId="4B8C434E" w:rsidR="00130014" w:rsidRPr="00435469" w:rsidRDefault="007E5B74" w:rsidP="00955FFB">
      <w:pPr>
        <w:spacing w:after="0" w:line="240" w:lineRule="auto"/>
        <w:rPr>
          <w:rFonts w:cs="Times New Roman"/>
          <w:sz w:val="20"/>
          <w:szCs w:val="20"/>
        </w:rPr>
      </w:pPr>
      <w:r w:rsidRPr="00435469">
        <w:rPr>
          <w:rFonts w:cs="Times New Roman"/>
          <w:sz w:val="20"/>
          <w:szCs w:val="20"/>
        </w:rPr>
        <w:t xml:space="preserve">Limitations associated with using </w:t>
      </w:r>
      <w:r w:rsidR="00E53F35" w:rsidRPr="00435469">
        <w:rPr>
          <w:rFonts w:cs="Times New Roman"/>
          <w:sz w:val="20"/>
          <w:szCs w:val="20"/>
        </w:rPr>
        <w:t xml:space="preserve">these </w:t>
      </w:r>
      <w:r w:rsidR="00E53F35" w:rsidRPr="00435469">
        <w:rPr>
          <w:rFonts w:eastAsia="Times New Roman" w:cs="Times New Roman"/>
          <w:sz w:val="20"/>
          <w:szCs w:val="20"/>
          <w:shd w:val="clear" w:color="auto" w:fill="FFFFFF"/>
          <w:lang w:eastAsia="en-GB"/>
        </w:rPr>
        <w:t>IGRA-based data i</w:t>
      </w:r>
      <w:r w:rsidR="0085596D" w:rsidRPr="00435469">
        <w:rPr>
          <w:rFonts w:eastAsia="Times New Roman" w:cs="Times New Roman"/>
          <w:sz w:val="20"/>
          <w:szCs w:val="20"/>
          <w:shd w:val="clear" w:color="auto" w:fill="FFFFFF"/>
          <w:lang w:eastAsia="en-GB"/>
        </w:rPr>
        <w:t xml:space="preserve">nclude </w:t>
      </w:r>
      <w:r w:rsidR="00E53F35" w:rsidRPr="00435469">
        <w:rPr>
          <w:rFonts w:eastAsia="Times New Roman" w:cs="Times New Roman"/>
          <w:sz w:val="20"/>
          <w:szCs w:val="20"/>
          <w:shd w:val="clear" w:color="auto" w:fill="FFFFFF"/>
          <w:lang w:eastAsia="en-GB"/>
        </w:rPr>
        <w:t xml:space="preserve">a greater likelihood </w:t>
      </w:r>
      <w:r w:rsidR="003841E8" w:rsidRPr="00435469">
        <w:rPr>
          <w:rFonts w:cs="Times New Roman"/>
          <w:sz w:val="20"/>
          <w:szCs w:val="20"/>
        </w:rPr>
        <w:t>to underestimate the proportion of t</w:t>
      </w:r>
      <w:r w:rsidR="00D81E8E" w:rsidRPr="00435469">
        <w:rPr>
          <w:rFonts w:cs="Times New Roman"/>
          <w:sz w:val="20"/>
          <w:szCs w:val="20"/>
        </w:rPr>
        <w:t>rue IGRA-positives</w:t>
      </w:r>
      <w:r w:rsidR="00E53F35" w:rsidRPr="00435469">
        <w:rPr>
          <w:rFonts w:cs="Times New Roman"/>
          <w:sz w:val="20"/>
          <w:szCs w:val="20"/>
        </w:rPr>
        <w:t xml:space="preserve"> because of the low sensitivity of the tool</w:t>
      </w:r>
      <w:r w:rsidR="00D81E8E" w:rsidRPr="00435469">
        <w:rPr>
          <w:rFonts w:cs="Times New Roman"/>
          <w:sz w:val="20"/>
          <w:szCs w:val="20"/>
        </w:rPr>
        <w:t xml:space="preserve">. </w:t>
      </w:r>
      <w:r w:rsidR="00D81E8E" w:rsidRPr="00435469">
        <w:rPr>
          <w:rFonts w:eastAsia="Times New Roman" w:cs="Times New Roman"/>
          <w:sz w:val="20"/>
          <w:szCs w:val="20"/>
          <w:shd w:val="clear" w:color="auto" w:fill="FFFFFF"/>
          <w:lang w:eastAsia="en-GB"/>
        </w:rPr>
        <w:t>A</w:t>
      </w:r>
      <w:r w:rsidR="006E0E11" w:rsidRPr="00435469">
        <w:rPr>
          <w:rFonts w:eastAsia="Times New Roman" w:cs="Times New Roman"/>
          <w:sz w:val="20"/>
          <w:szCs w:val="20"/>
          <w:shd w:val="clear" w:color="auto" w:fill="FFFFFF"/>
          <w:lang w:eastAsia="en-GB"/>
        </w:rPr>
        <w:t>n</w:t>
      </w:r>
      <w:r w:rsidR="001F46EB" w:rsidRPr="00435469">
        <w:rPr>
          <w:rFonts w:eastAsia="Times New Roman" w:cs="Times New Roman"/>
          <w:sz w:val="20"/>
          <w:szCs w:val="20"/>
          <w:shd w:val="clear" w:color="auto" w:fill="FFFFFF"/>
          <w:lang w:eastAsia="en-GB"/>
        </w:rPr>
        <w:t xml:space="preserve">other </w:t>
      </w:r>
      <w:r w:rsidR="00D81E8E" w:rsidRPr="00435469">
        <w:rPr>
          <w:rFonts w:eastAsia="Times New Roman" w:cs="Times New Roman"/>
          <w:sz w:val="20"/>
          <w:szCs w:val="20"/>
          <w:shd w:val="clear" w:color="auto" w:fill="FFFFFF"/>
          <w:lang w:eastAsia="en-GB"/>
        </w:rPr>
        <w:t>limitation of using these</w:t>
      </w:r>
      <w:r w:rsidR="001F46EB" w:rsidRPr="00435469">
        <w:rPr>
          <w:rFonts w:eastAsia="Times New Roman" w:cs="Times New Roman"/>
          <w:sz w:val="20"/>
          <w:szCs w:val="20"/>
          <w:shd w:val="clear" w:color="auto" w:fill="FFFFFF"/>
          <w:lang w:eastAsia="en-GB"/>
        </w:rPr>
        <w:t xml:space="preserve"> IGRA-based</w:t>
      </w:r>
      <w:r w:rsidR="00D81E8E" w:rsidRPr="00435469">
        <w:rPr>
          <w:rFonts w:eastAsia="Times New Roman" w:cs="Times New Roman"/>
          <w:sz w:val="20"/>
          <w:szCs w:val="20"/>
          <w:shd w:val="clear" w:color="auto" w:fill="FFFFFF"/>
          <w:lang w:eastAsia="en-GB"/>
        </w:rPr>
        <w:t xml:space="preserve"> data to initiate the LTBI profiles</w:t>
      </w:r>
      <w:r w:rsidR="002D3494" w:rsidRPr="00435469">
        <w:rPr>
          <w:rFonts w:eastAsia="Times New Roman" w:cs="Times New Roman"/>
          <w:sz w:val="20"/>
          <w:szCs w:val="20"/>
          <w:shd w:val="clear" w:color="auto" w:fill="FFFFFF"/>
          <w:lang w:eastAsia="en-GB"/>
        </w:rPr>
        <w:t xml:space="preserve"> in the model</w:t>
      </w:r>
      <w:r w:rsidR="00D81E8E" w:rsidRPr="00435469">
        <w:rPr>
          <w:rFonts w:eastAsia="Times New Roman" w:cs="Times New Roman"/>
          <w:sz w:val="20"/>
          <w:szCs w:val="20"/>
          <w:shd w:val="clear" w:color="auto" w:fill="FFFFFF"/>
          <w:lang w:eastAsia="en-GB"/>
        </w:rPr>
        <w:t xml:space="preserve"> is that these are recent data and are possibly not a true reflection of LTBI prevalence in 1985. Nonetheless, we justify this with the fact that the proportions were from an HIV-negative population</w:t>
      </w:r>
      <w:r w:rsidR="00637E63" w:rsidRPr="00435469">
        <w:rPr>
          <w:rFonts w:eastAsia="Times New Roman" w:cs="Times New Roman"/>
          <w:sz w:val="20"/>
          <w:szCs w:val="20"/>
          <w:shd w:val="clear" w:color="auto" w:fill="FFFFFF"/>
          <w:lang w:eastAsia="en-GB"/>
        </w:rPr>
        <w:t xml:space="preserve"> (an</w:t>
      </w:r>
      <w:r w:rsidR="008355E9" w:rsidRPr="00435469">
        <w:rPr>
          <w:rFonts w:eastAsia="Times New Roman" w:cs="Times New Roman"/>
          <w:sz w:val="20"/>
          <w:szCs w:val="20"/>
          <w:shd w:val="clear" w:color="auto" w:fill="FFFFFF"/>
          <w:lang w:eastAsia="en-GB"/>
        </w:rPr>
        <w:t>d</w:t>
      </w:r>
      <w:r w:rsidR="00637E63" w:rsidRPr="00435469">
        <w:rPr>
          <w:rFonts w:eastAsia="Times New Roman" w:cs="Times New Roman"/>
          <w:sz w:val="20"/>
          <w:szCs w:val="20"/>
          <w:shd w:val="clear" w:color="auto" w:fill="FFFFFF"/>
          <w:lang w:eastAsia="en-GB"/>
        </w:rPr>
        <w:t xml:space="preserve"> hence may represent </w:t>
      </w:r>
      <w:r w:rsidR="008A064A" w:rsidRPr="00435469">
        <w:rPr>
          <w:rFonts w:eastAsia="Times New Roman" w:cs="Times New Roman"/>
          <w:sz w:val="20"/>
          <w:szCs w:val="20"/>
          <w:shd w:val="clear" w:color="auto" w:fill="FFFFFF"/>
          <w:lang w:eastAsia="en-GB"/>
        </w:rPr>
        <w:t>the era where HIV prevalence was very low in S</w:t>
      </w:r>
      <w:r w:rsidR="008355E9" w:rsidRPr="00435469">
        <w:rPr>
          <w:rFonts w:eastAsia="Times New Roman" w:cs="Times New Roman"/>
          <w:sz w:val="20"/>
          <w:szCs w:val="20"/>
          <w:shd w:val="clear" w:color="auto" w:fill="FFFFFF"/>
          <w:lang w:eastAsia="en-GB"/>
        </w:rPr>
        <w:t>outh Africa</w:t>
      </w:r>
      <w:r w:rsidR="00637E63" w:rsidRPr="00435469">
        <w:rPr>
          <w:rFonts w:eastAsia="Times New Roman" w:cs="Times New Roman"/>
          <w:sz w:val="20"/>
          <w:szCs w:val="20"/>
          <w:shd w:val="clear" w:color="auto" w:fill="FFFFFF"/>
          <w:lang w:eastAsia="en-GB"/>
        </w:rPr>
        <w:t>)</w:t>
      </w:r>
      <w:r w:rsidR="00D81E8E" w:rsidRPr="00435469">
        <w:rPr>
          <w:rFonts w:eastAsia="Times New Roman" w:cs="Times New Roman"/>
          <w:sz w:val="20"/>
          <w:szCs w:val="20"/>
          <w:shd w:val="clear" w:color="auto" w:fill="FFFFFF"/>
          <w:lang w:eastAsia="en-GB"/>
        </w:rPr>
        <w:t xml:space="preserve"> </w:t>
      </w:r>
      <w:r w:rsidR="00D81E8E" w:rsidRPr="00435469">
        <w:rPr>
          <w:rFonts w:cs="Times New Roman"/>
          <w:sz w:val="20"/>
          <w:szCs w:val="20"/>
        </w:rPr>
        <w:fldChar w:fldCharType="begin" w:fldLock="1"/>
      </w:r>
      <w:r w:rsidR="002F049E" w:rsidRPr="00435469">
        <w:rPr>
          <w:rFonts w:cs="Times New Roman"/>
          <w:sz w:val="20"/>
          <w:szCs w:val="20"/>
        </w:rPr>
        <w:instrText>ADDIN CSL_CITATION {"citationItems":[{"id":"ITEM-1","itemData":{"DOI":"10.1016/S1473-3099(20)30914-2","ISSN":"14744457","PMID":"33508224","abstract":"Background: Targeted preventive therapy for individuals at highest risk of incident tuberculosis might impact the epidemic by interrupting transmission. We tested performance of a transcriptomic signature of tuberculosis (RISK11) and efficacy of signature-guided preventive therapy in parallel, using a hybrid three-group study design. Methods: Adult volunteers aged 18–59 years were recruited at five geographically distinct communities in South Africa. Whole blood was sampled for RISK11 by quantitative RT-PCR assay from eligible volunteers without HIV, recent previous tuberculosis (ie, &lt;3 years before screening), or comorbidities at screening. RISK11-positive participants were block randomised (1:2; block size 15) to once-weekly, directly-observed, open-label isoniazid and rifapentine for 12 weeks (ie, RISK11 positive and 3HP positive), or no treatment (ie, RISK11 positive and 3HP negative). A subset of eligible RISK11-negative volunteers were randomly assigned to no treatment (ie, RISK11 negative and 3HP negative). Diagnostic discrimination of prevalent tuberculosis was tested in all participants at baseline. Thereafter, prognostic discrimination of incident tuberculosis was tested in the untreated RISK11-positive versus RISK11-negative groups, and treatment efficacy in the 3HP-treated versus untreated RISK11-positive groups, during active surveillance through 15 months. The primary endpoint was microbiologically confirmed pulmonary tuberculosis. The primary outcome measures were risk ratio [RR] for tuberculosis of RISK11-positive to RISK11-negative participants, and treatment efficacy. This trial is registered with ClinicalTrials.gov, NCT02735590. Findings: 20 207 volunteers were screened, and 2923 participants were enrolled, including RISK11-positive participants randomly assigned to 3HP (n=375) or no 3HP (n=764), and 1784 RISK11-negative participants. Cumulative probability of prevalent or incident tuberculosis disease was 0·066 (95% CI 0·049 to 0·084) in RISK11-positive (3HP negative) participants and 0·018 (0·011 to 0·025) in RISK11-negative participants (RR 3·69, 95% CI 2·25–6·05) over 15 months. Tuberculosis prevalence was 47 (4·1%) of 1139 versus 14 (0·78%) of 1984 in RISK11-positive compared with RISK11-negative participants, respectively (diagnostic RR 5·13, 95% CI 2·93 to 9·43). Tuberculosis incidence over 15 months was 2·09 (95% CI 0·97 to 3·19) vs 0·80 (0·30 to 1·30) per 100 person years in RISK11-positive (3HP-negative) participants compare…","author":[{"dropping-particle":"","family":"Scriba","given":"Thomas J.","non-dropping-particle":"","parse-names":false,"suffix":""},{"dropping-particle":"","family":"Fiore-Gartland","given":"Andrew","non-dropping-particle":"","parse-names":false,"suffix":""},{"dropping-particle":"","family":"Penn-Nicholson","given":"Adam","non-dropping-particle":"","parse-names":false,"suffix":""},{"dropping-particle":"","family":"Mulenga","given":"Humphrey","non-dropping-particle":"","parse-names":false,"suffix":""},{"dropping-particle":"","family":"Kimbung Mbandi","given":"Stanley","non-dropping-particle":"","parse-names":false,"suffix":""},{"dropping-particle":"","family":"Borate","given":"Bhavesh","non-dropping-particle":"","parse-names":false,"suffix":""},{"dropping-particle":"","family":"Mendelsohn","given":"Simon C.","non-dropping-particle":"","parse-names":false,"suffix":""},{"dropping-particle":"","family":"Hadley","given":"Katie","non-dropping-particle":"","parse-names":false,"suffix":""},{"dropping-particle":"","family":"Hikuam","given":"Chris","non-dropping-particle":"","parse-names":false,"suffix":""},{"dropping-particle":"","family":"Kaskar","given":"Masooda","non-dropping-particle":"","parse-names":false,"suffix":""},{"dropping-particle":"","family":"Musvosvi","given":"Munyaradzi","non-dropping-particle":"","parse-names":false,"suffix":""},{"dropping-particle":"","family":"Bilek","given":"Nicole","non-dropping-particle":"","parse-names":false,"suffix":""},{"dropping-particle":"","family":"Self","given":"Steven","non-dropping-particle":"","parse-names":false,"suffix":""},{"dropping-particle":"","family":"Sumner","given":"Tom","non-dropping-particle":"","parse-names":false,"suffix":""},{"dropping-particle":"","family":"White","given":"Richard G.","non-dropping-particle":"","parse-names":false,"suffix":""},{"dropping-particle":"","family":"Erasmus","given":"Mzwandile","non-dropping-particle":"","parse-names":false,"suffix":""},{"dropping-particle":"","family":"Jaxa","given":"Lungisa","non-dropping-particle":"","parse-names":false,"suffix":""},{"dropping-particle":"","family":"Raphela","given":"Rodney","non-dropping-particle":"","parse-names":false,"suffix":""},{"dropping-particle":"","family":"Innes","given":"Craig","non-dropping-particle":"","parse-names":false,"suffix":""},{"dropping-particle":"","family":"Brumskine","given":"William","non-dropping-particle":"","parse-names":false,"suffix":""},{"dropping-particle":"","family":"Hiemstra","given":"Andriëtte","non-dropping-particle":"","parse-names":false,"suffix":""},{"dropping-particle":"","family":"Malherbe","given":"Stephanus T.","non-dropping-particle":"","parse-names":false,"suffix":""},{"dropping-particle":"","family":"Hassan-Moosa","given":"Razia","non-dropping-particle":"","parse-names":false,"suffix":""},{"dropping-particle":"","family":"Tameris","given":"Michèle","non-dropping-particle":"","parse-names":false,"suffix":""},{"dropping-particle":"","family":"Walzl","given":"Gerhard","non-dropping-particle":"","parse-names":false,"suffix":""},{"dropping-particle":"","family":"Naidoo","given":"Kogieleum","non-dropping-particle":"","parse-names":false,"suffix":""},{"dropping-particle":"","family":"Churchyard","given":"Gavin","non-dropping-particle":"","parse-names":false,"suffix":""},{"dropping-particle":"","family":"Hatherill","given":"Mark","non-dropping-particle":"","parse-names":false,"suffix":""},{"dropping-particle":"","family":"Baepanye","given":"Kesenogile","non-dropping-particle":"","parse-names":false,"suffix":""},{"dropping-particle":"","family":"Baepanye","given":"Tshepiso","non-dropping-particle":"","parse-names":false,"suffix":""},{"dropping-particle":"","family":"Clarke","given":"Ken","non-dropping-particle":"","parse-names":false,"suffix":""},{"dropping-particle":"","family":"Collignon","given":"Marelize","non-dropping-particle":"","parse-names":false,"suffix":""},{"dropping-particle":"","family":"Dlamini","given":"Audrey","non-dropping-particle":"","parse-names":false,"suffix":""},{"dropping-particle":"","family":"Eyre","given":"Candice","non-dropping-particle":"","parse-names":false,"suffix":""},{"dropping-particle":"","family":"Feni","given":"Tebogo","non-dropping-particle":"","parse-names":false,"suffix":""},{"dropping-particle":"","family":"Fikizolo","given":"Moogo","non-dropping-particle":"","parse-names":false,"suffix":""},{"dropping-particle":"","family":"Galane","given":"Phinda","non-dropping-particle":"","parse-names":false,"suffix":""},{"dropping-particle":"","family":"Goliath","given":"Thelma","non-dropping-particle":"","parse-names":false,"suffix":""},{"dropping-particle":"","family":"Gangat","given":"Alia","non-dropping-particle":"","parse-names":false,"suffix":""},{"dropping-particle":"","family":"Malefo-Grootboom","given":"Shirley","non-dropping-particle":"","parse-names":false,"suffix":""},{"dropping-particle":"","family":"Janse van Rensburg","given":"Elba","non-dropping-particle":"","parse-names":false,"suffix":""},{"dropping-particle":"","family":"Janse van Rensburg","given":"Bonita","non-dropping-particle":"","parse-names":false,"suffix":""},{"dropping-particle":"","family":"Kekana","given":"Sophy","non-dropping-particle":"","parse-names":false,"suffix":""},{"dropping-particle":"","family":"Zietsman","given":"Marietjie","non-dropping-particle":"","parse-names":false,"suffix":""},{"dropping-particle":"","family":"Kock","given":"Adrianne","non-dropping-particle":"","parse-names":false,"suffix":""},{"dropping-particle":"","family":"Kunene","given":"Israel","non-dropping-particle":"","parse-names":false,"suffix":""},{"dropping-particle":"","family":"Lakhi","given":"Aneessa","non-dropping-particle":"","parse-names":false,"suffix":""},{"dropping-particle":"","family":"Langa","given":"Nondumiso","non-dropping-particle":"","parse-names":false,"suffix":""},{"dropping-particle":"","family":"Ledwaba","given":"Hilda","non-dropping-particle":"","parse-names":false,"suffix":""},{"dropping-particle":"","family":"Luphoko","given":"Marillyn","non-dropping-particle":"","parse-names":false,"suffix":""},{"dropping-particle":"","family":"Mabasa","given":"Immaculate","non-dropping-particle":"","parse-names":false,"suffix":""},{"dropping-particle":"","family":"Mabe","given":"Dorah","non-dropping-particle":"","parse-names":false,"suffix":""},{"dropping-particle":"","family":"Mabuza","given":"Nkosinathi","non-dropping-particle":"","parse-names":false,"suffix":""},{"dropping-particle":"","family":"Majola","given":"Molly","non-dropping-particle":"","parse-names":false,"suffix":""},{"dropping-particle":"","family":"Makhetha","given":"Mantai","non-dropping-particle":"","parse-names":false,"suffix":""},{"dropping-particle":"","family":"Makoanyane","given":"Mpho","non-dropping-particle":"","parse-names":false,"suffix":""},{"dropping-particle":"","family":"Makhubalo","given":"Blossom","non-dropping-particle":"","parse-names":false,"suffix":""},{"dropping-particle":"","family":"Malay","given":"Vernon","non-dropping-particle":"","parse-names":false,"suffix":""},{"dropping-particle":"","family":"Market","given":"Juanita","non-dropping-particle":"","parse-names":false,"suffix":""},{"dropping-particle":"","family":"Matshego","given":"Selvy","non-dropping-particle":"","parse-names":false,"suffix":""},{"dropping-particle":"","family":"Mbipa","given":"Nontsikelelo","non-dropping-particle":"","parse-names":false,"suffix":""},{"dropping-particle":"","family":"Mmotsa","given":"Tsiamo","non-dropping-particle":"","parse-names":false,"suffix":""},{"dropping-particle":"","family":"Modipa","given":"Sylvester","non-dropping-particle":"","parse-names":false,"suffix":""},{"dropping-particle":"","family":"Mopati","given":"Samuel","non-dropping-particle":"","parse-names":false,"suffix":""},{"dropping-particle":"","family":"Moswegu","given":"Palesa","non-dropping-particle":"","parse-names":false,"suffix":""},{"dropping-particle":"","family":"Mothaga","given":"Primrose","non-dropping-particle":"","parse-names":false,"suffix":""},{"dropping-particle":"","family":"Muller","given":"Dorothy","non-dropping-particle":"","parse-names":false,"suffix":""},{"dropping-particle":"","family":"Nchwe","given":"Grace","non-dropping-particle":"","parse-names":false,"suffix":""},{"dropping-particle":"","family":"Nel","given":"Maryna","non-dropping-particle":"","parse-names":false,"suffix":""},{"dropping-particle":"","family":"Nhlangulela","given":"Lindiwe","non-dropping-particle":"","parse-names":false,"suffix":""},{"dropping-particle":"","family":"Ntamo","given":"Bantubonke","non-dropping-particle":"","parse-names":false,"suffix":""},{"dropping-particle":"","family":"Ntoahae","given":"Lawerence","non-dropping-particle":"","parse-names":false,"suffix":""},{"dropping-particle":"","family":"Ntshauba","given":"Tedrius","non-dropping-particle":"","parse-names":false,"suffix":""},{"dropping-particle":"","family":"Sanyaka","given":"Nomsa","non-dropping-particle":"","parse-names":false,"suffix":""},{"dropping-particle":"","family":"Seabela","given":"Letlhogonolo","non-dropping-particle":"","parse-names":false,"suffix":""},{"dropping-particle":"","family":"Selepe","given":"Pearl","non-dropping-particle":"","parse-names":false,"suffix":""},{"dropping-particle":"","family":"Senne","given":"Melissa","non-dropping-particle":"","parse-names":false,"suffix":""},{"dropping-particle":"","family":"Serake","given":"M. G.","non-dropping-particle":"","parse-names":false,"suffix":""},{"dropping-particle":"","family":"Thlapi","given":"Maria","non-dropping-particle":"","parse-names":false,"suffix":""},{"dropping-particle":"","family":"Tshikovhi","given":"Vincent","non-dropping-particle":"","parse-names":false,"suffix":""},{"dropping-particle":"","family":"Tswaile","given":"Lebogang","non-dropping-particle":"","parse-names":false,"suffix":""},{"dropping-particle":"","family":"Aswegen","given":"Amanda","non-dropping-particle":"van","parse-names":false,"suffix":""},{"dropping-particle":"","family":"Mbata","given":"Lungile","non-dropping-particle":"","parse-names":false,"suffix":""},{"dropping-particle":"","family":"Takavamanya","given":"Constance","non-dropping-particle":"","parse-names":false,"suffix":""},{"dropping-particle":"","family":"Pinho","given":"Pedro","non-dropping-particle":"","parse-names":false,"suffix":""},{"dropping-particle":"","family":"Mdlulu","given":"John","non-dropping-particle":"","parse-names":false,"suffix":""},{"dropping-particle":"","family":"Taljaard","given":"Marthinette","non-dropping-particle":"","parse-names":false,"suffix":""},{"dropping-particle":"","family":"Slabbert","given":"Naydene","non-dropping-particle":"","parse-names":false,"suffix":""},{"dropping-particle":"","family":"Sayed","given":"Sharfuddin","non-dropping-particle":"","parse-names":false,"suffix":""},{"dropping-particle":"","family":"Nielson","given":"Tanya","non-dropping-particle":"","parse-names":false,"suffix":""},{"dropping-particle":"","family":"Ni Sein","given":"Ni","non-dropping-particle":"","parse-names":false,"suffix":""},{"dropping-particle":"","family":"Govender","given":"Dhineshree","non-dropping-particle":"","parse-names":false,"suffix":""},{"dropping-particle":"","family":"Chinappa","given":"Tilagavathy","non-dropping-particle":"","parse-names":false,"suffix":""},{"dropping-particle":"","family":"Zulu","given":"Mbali Ignatia","non-dropping-particle":"","parse-names":false,"suffix":""},{"dropping-particle":"","family":"Maphanga","given":"Nonhle Bridgette","non-dropping-particle":"","parse-names":false,"suffix":""},{"dropping-particle":"","family":"Hlathi","given":"Senzo Ralph","non-dropping-particle":"","parse-names":false,"suffix":""},{"dropping-particle":"","family":"Gumede","given":"Goodness Khanyisile","non-dropping-particle":"","parse-names":false,"suffix":""},{"dropping-particle":"","family":"Shezi","given":"Thandiwe Yvonne","non-dropping-particle":"","parse-names":false,"suffix":""},{"dropping-particle":"","family":"Maphanga","given":"Jabulisiwe Lethabo","non-dropping-particle":"","parse-names":false,"suffix":""},{"dropping-particle":"","family":"Jali","given":"Zandile Patrica","non-dropping-particle":"","parse-names":false,"suffix":""},{"dropping-particle":"","family":"Cwele","given":"Thobelani","non-dropping-particle":"","parse-names":false,"suffix":""},{"dropping-particle":"","family":"Gwamanda","given":"Nonhlanhla Zanele Elsie","non-dropping-particle":"","parse-names":false,"suffix":""},{"dropping-particle":"","family":"Dlamini","given":"Celaphiwe","non-dropping-particle":"","parse-names":false,"suffix":""},{"dropping-particle":"","family":"Sing","given":"Zibuyile Phindile Penlee","non-dropping-particle":"","parse-names":false,"suffix":""},{"dropping-particle":"","family":"Ntanjana","given":"Ntombozuko Gloria","non-dropping-particle":"","parse-names":false,"suffix":""},{"dropping-particle":"","family":"Nzimande","given":"Sphelele Simo","non-dropping-particle":"","parse-names":false,"suffix":""},{"dropping-particle":"","family":"Mbatha","given":"Siyabonga","non-dropping-particle":"","parse-names":false,"suffix":""},{"dropping-particle":"","family":"Maharaj","given":"Bhavna","non-dropping-particle":"","parse-names":false,"suffix":""},{"dropping-particle":"","family":"Moosa","given":"Atika","non-dropping-particle":"","parse-names":false,"suffix":""},{"dropping-particle":"","family":"Corris","given":"Cara Mia","non-dropping-particle":"","parse-names":false,"suffix":""},{"dropping-particle":"","family":"Kafaar","given":"Fazlin","non-dropping-particle":"","parse-names":false,"suffix":""},{"dropping-particle":"","family":"Geldenhuys","given":"Hennie","non-dropping-particle":"","parse-names":false,"suffix":""},{"dropping-particle":"","family":"Luabeya","given":"Angelique Kany Kany","non-dropping-particle":"","parse-names":false,"suffix":""},{"dropping-particle":"","family":"Shenje","given":"Justin","non-dropping-particle":"","parse-names":false,"suffix":""},{"dropping-particle":"","family":"Botes","given":"Natasja","non-dropping-particle":"","parse-names":false,"suffix":""},{"dropping-particle":"","family":"Rossouw","given":"Susan","non-dropping-particle":"","parse-names":false,"suffix":""},{"dropping-particle":"","family":"Africa","given":"Hadn","non-dropping-particle":"","parse-names":false,"suffix":""},{"dropping-particle":"","family":"Diamond","given":"Bongani","non-dropping-particle":"","parse-names":false,"suffix":""},{"dropping-particle":"","family":"Braaf","given":"Samentra","non-dropping-particle":"","parse-names":false,"suffix":""},{"dropping-particle":"","family":"Stryers","given":"Sonia","non-dropping-particle":"","parse-names":false,"suffix":""},{"dropping-particle":"","family":"Carstens","given":"Alida","non-dropping-particle":"","parse-names":false,"suffix":""},{"dropping-particle":"","family":"Jansen","given":"Ruwiyda","non-dropping-particle":"","parse-names":false,"suffix":""},{"dropping-particle":"","family":"Mabwe","given":"Simbarashe","non-dropping-particle":"","parse-names":false,"suffix":""},{"dropping-particle":"","family":"Herling","given":"Roxane","non-dropping-particle":"","parse-names":false,"suffix":""},{"dropping-particle":"","family":"Veldsman","given":"Ashley","non-dropping-particle":"","parse-names":false,"suffix":""},{"dropping-particle":"","family":"Makhete","given":"Lebohgang","non-dropping-particle":"","parse-names":false,"suffix":""},{"dropping-particle":"","family":"Steyn","given":"Marcia","non-dropping-particle":"","parse-names":false,"suffix":""},{"dropping-particle":"","family":"Buhlungu","given":"Sivuyile","non-dropping-particle":"","parse-names":false,"suffix":""},{"dropping-particle":"","family":"Erasmus","given":"Margareth","non-dropping-particle":"","parse-names":false,"suffix":""},{"dropping-particle":"","family":"Davids","given":"Ilse","non-dropping-particle":"","parse-names":false,"suffix":""},{"dropping-particle":"","family":"Plaatjie","given":"Patiswa","non-dropping-particle":"","parse-names":false,"suffix":""},{"dropping-particle":"","family":"Companie","given":"Alessandro","non-dropping-particle":"","parse-names":false,"suffix":""},{"dropping-particle":"","family":"Ratangee","given":"Frances","non-dropping-particle":"","parse-names":false,"suffix":""},{"dropping-particle":"","family":"Veldtsman","given":"Helen","non-dropping-particle":"","parse-names":false,"suffix":""},{"dropping-particle":"","family":"Petersen","given":"Christel","non-dropping-particle":"","parse-names":false,"suffix":""},{"dropping-particle":"","family":"Abrahams","given":"Charmaine","non-dropping-particle":"","parse-names":false,"suffix":""},{"dropping-particle":"","family":"Moses","given":"Miriam","non-dropping-particle":"","parse-names":false,"suffix":""},{"dropping-particle":"","family":"Kelepu","given":"Xoliswa","non-dropping-particle":"","parse-names":false,"suffix":""},{"dropping-particle":"","family":"Gregg","given":"Yolande","non-dropping-particle":"","parse-names":false,"suffix":""},{"dropping-particle":"","family":"Swanepoel","given":"Liticia","non-dropping-particle":"","parse-names":false,"suffix":""},{"dropping-particle":"","family":"Magawu","given":"Nomsitho","non-dropping-particle":"","parse-names":false,"suffix":""},{"dropping-particle":"","family":"Cetywayo","given":"Nompumelelo","non-dropping-particle":"","parse-names":false,"suffix":""},{"dropping-particle":"","family":"Mactavie","given":"Lauren","non-dropping-particle":"","parse-names":false,"suffix":""},{"dropping-particle":"","family":"Valley","given":"Habibullah","non-dropping-particle":"","parse-names":false,"suffix":""},{"dropping-particle":"","family":"Filander","given":"Elizabeth","non-dropping-particle":"","parse-names":false,"suffix":""},{"dropping-particle":"","family":"Nqakala","given":"Nambitha","non-dropping-particle":"","parse-names":false,"suffix":""},{"dropping-particle":"","family":"Maasdorp","given":"Elizna","non-dropping-particle":"","parse-names":false,"suffix":""},{"dropping-particle":"","family":"Khoury","given":"Justine","non-dropping-particle":"","parse-names":false,"suffix":""},{"dropping-particle":"","family":"Kriel","given":"Belinda","non-dropping-particle":"","parse-names":false,"suffix":""},{"dropping-particle":"","family":"Smith","given":"Bronwyn","non-dropping-particle":"","parse-names":false,"suffix":""},{"dropping-particle":"","family":"Muller","given":"Liesel","non-dropping-particle":"","parse-names":false,"suffix":""},{"dropping-particle":"","family":"Tonsing","given":"Susanne","non-dropping-particle":"","parse-names":false,"suffix":""},{"dropping-particle":"","family":"Loxton","given":"Andre","non-dropping-particle":"","parse-names":false,"suffix":""},{"dropping-particle":"","family":"Hiemstra","given":"Andriette","non-dropping-particle":"","parse-names":false,"suffix":""},{"dropping-particle":"","family":"Ahlers","given":"Petri","non-dropping-particle":"","parse-names":false,"suffix":""},{"dropping-particle":"","family":"Flinn","given":"Marika","non-dropping-particle":"","parse-names":false,"suffix":""},{"dropping-particle":"","family":"Chung","given":"Eva","non-dropping-particle":"","parse-names":false,"suffix":""},{"dropping-particle":"","family":"Chung","given":"Michelle","non-dropping-particle":"","parse-names":false,"suffix":""},{"dropping-particle":"","family":"Sato","given":"Alicia","non-dropping-particle":"","parse-names":false,"suffix":""}],"container-title":"The Lancet Infectious Diseases","id":"ITEM-1","issue":"3","issued":{"date-parts":[["2021"]]},"page":"354-365","title":"Biomarker-guided tuberculosis preventive therapy (CORTIS): a randomised controlled trial","type":"article-journal","volume":"21"},"uris":["http://www.mendeley.com/documents/?uuid=7f82fc17-a5b7-48ae-af4e-90064a726b6b"]}],"mendeley":{"formattedCitation":"(9)","plainTextFormattedCitation":"(9)","previouslyFormattedCitation":"(9)"},"properties":{"noteIndex":0},"schema":"https://github.com/citation-style-language/schema/raw/master/csl-citation.json"}</w:instrText>
      </w:r>
      <w:r w:rsidR="00D81E8E" w:rsidRPr="00435469">
        <w:rPr>
          <w:rFonts w:cs="Times New Roman"/>
          <w:sz w:val="20"/>
          <w:szCs w:val="20"/>
        </w:rPr>
        <w:fldChar w:fldCharType="separate"/>
      </w:r>
      <w:r w:rsidR="0063047A" w:rsidRPr="00435469">
        <w:rPr>
          <w:rFonts w:cs="Times New Roman"/>
          <w:noProof/>
          <w:sz w:val="20"/>
          <w:szCs w:val="20"/>
        </w:rPr>
        <w:t>(9)</w:t>
      </w:r>
      <w:r w:rsidR="00D81E8E" w:rsidRPr="00435469">
        <w:rPr>
          <w:rFonts w:cs="Times New Roman"/>
          <w:sz w:val="20"/>
          <w:szCs w:val="20"/>
        </w:rPr>
        <w:fldChar w:fldCharType="end"/>
      </w:r>
      <w:r w:rsidR="00D81E8E" w:rsidRPr="00435469">
        <w:rPr>
          <w:rFonts w:eastAsia="Times New Roman" w:cs="Times New Roman"/>
          <w:sz w:val="20"/>
          <w:szCs w:val="20"/>
          <w:shd w:val="clear" w:color="auto" w:fill="FFFFFF"/>
          <w:lang w:eastAsia="en-GB"/>
        </w:rPr>
        <w:t xml:space="preserve">. Also, the study was conducted across multiple sites in South Africa and thus giving a better representation of the country’s LTBI prevalence. In comparison, other existing earlier data on LTBI prevalence were conducted in smaller and specific population group (i.e., </w:t>
      </w:r>
      <w:r w:rsidR="00D81E8E" w:rsidRPr="00435469">
        <w:rPr>
          <w:rFonts w:cs="Times New Roman"/>
          <w:sz w:val="20"/>
          <w:szCs w:val="20"/>
        </w:rPr>
        <w:t>adolescents, gold miners, health care workers</w:t>
      </w:r>
      <w:r w:rsidR="00D81E8E" w:rsidRPr="00435469">
        <w:rPr>
          <w:rFonts w:eastAsia="Times New Roman" w:cs="Times New Roman"/>
          <w:sz w:val="20"/>
          <w:szCs w:val="20"/>
          <w:shd w:val="clear" w:color="auto" w:fill="FFFFFF"/>
          <w:lang w:eastAsia="en-GB"/>
        </w:rPr>
        <w:t xml:space="preserve">) </w:t>
      </w:r>
      <w:r w:rsidR="00D81E8E" w:rsidRPr="00435469">
        <w:rPr>
          <w:sz w:val="20"/>
          <w:szCs w:val="20"/>
        </w:rPr>
        <w:fldChar w:fldCharType="begin" w:fldLock="1"/>
      </w:r>
      <w:r w:rsidR="002F049E" w:rsidRPr="00435469">
        <w:rPr>
          <w:sz w:val="20"/>
          <w:szCs w:val="20"/>
        </w:rPr>
        <w:instrText>ADDIN CSL_CITATION {"citationItems":[{"id":"ITEM-1","itemData":{"DOI":"10.1136/bjo.86.12.1347","ISBN":"2122634839","ISSN":"1815-7920","PMID":"20202297","abstract":"SETTING—Crowded townships of Cape Town, South Africa, where HIV prevalence and tuberculosis (TB) notification rates are among the highest in the world. OBJECTIVES—To determine age-specific prevalence rates of latent tuberculosis infection (LTBI) among HIV-negative individuals and determine the annual risk and force of infection during childhood and adolescence. DESIGN—A cross-sectional survey using standardised tuberculin skin testing (TST) in HIV- negative individuals aged between 5 and 40 years. A TST diameter of ≥10 mm was defined as indicative of LTBI. RESULTS—Among 1061 individuals, the proportions of patients with low grade TST responses of 1-5mm or 5-9mm were low (0.8% and 3.9%, respectively). However, the proportions of patients with a TST diameter of ≥10 mm increased from 28.0% in the 5-10 year age stratum to 88.0% in 31-35 year age stratum. Mean annual risk of infection up to age of 5 years was 3.9%. However, the estimated force of infection increased throughout childhood to a maximum of 7.9% per year at 15 years of age. CONCLUSIONS—An extremely high rate of acquisition of TB infection in childhood and adolescence results in very high LTBI prevalence rates in young adults who are most at risk of acquiring HIV infection.","author":[{"dropping-particle":"","family":"Wood","given":"Robin","non-dropping-particle":"","parse-names":false,"suffix":""},{"dropping-particle":"","family":"Liang","given":"Hua","non-dropping-particle":"","parse-names":false,"suffix":""},{"dropping-particle":"","family":"Wu","given":"Hulin","non-dropping-particle":"","parse-names":false,"suffix":""},{"dropping-particle":"","family":"Middelkoop","given":"Keren","non-dropping-particle":"","parse-names":false,"suffix":""},{"dropping-particle":"","family":"Oni","given":"Tollulah","non-dropping-particle":"","parse-names":false,"suffix":""}],"container-title":"The International Journal of Tuberculosis and Lung Disease","id":"ITEM-1","issue":"4","issued":{"date-parts":[["2010"]]},"page":"406-412","title":"Changing prevalence of TB infection with increasing age in high TB burden townships in South Africa","type":"article-journal","volume":"14"},"uris":["http://www.mendeley.com/documents/?uuid=4fc69afb-39aa-42b4-b68b-5877c62d6df6"]},{"id":"ITEM-2","itemData":{"ISBN":"1027-3719","ISSN":"1815-7920","PMID":"21333099","abstract":"SETTING: A high tuberculosis (TB) burden area in South Africa (notification rate for all TB cases 1400 per 100 000 population). OBJECTIVE: To determine the prevalence of and predictive factors associated with latent TB infection in adolescents. DESIGN: Adolescents aged 12-18 years were recruited from high schools, clinical and demographic data were collected, and a tuberculin skin test (TST) and a QuantiFERON®-TB Gold In-Tube (QFT) assay performed. RESULTS: A total of 6363 (58.2%) of 10 942 adolescents at the schools were enrolled. After exclusions, of 5244 participants, 55.2% (95%CI 53.8-56.5) had TST ≥ 5 mm, while 50.9% (49.5-52.2) were QFT-positive. On multivariate analysis, Black/mixed race racial groups, male sex, older age, household TB contact, low income and low education level were predictive factors for both TST- and QFT-positive results. CONCLUSION: About half of the adolescents were found to be latently infected with TB in a high TB burden area with demographic and poverty-related socio-economic factors predicting the risk of TB infection. Adolescents from deprived communities should be considered an important target group for educational interventions by TB control programmes in high-burden settings.","author":[{"dropping-particle":"","family":"Mahomed","given":"H","non-dropping-particle":"","parse-names":false,"suffix":""},{"dropping-particle":"","family":"Hawkridge","given":"T","non-dropping-particle":"","parse-names":false,"suffix":""},{"dropping-particle":"","family":"Verver","given":"S","non-dropping-particle":"","parse-names":false,"suffix":""},{"dropping-particle":"","family":"Geiter","given":"L","non-dropping-particle":"","parse-names":false,"suffix":""},{"dropping-particle":"","family":"Hatherill","given":"M","non-dropping-particle":"","parse-names":false,"suffix":""},{"dropping-particle":"","family":"Abrahams","given":"D-a","non-dropping-particle":"","parse-names":false,"suffix":""},{"dropping-particle":"","family":"Ehrlich","given":"R","non-dropping-particle":"","parse-names":false,"suffix":""},{"dropping-particle":"","family":"Hanekom","given":"W A","non-dropping-particle":"","parse-names":false,"suffix":""},{"dropping-particle":"","family":"Hussey","given":"G D","non-dropping-particle":"","parse-names":false,"suffix":""}],"container-title":"The international journal of tuberculosis and lung disease : the official journal of the International Union against Tuberculosis and Lung Disease","id":"ITEM-2","issue":"3","issued":{"date-parts":[["2011"]]},"page":"331-6","title":"Predictive factors for latent tuberculosis infection among adolescents in a high-burden area in South Africa.","type":"article-journal","volume":"15"},"uris":["http://www.mendeley.com/documents/?uuid=ed0c628d-56f4-4763-b626-877c6cce6746"]},{"id":"ITEM-3","itemData":{"ISBN":"1027-3719","ISSN":"10273719","PMID":"19105877","abstract":"SETTING: South African gold mines.\\n\\nOBJECTIVE: To determine the prevalence of latent tuberculosis infection (LTBI) and risk factors for a positive tuberculin skin test (TST) among gold miners.\\n\\nDESIGN: Cross-sectional survey. Human immunodeficiency virus (HIV) status was determined by self-report and medical records. TST positivity was defined by the mirror method to estimate the prevalence of LTBI, and by the US Centers for Disease Control and Prevention definitions to explore risk factors at the individual level.\\n\\nRESULTS: Among 429 participants (105/130 subjects aged &lt;30 years, 324/390 &gt; or = 30 years), the estimated prevalence of LTBI was 89%; 45.5% of HIV-positive participants had a zero TST response compared to respectively 13% and 13.5% in the HIV-negative and status unknown participants. In participants with TST &gt; 0, there was no significant difference between size of response by HIV status: the mean (standard deviation) widths for HIV-positive, HIV-negative and HIV status unknown were respectively 11.84 (2.75), 12.03 (2.75) and 12.52 mm (3.04) (analysis of variance P = 0.28). Factors independently associated with a TST &lt; 10 mm were positive HIV status (aOR 0.41, 95%CI 0.17-0.96) and not working underground (aOR 0.25, 95%CI 0.09-0.71).\\n\\nCONCLUSIONS: The prevalence of LTBI is very high in gold miners in South Africa. HIV-infected individuals are more likely to have a negative TST, but HIV infection does not affect the size of TST response.","author":[{"dropping-particle":"","family":"Hanifa","given":"Yasmeen","non-dropping-particle":"","parse-names":false,"suffix":""},{"dropping-particle":"","family":"Grant","given":"A. D.","non-dropping-particle":"","parse-names":false,"suffix":""},{"dropping-particle":"","family":"Lewis","given":"J.","non-dropping-particle":"","parse-names":false,"suffix":""},{"dropping-particle":"","family":"Corbett","given":"E. L.","non-dropping-particle":"","parse-names":false,"suffix":""},{"dropping-particle":"","family":"Fielding","given":"K.","non-dropping-particle":"","parse-names":false,"suffix":""},{"dropping-particle":"","family":"Churchyard","given":"G.","non-dropping-particle":"","parse-names":false,"suffix":""}],"container-title":"International Journal of Tuberculosis and Lung Disease","id":"ITEM-3","issue":"1","issued":{"date-parts":[["2009"]]},"page":"39-46","title":"Prevalence of latent tuberculosis infection among gold miners in South Africa","type":"article-journal","volume":"13"},"uris":["http://www.mendeley.com/documents/?uuid=1b7c65c6-203e-4043-bffe-c88085ad8eb7"]},{"id":"ITEM-4","itemData":{"DOI":"10.1186/s12879-016-1989-x","ISBN":"1471-2458 (Electronic)\\r1471-2458 (Linking)","ISSN":"1471-2334","PMID":"17920743","abstract":"South Africa has one of the highest burdens of latent tuberculosis infection (LTBI) in high-risk populations such as young children, adolescents, household contacts of TB cases, people living with HIV, gold miners and health care workers, but little is known about the burden of LTBI in its general population. Using a community-based survey with random sampling, we examined the burden of LTBI in an urban township of Johannesburg and investigated factors associated with LTBI. The outcome of LTBI was based on TST positivity, with a TST considered positive if the induration was ≥5 mm in people living with HIV or ≥10 mm in those with unknown or HIV negative status. We used bivariate and multivariable logistic regression to identify factors associated with LTBI The overall prevalence of LTBI was 34.3 (95 % CI 30.0, 38.8 %), the annual risk of infection among children age 0–14 years was 3.1 % (95 % CI 2.1, 5.2). LTBI was not associated with HIV status. In multivariable logistic regression analysis, LTBI was associated with age (OR = 1.03 for every year increase in age, 95 % CI = 1.01–1.05), male gender (OR = 2.70, 95 % CI = 1.55–4.70), marital status (OR = 2.00, 95 % CI = 1.31–3.54), and higher socio-economic status (OR = 2.11, 95 % CI = 1.04–4.31). The prevalence of LTBI and the annual risk of infection with M. tuberculosis is high in urban populations, especially in men, but independent of HIV infection status. This study suggests that LTBI may be associated with higher SES, in contrast to the well-established association between TB disease and poverty.","author":[{"dropping-particle":"","family":"Ncayiyana","given":"Jabulani R","non-dropping-particle":"","parse-names":false,"suffix":""},{"dropping-particle":"","family":"Bassett","given":"Jean","non-dropping-particle":"","parse-names":false,"suffix":""},{"dropping-particle":"","family":"West","given":"Nora","non-dropping-particle":"","parse-names":false,"suffix":""},{"dropping-particle":"","family":"Westreich","given":"Daniel","non-dropping-particle":"","parse-names":false,"suffix":""},{"dropping-particle":"","family":"Musenge","given":"Eustasius","non-dropping-particle":"","parse-names":false,"suffix":""},{"dropping-particle":"","family":"Emch","given":"Michael","non-dropping-particle":"","parse-names":false,"suffix":""},{"dropping-particle":"","family":"Pettifor","given":"Audrey","non-dropping-particle":"","parse-names":false,"suffix":""},{"dropping-particle":"","family":"Hanrahan","given":"Colleen F","non-dropping-particle":"","parse-names":false,"suffix":""},{"dropping-particle":"","family":"Schwartz","given":"Sheree R","non-dropping-particle":"","parse-names":false,"suffix":""},{"dropping-particle":"","family":"Sanne","given":"Ian","non-dropping-particle":"","parse-names":false,"suffix":""},{"dropping-particle":"","family":"Rie","given":"Annelies","non-dropping-particle":"van","parse-names":false,"suffix":""}],"container-title":"BMC Infectious Diseases","id":"ITEM-4","issue":"1","issued":{"date-parts":[["2016"]]},"page":"661","publisher":"BMC Infectious Diseases","title":"Prevalence of latent tuberculosis infection and predictive factors in an urban informal settlement in Johannesburg, South Africa: a cross-sectional study","type":"article-journal","volume":"16"},"uris":["http://www.mendeley.com/documents/?uuid=7f998a32-8e86-45d0-ab89-cf57e442b124"]},{"id":"ITEM-5","itemData":{"DOI":"10.1007/s10549-015-3663-1.Progestin","ISBN":"1054901536631","ISSN":"1527-5418","PMID":"26928661","author":[{"dropping-particle":"","family":"Samson","given":"Marsha","non-dropping-particle":"","parse-names":false,"suffix":""},{"dropping-particle":"","family":"Porter","given":"Nancy","non-dropping-particle":"","parse-names":false,"suffix":""},{"dropping-particle":"","family":"Orekoya","given":"Olubunmi","non-dropping-particle":"","parse-names":false,"suffix":""},{"dropping-particle":"","family":"Hebert","given":"James R","non-dropping-particle":"","parse-names":false,"suffix":""},{"dropping-particle":"","family":"Adams","given":"Swann Arp","non-dropping-particle":"","parse-names":false,"suffix":""},{"dropping-particle":"","family":"Bennett","given":"Charles L","non-dropping-particle":"","parse-names":false,"suffix":""},{"dropping-particle":"","family":"Steck","given":"Susan E","non-dropping-particle":"","parse-names":false,"suffix":""}],"container-title":"European Respiratory Journal","id":"ITEM-5","issue":"5","issued":{"date-parts":[["2015"]]},"page":"1364-1373","title":"Incidence of occupational latent tuberculosis infection in South African healthcare workers","type":"article-journal","volume":"45"},"uris":["http://www.mendeley.com/documents/?uuid=e9bd8ee6-ff74-4e97-83a6-c33cb097ad07"]}],"mendeley":{"formattedCitation":"(11–15)","plainTextFormattedCitation":"(11–15)","previouslyFormattedCitation":"(11–15)"},"properties":{"noteIndex":0},"schema":"https://github.com/citation-style-language/schema/raw/master/csl-citation.json"}</w:instrText>
      </w:r>
      <w:r w:rsidR="00D81E8E" w:rsidRPr="00435469">
        <w:rPr>
          <w:sz w:val="20"/>
          <w:szCs w:val="20"/>
        </w:rPr>
        <w:fldChar w:fldCharType="separate"/>
      </w:r>
      <w:r w:rsidR="0063047A" w:rsidRPr="00435469">
        <w:rPr>
          <w:noProof/>
          <w:sz w:val="20"/>
          <w:szCs w:val="20"/>
        </w:rPr>
        <w:t>(11–15)</w:t>
      </w:r>
      <w:r w:rsidR="00D81E8E" w:rsidRPr="00435469">
        <w:rPr>
          <w:sz w:val="20"/>
          <w:szCs w:val="20"/>
        </w:rPr>
        <w:fldChar w:fldCharType="end"/>
      </w:r>
      <w:r w:rsidR="00D81E8E" w:rsidRPr="00435469">
        <w:rPr>
          <w:rFonts w:eastAsia="Times New Roman" w:cs="Times New Roman"/>
          <w:sz w:val="20"/>
          <w:szCs w:val="20"/>
          <w:shd w:val="clear" w:color="auto" w:fill="FFFFFF"/>
          <w:lang w:eastAsia="en-GB"/>
        </w:rPr>
        <w:t xml:space="preserve"> making them less representative nationally. Additionally, most of these earlier studies relied on TST</w:t>
      </w:r>
      <w:r w:rsidR="006E0E11" w:rsidRPr="00435469">
        <w:rPr>
          <w:rFonts w:eastAsia="Times New Roman" w:cs="Times New Roman"/>
          <w:sz w:val="20"/>
          <w:szCs w:val="20"/>
          <w:shd w:val="clear" w:color="auto" w:fill="FFFFFF"/>
          <w:lang w:eastAsia="en-GB"/>
        </w:rPr>
        <w:t>, which has</w:t>
      </w:r>
      <w:r w:rsidR="00D81E8E" w:rsidRPr="00435469">
        <w:rPr>
          <w:rFonts w:eastAsia="Times New Roman" w:cs="Times New Roman"/>
          <w:sz w:val="20"/>
          <w:szCs w:val="20"/>
          <w:shd w:val="clear" w:color="auto" w:fill="FFFFFF"/>
          <w:lang w:eastAsia="en-GB"/>
        </w:rPr>
        <w:t xml:space="preserve"> poor specificity</w:t>
      </w:r>
      <w:r w:rsidR="006E0E11" w:rsidRPr="00435469">
        <w:rPr>
          <w:rFonts w:eastAsia="Times New Roman" w:cs="Times New Roman"/>
          <w:sz w:val="20"/>
          <w:szCs w:val="20"/>
          <w:shd w:val="clear" w:color="auto" w:fill="FFFFFF"/>
          <w:lang w:eastAsia="en-GB"/>
        </w:rPr>
        <w:t>,</w:t>
      </w:r>
      <w:r w:rsidR="00D81E8E" w:rsidRPr="00435469">
        <w:rPr>
          <w:rFonts w:eastAsia="Times New Roman" w:cs="Times New Roman"/>
          <w:sz w:val="20"/>
          <w:szCs w:val="20"/>
          <w:shd w:val="clear" w:color="auto" w:fill="FFFFFF"/>
          <w:lang w:eastAsia="en-GB"/>
        </w:rPr>
        <w:t xml:space="preserve"> especially given the fact that South Africa is a country with high BGC vaccination coverage</w:t>
      </w:r>
      <w:r w:rsidR="00E523BF" w:rsidRPr="00435469">
        <w:rPr>
          <w:rFonts w:eastAsia="Times New Roman" w:cs="Times New Roman"/>
          <w:sz w:val="20"/>
          <w:szCs w:val="20"/>
          <w:shd w:val="clear" w:color="auto" w:fill="FFFFFF"/>
          <w:lang w:eastAsia="en-GB"/>
        </w:rPr>
        <w:t xml:space="preserve"> </w:t>
      </w:r>
      <w:r w:rsidR="00E523BF" w:rsidRPr="00435469">
        <w:rPr>
          <w:rFonts w:eastAsia="Times New Roman" w:cs="Times New Roman"/>
          <w:sz w:val="20"/>
          <w:szCs w:val="20"/>
          <w:shd w:val="clear" w:color="auto" w:fill="FFFFFF"/>
          <w:lang w:eastAsia="en-GB"/>
        </w:rPr>
        <w:fldChar w:fldCharType="begin" w:fldLock="1"/>
      </w:r>
      <w:r w:rsidR="002F049E" w:rsidRPr="00435469">
        <w:rPr>
          <w:rFonts w:eastAsia="Times New Roman" w:cs="Times New Roman"/>
          <w:sz w:val="20"/>
          <w:szCs w:val="20"/>
          <w:shd w:val="clear" w:color="auto" w:fill="FFFFFF"/>
          <w:lang w:eastAsia="en-GB"/>
        </w:rPr>
        <w:instrText>ADDIN CSL_CITATION {"citationItems":[{"id":"ITEM-1","itemData":{"DOI":"10.1136/thoraxjnl-2015-207687","ISSN":"14683296","PMID":"27335104","abstract":"Background: Following exposure to TB, contacts are screened to target preventive treatment at those at high risk of developing TB. The UK has recently revised its recommendations for screening and now advises a 5 mm tuberculin skin test (TST) cut-off irrespective of age or BCG status. We sought to evaluate the impact of BCG on TST responses in UK children exposed to TB and the performance of different TST cut-offs to predict interferon γ release assay (IGRA) positivity. Methods: Children &lt;15 years old were recruited from 11 sites in the UK between January 2011 and December 2014 if exposed in their home to a source case with sputum smear or culture positive TB. Demographic details were collected and TST and IGRA undertaken. The impact of BCG vaccination on TST positivity was evaluated in IGRA-negative children, as was the performance of different TST cut-offs to predict IGRA positivity. Results: Of 422 children recruited (median age 69 months; IQR: 32-113 months), 300 (71%) had been vaccinated with BCG. BCG vaccination affected the TST response in IGRA-negative children less than 5 years old but not in older children. A 5 mm TST cut-off demonstrated good sensitivity and specificity in BCG-unvaccinated children, and an excellent negative predictive value but was associated with low specificity (62.7%; 95% CI 56.1% to 69.0%) in BCG-vaccinated children. For BCG-vaccinated children, a 10 mm cut-off provided a high negative predictive value (97.7%; 95% CI 94.2% to 99.4%) with the positive predictive value increasing with increasing age of the child. Discussion: BCG vaccination had little impact on TST size in children over 5 years of age. The revised TST cut-off recommended in the recent revision to the UK TB guidelines demonstrates good sensitivity but is associated with impaired specificity in BCG-vaccinated children.","author":[{"dropping-particle":"","family":"Seddon","given":"James A.","non-dropping-particle":"","parse-names":false,"suffix":""},{"dropping-particle":"","family":"Paton","given":"James","non-dropping-particle":"","parse-names":false,"suffix":""},{"dropping-particle":"","family":"Nademi","given":"Zohreh","non-dropping-particle":"","parse-names":false,"suffix":""},{"dropping-particle":"","family":"Keane","given":"Denis","non-dropping-particle":"","parse-names":false,"suffix":""},{"dropping-particle":"","family":"Williams","given":"Bhanu","non-dropping-particle":"","parse-names":false,"suffix":""},{"dropping-particle":"","family":"Williams","given":"Amanda","non-dropping-particle":"","parse-names":false,"suffix":""},{"dropping-particle":"","family":"Welch","given":"Steven B.","non-dropping-particle":"","parse-names":false,"suffix":""},{"dropping-particle":"","family":"Liebeschutz","given":"Sue","non-dropping-particle":"","parse-names":false,"suffix":""},{"dropping-particle":"","family":"Riddell","given":"Anna","non-dropping-particle":"","parse-names":false,"suffix":""},{"dropping-particle":"","family":"Bernatoniene","given":"Jolanta","non-dropping-particle":"","parse-names":false,"suffix":""},{"dropping-particle":"","family":"Patel","given":"Sanjay","non-dropping-particle":"","parse-names":false,"suffix":""},{"dropping-particle":"","family":"Martinez-Alier","given":"Nuria","non-dropping-particle":"","parse-names":false,"suffix":""},{"dropping-particle":"","family":"McMaster","given":"Paddy","non-dropping-particle":"","parse-names":false,"suffix":""},{"dropping-particle":"","family":"Kampmann","given":"Beate","non-dropping-particle":"","parse-names":false,"suffix":""}],"container-title":"Thorax","id":"ITEM-1","issue":"10","issued":{"date-parts":[["2016"]]},"page":"932-939","title":"The impact of BCG vaccination on tuberculin skin test responses in children is age dependent: Evidence to be considered when screening children for tuberculosis infection","type":"article-journal","volume":"71"},"uris":["http://www.mendeley.com/documents/?uuid=81c53b7b-5988-4083-a4df-321467121594"]}],"mendeley":{"formattedCitation":"(16)","plainTextFormattedCitation":"(16)","previouslyFormattedCitation":"(16)"},"properties":{"noteIndex":0},"schema":"https://github.com/citation-style-language/schema/raw/master/csl-citation.json"}</w:instrText>
      </w:r>
      <w:r w:rsidR="00E523BF" w:rsidRPr="00435469">
        <w:rPr>
          <w:rFonts w:eastAsia="Times New Roman" w:cs="Times New Roman"/>
          <w:sz w:val="20"/>
          <w:szCs w:val="20"/>
          <w:shd w:val="clear" w:color="auto" w:fill="FFFFFF"/>
          <w:lang w:eastAsia="en-GB"/>
        </w:rPr>
        <w:fldChar w:fldCharType="separate"/>
      </w:r>
      <w:r w:rsidR="0063047A" w:rsidRPr="00435469">
        <w:rPr>
          <w:rFonts w:eastAsia="Times New Roman" w:cs="Times New Roman"/>
          <w:noProof/>
          <w:sz w:val="20"/>
          <w:szCs w:val="20"/>
          <w:shd w:val="clear" w:color="auto" w:fill="FFFFFF"/>
          <w:lang w:eastAsia="en-GB"/>
        </w:rPr>
        <w:t>(16)</w:t>
      </w:r>
      <w:r w:rsidR="00E523BF" w:rsidRPr="00435469">
        <w:rPr>
          <w:rFonts w:eastAsia="Times New Roman" w:cs="Times New Roman"/>
          <w:sz w:val="20"/>
          <w:szCs w:val="20"/>
          <w:shd w:val="clear" w:color="auto" w:fill="FFFFFF"/>
          <w:lang w:eastAsia="en-GB"/>
        </w:rPr>
        <w:fldChar w:fldCharType="end"/>
      </w:r>
      <w:r w:rsidR="00D81E8E" w:rsidRPr="00435469">
        <w:rPr>
          <w:rFonts w:eastAsia="Times New Roman" w:cs="Times New Roman"/>
          <w:sz w:val="20"/>
          <w:szCs w:val="20"/>
          <w:shd w:val="clear" w:color="auto" w:fill="FFFFFF"/>
          <w:lang w:eastAsia="en-GB"/>
        </w:rPr>
        <w:t xml:space="preserve">. </w:t>
      </w:r>
    </w:p>
    <w:p w14:paraId="740F8652" w14:textId="1CB16FE1" w:rsidR="007E2A2F" w:rsidRPr="00435469" w:rsidRDefault="007E2A2F" w:rsidP="00955FFB">
      <w:pPr>
        <w:pStyle w:val="Heading3"/>
        <w:rPr>
          <w:color w:val="auto"/>
          <w:sz w:val="20"/>
          <w:szCs w:val="20"/>
        </w:rPr>
      </w:pPr>
      <w:bookmarkStart w:id="16" w:name="_Toc87863311"/>
      <w:bookmarkStart w:id="17" w:name="_Toc88488550"/>
      <w:bookmarkStart w:id="18" w:name="_Toc103252919"/>
      <w:r w:rsidRPr="00435469">
        <w:rPr>
          <w:color w:val="auto"/>
          <w:sz w:val="20"/>
          <w:szCs w:val="20"/>
        </w:rPr>
        <w:lastRenderedPageBreak/>
        <w:t>Initial active tuberculosis profiles</w:t>
      </w:r>
      <w:bookmarkEnd w:id="16"/>
      <w:bookmarkEnd w:id="17"/>
      <w:bookmarkEnd w:id="18"/>
      <w:r w:rsidRPr="00435469">
        <w:rPr>
          <w:color w:val="auto"/>
          <w:sz w:val="20"/>
          <w:szCs w:val="20"/>
        </w:rPr>
        <w:t xml:space="preserve"> </w:t>
      </w:r>
    </w:p>
    <w:p w14:paraId="12A0FAB1" w14:textId="676FD135" w:rsidR="007E2A2F" w:rsidRPr="00435469" w:rsidRDefault="007E2A2F" w:rsidP="00955FFB">
      <w:pPr>
        <w:spacing w:line="240" w:lineRule="auto"/>
        <w:rPr>
          <w:bCs/>
          <w:sz w:val="20"/>
          <w:szCs w:val="20"/>
        </w:rPr>
      </w:pPr>
      <w:r w:rsidRPr="00435469">
        <w:rPr>
          <w:bCs/>
          <w:sz w:val="20"/>
          <w:szCs w:val="20"/>
        </w:rPr>
        <w:t xml:space="preserve">There is also limited data on the prevalence of active TB earlier than 1990. The available TB burden data from reports only dates from the early 2000s. We used WHO estimates to </w:t>
      </w:r>
      <w:proofErr w:type="spellStart"/>
      <w:r w:rsidRPr="00435469">
        <w:rPr>
          <w:bCs/>
          <w:sz w:val="20"/>
          <w:szCs w:val="20"/>
        </w:rPr>
        <w:t>initialise</w:t>
      </w:r>
      <w:proofErr w:type="spellEnd"/>
      <w:r w:rsidRPr="00435469">
        <w:rPr>
          <w:bCs/>
          <w:sz w:val="20"/>
          <w:szCs w:val="20"/>
        </w:rPr>
        <w:t xml:space="preserve"> the prevalence of TB in our model. The TB prevalence in 199</w:t>
      </w:r>
      <w:r w:rsidR="00632EEC" w:rsidRPr="00435469">
        <w:rPr>
          <w:bCs/>
          <w:sz w:val="20"/>
          <w:szCs w:val="20"/>
        </w:rPr>
        <w:t>0</w:t>
      </w:r>
      <w:r w:rsidRPr="00435469">
        <w:rPr>
          <w:bCs/>
          <w:sz w:val="20"/>
          <w:szCs w:val="20"/>
        </w:rPr>
        <w:t xml:space="preserve"> was estimated to be 490 per 100 000 </w:t>
      </w:r>
      <w:r w:rsidRPr="00435469">
        <w:rPr>
          <w:bCs/>
          <w:sz w:val="20"/>
          <w:szCs w:val="20"/>
        </w:rPr>
        <w:fldChar w:fldCharType="begin" w:fldLock="1"/>
      </w:r>
      <w:r w:rsidR="002F049E" w:rsidRPr="00435469">
        <w:rPr>
          <w:bCs/>
          <w:sz w:val="20"/>
          <w:szCs w:val="20"/>
        </w:rPr>
        <w:instrText>ADDIN CSL_CITATION {"citationItems":[{"id":"ITEM-1","itemData":{"DOI":"WHO/HTM/TB/2014.08","ISBN":"978 92 4 156480 9","ISSN":"0311-4546","PMID":"20488518","abstract":"This is the sixteenth global report on tuberculosis (TB) published by WHO in a series that started in 1997. It provides a comprehensive and up-to-date assessment of the TB epidemic and progress in implementing and ﬁnancing TB prevention, care and control at global, regional and country levels using data reported by 198 countries that account for over 99% of the worlds TB cases.","id":"ITEM-1","issued":{"date-parts":[["2014"]]},"publisher-place":"World Health Organization. Geneva, Switzerland","title":"Global Tuberculosis Report 2014","type":"report"},"uris":["http://www.mendeley.com/documents/?uuid=c8ede685-526d-481d-bd1d-7eca7996423a"]}],"mendeley":{"formattedCitation":"(17)","plainTextFormattedCitation":"(17)","previouslyFormattedCitation":"(17)"},"properties":{"noteIndex":0},"schema":"https://github.com/citation-style-language/schema/raw/master/csl-citation.json"}</w:instrText>
      </w:r>
      <w:r w:rsidRPr="00435469">
        <w:rPr>
          <w:bCs/>
          <w:sz w:val="20"/>
          <w:szCs w:val="20"/>
        </w:rPr>
        <w:fldChar w:fldCharType="separate"/>
      </w:r>
      <w:r w:rsidR="0063047A" w:rsidRPr="00435469">
        <w:rPr>
          <w:bCs/>
          <w:noProof/>
          <w:sz w:val="20"/>
          <w:szCs w:val="20"/>
        </w:rPr>
        <w:t>(17)</w:t>
      </w:r>
      <w:r w:rsidRPr="00435469">
        <w:rPr>
          <w:bCs/>
          <w:sz w:val="20"/>
          <w:szCs w:val="20"/>
        </w:rPr>
        <w:fldChar w:fldCharType="end"/>
      </w:r>
      <w:r w:rsidRPr="00435469">
        <w:rPr>
          <w:bCs/>
          <w:sz w:val="20"/>
          <w:szCs w:val="20"/>
        </w:rPr>
        <w:t xml:space="preserve">. The initial TB prevalence </w:t>
      </w:r>
      <w:r w:rsidR="009E25A6" w:rsidRPr="00435469">
        <w:rPr>
          <w:bCs/>
          <w:sz w:val="20"/>
          <w:szCs w:val="20"/>
        </w:rPr>
        <w:t>wa</w:t>
      </w:r>
      <w:r w:rsidRPr="00435469">
        <w:rPr>
          <w:bCs/>
          <w:sz w:val="20"/>
          <w:szCs w:val="20"/>
        </w:rPr>
        <w:t xml:space="preserve">s set in 1985 in an HIV-negative population. We used a Cape Town-based population-based study that assessed the 2009 age-specific TB notification rates (TB incidence) stratified by HIV status </w:t>
      </w:r>
      <w:r w:rsidRPr="00435469">
        <w:rPr>
          <w:bCs/>
          <w:sz w:val="20"/>
          <w:szCs w:val="20"/>
        </w:rPr>
        <w:fldChar w:fldCharType="begin" w:fldLock="1"/>
      </w:r>
      <w:r w:rsidR="002F049E" w:rsidRPr="00435469">
        <w:rPr>
          <w:bCs/>
          <w:sz w:val="20"/>
          <w:szCs w:val="20"/>
        </w:rPr>
        <w:instrText>ADDIN CSL_CITATION {"citationItems":[{"id":"ITEM-1","itemData":{"DOI":"10.1371/journal.pone.0025098","ISBN":"1932-6203 (Electronic)\\r1932-6203 (Linking)","ISSN":"19326203","PMID":"22016763","abstract":"AIM: To describe the burden of tuberculosis (TB) in Cape Town by calculating TB incidence rates stratified by age and HIV-status, assessing the contribution of retreatment disease and estimating the cumulative lifetime TB risk in HIV-negative individuals.METHODS: Details of TB cases were abstracted from the 2009 electronic TB register. Population denominators were estimated from census data and actuarial estimates of HIV prevalence, allowing calculation of age-specific and HIV-stratified TB notification rates.RESULTS: The 2009 mid-year population was 3,443,010 (3,241,508 HIV-negative and 201,502 HIV-positive individuals). There were 29,478 newly notified TB cases of which 56% were laboratory confirmed. HIV status was recorded for 87% of cases and of those with known HIV-status 49% were HIV-negative and 51% were positive. Discrete peaks in the incidence of non-HIV-associated TB occurred at three ages: 511/100,000 at 0-4 years of age, 553/100,000 at 20-24 years and 628/100,000 at 45-49 years with 1.5%, 19% and 45% being due to retreatment TB, respectively. Only 15.5% of recurrent cases had a history of TB treatment failure or default. The cumulative lifetime risks in the HIV-negative population of all new TB episodes and new smear-positive TB episodes were 24% and 12%, respectively; the lifetime risk of retreatment disease was 9%. The HIV-positive notification rate was 6,567/100,000 (HIV-associated TB rate ratio = 17). Although retreatment cases comprised 30% of the HIV-associated TB burden, 88% of these patients had no history of prior treatment failure or default.CONCLUSIONS: The annual burden of TB in this city is huge. TB in the HIV-negative population contributed almost half of the overall disease burden and cumulative lifetime risks were similar to those reported in the pre-chemotherapy era. Retreatment TB contributed significantly to both HIV-associated and non-HIV-associated TB but infrequently followed prior inadequate treatment. This likely reflects ongoing TB transmission to both HIV-negative and positive individuals.","author":[{"dropping-particle":"","family":"Wood","given":"Robin","non-dropping-particle":"","parse-names":false,"suffix":""},{"dropping-particle":"","family":"Lawn","given":"Stephen D.","non-dropping-particle":"","parse-names":false,"suffix":""},{"dropping-particle":"","family":"Caldwell","given":"Judy","non-dropping-particle":"","parse-names":false,"suffix":""},{"dropping-particle":"","family":"Kaplan","given":"Richard","non-dropping-particle":"","parse-names":false,"suffix":""},{"dropping-particle":"","family":"Middelkoop","given":"Keren","non-dropping-particle":"","parse-names":false,"suffix":""},{"dropping-particle":"","family":"Bekker","given":"Linda Gail","non-dropping-particle":"","parse-names":false,"suffix":""}],"container-title":"PLoS ONE","id":"ITEM-1","issue":"10","issued":{"date-parts":[["2011"]]},"title":"Burden of new and recurrent tuberculosis in a major South African city stratified by age and HIV-status","type":"article-journal","volume":"6"},"uris":["http://www.mendeley.com/documents/?uuid=d9439b80-4d72-4247-9dc4-72f94707dccd"]}],"mendeley":{"formattedCitation":"(18)","plainTextFormattedCitation":"(18)","previouslyFormattedCitation":"(18)"},"properties":{"noteIndex":0},"schema":"https://github.com/citation-style-language/schema/raw/master/csl-citation.json"}</w:instrText>
      </w:r>
      <w:r w:rsidRPr="00435469">
        <w:rPr>
          <w:bCs/>
          <w:sz w:val="20"/>
          <w:szCs w:val="20"/>
        </w:rPr>
        <w:fldChar w:fldCharType="separate"/>
      </w:r>
      <w:r w:rsidR="0063047A" w:rsidRPr="00435469">
        <w:rPr>
          <w:bCs/>
          <w:noProof/>
          <w:sz w:val="20"/>
          <w:szCs w:val="20"/>
        </w:rPr>
        <w:t>(18)</w:t>
      </w:r>
      <w:r w:rsidRPr="00435469">
        <w:rPr>
          <w:bCs/>
          <w:sz w:val="20"/>
          <w:szCs w:val="20"/>
        </w:rPr>
        <w:fldChar w:fldCharType="end"/>
      </w:r>
      <w:r w:rsidRPr="00435469">
        <w:rPr>
          <w:bCs/>
          <w:sz w:val="20"/>
          <w:szCs w:val="20"/>
        </w:rPr>
        <w:t xml:space="preserve"> to set </w:t>
      </w:r>
      <w:r w:rsidR="002F552A" w:rsidRPr="00435469">
        <w:rPr>
          <w:bCs/>
          <w:sz w:val="20"/>
          <w:szCs w:val="20"/>
        </w:rPr>
        <w:t xml:space="preserve">the assumed </w:t>
      </w:r>
      <w:r w:rsidR="00F024D5" w:rsidRPr="00435469">
        <w:rPr>
          <w:bCs/>
          <w:sz w:val="20"/>
          <w:szCs w:val="20"/>
        </w:rPr>
        <w:t>relative levels of TB prevalence by age</w:t>
      </w:r>
      <w:r w:rsidRPr="00435469">
        <w:rPr>
          <w:bCs/>
          <w:sz w:val="20"/>
          <w:szCs w:val="20"/>
        </w:rPr>
        <w:t xml:space="preserve">. </w:t>
      </w:r>
    </w:p>
    <w:p w14:paraId="44BE185D" w14:textId="1E6C47AE" w:rsidR="007E2A2F" w:rsidRPr="00435469" w:rsidRDefault="007E2A2F" w:rsidP="00955FFB">
      <w:pPr>
        <w:spacing w:line="240" w:lineRule="auto"/>
        <w:rPr>
          <w:bCs/>
          <w:sz w:val="20"/>
          <w:szCs w:val="20"/>
        </w:rPr>
      </w:pPr>
      <w:r w:rsidRPr="00435469">
        <w:rPr>
          <w:bCs/>
          <w:sz w:val="20"/>
          <w:szCs w:val="20"/>
        </w:rPr>
        <w:t xml:space="preserve">As with most routinely collected data, the notification data used to estimate the proportion of </w:t>
      </w:r>
      <w:r w:rsidR="00455F24" w:rsidRPr="00435469">
        <w:rPr>
          <w:bCs/>
          <w:sz w:val="20"/>
          <w:szCs w:val="20"/>
        </w:rPr>
        <w:t>active TB</w:t>
      </w:r>
      <w:r w:rsidRPr="00435469">
        <w:rPr>
          <w:bCs/>
          <w:sz w:val="20"/>
          <w:szCs w:val="20"/>
        </w:rPr>
        <w:t xml:space="preserve"> cases is likely to be incomplete or affected by misclassification of TB status or duplication of individuals. Also, these data only represent one geographical setting - Western Cape. However, to initiate the model, we do not expect these</w:t>
      </w:r>
      <w:r w:rsidR="00455F24" w:rsidRPr="00435469">
        <w:rPr>
          <w:bCs/>
          <w:sz w:val="20"/>
          <w:szCs w:val="20"/>
        </w:rPr>
        <w:t xml:space="preserve"> initial</w:t>
      </w:r>
      <w:r w:rsidRPr="00435469">
        <w:rPr>
          <w:bCs/>
          <w:sz w:val="20"/>
          <w:szCs w:val="20"/>
        </w:rPr>
        <w:t xml:space="preserve"> assumptions to affect model outputs significantly. </w:t>
      </w:r>
    </w:p>
    <w:p w14:paraId="4312B35A" w14:textId="1BEC89E4" w:rsidR="00794BB6" w:rsidRPr="00435469" w:rsidRDefault="00D96471" w:rsidP="00314375">
      <w:pPr>
        <w:spacing w:line="240" w:lineRule="auto"/>
        <w:rPr>
          <w:sz w:val="20"/>
          <w:szCs w:val="20"/>
        </w:rPr>
      </w:pPr>
      <w:r w:rsidRPr="00435469">
        <w:rPr>
          <w:rFonts w:cs="Times New Roman"/>
          <w:sz w:val="20"/>
          <w:szCs w:val="20"/>
        </w:rPr>
        <w:t xml:space="preserve">As the literature suggests, males carry a higher burden of TB compared to females. The male to female ratio of the TB burden ranges between 1.5 and 2.1 across different geographical regions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{"citationItems":[{"id":"ITEM-1","itemData":{"DOI":"10.1093/infdis/jiu147","ISBN":"0022-1899","ISSN":"15376613","PMID":"24966189","abstract":"Globally, far more men than women have tuberculosis. Although the cause of this bias is uncertain, epidemiological factors have historically been considered the driving force. Here, we discuss evidence that biological differences between the sexes may also be important and can affect susceptibility to mycobacterial infection. We discuss the possible underlying mechanisms, with particular focus on how sex hormones modulate the immune responses necessary for resistance to tuberculosis. Studying these differences may provide valuable insight into the components that constitute an effective immune response to this deadly pathogen.","author":[{"dropping-particle":"","family":"Nhamoyebonde","given":"Shepherd","non-dropping-particle":"","parse-names":false,"suffix":""},{"dropping-particle":"","family":"Leslie","given":"Alasdair","non-dropping-particle":"","parse-names":false,"suffix":""}],"container-title":"Journal of Infectious Diseases","id":"ITEM-1","issue":"SUPPL. 3","issued":{"date-parts":[["2014"]]},"title":"Biological differences between the sexes and susceptibility to tuberculosis","type":"article-journal","volume":"209"},"uris":["http://www.mendeley.com/documents/?uuid=6fd8f76a-c4e9-40c2-b045-14d8abf10b88"]},{"id":"ITEM-2","itemData":{"ISBN":"Licence: CC BY-NC-SA 3.0 IGO","author":[{"dropping-particle":"","family":"WHO","given":"","non-dropping-particle":"","parse-names":false,"suffix":""}],"id":"ITEM-2","issued":{"date-parts":[["2019"]]},"publisher-place":"Geneva: World Health Organization","title":"Global tuberculosis report","type":"report"},"uris":["http://www.mendeley.com/documents/?uuid=d71e8f54-b453-421c-8aeb-0298307b68dc"]},{"id":"ITEM-3","itemData":{"DOI":"10.1371/journal.pmed.1002119","author":[{"dropping-particle":"","family":"Horton","given":"Katherine C","non-dropping-particle":"","parse-names":false,"suffix":""},{"dropping-particle":"","family":"Macpherson","given":"Peter","non-dropping-particle":"","parse-names":false,"suffix":""},{"dropping-particle":"","family":"Houben","given":"Rein M G J","non-dropping-particle":"","parse-names":false,"suffix":""},{"dropping-particle":"","family":"White","given":"G","non-dropping-particle":"","parse-names":false,"suffix":""},{"dropping-particle":"","family":"Corbett","given":"Elizabeth L","non-dropping-particle":"","parse-names":false,"suffix":""}],"container-title":"PLoS Medicine","id":"ITEM-3","issued":{"date-parts":[["2016"]]},"page":"1-23","title":"Sex Differences in Tuberculosis Burden and Notifications in Low- and Middle-Income Countries : A Systematic Review and Meta-analysis","type":"article-journal","volume":"21"},"uris":["http://www.mendeley.com/documents/?uuid=292d59d6-d8a3-4cc9-b506-a7aa8a8a1c73"]}],"mendeley":{"formattedCitation":"(19–21)","plainTextFormattedCitation":"(19–21)","previouslyFormattedCitation":"(19–21)"},"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(19–21)</w:t>
      </w:r>
      <w:r w:rsidRPr="00435469">
        <w:rPr>
          <w:rFonts w:cs="Times New Roman"/>
          <w:sz w:val="20"/>
          <w:szCs w:val="20"/>
        </w:rPr>
        <w:fldChar w:fldCharType="end"/>
      </w:r>
      <w:r w:rsidRPr="00435469">
        <w:rPr>
          <w:rFonts w:cs="Times New Roman"/>
          <w:sz w:val="20"/>
          <w:szCs w:val="20"/>
        </w:rPr>
        <w:t>.</w:t>
      </w:r>
      <w:r w:rsidR="00257FA9" w:rsidRPr="00435469">
        <w:rPr>
          <w:rFonts w:cs="Times New Roman"/>
          <w:sz w:val="20"/>
          <w:szCs w:val="20"/>
        </w:rPr>
        <w:t xml:space="preserve"> I</w:t>
      </w:r>
      <w:r w:rsidRPr="00435469">
        <w:rPr>
          <w:bCs/>
          <w:sz w:val="20"/>
          <w:szCs w:val="20"/>
        </w:rPr>
        <w:t>n the model, we set the initial prevalence of TB by age</w:t>
      </w:r>
      <w:r w:rsidR="00244F31" w:rsidRPr="00435469">
        <w:rPr>
          <w:bCs/>
          <w:sz w:val="20"/>
          <w:szCs w:val="20"/>
        </w:rPr>
        <w:t xml:space="preserve"> and</w:t>
      </w:r>
      <w:r w:rsidRPr="00435469">
        <w:rPr>
          <w:bCs/>
          <w:sz w:val="20"/>
          <w:szCs w:val="20"/>
        </w:rPr>
        <w:t xml:space="preserve"> sex, represented by the proportions in</w:t>
      </w:r>
      <w:r w:rsidR="0006687A" w:rsidRPr="00435469">
        <w:rPr>
          <w:bCs/>
          <w:sz w:val="20"/>
          <w:szCs w:val="20"/>
        </w:rPr>
        <w:t xml:space="preserve"> </w:t>
      </w:r>
      <w:r w:rsidR="005028E4" w:rsidRPr="00435469">
        <w:rPr>
          <w:bCs/>
          <w:sz w:val="20"/>
          <w:szCs w:val="20"/>
        </w:rPr>
        <w:fldChar w:fldCharType="begin"/>
      </w:r>
      <w:r w:rsidR="005028E4" w:rsidRPr="00435469">
        <w:rPr>
          <w:bCs/>
          <w:sz w:val="20"/>
          <w:szCs w:val="20"/>
        </w:rPr>
        <w:instrText xml:space="preserve"> REF _Ref89703627 \h </w:instrText>
      </w:r>
      <w:r w:rsidR="00F334C7" w:rsidRPr="00435469">
        <w:rPr>
          <w:bCs/>
          <w:sz w:val="20"/>
          <w:szCs w:val="20"/>
        </w:rPr>
        <w:instrText xml:space="preserve"> \* MERGEFORMAT </w:instrText>
      </w:r>
      <w:r w:rsidR="005028E4" w:rsidRPr="00435469">
        <w:rPr>
          <w:bCs/>
          <w:sz w:val="20"/>
          <w:szCs w:val="20"/>
        </w:rPr>
      </w:r>
      <w:r w:rsidR="005028E4" w:rsidRPr="00435469">
        <w:rPr>
          <w:bCs/>
          <w:sz w:val="20"/>
          <w:szCs w:val="20"/>
        </w:rPr>
        <w:fldChar w:fldCharType="separate"/>
      </w:r>
      <w:r w:rsidR="00186C2F" w:rsidRPr="00435469">
        <w:rPr>
          <w:sz w:val="20"/>
          <w:szCs w:val="20"/>
        </w:rPr>
        <w:t>Table</w:t>
      </w:r>
      <w:r w:rsidR="00186C2F" w:rsidRPr="00435469">
        <w:rPr>
          <w:noProof/>
          <w:sz w:val="20"/>
          <w:szCs w:val="20"/>
        </w:rPr>
        <w:t xml:space="preserve"> 3</w:t>
      </w:r>
      <w:r w:rsidR="005028E4" w:rsidRPr="00435469">
        <w:rPr>
          <w:bCs/>
          <w:sz w:val="20"/>
          <w:szCs w:val="20"/>
        </w:rPr>
        <w:fldChar w:fldCharType="end"/>
      </w:r>
      <w:r w:rsidR="00794BB6" w:rsidRPr="00435469">
        <w:rPr>
          <w:bCs/>
          <w:sz w:val="20"/>
          <w:szCs w:val="20"/>
        </w:rPr>
        <w:t xml:space="preserve">. </w:t>
      </w:r>
    </w:p>
    <w:p w14:paraId="0A94EA00" w14:textId="1A91A147" w:rsidR="00733434" w:rsidRPr="00435469" w:rsidRDefault="00D96471" w:rsidP="00955FFB">
      <w:pPr>
        <w:spacing w:line="240" w:lineRule="auto"/>
        <w:rPr>
          <w:sz w:val="20"/>
          <w:szCs w:val="20"/>
        </w:rPr>
      </w:pPr>
      <w:r w:rsidRPr="00435469">
        <w:rPr>
          <w:bCs/>
          <w:sz w:val="20"/>
          <w:szCs w:val="20"/>
        </w:rPr>
        <w:t xml:space="preserve">These were computed using the </w:t>
      </w:r>
      <w:r w:rsidR="00DD2365" w:rsidRPr="00435469">
        <w:rPr>
          <w:bCs/>
          <w:sz w:val="20"/>
          <w:szCs w:val="20"/>
        </w:rPr>
        <w:t xml:space="preserve">following </w:t>
      </w:r>
      <w:r w:rsidRPr="00435469">
        <w:rPr>
          <w:bCs/>
          <w:sz w:val="20"/>
          <w:szCs w:val="20"/>
        </w:rPr>
        <w:t>data: 1) the estimated 1990 South African TB prevalence</w:t>
      </w:r>
      <w:r w:rsidR="005C127D" w:rsidRPr="00435469">
        <w:rPr>
          <w:bCs/>
          <w:sz w:val="20"/>
          <w:szCs w:val="20"/>
        </w:rPr>
        <w:t xml:space="preserve"> by the WHO </w:t>
      </w:r>
      <w:r w:rsidR="005C127D" w:rsidRPr="00435469">
        <w:rPr>
          <w:bCs/>
          <w:sz w:val="20"/>
          <w:szCs w:val="20"/>
        </w:rPr>
        <w:fldChar w:fldCharType="begin" w:fldLock="1"/>
      </w:r>
      <w:r w:rsidR="002F049E" w:rsidRPr="00435469">
        <w:rPr>
          <w:bCs/>
          <w:sz w:val="20"/>
          <w:szCs w:val="20"/>
        </w:rPr>
        <w:instrText>ADDIN CSL_CITATION {"citationItems":[{"id":"ITEM-1","itemData":{"DOI":"WHO/HTM/TB/2014.08","ISBN":"978 92 4 156480 9","ISSN":"0311-4546","PMID":"20488518","abstract":"This is the sixteenth global report on tuberculosis (TB) published by WHO in a series that started in 1997. It provides a comprehensive and up-to-date assessment of the TB epidemic and progress in implementing and ﬁnancing TB prevention, care and control at global, regional and country levels using data reported by 198 countries that account for over 99% of the worlds TB cases.","id":"ITEM-1","issued":{"date-parts":[["2014"]]},"publisher-place":"World Health Organization. Geneva, Switzerland","title":"Global Tuberculosis Report 2014","type":"report"},"uris":["http://www.mendeley.com/documents/?uuid=c8ede685-526d-481d-bd1d-7eca7996423a"]}],"mendeley":{"formattedCitation":"(17)","plainTextFormattedCitation":"(17)","previouslyFormattedCitation":"(17)"},"properties":{"noteIndex":0},"schema":"https://github.com/citation-style-language/schema/raw/master/csl-citation.json"}</w:instrText>
      </w:r>
      <w:r w:rsidR="005C127D" w:rsidRPr="00435469">
        <w:rPr>
          <w:bCs/>
          <w:sz w:val="20"/>
          <w:szCs w:val="20"/>
        </w:rPr>
        <w:fldChar w:fldCharType="separate"/>
      </w:r>
      <w:r w:rsidR="0063047A" w:rsidRPr="00435469">
        <w:rPr>
          <w:bCs/>
          <w:noProof/>
          <w:sz w:val="20"/>
          <w:szCs w:val="20"/>
        </w:rPr>
        <w:t>(17)</w:t>
      </w:r>
      <w:r w:rsidR="005C127D" w:rsidRPr="00435469">
        <w:rPr>
          <w:bCs/>
          <w:sz w:val="20"/>
          <w:szCs w:val="20"/>
        </w:rPr>
        <w:fldChar w:fldCharType="end"/>
      </w:r>
      <w:r w:rsidR="006E0E11" w:rsidRPr="00435469">
        <w:rPr>
          <w:bCs/>
          <w:sz w:val="20"/>
          <w:szCs w:val="20"/>
        </w:rPr>
        <w:t>,</w:t>
      </w:r>
      <w:r w:rsidRPr="00435469">
        <w:rPr>
          <w:bCs/>
          <w:sz w:val="20"/>
          <w:szCs w:val="20"/>
        </w:rPr>
        <w:t xml:space="preserve"> 2) the Cape Town TB prevalence in an HIV-uninfected population</w:t>
      </w:r>
      <w:r w:rsidR="00B26400" w:rsidRPr="00435469">
        <w:rPr>
          <w:bCs/>
          <w:sz w:val="20"/>
          <w:szCs w:val="20"/>
        </w:rPr>
        <w:t xml:space="preserve"> </w:t>
      </w:r>
      <w:r w:rsidR="00B26400" w:rsidRPr="00435469">
        <w:rPr>
          <w:bCs/>
          <w:sz w:val="20"/>
          <w:szCs w:val="20"/>
        </w:rPr>
        <w:fldChar w:fldCharType="begin" w:fldLock="1"/>
      </w:r>
      <w:r w:rsidR="002F049E" w:rsidRPr="00435469">
        <w:rPr>
          <w:bCs/>
          <w:sz w:val="20"/>
          <w:szCs w:val="20"/>
        </w:rPr>
        <w:instrText>ADDIN CSL_CITATION {"citationItems":[{"id":"ITEM-1","itemData":{"DOI":"10.1371/journal.pone.0025098","ISBN":"1932-6203 (Electronic)\\r1932-6203 (Linking)","ISSN":"19326203","PMID":"22016763","abstract":"AIM: To describe the burden of tuberculosis (TB) in Cape Town by calculating TB incidence rates stratified by age and HIV-status, assessing the contribution of retreatment disease and estimating the cumulative lifetime TB risk in HIV-negative individuals.METHODS: Details of TB cases were abstracted from the 2009 electronic TB register. Population denominators were estimated from census data and actuarial estimates of HIV prevalence, allowing calculation of age-specific and HIV-stratified TB notification rates.RESULTS: The 2009 mid-year population was 3,443,010 (3,241,508 HIV-negative and 201,502 HIV-positive individuals). There were 29,478 newly notified TB cases of which 56% were laboratory confirmed. HIV status was recorded for 87% of cases and of those with known HIV-status 49% were HIV-negative and 51% were positive. Discrete peaks in the incidence of non-HIV-associated TB occurred at three ages: 511/100,000 at 0-4 years of age, 553/100,000 at 20-24 years and 628/100,000 at 45-49 years with 1.5%, 19% and 45% being due to retreatment TB, respectively. Only 15.5% of recurrent cases had a history of TB treatment failure or default. The cumulative lifetime risks in the HIV-negative population of all new TB episodes and new smear-positive TB episodes were 24% and 12%, respectively; the lifetime risk of retreatment disease was 9%. The HIV-positive notification rate was 6,567/100,000 (HIV-associated TB rate ratio = 17). Although retreatment cases comprised 30% of the HIV-associated TB burden, 88% of these patients had no history of prior treatment failure or default.CONCLUSIONS: The annual burden of TB in this city is huge. TB in the HIV-negative population contributed almost half of the overall disease burden and cumulative lifetime risks were similar to those reported in the pre-chemotherapy era. Retreatment TB contributed significantly to both HIV-associated and non-HIV-associated TB but infrequently followed prior inadequate treatment. This likely reflects ongoing TB transmission to both HIV-negative and positive individuals.","author":[{"dropping-particle":"","family":"Wood","given":"Robin","non-dropping-particle":"","parse-names":false,"suffix":""},{"dropping-particle":"","family":"Lawn","given":"Stephen D.","non-dropping-particle":"","parse-names":false,"suffix":""},{"dropping-particle":"","family":"Caldwell","given":"Judy","non-dropping-particle":"","parse-names":false,"suffix":""},{"dropping-particle":"","family":"Kaplan","given":"Richard","non-dropping-particle":"","parse-names":false,"suffix":""},{"dropping-particle":"","family":"Middelkoop","given":"Keren","non-dropping-particle":"","parse-names":false,"suffix":""},{"dropping-particle":"","family":"Bekker","given":"Linda Gail","non-dropping-particle":"","parse-names":false,"suffix":""}],"container-title":"PLoS ONE","id":"ITEM-1","issue":"10","issued":{"date-parts":[["2011"]]},"title":"Burden of new and recurrent tuberculosis in a major South African city stratified by age and HIV-status","type":"article-journal","volume":"6"},"uris":["http://www.mendeley.com/documents/?uuid=d9439b80-4d72-4247-9dc4-72f94707dccd"]}],"mendeley":{"formattedCitation":"(18)","plainTextFormattedCitation":"(18)","previouslyFormattedCitation":"(18)"},"properties":{"noteIndex":0},"schema":"https://github.com/citation-style-language/schema/raw/master/csl-citation.json"}</w:instrText>
      </w:r>
      <w:r w:rsidR="00B26400" w:rsidRPr="00435469">
        <w:rPr>
          <w:bCs/>
          <w:sz w:val="20"/>
          <w:szCs w:val="20"/>
        </w:rPr>
        <w:fldChar w:fldCharType="separate"/>
      </w:r>
      <w:r w:rsidR="0063047A" w:rsidRPr="00435469">
        <w:rPr>
          <w:bCs/>
          <w:noProof/>
          <w:sz w:val="20"/>
          <w:szCs w:val="20"/>
        </w:rPr>
        <w:t>(18)</w:t>
      </w:r>
      <w:r w:rsidR="00B26400" w:rsidRPr="00435469">
        <w:rPr>
          <w:bCs/>
          <w:sz w:val="20"/>
          <w:szCs w:val="20"/>
        </w:rPr>
        <w:fldChar w:fldCharType="end"/>
      </w:r>
      <w:r w:rsidR="005C127D" w:rsidRPr="00435469">
        <w:rPr>
          <w:bCs/>
          <w:sz w:val="20"/>
          <w:szCs w:val="20"/>
        </w:rPr>
        <w:t xml:space="preserve"> </w:t>
      </w:r>
      <w:r w:rsidR="00E8321B" w:rsidRPr="00435469">
        <w:rPr>
          <w:bCs/>
          <w:sz w:val="20"/>
          <w:szCs w:val="20"/>
        </w:rPr>
        <w:t xml:space="preserve">and </w:t>
      </w:r>
      <w:r w:rsidRPr="00435469">
        <w:rPr>
          <w:bCs/>
          <w:sz w:val="20"/>
          <w:szCs w:val="20"/>
        </w:rPr>
        <w:t xml:space="preserve">3) </w:t>
      </w:r>
      <w:r w:rsidR="006E0E11" w:rsidRPr="00435469">
        <w:rPr>
          <w:bCs/>
          <w:sz w:val="20"/>
          <w:szCs w:val="20"/>
        </w:rPr>
        <w:t xml:space="preserve">the </w:t>
      </w:r>
      <w:r w:rsidRPr="00435469">
        <w:rPr>
          <w:bCs/>
          <w:sz w:val="20"/>
          <w:szCs w:val="20"/>
        </w:rPr>
        <w:t>ratio of male to female TB prevalence</w:t>
      </w:r>
      <w:r w:rsidR="00E8321B" w:rsidRPr="00435469">
        <w:rPr>
          <w:bCs/>
          <w:sz w:val="20"/>
          <w:szCs w:val="20"/>
        </w:rPr>
        <w:t xml:space="preserve"> </w:t>
      </w:r>
      <w:r w:rsidR="002A41DC" w:rsidRPr="00435469">
        <w:rPr>
          <w:bCs/>
          <w:sz w:val="20"/>
          <w:szCs w:val="20"/>
        </w:rPr>
        <w:fldChar w:fldCharType="begin" w:fldLock="1"/>
      </w:r>
      <w:r w:rsidR="002F049E" w:rsidRPr="00435469">
        <w:rPr>
          <w:bCs/>
          <w:sz w:val="20"/>
          <w:szCs w:val="20"/>
        </w:rPr>
        <w:instrText>ADDIN CSL_CITATION {"citationItems":[{"id":"ITEM-1","itemData":{"ISBN":"1027-3719 (Print)\\r1027-3719 (Linking)","ISSN":"1027-3719","PMID":"15141735","abstract":"OBJECTIVE: To describe the sex and age distribution of sputum submission and smear positivity in the Western Cape Province of South Africa. METHOD: Laboratory registers of the South African Institute of Medical Research were examined retrospectively for the year 1999. RESULTS: Male tuberculosis (TB) suspects outnumbered females by 1.45:1, whereas amongst confirmed TB cases the ratio was 2.08:1. The odds ratio (OR) for smear positivity amongst males and females was 1.544. The proportion of male sputum positives significantly exceeded the proportion of males in the general population, as measured by the 1996 census. Not only did the number of male TB suspects and confirmed cases exceed that of females in absolute terms, but the proportion of male suspects proving smear-positive exceeded that of females. The age by sex distribution of new smear-positive patients followed the trend reported in recent literature. CONCLUSION: The gendered incidence of tuberculosis identified from this census is consistent with that of other developing countries. However, the smaller proportion of female TB suspects proving smear-positive suggests a higher index of suspicion in females and/or longer delays prior to care seeking amongst males.","author":[{"dropping-particle":"","family":"Austin","given":"J F","non-dropping-particle":"","parse-names":false,"suffix":""},{"dropping-particle":"","family":"Dick","given":"J M","non-dropping-particle":"","parse-names":false,"suffix":""},{"dropping-particle":"","family":"Zwarenstein","given":"M","non-dropping-particle":"","parse-names":false,"suffix":""}],"container-title":"The international journal of tuberculosis and lung disease : the official journal of the International Union against Tuberculosis and Lung Disease","id":"ITEM-1","issue":"4","issued":{"date-parts":[["2004"]]},"page":"435-439","title":"Gender disparity amongst TB suspects and new TB patients according to data recorded at the South African Institute of Medical Research laboratory for the Western Cape Region of South Africa.","type":"article-journal","volume":"8"},"uris":["http://www.mendeley.com/documents/?uuid=5d618ef7-65cd-46e3-9e5e-8e49f860ae8d"]}],"mendeley":{"formattedCitation":"(22)","plainTextFormattedCitation":"(22)","previouslyFormattedCitation":"(22)"},"properties":{"noteIndex":0},"schema":"https://github.com/citation-style-language/schema/raw/master/csl-citation.json"}</w:instrText>
      </w:r>
      <w:r w:rsidR="002A41DC" w:rsidRPr="00435469">
        <w:rPr>
          <w:bCs/>
          <w:sz w:val="20"/>
          <w:szCs w:val="20"/>
        </w:rPr>
        <w:fldChar w:fldCharType="separate"/>
      </w:r>
      <w:r w:rsidR="0063047A" w:rsidRPr="00435469">
        <w:rPr>
          <w:bCs/>
          <w:noProof/>
          <w:sz w:val="20"/>
          <w:szCs w:val="20"/>
        </w:rPr>
        <w:t>(22)</w:t>
      </w:r>
      <w:r w:rsidR="002A41DC" w:rsidRPr="00435469">
        <w:rPr>
          <w:bCs/>
          <w:sz w:val="20"/>
          <w:szCs w:val="20"/>
        </w:rPr>
        <w:fldChar w:fldCharType="end"/>
      </w:r>
      <w:r w:rsidR="002A41DC" w:rsidRPr="00435469">
        <w:rPr>
          <w:bCs/>
          <w:sz w:val="20"/>
          <w:szCs w:val="20"/>
        </w:rPr>
        <w:t xml:space="preserve">. </w:t>
      </w:r>
      <w:r w:rsidR="006B179F" w:rsidRPr="00435469">
        <w:rPr>
          <w:bCs/>
          <w:sz w:val="20"/>
          <w:szCs w:val="20"/>
        </w:rPr>
        <w:t xml:space="preserve">For </w:t>
      </w:r>
      <w:r w:rsidR="005A20DD" w:rsidRPr="00435469">
        <w:rPr>
          <w:bCs/>
          <w:sz w:val="20"/>
          <w:szCs w:val="20"/>
        </w:rPr>
        <w:t xml:space="preserve">the </w:t>
      </w:r>
      <w:r w:rsidR="006B179F" w:rsidRPr="00435469">
        <w:rPr>
          <w:bCs/>
          <w:sz w:val="20"/>
          <w:szCs w:val="20"/>
        </w:rPr>
        <w:t xml:space="preserve">age groups 15 – 75 years, we assume the prevalence of active TB in males to be 50% higher than that in females </w:t>
      </w:r>
      <w:r w:rsidR="004E5C47" w:rsidRPr="00435469">
        <w:rPr>
          <w:bCs/>
          <w:sz w:val="20"/>
          <w:szCs w:val="20"/>
        </w:rPr>
        <w:fldChar w:fldCharType="begin" w:fldLock="1"/>
      </w:r>
      <w:r w:rsidR="002F049E" w:rsidRPr="00435469">
        <w:rPr>
          <w:bCs/>
          <w:sz w:val="20"/>
          <w:szCs w:val="20"/>
        </w:rPr>
        <w:instrText>ADDIN CSL_CITATION {"citationItems":[{"id":"ITEM-1","itemData":{"ISBN":"1027-3719 (Print)\\r1027-3719 (Linking)","ISSN":"1027-3719","PMID":"15141735","abstract":"OBJECTIVE: To describe the sex and age distribution of sputum submission and smear positivity in the Western Cape Province of South Africa. METHOD: Laboratory registers of the South African Institute of Medical Research were examined retrospectively for the year 1999. RESULTS: Male tuberculosis (TB) suspects outnumbered females by 1.45:1, whereas amongst confirmed TB cases the ratio was 2.08:1. The odds ratio (OR) for smear positivity amongst males and females was 1.544. The proportion of male sputum positives significantly exceeded the proportion of males in the general population, as measured by the 1996 census. Not only did the number of male TB suspects and confirmed cases exceed that of females in absolute terms, but the proportion of male suspects proving smear-positive exceeded that of females. The age by sex distribution of new smear-positive patients followed the trend reported in recent literature. CONCLUSION: The gendered incidence of tuberculosis identified from this census is consistent with that of other developing countries. However, the smaller proportion of female TB suspects proving smear-positive suggests a higher index of suspicion in females and/or longer delays prior to care seeking amongst males.","author":[{"dropping-particle":"","family":"Austin","given":"J F","non-dropping-particle":"","parse-names":false,"suffix":""},{"dropping-particle":"","family":"Dick","given":"J M","non-dropping-particle":"","parse-names":false,"suffix":""},{"dropping-particle":"","family":"Zwarenstein","given":"M","non-dropping-particle":"","parse-names":false,"suffix":""}],"container-title":"The international journal of tuberculosis and lung disease : the official journal of the International Union against Tuberculosis and Lung Disease","id":"ITEM-1","issue":"4","issued":{"date-parts":[["2004"]]},"page":"435-439","title":"Gender disparity amongst TB suspects and new TB patients according to data recorded at the South African Institute of Medical Research laboratory for the Western Cape Region of South Africa.","type":"article-journal","volume":"8"},"uris":["http://www.mendeley.com/documents/?uuid=5d618ef7-65cd-46e3-9e5e-8e49f860ae8d"]}],"mendeley":{"formattedCitation":"(22)","plainTextFormattedCitation":"(22)","previouslyFormattedCitation":"(22)"},"properties":{"noteIndex":0},"schema":"https://github.com/citation-style-language/schema/raw/master/csl-citation.json"}</w:instrText>
      </w:r>
      <w:r w:rsidR="004E5C47" w:rsidRPr="00435469">
        <w:rPr>
          <w:bCs/>
          <w:sz w:val="20"/>
          <w:szCs w:val="20"/>
        </w:rPr>
        <w:fldChar w:fldCharType="separate"/>
      </w:r>
      <w:r w:rsidR="0063047A" w:rsidRPr="00435469">
        <w:rPr>
          <w:bCs/>
          <w:noProof/>
          <w:sz w:val="20"/>
          <w:szCs w:val="20"/>
        </w:rPr>
        <w:t>(22)</w:t>
      </w:r>
      <w:r w:rsidR="004E5C47" w:rsidRPr="00435469">
        <w:rPr>
          <w:bCs/>
          <w:sz w:val="20"/>
          <w:szCs w:val="20"/>
        </w:rPr>
        <w:fldChar w:fldCharType="end"/>
      </w:r>
      <w:r w:rsidR="00C235B7" w:rsidRPr="00435469">
        <w:rPr>
          <w:bCs/>
          <w:sz w:val="20"/>
          <w:szCs w:val="20"/>
        </w:rPr>
        <w:t xml:space="preserve">. </w:t>
      </w:r>
      <w:r w:rsidR="00FF28CE" w:rsidRPr="00435469">
        <w:rPr>
          <w:sz w:val="20"/>
          <w:szCs w:val="20"/>
        </w:rPr>
        <w:t xml:space="preserve">We assume that </w:t>
      </w:r>
      <w:r w:rsidR="00583123" w:rsidRPr="00435469">
        <w:rPr>
          <w:sz w:val="20"/>
          <w:szCs w:val="20"/>
        </w:rPr>
        <w:t>the</w:t>
      </w:r>
      <w:r w:rsidR="00733434" w:rsidRPr="00435469">
        <w:rPr>
          <w:sz w:val="20"/>
          <w:szCs w:val="20"/>
        </w:rPr>
        <w:t xml:space="preserve"> overall prevalence</w:t>
      </w:r>
      <w:r w:rsidR="00583123" w:rsidRPr="00435469">
        <w:rPr>
          <w:sz w:val="20"/>
          <w:szCs w:val="20"/>
        </w:rPr>
        <w:t xml:space="preserve"> </w:t>
      </w:r>
      <m:oMath>
        <m:acc>
          <m:accPr>
            <m:chr m:val="̅"/>
            <m:ctrlPr>
              <w:rPr>
                <w:rFonts w:ascii="Cambria Math" w:hAnsi="Cambria Math" w:cs="Times New Roman"/>
                <w:iCs/>
                <w:sz w:val="20"/>
                <w:szCs w:val="20"/>
              </w:rPr>
            </m:ctrlPr>
          </m:accPr>
          <m:e>
            <m:r>
              <m:rPr>
                <m:sty m:val="p"/>
              </m:rPr>
              <w:rPr>
                <w:rFonts w:ascii="Cambria Math" w:hAnsi="Cambria Math"/>
                <w:sz w:val="20"/>
                <w:szCs w:val="20"/>
              </w:rPr>
              <m:t>p</m:t>
            </m:r>
          </m:e>
        </m:acc>
        <m:r>
          <w:rPr>
            <w:rFonts w:ascii="Cambria Math" w:hAnsi="Cambria Math" w:cs="Times New Roman"/>
            <w:sz w:val="20"/>
            <w:szCs w:val="20"/>
          </w:rPr>
          <m:t xml:space="preserve">=0.5 </m:t>
        </m:r>
        <m:d>
          <m:dPr>
            <m:ctrlPr>
              <w:rPr>
                <w:rFonts w:ascii="Cambria Math" w:hAnsi="Cambria Math" w:cs="Times New Roman"/>
                <w:i/>
                <w:iCs/>
                <w:sz w:val="20"/>
                <w:szCs w:val="20"/>
              </w:rPr>
            </m:ctrlPr>
          </m:dPr>
          <m:e>
            <m:sSub>
              <m:sSubPr>
                <m:ctrlPr>
                  <w:rPr>
                    <w:rFonts w:ascii="Cambria Math" w:hAnsi="Cambria Math" w:cs="Times New Roman"/>
                    <w:i/>
                    <w:iCs/>
                    <w:sz w:val="20"/>
                    <w:szCs w:val="20"/>
                  </w:rPr>
                </m:ctrlPr>
              </m:sSubPr>
              <m:e>
                <m:r>
                  <w:rPr>
                    <w:rFonts w:ascii="Cambria Math" w:hAnsi="Cambria Math" w:cs="Times New Roman"/>
                    <w:sz w:val="20"/>
                    <w:szCs w:val="20"/>
                  </w:rPr>
                  <m:t>p</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p</m:t>
                </m:r>
              </m:e>
              <m:sub>
                <m:r>
                  <w:rPr>
                    <w:rFonts w:ascii="Cambria Math" w:hAnsi="Cambria Math" w:cs="Times New Roman"/>
                    <w:sz w:val="20"/>
                    <w:szCs w:val="20"/>
                  </w:rPr>
                  <m:t>1</m:t>
                </m:r>
              </m:sub>
            </m:sSub>
          </m:e>
        </m:d>
      </m:oMath>
      <w:r w:rsidR="00AA09C8" w:rsidRPr="00435469">
        <w:rPr>
          <w:rFonts w:eastAsiaTheme="minorEastAsia"/>
          <w:iCs/>
          <w:sz w:val="20"/>
          <w:szCs w:val="20"/>
        </w:rPr>
        <w:t xml:space="preserve">, </w:t>
      </w:r>
      <w:r w:rsidR="00FF28CE" w:rsidRPr="00435469">
        <w:rPr>
          <w:rFonts w:eastAsiaTheme="minorEastAsia"/>
          <w:iCs/>
          <w:sz w:val="20"/>
          <w:szCs w:val="20"/>
        </w:rPr>
        <w:t xml:space="preserve">where </w:t>
      </w:r>
      <m:oMath>
        <m:sSub>
          <m:sSubPr>
            <m:ctrlPr>
              <w:rPr>
                <w:rFonts w:ascii="Cambria Math" w:hAnsi="Cambria Math" w:cs="Times New Roman"/>
                <w:i/>
                <w:iCs/>
                <w:sz w:val="20"/>
                <w:szCs w:val="20"/>
              </w:rPr>
            </m:ctrlPr>
          </m:sSubPr>
          <m:e>
            <m:r>
              <w:rPr>
                <w:rFonts w:ascii="Cambria Math" w:hAnsi="Cambria Math" w:cs="Times New Roman"/>
                <w:sz w:val="20"/>
                <w:szCs w:val="20"/>
              </w:rPr>
              <m:t>p</m:t>
            </m:r>
          </m:e>
          <m:sub>
            <m:r>
              <w:rPr>
                <w:rFonts w:ascii="Cambria Math" w:hAnsi="Cambria Math" w:cs="Times New Roman"/>
                <w:sz w:val="20"/>
                <w:szCs w:val="20"/>
              </w:rPr>
              <m:t>0</m:t>
            </m:r>
          </m:sub>
        </m:sSub>
      </m:oMath>
      <w:r w:rsidR="00FF28CE" w:rsidRPr="00435469">
        <w:rPr>
          <w:rFonts w:eastAsiaTheme="minorEastAsia"/>
          <w:iCs/>
          <w:sz w:val="20"/>
          <w:szCs w:val="20"/>
        </w:rPr>
        <w:t xml:space="preserve"> is the prevalence in males and </w:t>
      </w:r>
      <m:oMath>
        <m:sSub>
          <m:sSubPr>
            <m:ctrlPr>
              <w:rPr>
                <w:rFonts w:ascii="Cambria Math" w:hAnsi="Cambria Math" w:cs="Times New Roman"/>
                <w:i/>
                <w:iCs/>
                <w:sz w:val="20"/>
                <w:szCs w:val="20"/>
              </w:rPr>
            </m:ctrlPr>
          </m:sSubPr>
          <m:e>
            <m:r>
              <w:rPr>
                <w:rFonts w:ascii="Cambria Math" w:hAnsi="Cambria Math" w:cs="Times New Roman"/>
                <w:sz w:val="20"/>
                <w:szCs w:val="20"/>
              </w:rPr>
              <m:t>p</m:t>
            </m:r>
          </m:e>
          <m:sub>
            <m:r>
              <w:rPr>
                <w:rFonts w:ascii="Cambria Math" w:hAnsi="Cambria Math" w:cs="Times New Roman"/>
                <w:sz w:val="20"/>
                <w:szCs w:val="20"/>
              </w:rPr>
              <m:t>1</m:t>
            </m:r>
          </m:sub>
        </m:sSub>
      </m:oMath>
      <w:r w:rsidR="00FF28CE" w:rsidRPr="00435469">
        <w:rPr>
          <w:rFonts w:eastAsiaTheme="minorEastAsia"/>
          <w:iCs/>
          <w:sz w:val="20"/>
          <w:szCs w:val="20"/>
        </w:rPr>
        <w:t xml:space="preserve"> is the prevalence in females. We then </w:t>
      </w:r>
      <w:r w:rsidR="00600106" w:rsidRPr="00435469">
        <w:rPr>
          <w:rFonts w:eastAsiaTheme="minorEastAsia"/>
          <w:iCs/>
          <w:sz w:val="20"/>
          <w:szCs w:val="20"/>
        </w:rPr>
        <w:t xml:space="preserve">have </w:t>
      </w:r>
      <m:oMath>
        <m:sSub>
          <m:sSubPr>
            <m:ctrlPr>
              <w:rPr>
                <w:rFonts w:ascii="Cambria Math" w:hAnsi="Cambria Math" w:cs="Times New Roman"/>
                <w:bCs/>
                <w:i/>
                <w:sz w:val="20"/>
                <w:szCs w:val="20"/>
              </w:rPr>
            </m:ctrlPr>
          </m:sSubPr>
          <m:e>
            <m:r>
              <w:rPr>
                <w:rFonts w:ascii="Cambria Math" w:hAnsi="Cambria Math"/>
                <w:sz w:val="20"/>
                <w:szCs w:val="20"/>
              </w:rPr>
              <m:t>p</m:t>
            </m:r>
          </m:e>
          <m:sub>
            <m:r>
              <w:rPr>
                <w:rFonts w:ascii="Cambria Math" w:hAnsi="Cambria Math"/>
                <w:sz w:val="20"/>
                <w:szCs w:val="20"/>
              </w:rPr>
              <m:t>0</m:t>
            </m:r>
          </m:sub>
        </m:sSub>
        <m:r>
          <w:rPr>
            <w:rFonts w:ascii="Cambria Math" w:hAnsi="Cambria Math"/>
            <w:sz w:val="20"/>
            <w:szCs w:val="20"/>
          </w:rPr>
          <m:t xml:space="preserve">= </m:t>
        </m:r>
        <m:r>
          <m:rPr>
            <m:sty m:val="p"/>
          </m:rPr>
          <w:rPr>
            <w:rFonts w:ascii="Cambria Math" w:hAnsi="Cambria Math"/>
            <w:sz w:val="20"/>
            <w:szCs w:val="20"/>
          </w:rPr>
          <m:t>1.5×</m:t>
        </m:r>
        <m:acc>
          <m:accPr>
            <m:chr m:val="̅"/>
            <m:ctrlPr>
              <w:rPr>
                <w:rFonts w:ascii="Cambria Math" w:hAnsi="Cambria Math" w:cs="Times New Roman"/>
                <w:iCs/>
                <w:sz w:val="20"/>
                <w:szCs w:val="20"/>
              </w:rPr>
            </m:ctrlPr>
          </m:accPr>
          <m:e>
            <m:r>
              <m:rPr>
                <m:sty m:val="p"/>
              </m:rPr>
              <w:rPr>
                <w:rFonts w:ascii="Cambria Math" w:hAnsi="Cambria Math"/>
                <w:sz w:val="20"/>
                <w:szCs w:val="20"/>
              </w:rPr>
              <m:t>p</m:t>
            </m:r>
          </m:e>
        </m:acc>
        <m:r>
          <m:rPr>
            <m:sty m:val="p"/>
          </m:rPr>
          <w:rPr>
            <w:rFonts w:ascii="Cambria Math" w:hAnsi="Cambria Math"/>
            <w:sz w:val="20"/>
            <w:szCs w:val="20"/>
          </w:rPr>
          <m:t>/(0.5× (1 + 1.5))</m:t>
        </m:r>
      </m:oMath>
      <w:r w:rsidR="00600106" w:rsidRPr="00435469">
        <w:rPr>
          <w:bCs/>
          <w:sz w:val="20"/>
          <w:szCs w:val="20"/>
        </w:rPr>
        <w:t xml:space="preserve"> and </w:t>
      </w:r>
      <m:oMath>
        <m:sSub>
          <m:sSubPr>
            <m:ctrlPr>
              <w:rPr>
                <w:rFonts w:ascii="Cambria Math" w:hAnsi="Cambria Math" w:cs="Times New Roman"/>
                <w:bCs/>
                <w:i/>
                <w:sz w:val="20"/>
                <w:szCs w:val="20"/>
              </w:rPr>
            </m:ctrlPr>
          </m:sSubPr>
          <m:e>
            <m:r>
              <w:rPr>
                <w:rFonts w:ascii="Cambria Math" w:hAnsi="Cambria Math"/>
                <w:sz w:val="20"/>
                <w:szCs w:val="20"/>
              </w:rPr>
              <m:t>p</m:t>
            </m:r>
          </m:e>
          <m:sub>
            <m:r>
              <w:rPr>
                <w:rFonts w:ascii="Cambria Math" w:hAnsi="Cambria Math"/>
                <w:sz w:val="20"/>
                <w:szCs w:val="20"/>
              </w:rPr>
              <m:t>1</m:t>
            </m:r>
          </m:sub>
        </m:sSub>
        <m:r>
          <w:rPr>
            <w:rFonts w:ascii="Cambria Math" w:hAnsi="Cambria Math"/>
            <w:sz w:val="20"/>
            <w:szCs w:val="20"/>
          </w:rPr>
          <m:t>=</m:t>
        </m:r>
        <m:acc>
          <m:accPr>
            <m:chr m:val="̅"/>
            <m:ctrlPr>
              <w:rPr>
                <w:rFonts w:ascii="Cambria Math" w:hAnsi="Cambria Math" w:cs="Times New Roman"/>
                <w:iCs/>
                <w:sz w:val="20"/>
                <w:szCs w:val="20"/>
              </w:rPr>
            </m:ctrlPr>
          </m:accPr>
          <m:e>
            <m:r>
              <m:rPr>
                <m:sty m:val="p"/>
              </m:rPr>
              <w:rPr>
                <w:rFonts w:ascii="Cambria Math" w:hAnsi="Cambria Math"/>
                <w:sz w:val="20"/>
                <w:szCs w:val="20"/>
              </w:rPr>
              <m:t>p</m:t>
            </m:r>
          </m:e>
        </m:acc>
        <m:r>
          <m:rPr>
            <m:sty m:val="p"/>
          </m:rPr>
          <w:rPr>
            <w:rFonts w:ascii="Cambria Math" w:hAnsi="Cambria Math"/>
            <w:sz w:val="20"/>
            <w:szCs w:val="20"/>
          </w:rPr>
          <m:t>/(0.5×(1 + 1.5))</m:t>
        </m:r>
      </m:oMath>
      <w:r w:rsidR="00600106" w:rsidRPr="00435469">
        <w:rPr>
          <w:rFonts w:eastAsiaTheme="minorEastAsia"/>
          <w:sz w:val="20"/>
          <w:szCs w:val="20"/>
        </w:rPr>
        <w:t xml:space="preserve">. </w:t>
      </w:r>
    </w:p>
    <w:p w14:paraId="61029453" w14:textId="205E1977" w:rsidR="0043759F" w:rsidRPr="00435469" w:rsidRDefault="0043759F" w:rsidP="00AD6E54">
      <w:pPr>
        <w:pStyle w:val="3TableHead"/>
      </w:pPr>
      <w:bookmarkStart w:id="19" w:name="_Ref89703627"/>
      <w:bookmarkStart w:id="20" w:name="_Toc103253656"/>
      <w:r w:rsidRPr="00435469">
        <w:t xml:space="preserve">Table </w:t>
      </w:r>
      <w:r w:rsidR="00AB530B" w:rsidRPr="00435469">
        <w:fldChar w:fldCharType="begin"/>
      </w:r>
      <w:r w:rsidR="00AB530B" w:rsidRPr="00435469">
        <w:instrText xml:space="preserve"> SEQ Table \* ARABIC </w:instrText>
      </w:r>
      <w:r w:rsidR="00AB530B" w:rsidRPr="00435469">
        <w:fldChar w:fldCharType="separate"/>
      </w:r>
      <w:r w:rsidR="00186C2F" w:rsidRPr="00435469">
        <w:rPr>
          <w:noProof/>
        </w:rPr>
        <w:t>3</w:t>
      </w:r>
      <w:r w:rsidR="00AB530B" w:rsidRPr="00435469">
        <w:rPr>
          <w:noProof/>
        </w:rPr>
        <w:fldChar w:fldCharType="end"/>
      </w:r>
      <w:bookmarkEnd w:id="19"/>
      <w:r w:rsidRPr="00435469">
        <w:t>: I</w:t>
      </w:r>
      <w:r w:rsidRPr="00435469">
        <w:rPr>
          <w:bCs/>
        </w:rPr>
        <w:t>nitial prevalence of tuberculosis by age and sex</w:t>
      </w:r>
      <w:r w:rsidRPr="00435469">
        <w:t xml:space="preserve"> in an HIV-negative population</w:t>
      </w:r>
      <w:bookmarkEnd w:id="20"/>
      <w:r w:rsidRPr="00435469">
        <w:t xml:space="preserve">  </w:t>
      </w:r>
    </w:p>
    <w:tbl>
      <w:tblPr>
        <w:tblW w:w="10241" w:type="dxa"/>
        <w:tblLook w:val="04A0" w:firstRow="1" w:lastRow="0" w:firstColumn="1" w:lastColumn="0" w:noHBand="0" w:noVBand="1"/>
      </w:tblPr>
      <w:tblGrid>
        <w:gridCol w:w="1052"/>
        <w:gridCol w:w="1891"/>
        <w:gridCol w:w="1916"/>
        <w:gridCol w:w="1748"/>
        <w:gridCol w:w="1615"/>
        <w:gridCol w:w="1784"/>
        <w:gridCol w:w="235"/>
      </w:tblGrid>
      <w:tr w:rsidR="00304411" w:rsidRPr="00435469" w14:paraId="6669847D" w14:textId="77777777" w:rsidTr="009E47CE">
        <w:trPr>
          <w:trHeight w:val="398"/>
        </w:trPr>
        <w:tc>
          <w:tcPr>
            <w:tcW w:w="1052" w:type="dxa"/>
            <w:tcBorders>
              <w:top w:val="single" w:sz="4" w:space="0" w:color="auto"/>
              <w:left w:val="nil"/>
              <w:bottom w:val="single" w:sz="4" w:space="0" w:color="auto"/>
              <w:right w:val="nil"/>
            </w:tcBorders>
            <w:shd w:val="clear" w:color="auto" w:fill="auto"/>
            <w:noWrap/>
            <w:vAlign w:val="bottom"/>
          </w:tcPr>
          <w:p w14:paraId="4D80919B" w14:textId="77777777" w:rsidR="009E47CE" w:rsidRPr="00435469" w:rsidRDefault="009E47CE" w:rsidP="00AD6E54">
            <w:pPr>
              <w:pStyle w:val="3TableDatapacked"/>
              <w:framePr w:wrap="around"/>
            </w:pPr>
            <w:r w:rsidRPr="00435469">
              <w:t>Age</w:t>
            </w:r>
          </w:p>
          <w:p w14:paraId="585ED6F3" w14:textId="77777777" w:rsidR="009E47CE" w:rsidRPr="00435469" w:rsidRDefault="009E47CE" w:rsidP="00AD6E54">
            <w:pPr>
              <w:pStyle w:val="3TableDatapacked"/>
              <w:framePr w:wrap="around"/>
            </w:pPr>
          </w:p>
        </w:tc>
        <w:tc>
          <w:tcPr>
            <w:tcW w:w="1891" w:type="dxa"/>
            <w:tcBorders>
              <w:top w:val="single" w:sz="4" w:space="0" w:color="auto"/>
              <w:left w:val="nil"/>
              <w:bottom w:val="single" w:sz="4" w:space="0" w:color="auto"/>
              <w:right w:val="nil"/>
            </w:tcBorders>
            <w:shd w:val="clear" w:color="auto" w:fill="auto"/>
            <w:noWrap/>
            <w:vAlign w:val="bottom"/>
          </w:tcPr>
          <w:p w14:paraId="49691AD8" w14:textId="77777777" w:rsidR="009E47CE" w:rsidRPr="00435469" w:rsidRDefault="009E47CE" w:rsidP="00AD6E54">
            <w:pPr>
              <w:pStyle w:val="3TableDatapacked"/>
              <w:framePr w:wrap="around"/>
            </w:pPr>
            <w:r w:rsidRPr="00435469">
              <w:t>HIV negative</w:t>
            </w:r>
          </w:p>
          <w:p w14:paraId="60379FE4" w14:textId="77777777" w:rsidR="009E47CE" w:rsidRPr="00435469" w:rsidRDefault="009E47CE" w:rsidP="00AD6E54">
            <w:pPr>
              <w:pStyle w:val="3TableDatapacked"/>
              <w:framePr w:wrap="around"/>
            </w:pPr>
            <w:r w:rsidRPr="00435469">
              <w:t>Population, a)</w:t>
            </w:r>
          </w:p>
        </w:tc>
        <w:tc>
          <w:tcPr>
            <w:tcW w:w="1916" w:type="dxa"/>
            <w:tcBorders>
              <w:top w:val="single" w:sz="4" w:space="0" w:color="auto"/>
              <w:left w:val="nil"/>
              <w:bottom w:val="single" w:sz="4" w:space="0" w:color="auto"/>
              <w:right w:val="nil"/>
            </w:tcBorders>
            <w:shd w:val="clear" w:color="auto" w:fill="auto"/>
            <w:noWrap/>
            <w:vAlign w:val="bottom"/>
          </w:tcPr>
          <w:p w14:paraId="50FDDC59" w14:textId="77777777" w:rsidR="009E47CE" w:rsidRPr="00435469" w:rsidRDefault="009E47CE" w:rsidP="00AD6E54">
            <w:pPr>
              <w:pStyle w:val="3TableDatapacked"/>
              <w:framePr w:wrap="around"/>
            </w:pPr>
            <w:r w:rsidRPr="00435469">
              <w:t>Number of active TB cases, b)</w:t>
            </w:r>
          </w:p>
        </w:tc>
        <w:tc>
          <w:tcPr>
            <w:tcW w:w="1748" w:type="dxa"/>
            <w:tcBorders>
              <w:top w:val="single" w:sz="4" w:space="0" w:color="auto"/>
              <w:left w:val="nil"/>
              <w:bottom w:val="single" w:sz="4" w:space="0" w:color="auto"/>
              <w:right w:val="nil"/>
            </w:tcBorders>
            <w:shd w:val="clear" w:color="auto" w:fill="auto"/>
            <w:noWrap/>
            <w:vAlign w:val="bottom"/>
          </w:tcPr>
          <w:p w14:paraId="35FB191A" w14:textId="67A2968A" w:rsidR="009E47CE" w:rsidRPr="00435469" w:rsidRDefault="009E47CE" w:rsidP="00AD6E54">
            <w:pPr>
              <w:pStyle w:val="3TableDatapacked"/>
              <w:framePr w:wrap="around"/>
              <w:rPr>
                <w:b/>
                <w:bCs/>
              </w:rPr>
            </w:pPr>
            <w:r w:rsidRPr="00435469">
              <w:t>The proportion of active TB, c)</w:t>
            </w:r>
          </w:p>
        </w:tc>
        <w:tc>
          <w:tcPr>
            <w:tcW w:w="1615" w:type="dxa"/>
            <w:tcBorders>
              <w:top w:val="single" w:sz="4" w:space="0" w:color="auto"/>
              <w:left w:val="nil"/>
              <w:bottom w:val="single" w:sz="4" w:space="0" w:color="auto"/>
              <w:right w:val="nil"/>
            </w:tcBorders>
            <w:shd w:val="clear" w:color="auto" w:fill="auto"/>
            <w:noWrap/>
            <w:vAlign w:val="bottom"/>
          </w:tcPr>
          <w:p w14:paraId="7CFEBAF5" w14:textId="77777777" w:rsidR="009E47CE" w:rsidRPr="00435469" w:rsidRDefault="009E47CE" w:rsidP="00AD6E54">
            <w:pPr>
              <w:pStyle w:val="3TableDatapacked"/>
              <w:framePr w:wrap="around"/>
              <w:rPr>
                <w:vertAlign w:val="subscript"/>
              </w:rPr>
            </w:pPr>
            <w:r w:rsidRPr="00435469">
              <w:t>% TB prevalence in males, p</w:t>
            </w:r>
            <w:r w:rsidRPr="00435469">
              <w:rPr>
                <w:vertAlign w:val="subscript"/>
              </w:rPr>
              <w:t>0</w:t>
            </w:r>
          </w:p>
        </w:tc>
        <w:tc>
          <w:tcPr>
            <w:tcW w:w="1784" w:type="dxa"/>
            <w:tcBorders>
              <w:top w:val="single" w:sz="4" w:space="0" w:color="auto"/>
              <w:left w:val="nil"/>
              <w:bottom w:val="single" w:sz="4" w:space="0" w:color="auto"/>
              <w:right w:val="nil"/>
            </w:tcBorders>
            <w:vAlign w:val="bottom"/>
          </w:tcPr>
          <w:p w14:paraId="535731E7" w14:textId="77777777" w:rsidR="009E47CE" w:rsidRPr="00435469" w:rsidRDefault="009E47CE" w:rsidP="00AD6E54">
            <w:pPr>
              <w:pStyle w:val="3TableDatapacked"/>
              <w:framePr w:wrap="around"/>
            </w:pPr>
            <w:r w:rsidRPr="00435469">
              <w:t>% TB prevalence in females, p</w:t>
            </w:r>
            <w:r w:rsidRPr="00435469">
              <w:rPr>
                <w:vertAlign w:val="subscript"/>
              </w:rPr>
              <w:t>1</w:t>
            </w:r>
          </w:p>
        </w:tc>
        <w:tc>
          <w:tcPr>
            <w:tcW w:w="235" w:type="dxa"/>
            <w:tcBorders>
              <w:top w:val="single" w:sz="4" w:space="0" w:color="auto"/>
              <w:left w:val="nil"/>
              <w:bottom w:val="single" w:sz="4" w:space="0" w:color="auto"/>
              <w:right w:val="nil"/>
            </w:tcBorders>
          </w:tcPr>
          <w:p w14:paraId="53225025" w14:textId="77777777" w:rsidR="009E47CE" w:rsidRPr="00435469" w:rsidRDefault="009E47CE" w:rsidP="00AD6E54">
            <w:pPr>
              <w:pStyle w:val="3TableDatapacked"/>
              <w:framePr w:wrap="around"/>
            </w:pPr>
          </w:p>
        </w:tc>
      </w:tr>
      <w:tr w:rsidR="00304411" w:rsidRPr="00435469" w14:paraId="04322AD2" w14:textId="77777777" w:rsidTr="00514835">
        <w:trPr>
          <w:trHeight w:val="267"/>
        </w:trPr>
        <w:tc>
          <w:tcPr>
            <w:tcW w:w="1052" w:type="dxa"/>
            <w:tcBorders>
              <w:left w:val="nil"/>
              <w:bottom w:val="nil"/>
              <w:right w:val="nil"/>
            </w:tcBorders>
            <w:shd w:val="clear" w:color="auto" w:fill="auto"/>
            <w:vAlign w:val="center"/>
            <w:hideMark/>
          </w:tcPr>
          <w:p w14:paraId="790CA292" w14:textId="77777777" w:rsidR="001215D3" w:rsidRPr="00435469" w:rsidRDefault="001215D3" w:rsidP="00AD6E54">
            <w:pPr>
              <w:pStyle w:val="3TableDatapacked"/>
              <w:framePr w:wrap="around"/>
              <w:rPr>
                <w:b/>
                <w:bCs/>
              </w:rPr>
            </w:pPr>
            <w:r w:rsidRPr="00435469">
              <w:t>15–19</w:t>
            </w:r>
          </w:p>
        </w:tc>
        <w:tc>
          <w:tcPr>
            <w:tcW w:w="1891" w:type="dxa"/>
            <w:tcBorders>
              <w:left w:val="nil"/>
              <w:bottom w:val="nil"/>
              <w:right w:val="nil"/>
            </w:tcBorders>
            <w:shd w:val="clear" w:color="auto" w:fill="auto"/>
            <w:noWrap/>
            <w:vAlign w:val="center"/>
            <w:hideMark/>
          </w:tcPr>
          <w:p w14:paraId="74C5C235" w14:textId="77777777" w:rsidR="001215D3" w:rsidRPr="00435469" w:rsidRDefault="001215D3" w:rsidP="00AD6E54">
            <w:pPr>
              <w:pStyle w:val="3TableDatapacked"/>
              <w:framePr w:wrap="around"/>
              <w:rPr>
                <w:b/>
                <w:bCs/>
              </w:rPr>
            </w:pPr>
            <w:r w:rsidRPr="00435469">
              <w:t>301447</w:t>
            </w:r>
          </w:p>
        </w:tc>
        <w:tc>
          <w:tcPr>
            <w:tcW w:w="1916" w:type="dxa"/>
            <w:tcBorders>
              <w:left w:val="nil"/>
              <w:bottom w:val="nil"/>
              <w:right w:val="nil"/>
            </w:tcBorders>
            <w:shd w:val="clear" w:color="auto" w:fill="auto"/>
            <w:noWrap/>
            <w:vAlign w:val="center"/>
            <w:hideMark/>
          </w:tcPr>
          <w:p w14:paraId="61B85F2B" w14:textId="77777777" w:rsidR="001215D3" w:rsidRPr="00435469" w:rsidRDefault="001215D3" w:rsidP="00AD6E54">
            <w:pPr>
              <w:pStyle w:val="3TableDatapacked"/>
              <w:framePr w:wrap="around"/>
              <w:rPr>
                <w:b/>
                <w:bCs/>
              </w:rPr>
            </w:pPr>
            <w:r w:rsidRPr="00435469">
              <w:t>988</w:t>
            </w:r>
          </w:p>
        </w:tc>
        <w:tc>
          <w:tcPr>
            <w:tcW w:w="1748" w:type="dxa"/>
            <w:tcBorders>
              <w:left w:val="nil"/>
              <w:bottom w:val="nil"/>
              <w:right w:val="nil"/>
            </w:tcBorders>
            <w:shd w:val="clear" w:color="auto" w:fill="auto"/>
            <w:noWrap/>
            <w:vAlign w:val="center"/>
            <w:hideMark/>
          </w:tcPr>
          <w:p w14:paraId="7927CE75" w14:textId="77777777" w:rsidR="001215D3" w:rsidRPr="00435469" w:rsidRDefault="001215D3" w:rsidP="00AD6E54">
            <w:pPr>
              <w:pStyle w:val="3TableDatapacked"/>
              <w:framePr w:wrap="around"/>
              <w:rPr>
                <w:b/>
                <w:bCs/>
              </w:rPr>
            </w:pPr>
            <w:r w:rsidRPr="00435469">
              <w:t>0.004</w:t>
            </w:r>
          </w:p>
        </w:tc>
        <w:tc>
          <w:tcPr>
            <w:tcW w:w="1615" w:type="dxa"/>
            <w:tcBorders>
              <w:left w:val="nil"/>
              <w:bottom w:val="nil"/>
              <w:right w:val="nil"/>
            </w:tcBorders>
            <w:shd w:val="clear" w:color="auto" w:fill="auto"/>
            <w:noWrap/>
            <w:hideMark/>
          </w:tcPr>
          <w:p w14:paraId="0728568B" w14:textId="793B00D8" w:rsidR="001215D3" w:rsidRPr="00435469" w:rsidRDefault="001215D3" w:rsidP="00AD6E54">
            <w:pPr>
              <w:pStyle w:val="3TableDatapacked"/>
              <w:framePr w:wrap="around"/>
              <w:rPr>
                <w:b/>
                <w:bCs/>
              </w:rPr>
            </w:pPr>
            <w:r w:rsidRPr="00435469">
              <w:t>0.005</w:t>
            </w:r>
          </w:p>
        </w:tc>
        <w:tc>
          <w:tcPr>
            <w:tcW w:w="1784" w:type="dxa"/>
            <w:tcBorders>
              <w:left w:val="nil"/>
              <w:bottom w:val="nil"/>
              <w:right w:val="nil"/>
            </w:tcBorders>
          </w:tcPr>
          <w:p w14:paraId="318CC5AC" w14:textId="5E598B76" w:rsidR="001215D3" w:rsidRPr="00435469" w:rsidRDefault="001215D3" w:rsidP="00AD6E54">
            <w:pPr>
              <w:pStyle w:val="3TableDatapacked"/>
              <w:framePr w:wrap="around"/>
            </w:pPr>
            <w:r w:rsidRPr="00435469">
              <w:t>0.003</w:t>
            </w:r>
          </w:p>
        </w:tc>
        <w:tc>
          <w:tcPr>
            <w:tcW w:w="235" w:type="dxa"/>
            <w:tcBorders>
              <w:left w:val="nil"/>
              <w:bottom w:val="nil"/>
              <w:right w:val="nil"/>
            </w:tcBorders>
          </w:tcPr>
          <w:p w14:paraId="008833A6" w14:textId="77777777" w:rsidR="001215D3" w:rsidRPr="00435469" w:rsidRDefault="001215D3" w:rsidP="00AD6E54">
            <w:pPr>
              <w:pStyle w:val="3TableDatapacked"/>
              <w:framePr w:wrap="around"/>
            </w:pPr>
          </w:p>
        </w:tc>
      </w:tr>
      <w:tr w:rsidR="00304411" w:rsidRPr="00435469" w14:paraId="78C4FAA9" w14:textId="77777777" w:rsidTr="00514835">
        <w:trPr>
          <w:trHeight w:val="267"/>
        </w:trPr>
        <w:tc>
          <w:tcPr>
            <w:tcW w:w="1052" w:type="dxa"/>
            <w:tcBorders>
              <w:top w:val="nil"/>
              <w:left w:val="nil"/>
              <w:bottom w:val="nil"/>
              <w:right w:val="nil"/>
            </w:tcBorders>
            <w:shd w:val="clear" w:color="auto" w:fill="auto"/>
            <w:vAlign w:val="center"/>
            <w:hideMark/>
          </w:tcPr>
          <w:p w14:paraId="13A160A8" w14:textId="77777777" w:rsidR="001215D3" w:rsidRPr="00435469" w:rsidRDefault="001215D3" w:rsidP="00AD6E54">
            <w:pPr>
              <w:pStyle w:val="3TableDatapacked"/>
              <w:framePr w:wrap="around"/>
              <w:rPr>
                <w:b/>
                <w:bCs/>
              </w:rPr>
            </w:pPr>
            <w:r w:rsidRPr="00435469">
              <w:t>20–24</w:t>
            </w:r>
          </w:p>
        </w:tc>
        <w:tc>
          <w:tcPr>
            <w:tcW w:w="1891" w:type="dxa"/>
            <w:tcBorders>
              <w:top w:val="nil"/>
              <w:left w:val="nil"/>
              <w:bottom w:val="nil"/>
              <w:right w:val="nil"/>
            </w:tcBorders>
            <w:shd w:val="clear" w:color="auto" w:fill="auto"/>
            <w:noWrap/>
            <w:vAlign w:val="center"/>
            <w:hideMark/>
          </w:tcPr>
          <w:p w14:paraId="3105CC01" w14:textId="77777777" w:rsidR="001215D3" w:rsidRPr="00435469" w:rsidRDefault="001215D3" w:rsidP="00AD6E54">
            <w:pPr>
              <w:pStyle w:val="3TableDatapacked"/>
              <w:framePr w:wrap="around"/>
              <w:rPr>
                <w:b/>
                <w:bCs/>
              </w:rPr>
            </w:pPr>
            <w:r w:rsidRPr="00435469">
              <w:t>306210</w:t>
            </w:r>
          </w:p>
        </w:tc>
        <w:tc>
          <w:tcPr>
            <w:tcW w:w="1916" w:type="dxa"/>
            <w:tcBorders>
              <w:top w:val="nil"/>
              <w:left w:val="nil"/>
              <w:bottom w:val="nil"/>
              <w:right w:val="nil"/>
            </w:tcBorders>
            <w:shd w:val="clear" w:color="auto" w:fill="auto"/>
            <w:noWrap/>
            <w:vAlign w:val="center"/>
            <w:hideMark/>
          </w:tcPr>
          <w:p w14:paraId="46701B0F" w14:textId="77777777" w:rsidR="001215D3" w:rsidRPr="00435469" w:rsidRDefault="001215D3" w:rsidP="00AD6E54">
            <w:pPr>
              <w:pStyle w:val="3TableDatapacked"/>
              <w:framePr w:wrap="around"/>
              <w:rPr>
                <w:b/>
                <w:bCs/>
              </w:rPr>
            </w:pPr>
            <w:r w:rsidRPr="00435469">
              <w:t>1693</w:t>
            </w:r>
          </w:p>
        </w:tc>
        <w:tc>
          <w:tcPr>
            <w:tcW w:w="1748" w:type="dxa"/>
            <w:tcBorders>
              <w:top w:val="nil"/>
              <w:left w:val="nil"/>
              <w:bottom w:val="nil"/>
              <w:right w:val="nil"/>
            </w:tcBorders>
            <w:shd w:val="clear" w:color="auto" w:fill="auto"/>
            <w:noWrap/>
            <w:vAlign w:val="center"/>
            <w:hideMark/>
          </w:tcPr>
          <w:p w14:paraId="55CAF28D" w14:textId="77777777" w:rsidR="001215D3" w:rsidRPr="00435469" w:rsidRDefault="001215D3" w:rsidP="00AD6E54">
            <w:pPr>
              <w:pStyle w:val="3TableDatapacked"/>
              <w:framePr w:wrap="around"/>
              <w:rPr>
                <w:b/>
                <w:bCs/>
              </w:rPr>
            </w:pPr>
            <w:r w:rsidRPr="00435469">
              <w:t>0.007</w:t>
            </w:r>
          </w:p>
        </w:tc>
        <w:tc>
          <w:tcPr>
            <w:tcW w:w="1615" w:type="dxa"/>
            <w:tcBorders>
              <w:top w:val="nil"/>
              <w:left w:val="nil"/>
              <w:bottom w:val="nil"/>
              <w:right w:val="nil"/>
            </w:tcBorders>
            <w:shd w:val="clear" w:color="auto" w:fill="auto"/>
            <w:noWrap/>
            <w:hideMark/>
          </w:tcPr>
          <w:p w14:paraId="65C7FED6" w14:textId="76728C70" w:rsidR="001215D3" w:rsidRPr="00435469" w:rsidRDefault="001215D3" w:rsidP="00AD6E54">
            <w:pPr>
              <w:pStyle w:val="3TableDatapacked"/>
              <w:framePr w:wrap="around"/>
              <w:rPr>
                <w:b/>
                <w:bCs/>
              </w:rPr>
            </w:pPr>
            <w:r w:rsidRPr="00435469">
              <w:t>0.008</w:t>
            </w:r>
          </w:p>
        </w:tc>
        <w:tc>
          <w:tcPr>
            <w:tcW w:w="1784" w:type="dxa"/>
            <w:tcBorders>
              <w:top w:val="nil"/>
              <w:left w:val="nil"/>
              <w:bottom w:val="nil"/>
              <w:right w:val="nil"/>
            </w:tcBorders>
          </w:tcPr>
          <w:p w14:paraId="44883BFF" w14:textId="6464C504" w:rsidR="001215D3" w:rsidRPr="00435469" w:rsidRDefault="001215D3" w:rsidP="00AD6E54">
            <w:pPr>
              <w:pStyle w:val="3TableDatapacked"/>
              <w:framePr w:wrap="around"/>
            </w:pPr>
            <w:r w:rsidRPr="00435469">
              <w:t>0.006</w:t>
            </w:r>
          </w:p>
        </w:tc>
        <w:tc>
          <w:tcPr>
            <w:tcW w:w="235" w:type="dxa"/>
            <w:tcBorders>
              <w:top w:val="nil"/>
              <w:left w:val="nil"/>
              <w:bottom w:val="nil"/>
              <w:right w:val="nil"/>
            </w:tcBorders>
          </w:tcPr>
          <w:p w14:paraId="397280D3" w14:textId="77777777" w:rsidR="001215D3" w:rsidRPr="00435469" w:rsidRDefault="001215D3" w:rsidP="00AD6E54">
            <w:pPr>
              <w:pStyle w:val="3TableDatapacked"/>
              <w:framePr w:wrap="around"/>
            </w:pPr>
          </w:p>
        </w:tc>
      </w:tr>
      <w:tr w:rsidR="00304411" w:rsidRPr="00435469" w14:paraId="0442B292" w14:textId="77777777" w:rsidTr="00514835">
        <w:trPr>
          <w:trHeight w:val="267"/>
        </w:trPr>
        <w:tc>
          <w:tcPr>
            <w:tcW w:w="1052" w:type="dxa"/>
            <w:tcBorders>
              <w:top w:val="nil"/>
              <w:left w:val="nil"/>
              <w:bottom w:val="nil"/>
              <w:right w:val="nil"/>
            </w:tcBorders>
            <w:shd w:val="clear" w:color="auto" w:fill="auto"/>
            <w:vAlign w:val="center"/>
            <w:hideMark/>
          </w:tcPr>
          <w:p w14:paraId="37D127B2" w14:textId="77777777" w:rsidR="001215D3" w:rsidRPr="00435469" w:rsidRDefault="001215D3" w:rsidP="00AD6E54">
            <w:pPr>
              <w:pStyle w:val="3TableDatapacked"/>
              <w:framePr w:wrap="around"/>
              <w:rPr>
                <w:b/>
                <w:bCs/>
              </w:rPr>
            </w:pPr>
            <w:r w:rsidRPr="00435469">
              <w:t>25–29</w:t>
            </w:r>
          </w:p>
        </w:tc>
        <w:tc>
          <w:tcPr>
            <w:tcW w:w="1891" w:type="dxa"/>
            <w:tcBorders>
              <w:top w:val="nil"/>
              <w:left w:val="nil"/>
              <w:bottom w:val="nil"/>
              <w:right w:val="nil"/>
            </w:tcBorders>
            <w:shd w:val="clear" w:color="auto" w:fill="auto"/>
            <w:noWrap/>
            <w:vAlign w:val="center"/>
            <w:hideMark/>
          </w:tcPr>
          <w:p w14:paraId="6DECACB5" w14:textId="77777777" w:rsidR="001215D3" w:rsidRPr="00435469" w:rsidRDefault="001215D3" w:rsidP="00AD6E54">
            <w:pPr>
              <w:pStyle w:val="3TableDatapacked"/>
              <w:framePr w:wrap="around"/>
              <w:rPr>
                <w:b/>
                <w:bCs/>
              </w:rPr>
            </w:pPr>
            <w:r w:rsidRPr="00435469">
              <w:t>287160</w:t>
            </w:r>
          </w:p>
        </w:tc>
        <w:tc>
          <w:tcPr>
            <w:tcW w:w="1916" w:type="dxa"/>
            <w:tcBorders>
              <w:top w:val="nil"/>
              <w:left w:val="nil"/>
              <w:bottom w:val="nil"/>
              <w:right w:val="nil"/>
            </w:tcBorders>
            <w:shd w:val="clear" w:color="auto" w:fill="auto"/>
            <w:noWrap/>
            <w:vAlign w:val="center"/>
            <w:hideMark/>
          </w:tcPr>
          <w:p w14:paraId="2BAA7BD0" w14:textId="77777777" w:rsidR="001215D3" w:rsidRPr="00435469" w:rsidRDefault="001215D3" w:rsidP="00AD6E54">
            <w:pPr>
              <w:pStyle w:val="3TableDatapacked"/>
              <w:framePr w:wrap="around"/>
              <w:rPr>
                <w:b/>
                <w:bCs/>
              </w:rPr>
            </w:pPr>
            <w:r w:rsidRPr="00435469">
              <w:t>1381</w:t>
            </w:r>
          </w:p>
        </w:tc>
        <w:tc>
          <w:tcPr>
            <w:tcW w:w="1748" w:type="dxa"/>
            <w:tcBorders>
              <w:top w:val="nil"/>
              <w:left w:val="nil"/>
              <w:bottom w:val="nil"/>
              <w:right w:val="nil"/>
            </w:tcBorders>
            <w:shd w:val="clear" w:color="auto" w:fill="auto"/>
            <w:noWrap/>
            <w:vAlign w:val="center"/>
            <w:hideMark/>
          </w:tcPr>
          <w:p w14:paraId="465CAF4E" w14:textId="77777777" w:rsidR="001215D3" w:rsidRPr="00435469" w:rsidRDefault="001215D3" w:rsidP="00AD6E54">
            <w:pPr>
              <w:pStyle w:val="3TableDatapacked"/>
              <w:framePr w:wrap="around"/>
              <w:rPr>
                <w:b/>
                <w:bCs/>
              </w:rPr>
            </w:pPr>
            <w:r w:rsidRPr="00435469">
              <w:t>0.006</w:t>
            </w:r>
          </w:p>
        </w:tc>
        <w:tc>
          <w:tcPr>
            <w:tcW w:w="1615" w:type="dxa"/>
            <w:tcBorders>
              <w:top w:val="nil"/>
              <w:left w:val="nil"/>
              <w:bottom w:val="nil"/>
              <w:right w:val="nil"/>
            </w:tcBorders>
            <w:shd w:val="clear" w:color="auto" w:fill="auto"/>
            <w:noWrap/>
            <w:hideMark/>
          </w:tcPr>
          <w:p w14:paraId="6CBE2DE2" w14:textId="61CC60E3" w:rsidR="001215D3" w:rsidRPr="00435469" w:rsidRDefault="001215D3" w:rsidP="00AD6E54">
            <w:pPr>
              <w:pStyle w:val="3TableDatapacked"/>
              <w:framePr w:wrap="around"/>
              <w:rPr>
                <w:b/>
                <w:bCs/>
              </w:rPr>
            </w:pPr>
            <w:r w:rsidRPr="00435469">
              <w:t>0.007</w:t>
            </w:r>
          </w:p>
        </w:tc>
        <w:tc>
          <w:tcPr>
            <w:tcW w:w="1784" w:type="dxa"/>
            <w:tcBorders>
              <w:top w:val="nil"/>
              <w:left w:val="nil"/>
              <w:bottom w:val="nil"/>
              <w:right w:val="nil"/>
            </w:tcBorders>
          </w:tcPr>
          <w:p w14:paraId="56F31C2E" w14:textId="24BE7ED7" w:rsidR="001215D3" w:rsidRPr="00435469" w:rsidRDefault="001215D3" w:rsidP="00AD6E54">
            <w:pPr>
              <w:pStyle w:val="3TableDatapacked"/>
              <w:framePr w:wrap="around"/>
            </w:pPr>
            <w:r w:rsidRPr="00435469">
              <w:t>0.005</w:t>
            </w:r>
          </w:p>
        </w:tc>
        <w:tc>
          <w:tcPr>
            <w:tcW w:w="235" w:type="dxa"/>
            <w:tcBorders>
              <w:top w:val="nil"/>
              <w:left w:val="nil"/>
              <w:bottom w:val="nil"/>
              <w:right w:val="nil"/>
            </w:tcBorders>
          </w:tcPr>
          <w:p w14:paraId="478CEBE6" w14:textId="77777777" w:rsidR="001215D3" w:rsidRPr="00435469" w:rsidRDefault="001215D3" w:rsidP="00AD6E54">
            <w:pPr>
              <w:pStyle w:val="3TableDatapacked"/>
              <w:framePr w:wrap="around"/>
            </w:pPr>
          </w:p>
        </w:tc>
      </w:tr>
      <w:tr w:rsidR="00304411" w:rsidRPr="00435469" w14:paraId="3814CB73" w14:textId="77777777" w:rsidTr="00514835">
        <w:trPr>
          <w:trHeight w:val="267"/>
        </w:trPr>
        <w:tc>
          <w:tcPr>
            <w:tcW w:w="1052" w:type="dxa"/>
            <w:tcBorders>
              <w:top w:val="nil"/>
              <w:left w:val="nil"/>
              <w:bottom w:val="nil"/>
              <w:right w:val="nil"/>
            </w:tcBorders>
            <w:shd w:val="clear" w:color="auto" w:fill="auto"/>
            <w:vAlign w:val="center"/>
            <w:hideMark/>
          </w:tcPr>
          <w:p w14:paraId="0DC9409E" w14:textId="77777777" w:rsidR="001215D3" w:rsidRPr="00435469" w:rsidRDefault="001215D3" w:rsidP="00AD6E54">
            <w:pPr>
              <w:pStyle w:val="3TableDatapacked"/>
              <w:framePr w:wrap="around"/>
              <w:rPr>
                <w:b/>
                <w:bCs/>
              </w:rPr>
            </w:pPr>
            <w:r w:rsidRPr="00435469">
              <w:t>30–34</w:t>
            </w:r>
          </w:p>
        </w:tc>
        <w:tc>
          <w:tcPr>
            <w:tcW w:w="1891" w:type="dxa"/>
            <w:tcBorders>
              <w:top w:val="nil"/>
              <w:left w:val="nil"/>
              <w:bottom w:val="nil"/>
              <w:right w:val="nil"/>
            </w:tcBorders>
            <w:shd w:val="clear" w:color="auto" w:fill="auto"/>
            <w:noWrap/>
            <w:vAlign w:val="center"/>
            <w:hideMark/>
          </w:tcPr>
          <w:p w14:paraId="7CC09C00" w14:textId="77777777" w:rsidR="001215D3" w:rsidRPr="00435469" w:rsidRDefault="001215D3" w:rsidP="00AD6E54">
            <w:pPr>
              <w:pStyle w:val="3TableDatapacked"/>
              <w:framePr w:wrap="around"/>
              <w:rPr>
                <w:b/>
                <w:bCs/>
              </w:rPr>
            </w:pPr>
            <w:r w:rsidRPr="00435469">
              <w:t>251725</w:t>
            </w:r>
          </w:p>
        </w:tc>
        <w:tc>
          <w:tcPr>
            <w:tcW w:w="1916" w:type="dxa"/>
            <w:tcBorders>
              <w:top w:val="nil"/>
              <w:left w:val="nil"/>
              <w:bottom w:val="nil"/>
              <w:right w:val="nil"/>
            </w:tcBorders>
            <w:shd w:val="clear" w:color="auto" w:fill="auto"/>
            <w:noWrap/>
            <w:vAlign w:val="center"/>
            <w:hideMark/>
          </w:tcPr>
          <w:p w14:paraId="042DAB75" w14:textId="77777777" w:rsidR="001215D3" w:rsidRPr="00435469" w:rsidRDefault="001215D3" w:rsidP="00AD6E54">
            <w:pPr>
              <w:pStyle w:val="3TableDatapacked"/>
              <w:framePr w:wrap="around"/>
              <w:rPr>
                <w:b/>
                <w:bCs/>
              </w:rPr>
            </w:pPr>
            <w:r w:rsidRPr="00435469">
              <w:t>1015</w:t>
            </w:r>
          </w:p>
        </w:tc>
        <w:tc>
          <w:tcPr>
            <w:tcW w:w="1748" w:type="dxa"/>
            <w:tcBorders>
              <w:top w:val="nil"/>
              <w:left w:val="nil"/>
              <w:bottom w:val="nil"/>
              <w:right w:val="nil"/>
            </w:tcBorders>
            <w:shd w:val="clear" w:color="auto" w:fill="auto"/>
            <w:noWrap/>
            <w:vAlign w:val="center"/>
            <w:hideMark/>
          </w:tcPr>
          <w:p w14:paraId="671759EE" w14:textId="77777777" w:rsidR="001215D3" w:rsidRPr="00435469" w:rsidRDefault="001215D3" w:rsidP="00AD6E54">
            <w:pPr>
              <w:pStyle w:val="3TableDatapacked"/>
              <w:framePr w:wrap="around"/>
              <w:rPr>
                <w:b/>
                <w:bCs/>
              </w:rPr>
            </w:pPr>
            <w:r w:rsidRPr="00435469">
              <w:t>0.005</w:t>
            </w:r>
          </w:p>
        </w:tc>
        <w:tc>
          <w:tcPr>
            <w:tcW w:w="1615" w:type="dxa"/>
            <w:tcBorders>
              <w:top w:val="nil"/>
              <w:left w:val="nil"/>
              <w:bottom w:val="nil"/>
              <w:right w:val="nil"/>
            </w:tcBorders>
            <w:shd w:val="clear" w:color="auto" w:fill="auto"/>
            <w:noWrap/>
            <w:hideMark/>
          </w:tcPr>
          <w:p w14:paraId="05E1E2AB" w14:textId="3ED48C34" w:rsidR="001215D3" w:rsidRPr="00435469" w:rsidRDefault="001215D3" w:rsidP="00AD6E54">
            <w:pPr>
              <w:pStyle w:val="3TableDatapacked"/>
              <w:framePr w:wrap="around"/>
              <w:rPr>
                <w:b/>
                <w:bCs/>
              </w:rPr>
            </w:pPr>
            <w:r w:rsidRPr="00435469">
              <w:t>0.006</w:t>
            </w:r>
          </w:p>
        </w:tc>
        <w:tc>
          <w:tcPr>
            <w:tcW w:w="1784" w:type="dxa"/>
            <w:tcBorders>
              <w:top w:val="nil"/>
              <w:left w:val="nil"/>
              <w:bottom w:val="nil"/>
              <w:right w:val="nil"/>
            </w:tcBorders>
          </w:tcPr>
          <w:p w14:paraId="45C1807B" w14:textId="240751A4" w:rsidR="001215D3" w:rsidRPr="00435469" w:rsidRDefault="001215D3" w:rsidP="00AD6E54">
            <w:pPr>
              <w:pStyle w:val="3TableDatapacked"/>
              <w:framePr w:wrap="around"/>
            </w:pPr>
            <w:r w:rsidRPr="00435469">
              <w:t>0.004</w:t>
            </w:r>
          </w:p>
        </w:tc>
        <w:tc>
          <w:tcPr>
            <w:tcW w:w="235" w:type="dxa"/>
            <w:tcBorders>
              <w:top w:val="nil"/>
              <w:left w:val="nil"/>
              <w:bottom w:val="nil"/>
              <w:right w:val="nil"/>
            </w:tcBorders>
          </w:tcPr>
          <w:p w14:paraId="2B6AB7AA" w14:textId="77777777" w:rsidR="001215D3" w:rsidRPr="00435469" w:rsidRDefault="001215D3" w:rsidP="00AD6E54">
            <w:pPr>
              <w:pStyle w:val="3TableDatapacked"/>
              <w:framePr w:wrap="around"/>
            </w:pPr>
          </w:p>
        </w:tc>
      </w:tr>
      <w:tr w:rsidR="00304411" w:rsidRPr="00435469" w14:paraId="1C67F703" w14:textId="77777777" w:rsidTr="00514835">
        <w:trPr>
          <w:trHeight w:val="267"/>
        </w:trPr>
        <w:tc>
          <w:tcPr>
            <w:tcW w:w="1052" w:type="dxa"/>
            <w:tcBorders>
              <w:top w:val="nil"/>
              <w:left w:val="nil"/>
              <w:bottom w:val="nil"/>
              <w:right w:val="nil"/>
            </w:tcBorders>
            <w:shd w:val="clear" w:color="auto" w:fill="auto"/>
            <w:vAlign w:val="center"/>
            <w:hideMark/>
          </w:tcPr>
          <w:p w14:paraId="10CDDAB0" w14:textId="77777777" w:rsidR="001215D3" w:rsidRPr="00435469" w:rsidRDefault="001215D3" w:rsidP="00AD6E54">
            <w:pPr>
              <w:pStyle w:val="3TableDatapacked"/>
              <w:framePr w:wrap="around"/>
              <w:rPr>
                <w:b/>
                <w:bCs/>
              </w:rPr>
            </w:pPr>
            <w:r w:rsidRPr="00435469">
              <w:t>35–39</w:t>
            </w:r>
          </w:p>
        </w:tc>
        <w:tc>
          <w:tcPr>
            <w:tcW w:w="1891" w:type="dxa"/>
            <w:tcBorders>
              <w:top w:val="nil"/>
              <w:left w:val="nil"/>
              <w:bottom w:val="nil"/>
              <w:right w:val="nil"/>
            </w:tcBorders>
            <w:shd w:val="clear" w:color="auto" w:fill="auto"/>
            <w:noWrap/>
            <w:vAlign w:val="center"/>
            <w:hideMark/>
          </w:tcPr>
          <w:p w14:paraId="444B5898" w14:textId="77777777" w:rsidR="001215D3" w:rsidRPr="00435469" w:rsidRDefault="001215D3" w:rsidP="00AD6E54">
            <w:pPr>
              <w:pStyle w:val="3TableDatapacked"/>
              <w:framePr w:wrap="around"/>
              <w:rPr>
                <w:b/>
                <w:bCs/>
              </w:rPr>
            </w:pPr>
            <w:r w:rsidRPr="00435469">
              <w:t>224038</w:t>
            </w:r>
          </w:p>
        </w:tc>
        <w:tc>
          <w:tcPr>
            <w:tcW w:w="1916" w:type="dxa"/>
            <w:tcBorders>
              <w:top w:val="nil"/>
              <w:left w:val="nil"/>
              <w:bottom w:val="nil"/>
              <w:right w:val="nil"/>
            </w:tcBorders>
            <w:shd w:val="clear" w:color="auto" w:fill="auto"/>
            <w:noWrap/>
            <w:vAlign w:val="center"/>
            <w:hideMark/>
          </w:tcPr>
          <w:p w14:paraId="1992A413" w14:textId="77777777" w:rsidR="001215D3" w:rsidRPr="00435469" w:rsidRDefault="001215D3" w:rsidP="00AD6E54">
            <w:pPr>
              <w:pStyle w:val="3TableDatapacked"/>
              <w:framePr w:wrap="around"/>
              <w:rPr>
                <w:b/>
                <w:bCs/>
              </w:rPr>
            </w:pPr>
            <w:r w:rsidRPr="00435469">
              <w:t>1042</w:t>
            </w:r>
          </w:p>
        </w:tc>
        <w:tc>
          <w:tcPr>
            <w:tcW w:w="1748" w:type="dxa"/>
            <w:tcBorders>
              <w:top w:val="nil"/>
              <w:left w:val="nil"/>
              <w:bottom w:val="nil"/>
              <w:right w:val="nil"/>
            </w:tcBorders>
            <w:shd w:val="clear" w:color="auto" w:fill="auto"/>
            <w:noWrap/>
            <w:vAlign w:val="center"/>
            <w:hideMark/>
          </w:tcPr>
          <w:p w14:paraId="29AD331D" w14:textId="77777777" w:rsidR="001215D3" w:rsidRPr="00435469" w:rsidRDefault="001215D3" w:rsidP="00AD6E54">
            <w:pPr>
              <w:pStyle w:val="3TableDatapacked"/>
              <w:framePr w:wrap="around"/>
              <w:rPr>
                <w:b/>
                <w:bCs/>
              </w:rPr>
            </w:pPr>
            <w:r w:rsidRPr="00435469">
              <w:t>0.006</w:t>
            </w:r>
          </w:p>
        </w:tc>
        <w:tc>
          <w:tcPr>
            <w:tcW w:w="1615" w:type="dxa"/>
            <w:tcBorders>
              <w:top w:val="nil"/>
              <w:left w:val="nil"/>
              <w:bottom w:val="nil"/>
              <w:right w:val="nil"/>
            </w:tcBorders>
            <w:shd w:val="clear" w:color="auto" w:fill="auto"/>
            <w:noWrap/>
            <w:hideMark/>
          </w:tcPr>
          <w:p w14:paraId="748E9A93" w14:textId="35A31E97" w:rsidR="001215D3" w:rsidRPr="00435469" w:rsidRDefault="001215D3" w:rsidP="00AD6E54">
            <w:pPr>
              <w:pStyle w:val="3TableDatapacked"/>
              <w:framePr w:wrap="around"/>
              <w:rPr>
                <w:b/>
                <w:bCs/>
              </w:rPr>
            </w:pPr>
            <w:r w:rsidRPr="00435469">
              <w:t>0.007</w:t>
            </w:r>
          </w:p>
        </w:tc>
        <w:tc>
          <w:tcPr>
            <w:tcW w:w="1784" w:type="dxa"/>
            <w:tcBorders>
              <w:top w:val="nil"/>
              <w:left w:val="nil"/>
              <w:bottom w:val="nil"/>
              <w:right w:val="nil"/>
            </w:tcBorders>
          </w:tcPr>
          <w:p w14:paraId="1DCCFEB4" w14:textId="1FCEED56" w:rsidR="001215D3" w:rsidRPr="00435469" w:rsidRDefault="001215D3" w:rsidP="00AD6E54">
            <w:pPr>
              <w:pStyle w:val="3TableDatapacked"/>
              <w:framePr w:wrap="around"/>
            </w:pPr>
            <w:r w:rsidRPr="00435469">
              <w:t>0.005</w:t>
            </w:r>
          </w:p>
        </w:tc>
        <w:tc>
          <w:tcPr>
            <w:tcW w:w="235" w:type="dxa"/>
            <w:tcBorders>
              <w:top w:val="nil"/>
              <w:left w:val="nil"/>
              <w:bottom w:val="nil"/>
              <w:right w:val="nil"/>
            </w:tcBorders>
          </w:tcPr>
          <w:p w14:paraId="5C53F843" w14:textId="77777777" w:rsidR="001215D3" w:rsidRPr="00435469" w:rsidRDefault="001215D3" w:rsidP="00AD6E54">
            <w:pPr>
              <w:pStyle w:val="3TableDatapacked"/>
              <w:framePr w:wrap="around"/>
            </w:pPr>
          </w:p>
        </w:tc>
      </w:tr>
      <w:tr w:rsidR="00304411" w:rsidRPr="00435469" w14:paraId="352B3D61" w14:textId="77777777" w:rsidTr="00514835">
        <w:trPr>
          <w:trHeight w:val="267"/>
        </w:trPr>
        <w:tc>
          <w:tcPr>
            <w:tcW w:w="1052" w:type="dxa"/>
            <w:tcBorders>
              <w:top w:val="nil"/>
              <w:left w:val="nil"/>
              <w:bottom w:val="nil"/>
              <w:right w:val="nil"/>
            </w:tcBorders>
            <w:shd w:val="clear" w:color="auto" w:fill="auto"/>
            <w:vAlign w:val="center"/>
            <w:hideMark/>
          </w:tcPr>
          <w:p w14:paraId="5B7BEB4E" w14:textId="77777777" w:rsidR="001215D3" w:rsidRPr="00435469" w:rsidRDefault="001215D3" w:rsidP="00AD6E54">
            <w:pPr>
              <w:pStyle w:val="3TableDatapacked"/>
              <w:framePr w:wrap="around"/>
              <w:rPr>
                <w:b/>
                <w:bCs/>
              </w:rPr>
            </w:pPr>
            <w:r w:rsidRPr="00435469">
              <w:t>40–45</w:t>
            </w:r>
          </w:p>
        </w:tc>
        <w:tc>
          <w:tcPr>
            <w:tcW w:w="1891" w:type="dxa"/>
            <w:tcBorders>
              <w:top w:val="nil"/>
              <w:left w:val="nil"/>
              <w:bottom w:val="nil"/>
              <w:right w:val="nil"/>
            </w:tcBorders>
            <w:shd w:val="clear" w:color="auto" w:fill="auto"/>
            <w:noWrap/>
            <w:vAlign w:val="center"/>
            <w:hideMark/>
          </w:tcPr>
          <w:p w14:paraId="3BFEF889" w14:textId="77777777" w:rsidR="001215D3" w:rsidRPr="00435469" w:rsidRDefault="001215D3" w:rsidP="00AD6E54">
            <w:pPr>
              <w:pStyle w:val="3TableDatapacked"/>
              <w:framePr w:wrap="around"/>
              <w:rPr>
                <w:b/>
                <w:bCs/>
              </w:rPr>
            </w:pPr>
            <w:r w:rsidRPr="00435469">
              <w:t>179524</w:t>
            </w:r>
          </w:p>
        </w:tc>
        <w:tc>
          <w:tcPr>
            <w:tcW w:w="1916" w:type="dxa"/>
            <w:tcBorders>
              <w:top w:val="nil"/>
              <w:left w:val="nil"/>
              <w:bottom w:val="nil"/>
              <w:right w:val="nil"/>
            </w:tcBorders>
            <w:shd w:val="clear" w:color="auto" w:fill="auto"/>
            <w:noWrap/>
            <w:vAlign w:val="center"/>
            <w:hideMark/>
          </w:tcPr>
          <w:p w14:paraId="3F917A82" w14:textId="77777777" w:rsidR="001215D3" w:rsidRPr="00435469" w:rsidRDefault="001215D3" w:rsidP="00AD6E54">
            <w:pPr>
              <w:pStyle w:val="3TableDatapacked"/>
              <w:framePr w:wrap="around"/>
              <w:rPr>
                <w:b/>
                <w:bCs/>
              </w:rPr>
            </w:pPr>
            <w:r w:rsidRPr="00435469">
              <w:t>1053</w:t>
            </w:r>
          </w:p>
        </w:tc>
        <w:tc>
          <w:tcPr>
            <w:tcW w:w="1748" w:type="dxa"/>
            <w:tcBorders>
              <w:top w:val="nil"/>
              <w:left w:val="nil"/>
              <w:bottom w:val="nil"/>
              <w:right w:val="nil"/>
            </w:tcBorders>
            <w:shd w:val="clear" w:color="auto" w:fill="auto"/>
            <w:noWrap/>
            <w:vAlign w:val="center"/>
            <w:hideMark/>
          </w:tcPr>
          <w:p w14:paraId="4B15A5CB" w14:textId="77777777" w:rsidR="001215D3" w:rsidRPr="00435469" w:rsidRDefault="001215D3" w:rsidP="00AD6E54">
            <w:pPr>
              <w:pStyle w:val="3TableDatapacked"/>
              <w:framePr w:wrap="around"/>
              <w:rPr>
                <w:b/>
                <w:bCs/>
              </w:rPr>
            </w:pPr>
            <w:r w:rsidRPr="00435469">
              <w:t>0.007</w:t>
            </w:r>
          </w:p>
        </w:tc>
        <w:tc>
          <w:tcPr>
            <w:tcW w:w="1615" w:type="dxa"/>
            <w:tcBorders>
              <w:top w:val="nil"/>
              <w:left w:val="nil"/>
              <w:bottom w:val="nil"/>
              <w:right w:val="nil"/>
            </w:tcBorders>
            <w:shd w:val="clear" w:color="auto" w:fill="auto"/>
            <w:noWrap/>
            <w:hideMark/>
          </w:tcPr>
          <w:p w14:paraId="18862B0D" w14:textId="2628EC4E" w:rsidR="001215D3" w:rsidRPr="00435469" w:rsidRDefault="001215D3" w:rsidP="00AD6E54">
            <w:pPr>
              <w:pStyle w:val="3TableDatapacked"/>
              <w:framePr w:wrap="around"/>
              <w:rPr>
                <w:b/>
                <w:bCs/>
              </w:rPr>
            </w:pPr>
            <w:r w:rsidRPr="00435469">
              <w:t>0.009</w:t>
            </w:r>
          </w:p>
        </w:tc>
        <w:tc>
          <w:tcPr>
            <w:tcW w:w="1784" w:type="dxa"/>
            <w:tcBorders>
              <w:top w:val="nil"/>
              <w:left w:val="nil"/>
              <w:bottom w:val="nil"/>
              <w:right w:val="nil"/>
            </w:tcBorders>
          </w:tcPr>
          <w:p w14:paraId="6E2E3E14" w14:textId="55CC221A" w:rsidR="001215D3" w:rsidRPr="00435469" w:rsidRDefault="001215D3" w:rsidP="00AD6E54">
            <w:pPr>
              <w:pStyle w:val="3TableDatapacked"/>
              <w:framePr w:wrap="around"/>
            </w:pPr>
            <w:r w:rsidRPr="00435469">
              <w:t>0.006</w:t>
            </w:r>
          </w:p>
        </w:tc>
        <w:tc>
          <w:tcPr>
            <w:tcW w:w="235" w:type="dxa"/>
            <w:tcBorders>
              <w:top w:val="nil"/>
              <w:left w:val="nil"/>
              <w:bottom w:val="nil"/>
              <w:right w:val="nil"/>
            </w:tcBorders>
          </w:tcPr>
          <w:p w14:paraId="7F10737B" w14:textId="77777777" w:rsidR="001215D3" w:rsidRPr="00435469" w:rsidRDefault="001215D3" w:rsidP="00AD6E54">
            <w:pPr>
              <w:pStyle w:val="3TableDatapacked"/>
              <w:framePr w:wrap="around"/>
            </w:pPr>
          </w:p>
        </w:tc>
      </w:tr>
      <w:tr w:rsidR="00304411" w:rsidRPr="00435469" w14:paraId="4A3A0AC8" w14:textId="77777777" w:rsidTr="00514835">
        <w:trPr>
          <w:trHeight w:val="267"/>
        </w:trPr>
        <w:tc>
          <w:tcPr>
            <w:tcW w:w="1052" w:type="dxa"/>
            <w:tcBorders>
              <w:top w:val="nil"/>
              <w:left w:val="nil"/>
              <w:bottom w:val="nil"/>
              <w:right w:val="nil"/>
            </w:tcBorders>
            <w:shd w:val="clear" w:color="auto" w:fill="auto"/>
            <w:vAlign w:val="center"/>
            <w:hideMark/>
          </w:tcPr>
          <w:p w14:paraId="56DE8A47" w14:textId="77777777" w:rsidR="001215D3" w:rsidRPr="00435469" w:rsidRDefault="001215D3" w:rsidP="00AD6E54">
            <w:pPr>
              <w:pStyle w:val="3TableDatapacked"/>
              <w:framePr w:wrap="around"/>
              <w:rPr>
                <w:b/>
                <w:bCs/>
              </w:rPr>
            </w:pPr>
            <w:r w:rsidRPr="00435469">
              <w:t>45–49</w:t>
            </w:r>
          </w:p>
        </w:tc>
        <w:tc>
          <w:tcPr>
            <w:tcW w:w="1891" w:type="dxa"/>
            <w:tcBorders>
              <w:top w:val="nil"/>
              <w:left w:val="nil"/>
              <w:bottom w:val="nil"/>
              <w:right w:val="nil"/>
            </w:tcBorders>
            <w:shd w:val="clear" w:color="auto" w:fill="auto"/>
            <w:noWrap/>
            <w:vAlign w:val="center"/>
            <w:hideMark/>
          </w:tcPr>
          <w:p w14:paraId="326BB00B" w14:textId="77777777" w:rsidR="001215D3" w:rsidRPr="00435469" w:rsidRDefault="001215D3" w:rsidP="00AD6E54">
            <w:pPr>
              <w:pStyle w:val="3TableDatapacked"/>
              <w:framePr w:wrap="around"/>
              <w:rPr>
                <w:b/>
                <w:bCs/>
              </w:rPr>
            </w:pPr>
            <w:r w:rsidRPr="00435469">
              <w:t>171395</w:t>
            </w:r>
          </w:p>
        </w:tc>
        <w:tc>
          <w:tcPr>
            <w:tcW w:w="1916" w:type="dxa"/>
            <w:tcBorders>
              <w:top w:val="nil"/>
              <w:left w:val="nil"/>
              <w:bottom w:val="nil"/>
              <w:right w:val="nil"/>
            </w:tcBorders>
            <w:shd w:val="clear" w:color="auto" w:fill="auto"/>
            <w:noWrap/>
            <w:vAlign w:val="center"/>
            <w:hideMark/>
          </w:tcPr>
          <w:p w14:paraId="684D5F33" w14:textId="77777777" w:rsidR="001215D3" w:rsidRPr="00435469" w:rsidRDefault="001215D3" w:rsidP="00AD6E54">
            <w:pPr>
              <w:pStyle w:val="3TableDatapacked"/>
              <w:framePr w:wrap="around"/>
              <w:rPr>
                <w:b/>
                <w:bCs/>
              </w:rPr>
            </w:pPr>
            <w:r w:rsidRPr="00435469">
              <w:t>1076</w:t>
            </w:r>
          </w:p>
        </w:tc>
        <w:tc>
          <w:tcPr>
            <w:tcW w:w="1748" w:type="dxa"/>
            <w:tcBorders>
              <w:top w:val="nil"/>
              <w:left w:val="nil"/>
              <w:bottom w:val="nil"/>
              <w:right w:val="nil"/>
            </w:tcBorders>
            <w:shd w:val="clear" w:color="auto" w:fill="auto"/>
            <w:noWrap/>
            <w:vAlign w:val="center"/>
            <w:hideMark/>
          </w:tcPr>
          <w:p w14:paraId="7B4A131F" w14:textId="77777777" w:rsidR="001215D3" w:rsidRPr="00435469" w:rsidRDefault="001215D3" w:rsidP="00AD6E54">
            <w:pPr>
              <w:pStyle w:val="3TableDatapacked"/>
              <w:framePr w:wrap="around"/>
              <w:rPr>
                <w:b/>
                <w:bCs/>
              </w:rPr>
            </w:pPr>
            <w:r w:rsidRPr="00435469">
              <w:t>0.008</w:t>
            </w:r>
          </w:p>
        </w:tc>
        <w:tc>
          <w:tcPr>
            <w:tcW w:w="1615" w:type="dxa"/>
            <w:tcBorders>
              <w:top w:val="nil"/>
              <w:left w:val="nil"/>
              <w:bottom w:val="nil"/>
              <w:right w:val="nil"/>
            </w:tcBorders>
            <w:shd w:val="clear" w:color="auto" w:fill="auto"/>
            <w:noWrap/>
            <w:hideMark/>
          </w:tcPr>
          <w:p w14:paraId="63CC862B" w14:textId="557B592D" w:rsidR="001215D3" w:rsidRPr="00435469" w:rsidRDefault="001215D3" w:rsidP="00AD6E54">
            <w:pPr>
              <w:pStyle w:val="3TableDatapacked"/>
              <w:framePr w:wrap="around"/>
              <w:rPr>
                <w:b/>
                <w:bCs/>
              </w:rPr>
            </w:pPr>
            <w:r w:rsidRPr="00435469">
              <w:t>0.009</w:t>
            </w:r>
          </w:p>
        </w:tc>
        <w:tc>
          <w:tcPr>
            <w:tcW w:w="1784" w:type="dxa"/>
            <w:tcBorders>
              <w:top w:val="nil"/>
              <w:left w:val="nil"/>
              <w:bottom w:val="nil"/>
              <w:right w:val="nil"/>
            </w:tcBorders>
          </w:tcPr>
          <w:p w14:paraId="38440DD7" w14:textId="607CCDEF" w:rsidR="001215D3" w:rsidRPr="00435469" w:rsidRDefault="001215D3" w:rsidP="00AD6E54">
            <w:pPr>
              <w:pStyle w:val="3TableDatapacked"/>
              <w:framePr w:wrap="around"/>
            </w:pPr>
            <w:r w:rsidRPr="00435469">
              <w:t>0.006</w:t>
            </w:r>
          </w:p>
        </w:tc>
        <w:tc>
          <w:tcPr>
            <w:tcW w:w="235" w:type="dxa"/>
            <w:tcBorders>
              <w:top w:val="nil"/>
              <w:left w:val="nil"/>
              <w:bottom w:val="nil"/>
              <w:right w:val="nil"/>
            </w:tcBorders>
          </w:tcPr>
          <w:p w14:paraId="25D3D25D" w14:textId="77777777" w:rsidR="001215D3" w:rsidRPr="00435469" w:rsidRDefault="001215D3" w:rsidP="00AD6E54">
            <w:pPr>
              <w:pStyle w:val="3TableDatapacked"/>
              <w:framePr w:wrap="around"/>
            </w:pPr>
          </w:p>
        </w:tc>
      </w:tr>
      <w:tr w:rsidR="00304411" w:rsidRPr="00435469" w14:paraId="222FDEA5" w14:textId="77777777" w:rsidTr="00514835">
        <w:trPr>
          <w:trHeight w:val="267"/>
        </w:trPr>
        <w:tc>
          <w:tcPr>
            <w:tcW w:w="1052" w:type="dxa"/>
            <w:tcBorders>
              <w:top w:val="nil"/>
              <w:left w:val="nil"/>
              <w:bottom w:val="nil"/>
              <w:right w:val="nil"/>
            </w:tcBorders>
            <w:shd w:val="clear" w:color="auto" w:fill="auto"/>
            <w:vAlign w:val="center"/>
            <w:hideMark/>
          </w:tcPr>
          <w:p w14:paraId="2FBC820F" w14:textId="77777777" w:rsidR="001215D3" w:rsidRPr="00435469" w:rsidRDefault="001215D3" w:rsidP="00AD6E54">
            <w:pPr>
              <w:pStyle w:val="3TableDatapacked"/>
              <w:framePr w:wrap="around"/>
              <w:rPr>
                <w:b/>
                <w:bCs/>
              </w:rPr>
            </w:pPr>
            <w:r w:rsidRPr="00435469">
              <w:t>50–54</w:t>
            </w:r>
          </w:p>
        </w:tc>
        <w:tc>
          <w:tcPr>
            <w:tcW w:w="1891" w:type="dxa"/>
            <w:tcBorders>
              <w:top w:val="nil"/>
              <w:left w:val="nil"/>
              <w:bottom w:val="nil"/>
              <w:right w:val="nil"/>
            </w:tcBorders>
            <w:shd w:val="clear" w:color="auto" w:fill="auto"/>
            <w:noWrap/>
            <w:vAlign w:val="center"/>
            <w:hideMark/>
          </w:tcPr>
          <w:p w14:paraId="6DD64666" w14:textId="77777777" w:rsidR="001215D3" w:rsidRPr="00435469" w:rsidRDefault="001215D3" w:rsidP="00AD6E54">
            <w:pPr>
              <w:pStyle w:val="3TableDatapacked"/>
              <w:framePr w:wrap="around"/>
              <w:rPr>
                <w:b/>
                <w:bCs/>
              </w:rPr>
            </w:pPr>
            <w:r w:rsidRPr="00435469">
              <w:t>156238</w:t>
            </w:r>
          </w:p>
        </w:tc>
        <w:tc>
          <w:tcPr>
            <w:tcW w:w="1916" w:type="dxa"/>
            <w:tcBorders>
              <w:top w:val="nil"/>
              <w:left w:val="nil"/>
              <w:bottom w:val="nil"/>
              <w:right w:val="nil"/>
            </w:tcBorders>
            <w:shd w:val="clear" w:color="auto" w:fill="auto"/>
            <w:noWrap/>
            <w:vAlign w:val="center"/>
            <w:hideMark/>
          </w:tcPr>
          <w:p w14:paraId="5057A5CC" w14:textId="77777777" w:rsidR="001215D3" w:rsidRPr="00435469" w:rsidRDefault="001215D3" w:rsidP="00AD6E54">
            <w:pPr>
              <w:pStyle w:val="3TableDatapacked"/>
              <w:framePr w:wrap="around"/>
              <w:rPr>
                <w:b/>
                <w:bCs/>
              </w:rPr>
            </w:pPr>
            <w:r w:rsidRPr="00435469">
              <w:t>829</w:t>
            </w:r>
          </w:p>
        </w:tc>
        <w:tc>
          <w:tcPr>
            <w:tcW w:w="1748" w:type="dxa"/>
            <w:tcBorders>
              <w:top w:val="nil"/>
              <w:left w:val="nil"/>
              <w:bottom w:val="nil"/>
              <w:right w:val="nil"/>
            </w:tcBorders>
            <w:shd w:val="clear" w:color="auto" w:fill="auto"/>
            <w:noWrap/>
            <w:vAlign w:val="center"/>
            <w:hideMark/>
          </w:tcPr>
          <w:p w14:paraId="4D806EEE" w14:textId="77777777" w:rsidR="001215D3" w:rsidRPr="00435469" w:rsidRDefault="001215D3" w:rsidP="00AD6E54">
            <w:pPr>
              <w:pStyle w:val="3TableDatapacked"/>
              <w:framePr w:wrap="around"/>
              <w:rPr>
                <w:b/>
                <w:bCs/>
              </w:rPr>
            </w:pPr>
            <w:r w:rsidRPr="00435469">
              <w:t>0.007</w:t>
            </w:r>
          </w:p>
        </w:tc>
        <w:tc>
          <w:tcPr>
            <w:tcW w:w="1615" w:type="dxa"/>
            <w:tcBorders>
              <w:top w:val="nil"/>
              <w:left w:val="nil"/>
              <w:bottom w:val="nil"/>
              <w:right w:val="nil"/>
            </w:tcBorders>
            <w:shd w:val="clear" w:color="auto" w:fill="auto"/>
            <w:noWrap/>
            <w:hideMark/>
          </w:tcPr>
          <w:p w14:paraId="532C88E9" w14:textId="7274F7E5" w:rsidR="001215D3" w:rsidRPr="00435469" w:rsidRDefault="001215D3" w:rsidP="00AD6E54">
            <w:pPr>
              <w:pStyle w:val="3TableDatapacked"/>
              <w:framePr w:wrap="around"/>
              <w:rPr>
                <w:b/>
                <w:bCs/>
              </w:rPr>
            </w:pPr>
            <w:r w:rsidRPr="00435469">
              <w:t>0.008</w:t>
            </w:r>
          </w:p>
        </w:tc>
        <w:tc>
          <w:tcPr>
            <w:tcW w:w="1784" w:type="dxa"/>
            <w:tcBorders>
              <w:top w:val="nil"/>
              <w:left w:val="nil"/>
              <w:bottom w:val="nil"/>
              <w:right w:val="nil"/>
            </w:tcBorders>
          </w:tcPr>
          <w:p w14:paraId="6E8D346C" w14:textId="118AB2B6" w:rsidR="001215D3" w:rsidRPr="00435469" w:rsidRDefault="001215D3" w:rsidP="00AD6E54">
            <w:pPr>
              <w:pStyle w:val="3TableDatapacked"/>
              <w:framePr w:wrap="around"/>
            </w:pPr>
            <w:r w:rsidRPr="00435469">
              <w:t>0.005</w:t>
            </w:r>
          </w:p>
        </w:tc>
        <w:tc>
          <w:tcPr>
            <w:tcW w:w="235" w:type="dxa"/>
            <w:tcBorders>
              <w:top w:val="nil"/>
              <w:left w:val="nil"/>
              <w:bottom w:val="nil"/>
              <w:right w:val="nil"/>
            </w:tcBorders>
          </w:tcPr>
          <w:p w14:paraId="3A211503" w14:textId="77777777" w:rsidR="001215D3" w:rsidRPr="00435469" w:rsidRDefault="001215D3" w:rsidP="00AD6E54">
            <w:pPr>
              <w:pStyle w:val="3TableDatapacked"/>
              <w:framePr w:wrap="around"/>
            </w:pPr>
          </w:p>
        </w:tc>
      </w:tr>
      <w:tr w:rsidR="00304411" w:rsidRPr="00435469" w14:paraId="7EA71858" w14:textId="77777777" w:rsidTr="00514835">
        <w:trPr>
          <w:trHeight w:val="267"/>
        </w:trPr>
        <w:tc>
          <w:tcPr>
            <w:tcW w:w="1052" w:type="dxa"/>
            <w:tcBorders>
              <w:top w:val="nil"/>
              <w:left w:val="nil"/>
              <w:bottom w:val="nil"/>
              <w:right w:val="nil"/>
            </w:tcBorders>
            <w:shd w:val="clear" w:color="auto" w:fill="auto"/>
            <w:vAlign w:val="center"/>
            <w:hideMark/>
          </w:tcPr>
          <w:p w14:paraId="217D2F84" w14:textId="77777777" w:rsidR="001215D3" w:rsidRPr="00435469" w:rsidRDefault="001215D3" w:rsidP="00AD6E54">
            <w:pPr>
              <w:pStyle w:val="3TableDatapacked"/>
              <w:framePr w:wrap="around"/>
              <w:rPr>
                <w:b/>
                <w:bCs/>
              </w:rPr>
            </w:pPr>
            <w:r w:rsidRPr="00435469">
              <w:t>55–59</w:t>
            </w:r>
          </w:p>
        </w:tc>
        <w:tc>
          <w:tcPr>
            <w:tcW w:w="1891" w:type="dxa"/>
            <w:tcBorders>
              <w:top w:val="nil"/>
              <w:left w:val="nil"/>
              <w:bottom w:val="nil"/>
              <w:right w:val="nil"/>
            </w:tcBorders>
            <w:shd w:val="clear" w:color="auto" w:fill="auto"/>
            <w:noWrap/>
            <w:vAlign w:val="center"/>
            <w:hideMark/>
          </w:tcPr>
          <w:p w14:paraId="5A94B10B" w14:textId="77777777" w:rsidR="001215D3" w:rsidRPr="00435469" w:rsidRDefault="001215D3" w:rsidP="00AD6E54">
            <w:pPr>
              <w:pStyle w:val="3TableDatapacked"/>
              <w:framePr w:wrap="around"/>
              <w:rPr>
                <w:b/>
                <w:bCs/>
              </w:rPr>
            </w:pPr>
            <w:r w:rsidRPr="00435469">
              <w:t>126738</w:t>
            </w:r>
          </w:p>
        </w:tc>
        <w:tc>
          <w:tcPr>
            <w:tcW w:w="1916" w:type="dxa"/>
            <w:tcBorders>
              <w:top w:val="nil"/>
              <w:left w:val="nil"/>
              <w:bottom w:val="nil"/>
              <w:right w:val="nil"/>
            </w:tcBorders>
            <w:shd w:val="clear" w:color="auto" w:fill="auto"/>
            <w:noWrap/>
            <w:vAlign w:val="center"/>
            <w:hideMark/>
          </w:tcPr>
          <w:p w14:paraId="1558E7E3" w14:textId="77777777" w:rsidR="001215D3" w:rsidRPr="00435469" w:rsidRDefault="001215D3" w:rsidP="00AD6E54">
            <w:pPr>
              <w:pStyle w:val="3TableDatapacked"/>
              <w:framePr w:wrap="around"/>
              <w:rPr>
                <w:b/>
                <w:bCs/>
              </w:rPr>
            </w:pPr>
            <w:r w:rsidRPr="00435469">
              <w:t>571</w:t>
            </w:r>
          </w:p>
        </w:tc>
        <w:tc>
          <w:tcPr>
            <w:tcW w:w="1748" w:type="dxa"/>
            <w:tcBorders>
              <w:top w:val="nil"/>
              <w:left w:val="nil"/>
              <w:bottom w:val="nil"/>
              <w:right w:val="nil"/>
            </w:tcBorders>
            <w:shd w:val="clear" w:color="auto" w:fill="auto"/>
            <w:noWrap/>
            <w:vAlign w:val="center"/>
            <w:hideMark/>
          </w:tcPr>
          <w:p w14:paraId="0EC4B0BB" w14:textId="77777777" w:rsidR="001215D3" w:rsidRPr="00435469" w:rsidRDefault="001215D3" w:rsidP="00AD6E54">
            <w:pPr>
              <w:pStyle w:val="3TableDatapacked"/>
              <w:framePr w:wrap="around"/>
              <w:rPr>
                <w:b/>
                <w:bCs/>
              </w:rPr>
            </w:pPr>
            <w:r w:rsidRPr="00435469">
              <w:t>0.006</w:t>
            </w:r>
          </w:p>
        </w:tc>
        <w:tc>
          <w:tcPr>
            <w:tcW w:w="1615" w:type="dxa"/>
            <w:tcBorders>
              <w:top w:val="nil"/>
              <w:left w:val="nil"/>
              <w:bottom w:val="nil"/>
              <w:right w:val="nil"/>
            </w:tcBorders>
            <w:shd w:val="clear" w:color="auto" w:fill="auto"/>
            <w:noWrap/>
            <w:hideMark/>
          </w:tcPr>
          <w:p w14:paraId="2ABCB16E" w14:textId="0204D622" w:rsidR="001215D3" w:rsidRPr="00435469" w:rsidRDefault="001215D3" w:rsidP="00AD6E54">
            <w:pPr>
              <w:pStyle w:val="3TableDatapacked"/>
              <w:framePr w:wrap="around"/>
              <w:rPr>
                <w:b/>
                <w:bCs/>
              </w:rPr>
            </w:pPr>
            <w:r w:rsidRPr="00435469">
              <w:t>0.007</w:t>
            </w:r>
          </w:p>
        </w:tc>
        <w:tc>
          <w:tcPr>
            <w:tcW w:w="1784" w:type="dxa"/>
            <w:tcBorders>
              <w:top w:val="nil"/>
              <w:left w:val="nil"/>
              <w:bottom w:val="nil"/>
              <w:right w:val="nil"/>
            </w:tcBorders>
          </w:tcPr>
          <w:p w14:paraId="23EF84FB" w14:textId="62F158BD" w:rsidR="001215D3" w:rsidRPr="00435469" w:rsidRDefault="001215D3" w:rsidP="00AD6E54">
            <w:pPr>
              <w:pStyle w:val="3TableDatapacked"/>
              <w:framePr w:wrap="around"/>
            </w:pPr>
            <w:r w:rsidRPr="00435469">
              <w:t>0.005</w:t>
            </w:r>
          </w:p>
        </w:tc>
        <w:tc>
          <w:tcPr>
            <w:tcW w:w="235" w:type="dxa"/>
            <w:tcBorders>
              <w:top w:val="nil"/>
              <w:left w:val="nil"/>
              <w:bottom w:val="nil"/>
              <w:right w:val="nil"/>
            </w:tcBorders>
          </w:tcPr>
          <w:p w14:paraId="36CD579E" w14:textId="77777777" w:rsidR="001215D3" w:rsidRPr="00435469" w:rsidRDefault="001215D3" w:rsidP="00AD6E54">
            <w:pPr>
              <w:pStyle w:val="3TableDatapacked"/>
              <w:framePr w:wrap="around"/>
            </w:pPr>
          </w:p>
        </w:tc>
      </w:tr>
      <w:tr w:rsidR="00304411" w:rsidRPr="00435469" w14:paraId="12E90AB1" w14:textId="77777777" w:rsidTr="00514835">
        <w:trPr>
          <w:trHeight w:val="267"/>
        </w:trPr>
        <w:tc>
          <w:tcPr>
            <w:tcW w:w="1052" w:type="dxa"/>
            <w:tcBorders>
              <w:top w:val="nil"/>
              <w:left w:val="nil"/>
              <w:bottom w:val="nil"/>
              <w:right w:val="nil"/>
            </w:tcBorders>
            <w:shd w:val="clear" w:color="auto" w:fill="auto"/>
            <w:vAlign w:val="center"/>
            <w:hideMark/>
          </w:tcPr>
          <w:p w14:paraId="6B5DE0E7" w14:textId="77777777" w:rsidR="001215D3" w:rsidRPr="00435469" w:rsidRDefault="001215D3" w:rsidP="00AD6E54">
            <w:pPr>
              <w:pStyle w:val="3TableDatapacked"/>
              <w:framePr w:wrap="around"/>
              <w:rPr>
                <w:b/>
                <w:bCs/>
              </w:rPr>
            </w:pPr>
            <w:r w:rsidRPr="00435469">
              <w:t>60–64</w:t>
            </w:r>
          </w:p>
        </w:tc>
        <w:tc>
          <w:tcPr>
            <w:tcW w:w="1891" w:type="dxa"/>
            <w:tcBorders>
              <w:top w:val="nil"/>
              <w:left w:val="nil"/>
              <w:bottom w:val="nil"/>
              <w:right w:val="nil"/>
            </w:tcBorders>
            <w:shd w:val="clear" w:color="auto" w:fill="auto"/>
            <w:noWrap/>
            <w:vAlign w:val="center"/>
            <w:hideMark/>
          </w:tcPr>
          <w:p w14:paraId="0B89DE5B" w14:textId="77777777" w:rsidR="001215D3" w:rsidRPr="00435469" w:rsidRDefault="001215D3" w:rsidP="00AD6E54">
            <w:pPr>
              <w:pStyle w:val="3TableDatapacked"/>
              <w:framePr w:wrap="around"/>
              <w:rPr>
                <w:b/>
                <w:bCs/>
              </w:rPr>
            </w:pPr>
            <w:r w:rsidRPr="00435469">
              <w:t>104718</w:t>
            </w:r>
          </w:p>
        </w:tc>
        <w:tc>
          <w:tcPr>
            <w:tcW w:w="1916" w:type="dxa"/>
            <w:tcBorders>
              <w:top w:val="nil"/>
              <w:left w:val="nil"/>
              <w:bottom w:val="nil"/>
              <w:right w:val="nil"/>
            </w:tcBorders>
            <w:shd w:val="clear" w:color="auto" w:fill="auto"/>
            <w:noWrap/>
            <w:vAlign w:val="center"/>
            <w:hideMark/>
          </w:tcPr>
          <w:p w14:paraId="4323F3D8" w14:textId="77777777" w:rsidR="001215D3" w:rsidRPr="00435469" w:rsidRDefault="001215D3" w:rsidP="00AD6E54">
            <w:pPr>
              <w:pStyle w:val="3TableDatapacked"/>
              <w:framePr w:wrap="around"/>
              <w:rPr>
                <w:b/>
                <w:bCs/>
              </w:rPr>
            </w:pPr>
            <w:r w:rsidRPr="00435469">
              <w:t>315</w:t>
            </w:r>
          </w:p>
        </w:tc>
        <w:tc>
          <w:tcPr>
            <w:tcW w:w="1748" w:type="dxa"/>
            <w:tcBorders>
              <w:top w:val="nil"/>
              <w:left w:val="nil"/>
              <w:bottom w:val="nil"/>
              <w:right w:val="nil"/>
            </w:tcBorders>
            <w:shd w:val="clear" w:color="auto" w:fill="auto"/>
            <w:noWrap/>
            <w:vAlign w:val="center"/>
            <w:hideMark/>
          </w:tcPr>
          <w:p w14:paraId="554E7471" w14:textId="77777777" w:rsidR="001215D3" w:rsidRPr="00435469" w:rsidRDefault="001215D3" w:rsidP="00AD6E54">
            <w:pPr>
              <w:pStyle w:val="3TableDatapacked"/>
              <w:framePr w:wrap="around"/>
              <w:rPr>
                <w:b/>
                <w:bCs/>
              </w:rPr>
            </w:pPr>
            <w:r w:rsidRPr="00435469">
              <w:t>0.004</w:t>
            </w:r>
          </w:p>
        </w:tc>
        <w:tc>
          <w:tcPr>
            <w:tcW w:w="1615" w:type="dxa"/>
            <w:tcBorders>
              <w:top w:val="nil"/>
              <w:left w:val="nil"/>
              <w:bottom w:val="nil"/>
              <w:right w:val="nil"/>
            </w:tcBorders>
            <w:shd w:val="clear" w:color="auto" w:fill="auto"/>
            <w:noWrap/>
            <w:hideMark/>
          </w:tcPr>
          <w:p w14:paraId="3DD5FE20" w14:textId="65F7028B" w:rsidR="001215D3" w:rsidRPr="00435469" w:rsidRDefault="001215D3" w:rsidP="00AD6E54">
            <w:pPr>
              <w:pStyle w:val="3TableDatapacked"/>
              <w:framePr w:wrap="around"/>
              <w:rPr>
                <w:b/>
                <w:bCs/>
              </w:rPr>
            </w:pPr>
            <w:r w:rsidRPr="00435469">
              <w:t>0.005</w:t>
            </w:r>
          </w:p>
        </w:tc>
        <w:tc>
          <w:tcPr>
            <w:tcW w:w="1784" w:type="dxa"/>
            <w:tcBorders>
              <w:top w:val="nil"/>
              <w:left w:val="nil"/>
              <w:bottom w:val="nil"/>
              <w:right w:val="nil"/>
            </w:tcBorders>
          </w:tcPr>
          <w:p w14:paraId="5582DAC1" w14:textId="1F7141DE" w:rsidR="001215D3" w:rsidRPr="00435469" w:rsidRDefault="001215D3" w:rsidP="00AD6E54">
            <w:pPr>
              <w:pStyle w:val="3TableDatapacked"/>
              <w:framePr w:wrap="around"/>
            </w:pPr>
            <w:r w:rsidRPr="00435469">
              <w:t>0.003</w:t>
            </w:r>
          </w:p>
        </w:tc>
        <w:tc>
          <w:tcPr>
            <w:tcW w:w="235" w:type="dxa"/>
            <w:tcBorders>
              <w:top w:val="nil"/>
              <w:left w:val="nil"/>
              <w:bottom w:val="nil"/>
              <w:right w:val="nil"/>
            </w:tcBorders>
          </w:tcPr>
          <w:p w14:paraId="180F02BF" w14:textId="77777777" w:rsidR="001215D3" w:rsidRPr="00435469" w:rsidRDefault="001215D3" w:rsidP="00AD6E54">
            <w:pPr>
              <w:pStyle w:val="3TableDatapacked"/>
              <w:framePr w:wrap="around"/>
            </w:pPr>
          </w:p>
        </w:tc>
      </w:tr>
      <w:tr w:rsidR="00304411" w:rsidRPr="00435469" w14:paraId="6EC54B46" w14:textId="77777777" w:rsidTr="00514835">
        <w:trPr>
          <w:trHeight w:val="267"/>
        </w:trPr>
        <w:tc>
          <w:tcPr>
            <w:tcW w:w="1052" w:type="dxa"/>
            <w:tcBorders>
              <w:top w:val="nil"/>
              <w:left w:val="nil"/>
              <w:bottom w:val="nil"/>
              <w:right w:val="nil"/>
            </w:tcBorders>
            <w:shd w:val="clear" w:color="auto" w:fill="auto"/>
            <w:vAlign w:val="center"/>
            <w:hideMark/>
          </w:tcPr>
          <w:p w14:paraId="114BEFB6" w14:textId="77777777" w:rsidR="001215D3" w:rsidRPr="00435469" w:rsidRDefault="001215D3" w:rsidP="00AD6E54">
            <w:pPr>
              <w:pStyle w:val="3TableDatapacked"/>
              <w:framePr w:wrap="around"/>
              <w:rPr>
                <w:b/>
                <w:bCs/>
              </w:rPr>
            </w:pPr>
            <w:r w:rsidRPr="00435469">
              <w:t>65–69</w:t>
            </w:r>
          </w:p>
        </w:tc>
        <w:tc>
          <w:tcPr>
            <w:tcW w:w="1891" w:type="dxa"/>
            <w:tcBorders>
              <w:top w:val="nil"/>
              <w:left w:val="nil"/>
              <w:bottom w:val="nil"/>
              <w:right w:val="nil"/>
            </w:tcBorders>
            <w:shd w:val="clear" w:color="auto" w:fill="auto"/>
            <w:noWrap/>
            <w:vAlign w:val="center"/>
            <w:hideMark/>
          </w:tcPr>
          <w:p w14:paraId="2937D091" w14:textId="77777777" w:rsidR="001215D3" w:rsidRPr="00435469" w:rsidRDefault="001215D3" w:rsidP="00AD6E54">
            <w:pPr>
              <w:pStyle w:val="3TableDatapacked"/>
              <w:framePr w:wrap="around"/>
              <w:rPr>
                <w:b/>
                <w:bCs/>
              </w:rPr>
            </w:pPr>
            <w:r w:rsidRPr="00435469">
              <w:t>77231</w:t>
            </w:r>
          </w:p>
        </w:tc>
        <w:tc>
          <w:tcPr>
            <w:tcW w:w="1916" w:type="dxa"/>
            <w:tcBorders>
              <w:top w:val="nil"/>
              <w:left w:val="nil"/>
              <w:bottom w:val="nil"/>
              <w:right w:val="nil"/>
            </w:tcBorders>
            <w:shd w:val="clear" w:color="auto" w:fill="auto"/>
            <w:noWrap/>
            <w:vAlign w:val="center"/>
            <w:hideMark/>
          </w:tcPr>
          <w:p w14:paraId="5D490E09" w14:textId="77777777" w:rsidR="001215D3" w:rsidRPr="00435469" w:rsidRDefault="001215D3" w:rsidP="00AD6E54">
            <w:pPr>
              <w:pStyle w:val="3TableDatapacked"/>
              <w:framePr w:wrap="around"/>
              <w:rPr>
                <w:b/>
                <w:bCs/>
              </w:rPr>
            </w:pPr>
            <w:r w:rsidRPr="00435469">
              <w:t>195</w:t>
            </w:r>
          </w:p>
        </w:tc>
        <w:tc>
          <w:tcPr>
            <w:tcW w:w="1748" w:type="dxa"/>
            <w:tcBorders>
              <w:top w:val="nil"/>
              <w:left w:val="nil"/>
              <w:bottom w:val="nil"/>
              <w:right w:val="nil"/>
            </w:tcBorders>
            <w:shd w:val="clear" w:color="auto" w:fill="auto"/>
            <w:noWrap/>
            <w:vAlign w:val="center"/>
            <w:hideMark/>
          </w:tcPr>
          <w:p w14:paraId="56AC546C" w14:textId="77777777" w:rsidR="001215D3" w:rsidRPr="00435469" w:rsidRDefault="001215D3" w:rsidP="00AD6E54">
            <w:pPr>
              <w:pStyle w:val="3TableDatapacked"/>
              <w:framePr w:wrap="around"/>
              <w:rPr>
                <w:b/>
                <w:bCs/>
              </w:rPr>
            </w:pPr>
            <w:r w:rsidRPr="00435469">
              <w:t>0.003</w:t>
            </w:r>
          </w:p>
        </w:tc>
        <w:tc>
          <w:tcPr>
            <w:tcW w:w="1615" w:type="dxa"/>
            <w:tcBorders>
              <w:top w:val="nil"/>
              <w:left w:val="nil"/>
              <w:bottom w:val="nil"/>
              <w:right w:val="nil"/>
            </w:tcBorders>
            <w:shd w:val="clear" w:color="auto" w:fill="auto"/>
            <w:noWrap/>
            <w:hideMark/>
          </w:tcPr>
          <w:p w14:paraId="2C2F9551" w14:textId="61326A4A" w:rsidR="001215D3" w:rsidRPr="00435469" w:rsidRDefault="001215D3" w:rsidP="00AD6E54">
            <w:pPr>
              <w:pStyle w:val="3TableDatapacked"/>
              <w:framePr w:wrap="around"/>
              <w:rPr>
                <w:b/>
                <w:bCs/>
              </w:rPr>
            </w:pPr>
            <w:r w:rsidRPr="00435469">
              <w:t>0.004</w:t>
            </w:r>
          </w:p>
        </w:tc>
        <w:tc>
          <w:tcPr>
            <w:tcW w:w="1784" w:type="dxa"/>
            <w:tcBorders>
              <w:top w:val="nil"/>
              <w:left w:val="nil"/>
              <w:bottom w:val="nil"/>
              <w:right w:val="nil"/>
            </w:tcBorders>
          </w:tcPr>
          <w:p w14:paraId="38801559" w14:textId="7A9D6A1B" w:rsidR="001215D3" w:rsidRPr="00435469" w:rsidRDefault="001215D3" w:rsidP="00AD6E54">
            <w:pPr>
              <w:pStyle w:val="3TableDatapacked"/>
              <w:framePr w:wrap="around"/>
            </w:pPr>
            <w:r w:rsidRPr="00435469">
              <w:t>0.003</w:t>
            </w:r>
          </w:p>
        </w:tc>
        <w:tc>
          <w:tcPr>
            <w:tcW w:w="235" w:type="dxa"/>
            <w:tcBorders>
              <w:top w:val="nil"/>
              <w:left w:val="nil"/>
              <w:bottom w:val="nil"/>
              <w:right w:val="nil"/>
            </w:tcBorders>
          </w:tcPr>
          <w:p w14:paraId="24BFD7C4" w14:textId="77777777" w:rsidR="001215D3" w:rsidRPr="00435469" w:rsidRDefault="001215D3" w:rsidP="00AD6E54">
            <w:pPr>
              <w:pStyle w:val="3TableDatapacked"/>
              <w:framePr w:wrap="around"/>
            </w:pPr>
          </w:p>
        </w:tc>
      </w:tr>
      <w:tr w:rsidR="00304411" w:rsidRPr="00435469" w14:paraId="7104CF66" w14:textId="77777777" w:rsidTr="00514835">
        <w:trPr>
          <w:trHeight w:val="267"/>
        </w:trPr>
        <w:tc>
          <w:tcPr>
            <w:tcW w:w="1052" w:type="dxa"/>
            <w:tcBorders>
              <w:top w:val="nil"/>
              <w:left w:val="nil"/>
              <w:bottom w:val="nil"/>
              <w:right w:val="nil"/>
            </w:tcBorders>
            <w:shd w:val="clear" w:color="auto" w:fill="auto"/>
            <w:vAlign w:val="center"/>
            <w:hideMark/>
          </w:tcPr>
          <w:p w14:paraId="21E5AACD" w14:textId="77777777" w:rsidR="001215D3" w:rsidRPr="00435469" w:rsidRDefault="001215D3" w:rsidP="00AD6E54">
            <w:pPr>
              <w:pStyle w:val="3TableDatapacked"/>
              <w:framePr w:wrap="around"/>
              <w:rPr>
                <w:b/>
                <w:bCs/>
              </w:rPr>
            </w:pPr>
            <w:r w:rsidRPr="00435469">
              <w:t>70–74</w:t>
            </w:r>
          </w:p>
        </w:tc>
        <w:tc>
          <w:tcPr>
            <w:tcW w:w="1891" w:type="dxa"/>
            <w:tcBorders>
              <w:top w:val="nil"/>
              <w:left w:val="nil"/>
              <w:bottom w:val="nil"/>
              <w:right w:val="nil"/>
            </w:tcBorders>
            <w:shd w:val="clear" w:color="auto" w:fill="auto"/>
            <w:noWrap/>
            <w:vAlign w:val="center"/>
            <w:hideMark/>
          </w:tcPr>
          <w:p w14:paraId="02D64362" w14:textId="77777777" w:rsidR="001215D3" w:rsidRPr="00435469" w:rsidRDefault="001215D3" w:rsidP="00AD6E54">
            <w:pPr>
              <w:pStyle w:val="3TableDatapacked"/>
              <w:framePr w:wrap="around"/>
              <w:rPr>
                <w:b/>
                <w:bCs/>
              </w:rPr>
            </w:pPr>
            <w:r w:rsidRPr="00435469">
              <w:t>52120</w:t>
            </w:r>
          </w:p>
        </w:tc>
        <w:tc>
          <w:tcPr>
            <w:tcW w:w="1916" w:type="dxa"/>
            <w:tcBorders>
              <w:top w:val="nil"/>
              <w:left w:val="nil"/>
              <w:bottom w:val="nil"/>
              <w:right w:val="nil"/>
            </w:tcBorders>
            <w:shd w:val="clear" w:color="auto" w:fill="auto"/>
            <w:noWrap/>
            <w:vAlign w:val="center"/>
            <w:hideMark/>
          </w:tcPr>
          <w:p w14:paraId="70E3AFF6" w14:textId="77777777" w:rsidR="001215D3" w:rsidRPr="00435469" w:rsidRDefault="001215D3" w:rsidP="00AD6E54">
            <w:pPr>
              <w:pStyle w:val="3TableDatapacked"/>
              <w:framePr w:wrap="around"/>
              <w:rPr>
                <w:b/>
                <w:bCs/>
              </w:rPr>
            </w:pPr>
            <w:r w:rsidRPr="00435469">
              <w:t>72</w:t>
            </w:r>
          </w:p>
        </w:tc>
        <w:tc>
          <w:tcPr>
            <w:tcW w:w="1748" w:type="dxa"/>
            <w:tcBorders>
              <w:top w:val="nil"/>
              <w:left w:val="nil"/>
              <w:bottom w:val="nil"/>
              <w:right w:val="nil"/>
            </w:tcBorders>
            <w:shd w:val="clear" w:color="auto" w:fill="auto"/>
            <w:noWrap/>
            <w:vAlign w:val="center"/>
            <w:hideMark/>
          </w:tcPr>
          <w:p w14:paraId="69E25466" w14:textId="77777777" w:rsidR="001215D3" w:rsidRPr="00435469" w:rsidRDefault="001215D3" w:rsidP="00AD6E54">
            <w:pPr>
              <w:pStyle w:val="3TableDatapacked"/>
              <w:framePr w:wrap="around"/>
              <w:rPr>
                <w:b/>
                <w:bCs/>
              </w:rPr>
            </w:pPr>
            <w:r w:rsidRPr="00435469">
              <w:t>0.002</w:t>
            </w:r>
          </w:p>
        </w:tc>
        <w:tc>
          <w:tcPr>
            <w:tcW w:w="1615" w:type="dxa"/>
            <w:tcBorders>
              <w:top w:val="nil"/>
              <w:left w:val="nil"/>
              <w:bottom w:val="nil"/>
              <w:right w:val="nil"/>
            </w:tcBorders>
            <w:shd w:val="clear" w:color="auto" w:fill="auto"/>
            <w:noWrap/>
            <w:hideMark/>
          </w:tcPr>
          <w:p w14:paraId="2ACCAA58" w14:textId="224E927B" w:rsidR="001215D3" w:rsidRPr="00435469" w:rsidRDefault="001215D3" w:rsidP="00AD6E54">
            <w:pPr>
              <w:pStyle w:val="3TableDatapacked"/>
              <w:framePr w:wrap="around"/>
              <w:rPr>
                <w:b/>
                <w:bCs/>
              </w:rPr>
            </w:pPr>
            <w:r w:rsidRPr="00435469">
              <w:t>0.002</w:t>
            </w:r>
          </w:p>
        </w:tc>
        <w:tc>
          <w:tcPr>
            <w:tcW w:w="1784" w:type="dxa"/>
            <w:tcBorders>
              <w:top w:val="nil"/>
              <w:left w:val="nil"/>
              <w:bottom w:val="nil"/>
              <w:right w:val="nil"/>
            </w:tcBorders>
          </w:tcPr>
          <w:p w14:paraId="08AFAAEB" w14:textId="0BE66F25" w:rsidR="001215D3" w:rsidRPr="00435469" w:rsidRDefault="001215D3" w:rsidP="00AD6E54">
            <w:pPr>
              <w:pStyle w:val="3TableDatapacked"/>
              <w:framePr w:wrap="around"/>
            </w:pPr>
            <w:r w:rsidRPr="00435469">
              <w:t>0.001</w:t>
            </w:r>
          </w:p>
        </w:tc>
        <w:tc>
          <w:tcPr>
            <w:tcW w:w="235" w:type="dxa"/>
            <w:tcBorders>
              <w:top w:val="nil"/>
              <w:left w:val="nil"/>
              <w:bottom w:val="nil"/>
              <w:right w:val="nil"/>
            </w:tcBorders>
          </w:tcPr>
          <w:p w14:paraId="563CAEA5" w14:textId="77777777" w:rsidR="001215D3" w:rsidRPr="00435469" w:rsidRDefault="001215D3" w:rsidP="00AD6E54">
            <w:pPr>
              <w:pStyle w:val="3TableDatapacked"/>
              <w:framePr w:wrap="around"/>
            </w:pPr>
          </w:p>
        </w:tc>
      </w:tr>
      <w:tr w:rsidR="00304411" w:rsidRPr="00435469" w14:paraId="0C6ECE67" w14:textId="77777777" w:rsidTr="00514835">
        <w:trPr>
          <w:trHeight w:val="267"/>
        </w:trPr>
        <w:tc>
          <w:tcPr>
            <w:tcW w:w="1052" w:type="dxa"/>
            <w:tcBorders>
              <w:top w:val="nil"/>
              <w:left w:val="nil"/>
              <w:bottom w:val="nil"/>
              <w:right w:val="nil"/>
            </w:tcBorders>
            <w:shd w:val="clear" w:color="auto" w:fill="auto"/>
            <w:vAlign w:val="center"/>
            <w:hideMark/>
          </w:tcPr>
          <w:p w14:paraId="609565A1" w14:textId="77777777" w:rsidR="001215D3" w:rsidRPr="00435469" w:rsidRDefault="001215D3" w:rsidP="00AD6E54">
            <w:pPr>
              <w:pStyle w:val="3TableDatapacked"/>
              <w:framePr w:wrap="around"/>
              <w:rPr>
                <w:b/>
                <w:bCs/>
              </w:rPr>
            </w:pPr>
            <w:r w:rsidRPr="00435469">
              <w:t>75+</w:t>
            </w:r>
          </w:p>
        </w:tc>
        <w:tc>
          <w:tcPr>
            <w:tcW w:w="1891" w:type="dxa"/>
            <w:tcBorders>
              <w:top w:val="nil"/>
              <w:left w:val="nil"/>
              <w:bottom w:val="nil"/>
              <w:right w:val="nil"/>
            </w:tcBorders>
            <w:shd w:val="clear" w:color="auto" w:fill="auto"/>
            <w:noWrap/>
            <w:vAlign w:val="center"/>
            <w:hideMark/>
          </w:tcPr>
          <w:p w14:paraId="5E68A8C7" w14:textId="77777777" w:rsidR="001215D3" w:rsidRPr="00435469" w:rsidRDefault="001215D3" w:rsidP="00AD6E54">
            <w:pPr>
              <w:pStyle w:val="3TableDatapacked"/>
              <w:framePr w:wrap="around"/>
              <w:rPr>
                <w:b/>
                <w:bCs/>
              </w:rPr>
            </w:pPr>
            <w:r w:rsidRPr="00435469">
              <w:t>62485</w:t>
            </w:r>
          </w:p>
        </w:tc>
        <w:tc>
          <w:tcPr>
            <w:tcW w:w="1916" w:type="dxa"/>
            <w:tcBorders>
              <w:top w:val="nil"/>
              <w:left w:val="nil"/>
              <w:bottom w:val="nil"/>
              <w:right w:val="nil"/>
            </w:tcBorders>
            <w:shd w:val="clear" w:color="auto" w:fill="auto"/>
            <w:noWrap/>
            <w:vAlign w:val="center"/>
            <w:hideMark/>
          </w:tcPr>
          <w:p w14:paraId="701FCB95" w14:textId="77777777" w:rsidR="001215D3" w:rsidRPr="00435469" w:rsidRDefault="001215D3" w:rsidP="00AD6E54">
            <w:pPr>
              <w:pStyle w:val="3TableDatapacked"/>
              <w:framePr w:wrap="around"/>
              <w:rPr>
                <w:b/>
                <w:bCs/>
              </w:rPr>
            </w:pPr>
            <w:r w:rsidRPr="00435469">
              <w:t>97</w:t>
            </w:r>
          </w:p>
        </w:tc>
        <w:tc>
          <w:tcPr>
            <w:tcW w:w="1748" w:type="dxa"/>
            <w:tcBorders>
              <w:top w:val="nil"/>
              <w:left w:val="nil"/>
              <w:bottom w:val="nil"/>
              <w:right w:val="nil"/>
            </w:tcBorders>
            <w:shd w:val="clear" w:color="auto" w:fill="auto"/>
            <w:noWrap/>
            <w:vAlign w:val="center"/>
            <w:hideMark/>
          </w:tcPr>
          <w:p w14:paraId="0ED2058C" w14:textId="77777777" w:rsidR="001215D3" w:rsidRPr="00435469" w:rsidRDefault="001215D3" w:rsidP="00AD6E54">
            <w:pPr>
              <w:pStyle w:val="3TableDatapacked"/>
              <w:framePr w:wrap="around"/>
              <w:rPr>
                <w:b/>
                <w:bCs/>
              </w:rPr>
            </w:pPr>
            <w:r w:rsidRPr="00435469">
              <w:t>0.002</w:t>
            </w:r>
          </w:p>
        </w:tc>
        <w:tc>
          <w:tcPr>
            <w:tcW w:w="1615" w:type="dxa"/>
            <w:tcBorders>
              <w:top w:val="nil"/>
              <w:left w:val="nil"/>
              <w:bottom w:val="nil"/>
              <w:right w:val="nil"/>
            </w:tcBorders>
            <w:shd w:val="clear" w:color="auto" w:fill="auto"/>
            <w:noWrap/>
            <w:hideMark/>
          </w:tcPr>
          <w:p w14:paraId="2A2B8D6C" w14:textId="764A5725" w:rsidR="001215D3" w:rsidRPr="00435469" w:rsidRDefault="001215D3" w:rsidP="00AD6E54">
            <w:pPr>
              <w:pStyle w:val="3TableDatapacked"/>
              <w:framePr w:wrap="around"/>
              <w:rPr>
                <w:b/>
                <w:bCs/>
              </w:rPr>
            </w:pPr>
            <w:r w:rsidRPr="00435469">
              <w:t>0.002</w:t>
            </w:r>
          </w:p>
        </w:tc>
        <w:tc>
          <w:tcPr>
            <w:tcW w:w="1784" w:type="dxa"/>
            <w:tcBorders>
              <w:top w:val="nil"/>
              <w:left w:val="nil"/>
              <w:bottom w:val="nil"/>
              <w:right w:val="nil"/>
            </w:tcBorders>
          </w:tcPr>
          <w:p w14:paraId="63DD3F99" w14:textId="7234AFE4" w:rsidR="001215D3" w:rsidRPr="00435469" w:rsidRDefault="001215D3" w:rsidP="00AD6E54">
            <w:pPr>
              <w:pStyle w:val="3TableDatapacked"/>
              <w:framePr w:wrap="around"/>
            </w:pPr>
            <w:r w:rsidRPr="00435469">
              <w:t>0.002</w:t>
            </w:r>
          </w:p>
        </w:tc>
        <w:tc>
          <w:tcPr>
            <w:tcW w:w="235" w:type="dxa"/>
            <w:tcBorders>
              <w:top w:val="nil"/>
              <w:left w:val="nil"/>
              <w:bottom w:val="nil"/>
              <w:right w:val="nil"/>
            </w:tcBorders>
          </w:tcPr>
          <w:p w14:paraId="39DDC8D8" w14:textId="77777777" w:rsidR="001215D3" w:rsidRPr="00435469" w:rsidRDefault="001215D3" w:rsidP="00AD6E54">
            <w:pPr>
              <w:pStyle w:val="3TableDatapacked"/>
              <w:framePr w:wrap="around"/>
            </w:pPr>
          </w:p>
        </w:tc>
      </w:tr>
      <w:tr w:rsidR="00304411" w:rsidRPr="00435469" w14:paraId="1AC4F46E" w14:textId="77777777" w:rsidTr="00514835">
        <w:trPr>
          <w:trHeight w:val="76"/>
        </w:trPr>
        <w:tc>
          <w:tcPr>
            <w:tcW w:w="1052" w:type="dxa"/>
            <w:tcBorders>
              <w:top w:val="single" w:sz="4" w:space="0" w:color="auto"/>
              <w:left w:val="nil"/>
              <w:bottom w:val="single" w:sz="4" w:space="0" w:color="auto"/>
              <w:right w:val="nil"/>
            </w:tcBorders>
            <w:shd w:val="clear" w:color="auto" w:fill="auto"/>
            <w:vAlign w:val="center"/>
            <w:hideMark/>
          </w:tcPr>
          <w:p w14:paraId="11F10748" w14:textId="77777777" w:rsidR="001215D3" w:rsidRPr="00435469" w:rsidRDefault="001215D3" w:rsidP="00AD6E54">
            <w:pPr>
              <w:pStyle w:val="3TableDatapacked"/>
              <w:framePr w:wrap="around"/>
              <w:rPr>
                <w:b/>
                <w:bCs/>
              </w:rPr>
            </w:pPr>
            <w:r w:rsidRPr="00435469">
              <w:t>Total</w:t>
            </w:r>
          </w:p>
        </w:tc>
        <w:tc>
          <w:tcPr>
            <w:tcW w:w="1891" w:type="dxa"/>
            <w:tcBorders>
              <w:top w:val="single" w:sz="4" w:space="0" w:color="auto"/>
              <w:left w:val="nil"/>
              <w:bottom w:val="single" w:sz="4" w:space="0" w:color="auto"/>
              <w:right w:val="nil"/>
            </w:tcBorders>
            <w:shd w:val="clear" w:color="auto" w:fill="auto"/>
            <w:noWrap/>
            <w:vAlign w:val="center"/>
            <w:hideMark/>
          </w:tcPr>
          <w:p w14:paraId="66B12208" w14:textId="77777777" w:rsidR="001215D3" w:rsidRPr="00435469" w:rsidRDefault="001215D3" w:rsidP="00AD6E54">
            <w:pPr>
              <w:pStyle w:val="3TableDatapacked"/>
              <w:framePr w:wrap="around"/>
              <w:rPr>
                <w:b/>
                <w:bCs/>
              </w:rPr>
            </w:pPr>
            <w:r w:rsidRPr="00435469">
              <w:t>3241508</w:t>
            </w:r>
          </w:p>
        </w:tc>
        <w:tc>
          <w:tcPr>
            <w:tcW w:w="1916" w:type="dxa"/>
            <w:tcBorders>
              <w:top w:val="single" w:sz="4" w:space="0" w:color="auto"/>
              <w:left w:val="nil"/>
              <w:bottom w:val="single" w:sz="4" w:space="0" w:color="auto"/>
              <w:right w:val="nil"/>
            </w:tcBorders>
            <w:shd w:val="clear" w:color="auto" w:fill="auto"/>
            <w:noWrap/>
            <w:vAlign w:val="center"/>
            <w:hideMark/>
          </w:tcPr>
          <w:p w14:paraId="347374AF" w14:textId="309569E4" w:rsidR="001215D3" w:rsidRPr="00435469" w:rsidRDefault="001215D3" w:rsidP="00AD6E54">
            <w:pPr>
              <w:pStyle w:val="3TableDatapacked"/>
              <w:framePr w:wrap="around"/>
              <w:rPr>
                <w:b/>
                <w:bCs/>
              </w:rPr>
            </w:pPr>
            <w:r w:rsidRPr="00435469">
              <w:t xml:space="preserve">12508 </w:t>
            </w:r>
          </w:p>
        </w:tc>
        <w:tc>
          <w:tcPr>
            <w:tcW w:w="1748" w:type="dxa"/>
            <w:tcBorders>
              <w:top w:val="single" w:sz="4" w:space="0" w:color="auto"/>
              <w:left w:val="nil"/>
              <w:bottom w:val="single" w:sz="4" w:space="0" w:color="auto"/>
              <w:right w:val="nil"/>
            </w:tcBorders>
            <w:shd w:val="clear" w:color="auto" w:fill="auto"/>
            <w:noWrap/>
            <w:vAlign w:val="center"/>
            <w:hideMark/>
          </w:tcPr>
          <w:p w14:paraId="4C502701" w14:textId="77777777" w:rsidR="001215D3" w:rsidRPr="00435469" w:rsidRDefault="001215D3" w:rsidP="00AD6E54">
            <w:pPr>
              <w:pStyle w:val="3TableDatapacked"/>
              <w:framePr w:wrap="around"/>
              <w:rPr>
                <w:b/>
                <w:bCs/>
              </w:rPr>
            </w:pPr>
            <w:r w:rsidRPr="00435469">
              <w:t>0.005</w:t>
            </w:r>
          </w:p>
        </w:tc>
        <w:tc>
          <w:tcPr>
            <w:tcW w:w="1615" w:type="dxa"/>
            <w:tcBorders>
              <w:top w:val="single" w:sz="4" w:space="0" w:color="auto"/>
              <w:left w:val="nil"/>
              <w:bottom w:val="single" w:sz="4" w:space="0" w:color="auto"/>
              <w:right w:val="nil"/>
            </w:tcBorders>
            <w:shd w:val="clear" w:color="auto" w:fill="auto"/>
            <w:noWrap/>
            <w:vAlign w:val="bottom"/>
            <w:hideMark/>
          </w:tcPr>
          <w:p w14:paraId="39F52B81" w14:textId="3B7892A6" w:rsidR="001215D3" w:rsidRPr="00435469" w:rsidRDefault="001215D3" w:rsidP="00AD6E54">
            <w:pPr>
              <w:pStyle w:val="3TableDatapacked"/>
              <w:framePr w:wrap="around"/>
              <w:rPr>
                <w:b/>
                <w:bCs/>
              </w:rPr>
            </w:pPr>
            <w:r w:rsidRPr="00435469">
              <w:t>0.006</w:t>
            </w:r>
          </w:p>
        </w:tc>
        <w:tc>
          <w:tcPr>
            <w:tcW w:w="1784" w:type="dxa"/>
            <w:tcBorders>
              <w:top w:val="single" w:sz="4" w:space="0" w:color="auto"/>
              <w:left w:val="nil"/>
              <w:bottom w:val="single" w:sz="4" w:space="0" w:color="auto"/>
              <w:right w:val="nil"/>
            </w:tcBorders>
          </w:tcPr>
          <w:p w14:paraId="0D92BB0C" w14:textId="191B1902" w:rsidR="001215D3" w:rsidRPr="00435469" w:rsidRDefault="001215D3" w:rsidP="00AD6E54">
            <w:pPr>
              <w:pStyle w:val="3TableDatapacked"/>
              <w:framePr w:wrap="around"/>
            </w:pPr>
            <w:r w:rsidRPr="00435469">
              <w:t>0.004</w:t>
            </w:r>
          </w:p>
        </w:tc>
        <w:tc>
          <w:tcPr>
            <w:tcW w:w="235" w:type="dxa"/>
            <w:tcBorders>
              <w:top w:val="single" w:sz="4" w:space="0" w:color="auto"/>
              <w:left w:val="nil"/>
              <w:bottom w:val="single" w:sz="4" w:space="0" w:color="auto"/>
              <w:right w:val="nil"/>
            </w:tcBorders>
          </w:tcPr>
          <w:p w14:paraId="511E8444" w14:textId="77777777" w:rsidR="001215D3" w:rsidRPr="00435469" w:rsidRDefault="001215D3" w:rsidP="00AD6E54">
            <w:pPr>
              <w:pStyle w:val="3TableDatapacked"/>
              <w:framePr w:wrap="around"/>
            </w:pPr>
          </w:p>
        </w:tc>
      </w:tr>
    </w:tbl>
    <w:p w14:paraId="2C646687" w14:textId="1EDCEA6D" w:rsidR="001215D3" w:rsidRPr="00435469" w:rsidRDefault="001215D3" w:rsidP="00955FFB">
      <w:pPr>
        <w:spacing w:after="0" w:line="240" w:lineRule="auto"/>
        <w:rPr>
          <w:bCs/>
          <w:sz w:val="20"/>
          <w:szCs w:val="20"/>
        </w:rPr>
      </w:pPr>
      <w:r w:rsidRPr="00435469">
        <w:rPr>
          <w:rStyle w:val="normaltextrun"/>
          <w:sz w:val="20"/>
          <w:szCs w:val="20"/>
        </w:rPr>
        <w:t xml:space="preserve">a) and b) are based on  the Wood </w:t>
      </w:r>
      <w:r w:rsidRPr="00435469">
        <w:rPr>
          <w:rStyle w:val="normaltextrun"/>
          <w:i/>
          <w:iCs/>
          <w:sz w:val="20"/>
          <w:szCs w:val="20"/>
        </w:rPr>
        <w:t>et al</w:t>
      </w:r>
      <w:r w:rsidRPr="00435469">
        <w:rPr>
          <w:rStyle w:val="normaltextrun"/>
          <w:sz w:val="20"/>
          <w:szCs w:val="20"/>
        </w:rPr>
        <w:t xml:space="preserve"> study </w:t>
      </w:r>
      <w:r w:rsidRPr="00435469">
        <w:rPr>
          <w:bCs/>
          <w:sz w:val="20"/>
          <w:szCs w:val="20"/>
        </w:rPr>
        <w:fldChar w:fldCharType="begin" w:fldLock="1"/>
      </w:r>
      <w:r w:rsidR="002F049E" w:rsidRPr="00435469">
        <w:rPr>
          <w:bCs/>
          <w:sz w:val="20"/>
          <w:szCs w:val="20"/>
        </w:rPr>
        <w:instrText>ADDIN CSL_CITATION {"citationItems":[{"id":"ITEM-1","itemData":{"DOI":"10.1371/journal.pone.0025098","ISBN":"1932-6203 (Electronic)\\r1932-6203 (Linking)","ISSN":"19326203","PMID":"22016763","abstract":"AIM: To describe the burden of tuberculosis (TB) in Cape Town by calculating TB incidence rates stratified by age and HIV-status, assessing the contribution of retreatment disease and estimating the cumulative lifetime TB risk in HIV-negative individuals.METHODS: Details of TB cases were abstracted from the 2009 electronic TB register. Population denominators were estimated from census data and actuarial estimates of HIV prevalence, allowing calculation of age-specific and HIV-stratified TB notification rates.RESULTS: The 2009 mid-year population was 3,443,010 (3,241,508 HIV-negative and 201,502 HIV-positive individuals). There were 29,478 newly notified TB cases of which 56% were laboratory confirmed. HIV status was recorded for 87% of cases and of those with known HIV-status 49% were HIV-negative and 51% were positive. Discrete peaks in the incidence of non-HIV-associated TB occurred at three ages: 511/100,000 at 0-4 years of age, 553/100,000 at 20-24 years and 628/100,000 at 45-49 years with 1.5%, 19% and 45% being due to retreatment TB, respectively. Only 15.5% of recurrent cases had a history of TB treatment failure or default. The cumulative lifetime risks in the HIV-negative population of all new TB episodes and new smear-positive TB episodes were 24% and 12%, respectively; the lifetime risk of retreatment disease was 9%. The HIV-positive notification rate was 6,567/100,000 (HIV-associated TB rate ratio = 17). Although retreatment cases comprised 30% of the HIV-associated TB burden, 88% of these patients had no history of prior treatment failure or default.CONCLUSIONS: The annual burden of TB in this city is huge. TB in the HIV-negative population contributed almost half of the overall disease burden and cumulative lifetime risks were similar to those reported in the pre-chemotherapy era. Retreatment TB contributed significantly to both HIV-associated and non-HIV-associated TB but infrequently followed prior inadequate treatment. This likely reflects ongoing TB transmission to both HIV-negative and positive individuals.","author":[{"dropping-particle":"","family":"Wood","given":"Robin","non-dropping-particle":"","parse-names":false,"suffix":""},{"dropping-particle":"","family":"Lawn","given":"Stephen D.","non-dropping-particle":"","parse-names":false,"suffix":""},{"dropping-particle":"","family":"Caldwell","given":"Judy","non-dropping-particle":"","parse-names":false,"suffix":""},{"dropping-particle":"","family":"Kaplan","given":"Richard","non-dropping-particle":"","parse-names":false,"suffix":""},{"dropping-particle":"","family":"Middelkoop","given":"Keren","non-dropping-particle":"","parse-names":false,"suffix":""},{"dropping-particle":"","family":"Bekker","given":"Linda Gail","non-dropping-particle":"","parse-names":false,"suffix":""}],"container-title":"PLoS ONE","id":"ITEM-1","issue":"10","issued":{"date-parts":[["2011"]]},"title":"Burden of new and recurrent tuberculosis in a major South African city stratified by age and HIV-status","type":"article-journal","volume":"6"},"uris":["http://www.mendeley.com/documents/?uuid=d9439b80-4d72-4247-9dc4-72f94707dccd"]}],"mendeley":{"formattedCitation":"(18)","plainTextFormattedCitation":"(18)","previouslyFormattedCitation":"(18)"},"properties":{"noteIndex":0},"schema":"https://github.com/citation-style-language/schema/raw/master/csl-citation.json"}</w:instrText>
      </w:r>
      <w:r w:rsidRPr="00435469">
        <w:rPr>
          <w:bCs/>
          <w:sz w:val="20"/>
          <w:szCs w:val="20"/>
        </w:rPr>
        <w:fldChar w:fldCharType="separate"/>
      </w:r>
      <w:r w:rsidR="0063047A" w:rsidRPr="00435469">
        <w:rPr>
          <w:bCs/>
          <w:noProof/>
          <w:sz w:val="20"/>
          <w:szCs w:val="20"/>
        </w:rPr>
        <w:t>(18)</w:t>
      </w:r>
      <w:r w:rsidRPr="00435469">
        <w:rPr>
          <w:bCs/>
          <w:sz w:val="20"/>
          <w:szCs w:val="20"/>
        </w:rPr>
        <w:fldChar w:fldCharType="end"/>
      </w:r>
      <w:r w:rsidRPr="00435469">
        <w:rPr>
          <w:bCs/>
          <w:sz w:val="20"/>
          <w:szCs w:val="20"/>
        </w:rPr>
        <w:t xml:space="preserve">.  </w:t>
      </w:r>
    </w:p>
    <w:p w14:paraId="527AF84B" w14:textId="48BB8A55" w:rsidR="00453B93" w:rsidRPr="00435469" w:rsidRDefault="001215D3" w:rsidP="00955FFB">
      <w:pPr>
        <w:spacing w:after="0" w:line="240" w:lineRule="auto"/>
        <w:rPr>
          <w:rFonts w:eastAsiaTheme="minorEastAsia"/>
          <w:iCs/>
          <w:sz w:val="20"/>
          <w:szCs w:val="20"/>
        </w:rPr>
      </w:pPr>
      <w:r w:rsidRPr="00435469">
        <w:rPr>
          <w:sz w:val="20"/>
          <w:szCs w:val="20"/>
        </w:rPr>
        <w:t xml:space="preserve">c = b/a </w:t>
      </w:r>
      <w:r w:rsidRPr="00435469">
        <w:rPr>
          <w:rFonts w:cs="Times New Roman"/>
          <w:sz w:val="20"/>
          <w:szCs w:val="20"/>
        </w:rPr>
        <w:t>×</w:t>
      </w:r>
      <w:r w:rsidRPr="00435469">
        <w:rPr>
          <w:sz w:val="20"/>
          <w:szCs w:val="20"/>
        </w:rPr>
        <w:t xml:space="preserve"> (0.0049</w:t>
      </w:r>
      <w:r w:rsidRPr="00435469">
        <w:rPr>
          <w:rFonts w:cs="Times New Roman"/>
          <w:sz w:val="20"/>
          <w:szCs w:val="20"/>
        </w:rPr>
        <w:t>÷</w:t>
      </w:r>
      <w:r w:rsidRPr="00435469">
        <w:rPr>
          <w:sz w:val="20"/>
          <w:szCs w:val="20"/>
        </w:rPr>
        <w:t>0.0039)=</w:t>
      </w:r>
      <m:oMath>
        <m:acc>
          <m:accPr>
            <m:chr m:val="̅"/>
            <m:ctrlPr>
              <w:rPr>
                <w:rFonts w:ascii="Cambria Math" w:hAnsi="Cambria Math" w:cs="Times New Roman"/>
                <w:iCs/>
                <w:sz w:val="20"/>
                <w:szCs w:val="20"/>
              </w:rPr>
            </m:ctrlPr>
          </m:accPr>
          <m:e>
            <m:r>
              <m:rPr>
                <m:sty m:val="p"/>
              </m:rPr>
              <w:rPr>
                <w:rFonts w:ascii="Cambria Math" w:hAnsi="Cambria Math"/>
                <w:sz w:val="20"/>
                <w:szCs w:val="20"/>
              </w:rPr>
              <m:t>p</m:t>
            </m:r>
          </m:e>
        </m:acc>
        <m:r>
          <w:rPr>
            <w:rFonts w:ascii="Cambria Math" w:hAnsi="Cambria Math" w:cs="Times New Roman"/>
            <w:sz w:val="20"/>
            <w:szCs w:val="20"/>
          </w:rPr>
          <m:t>;</m:t>
        </m:r>
      </m:oMath>
      <w:r w:rsidRPr="00435469">
        <w:rPr>
          <w:sz w:val="20"/>
          <w:szCs w:val="20"/>
        </w:rPr>
        <w:t xml:space="preserve"> </w:t>
      </w:r>
      <w:r w:rsidRPr="00435469">
        <w:rPr>
          <w:rStyle w:val="normaltextrun"/>
          <w:sz w:val="20"/>
          <w:szCs w:val="20"/>
        </w:rPr>
        <w:t xml:space="preserve">0.0049 is the 1990 WHO prevalence of TB </w:t>
      </w:r>
      <w:r w:rsidRPr="00435469">
        <w:rPr>
          <w:bCs/>
          <w:sz w:val="20"/>
          <w:szCs w:val="20"/>
        </w:rPr>
        <w:fldChar w:fldCharType="begin" w:fldLock="1"/>
      </w:r>
      <w:r w:rsidR="002F049E" w:rsidRPr="00435469">
        <w:rPr>
          <w:bCs/>
          <w:sz w:val="20"/>
          <w:szCs w:val="20"/>
        </w:rPr>
        <w:instrText>ADDIN CSL_CITATION {"citationItems":[{"id":"ITEM-1","itemData":{"DOI":"WHO/HTM/TB/2014.08","ISBN":"978 92 4 156480 9","ISSN":"0311-4546","PMID":"20488518","abstract":"This is the sixteenth global report on tuberculosis (TB) published by WHO in a series that started in 1997. It provides a comprehensive and up-to-date assessment of the TB epidemic and progress in implementing and ﬁnancing TB prevention, care and control at global, regional and country levels using data reported by 198 countries that account for over 99% of the worlds TB cases.","id":"ITEM-1","issued":{"date-parts":[["2014"]]},"publisher-place":"World Health Organization. Geneva, Switzerland","title":"Global Tuberculosis Report 2014","type":"report"},"uris":["http://www.mendeley.com/documents/?uuid=c8ede685-526d-481d-bd1d-7eca7996423a"]}],"mendeley":{"formattedCitation":"(17)","plainTextFormattedCitation":"(17)","previouslyFormattedCitation":"(17)"},"properties":{"noteIndex":0},"schema":"https://github.com/citation-style-language/schema/raw/master/csl-citation.json"}</w:instrText>
      </w:r>
      <w:r w:rsidRPr="00435469">
        <w:rPr>
          <w:bCs/>
          <w:sz w:val="20"/>
          <w:szCs w:val="20"/>
        </w:rPr>
        <w:fldChar w:fldCharType="separate"/>
      </w:r>
      <w:r w:rsidR="0063047A" w:rsidRPr="00435469">
        <w:rPr>
          <w:bCs/>
          <w:noProof/>
          <w:sz w:val="20"/>
          <w:szCs w:val="20"/>
        </w:rPr>
        <w:t>(17)</w:t>
      </w:r>
      <w:r w:rsidRPr="00435469">
        <w:rPr>
          <w:bCs/>
          <w:sz w:val="20"/>
          <w:szCs w:val="20"/>
        </w:rPr>
        <w:fldChar w:fldCharType="end"/>
      </w:r>
      <w:r w:rsidRPr="00435469">
        <w:rPr>
          <w:rStyle w:val="normaltextrun"/>
          <w:sz w:val="20"/>
          <w:szCs w:val="20"/>
        </w:rPr>
        <w:t xml:space="preserve">; and 0.0039 (= 12508/32 241 508) is the average TB prevalence from the Wood </w:t>
      </w:r>
      <w:r w:rsidRPr="00435469">
        <w:rPr>
          <w:rStyle w:val="normaltextrun"/>
          <w:i/>
          <w:iCs/>
          <w:sz w:val="20"/>
          <w:szCs w:val="20"/>
        </w:rPr>
        <w:t>et al,</w:t>
      </w:r>
      <w:r w:rsidRPr="00435469">
        <w:rPr>
          <w:rStyle w:val="normaltextrun"/>
          <w:sz w:val="20"/>
          <w:szCs w:val="20"/>
        </w:rPr>
        <w:t xml:space="preserve"> study </w:t>
      </w:r>
      <w:r w:rsidRPr="00435469">
        <w:rPr>
          <w:bCs/>
          <w:sz w:val="20"/>
          <w:szCs w:val="20"/>
        </w:rPr>
        <w:fldChar w:fldCharType="begin" w:fldLock="1"/>
      </w:r>
      <w:r w:rsidR="002F049E" w:rsidRPr="00435469">
        <w:rPr>
          <w:bCs/>
          <w:sz w:val="20"/>
          <w:szCs w:val="20"/>
        </w:rPr>
        <w:instrText>ADDIN CSL_CITATION {"citationItems":[{"id":"ITEM-1","itemData":{"DOI":"10.1371/journal.pone.0025098","ISBN":"1932-6203 (Electronic)\\r1932-6203 (Linking)","ISSN":"19326203","PMID":"22016763","abstract":"AIM: To describe the burden of tuberculosis (TB) in Cape Town by calculating TB incidence rates stratified by age and HIV-status, assessing the contribution of retreatment disease and estimating the cumulative lifetime TB risk in HIV-negative individuals.METHODS: Details of TB cases were abstracted from the 2009 electronic TB register. Population denominators were estimated from census data and actuarial estimates of HIV prevalence, allowing calculation of age-specific and HIV-stratified TB notification rates.RESULTS: The 2009 mid-year population was 3,443,010 (3,241,508 HIV-negative and 201,502 HIV-positive individuals). There were 29,478 newly notified TB cases of which 56% were laboratory confirmed. HIV status was recorded for 87% of cases and of those with known HIV-status 49% were HIV-negative and 51% were positive. Discrete peaks in the incidence of non-HIV-associated TB occurred at three ages: 511/100,000 at 0-4 years of age, 553/100,000 at 20-24 years and 628/100,000 at 45-49 years with 1.5%, 19% and 45% being due to retreatment TB, respectively. Only 15.5% of recurrent cases had a history of TB treatment failure or default. The cumulative lifetime risks in the HIV-negative population of all new TB episodes and new smear-positive TB episodes were 24% and 12%, respectively; the lifetime risk of retreatment disease was 9%. The HIV-positive notification rate was 6,567/100,000 (HIV-associated TB rate ratio = 17). Although retreatment cases comprised 30% of the HIV-associated TB burden, 88% of these patients had no history of prior treatment failure or default.CONCLUSIONS: The annual burden of TB in this city is huge. TB in the HIV-negative population contributed almost half of the overall disease burden and cumulative lifetime risks were similar to those reported in the pre-chemotherapy era. Retreatment TB contributed significantly to both HIV-associated and non-HIV-associated TB but infrequently followed prior inadequate treatment. This likely reflects ongoing TB transmission to both HIV-negative and positive individuals.","author":[{"dropping-particle":"","family":"Wood","given":"Robin","non-dropping-particle":"","parse-names":false,"suffix":""},{"dropping-particle":"","family":"Lawn","given":"Stephen D.","non-dropping-particle":"","parse-names":false,"suffix":""},{"dropping-particle":"","family":"Caldwell","given":"Judy","non-dropping-particle":"","parse-names":false,"suffix":""},{"dropping-particle":"","family":"Kaplan","given":"Richard","non-dropping-particle":"","parse-names":false,"suffix":""},{"dropping-particle":"","family":"Middelkoop","given":"Keren","non-dropping-particle":"","parse-names":false,"suffix":""},{"dropping-particle":"","family":"Bekker","given":"Linda Gail","non-dropping-particle":"","parse-names":false,"suffix":""}],"container-title":"PLoS ONE","id":"ITEM-1","issue":"10","issued":{"date-parts":[["2011"]]},"title":"Burden of new and recurrent tuberculosis in a major South African city stratified by age and HIV-status","type":"article-journal","volume":"6"},"uris":["http://www.mendeley.com/documents/?uuid=d9439b80-4d72-4247-9dc4-72f94707dccd"]}],"mendeley":{"formattedCitation":"(18)","plainTextFormattedCitation":"(18)","previouslyFormattedCitation":"(18)"},"properties":{"noteIndex":0},"schema":"https://github.com/citation-style-language/schema/raw/master/csl-citation.json"}</w:instrText>
      </w:r>
      <w:r w:rsidRPr="00435469">
        <w:rPr>
          <w:bCs/>
          <w:sz w:val="20"/>
          <w:szCs w:val="20"/>
        </w:rPr>
        <w:fldChar w:fldCharType="separate"/>
      </w:r>
      <w:r w:rsidR="0063047A" w:rsidRPr="00435469">
        <w:rPr>
          <w:bCs/>
          <w:noProof/>
          <w:sz w:val="20"/>
          <w:szCs w:val="20"/>
        </w:rPr>
        <w:t>(18)</w:t>
      </w:r>
      <w:r w:rsidRPr="00435469">
        <w:rPr>
          <w:bCs/>
          <w:sz w:val="20"/>
          <w:szCs w:val="20"/>
        </w:rPr>
        <w:fldChar w:fldCharType="end"/>
      </w:r>
      <w:r w:rsidRPr="00435469">
        <w:rPr>
          <w:bCs/>
          <w:sz w:val="20"/>
          <w:szCs w:val="20"/>
        </w:rPr>
        <w:t xml:space="preserve">.  </w:t>
      </w:r>
      <m:oMath>
        <m:sSub>
          <m:sSubPr>
            <m:ctrlPr>
              <w:rPr>
                <w:rFonts w:ascii="Cambria Math" w:hAnsi="Cambria Math" w:cs="Times New Roman"/>
                <w:bCs/>
                <w:i/>
                <w:sz w:val="20"/>
                <w:szCs w:val="20"/>
              </w:rPr>
            </m:ctrlPr>
          </m:sSubPr>
          <m:e>
            <m:r>
              <w:rPr>
                <w:rFonts w:ascii="Cambria Math" w:hAnsi="Cambria Math"/>
                <w:sz w:val="20"/>
                <w:szCs w:val="20"/>
              </w:rPr>
              <m:t>p</m:t>
            </m:r>
          </m:e>
          <m:sub>
            <m:r>
              <w:rPr>
                <w:rFonts w:ascii="Cambria Math" w:hAnsi="Cambria Math"/>
                <w:sz w:val="20"/>
                <w:szCs w:val="20"/>
              </w:rPr>
              <m:t>0</m:t>
            </m:r>
          </m:sub>
        </m:sSub>
        <m:r>
          <w:rPr>
            <w:rFonts w:ascii="Cambria Math" w:hAnsi="Cambria Math"/>
            <w:sz w:val="20"/>
            <w:szCs w:val="20"/>
          </w:rPr>
          <m:t>=</m:t>
        </m:r>
        <m:f>
          <m:fPr>
            <m:ctrlPr>
              <w:rPr>
                <w:rFonts w:ascii="Cambria Math" w:hAnsi="Cambria Math" w:cs="Times New Roman"/>
                <w:i/>
                <w:iCs/>
                <w:sz w:val="20"/>
                <w:szCs w:val="20"/>
              </w:rPr>
            </m:ctrlPr>
          </m:fPr>
          <m:num>
            <m:r>
              <w:rPr>
                <w:rFonts w:ascii="Cambria Math" w:hAnsi="Cambria Math" w:cs="Times New Roman"/>
                <w:sz w:val="20"/>
                <w:szCs w:val="20"/>
              </w:rPr>
              <m:t>3</m:t>
            </m:r>
            <m:acc>
              <m:accPr>
                <m:chr m:val="̅"/>
                <m:ctrlPr>
                  <w:rPr>
                    <w:rFonts w:ascii="Cambria Math" w:hAnsi="Cambria Math" w:cs="Times New Roman"/>
                    <w:iCs/>
                    <w:sz w:val="20"/>
                    <w:szCs w:val="20"/>
                  </w:rPr>
                </m:ctrlPr>
              </m:accPr>
              <m:e>
                <m:r>
                  <m:rPr>
                    <m:sty m:val="p"/>
                  </m:rPr>
                  <w:rPr>
                    <w:rFonts w:ascii="Cambria Math" w:hAnsi="Cambria Math"/>
                    <w:sz w:val="20"/>
                    <w:szCs w:val="20"/>
                  </w:rPr>
                  <m:t>p</m:t>
                </m:r>
              </m:e>
            </m:acc>
            <m:ctrlPr>
              <w:rPr>
                <w:rFonts w:ascii="Cambria Math" w:hAnsi="Cambria Math"/>
                <w:i/>
                <w:sz w:val="20"/>
                <w:szCs w:val="20"/>
              </w:rPr>
            </m:ctrlPr>
          </m:num>
          <m:den>
            <m:r>
              <w:rPr>
                <w:rFonts w:ascii="Cambria Math" w:hAnsi="Cambria Math" w:cs="Times New Roman"/>
                <w:sz w:val="20"/>
                <w:szCs w:val="20"/>
              </w:rPr>
              <m:t>2.5</m:t>
            </m:r>
          </m:den>
        </m:f>
        <m:r>
          <w:rPr>
            <w:rFonts w:ascii="Cambria Math" w:hAnsi="Cambria Math" w:cs="Times New Roman"/>
            <w:sz w:val="20"/>
            <w:szCs w:val="20"/>
          </w:rPr>
          <m:t xml:space="preserve"> </m:t>
        </m:r>
      </m:oMath>
      <w:r w:rsidRPr="00435469">
        <w:rPr>
          <w:rFonts w:eastAsiaTheme="minorEastAsia"/>
          <w:iCs/>
          <w:sz w:val="20"/>
          <w:szCs w:val="20"/>
        </w:rPr>
        <w:t xml:space="preserve">, </w:t>
      </w:r>
      <m:oMath>
        <m:sSub>
          <m:sSubPr>
            <m:ctrlPr>
              <w:rPr>
                <w:rFonts w:ascii="Cambria Math" w:hAnsi="Cambria Math" w:cs="Times New Roman"/>
                <w:bCs/>
                <w:i/>
                <w:sz w:val="20"/>
                <w:szCs w:val="20"/>
              </w:rPr>
            </m:ctrlPr>
          </m:sSubPr>
          <m:e>
            <m:r>
              <w:rPr>
                <w:rFonts w:ascii="Cambria Math" w:hAnsi="Cambria Math"/>
                <w:sz w:val="20"/>
                <w:szCs w:val="20"/>
              </w:rPr>
              <m:t>p</m:t>
            </m:r>
          </m:e>
          <m:sub>
            <m:r>
              <w:rPr>
                <w:rFonts w:ascii="Cambria Math" w:hAnsi="Cambria Math"/>
                <w:sz w:val="20"/>
                <w:szCs w:val="20"/>
              </w:rPr>
              <m:t>1</m:t>
            </m:r>
          </m:sub>
        </m:sSub>
        <m:r>
          <w:rPr>
            <w:rFonts w:ascii="Cambria Math" w:hAnsi="Cambria Math" w:cs="Times New Roman"/>
            <w:sz w:val="20"/>
            <w:szCs w:val="20"/>
          </w:rPr>
          <m:t>=</m:t>
        </m:r>
        <m:f>
          <m:fPr>
            <m:ctrlPr>
              <w:rPr>
                <w:rFonts w:ascii="Cambria Math" w:hAnsi="Cambria Math" w:cs="Times New Roman"/>
                <w:i/>
                <w:iCs/>
                <w:sz w:val="20"/>
                <w:szCs w:val="20"/>
              </w:rPr>
            </m:ctrlPr>
          </m:fPr>
          <m:num>
            <m:r>
              <w:rPr>
                <w:rFonts w:ascii="Cambria Math" w:hAnsi="Cambria Math"/>
                <w:sz w:val="20"/>
                <w:szCs w:val="20"/>
              </w:rPr>
              <m:t>2</m:t>
            </m:r>
            <m:acc>
              <m:accPr>
                <m:chr m:val="̅"/>
                <m:ctrlPr>
                  <w:rPr>
                    <w:rFonts w:ascii="Cambria Math" w:hAnsi="Cambria Math" w:cs="Times New Roman"/>
                    <w:iCs/>
                    <w:sz w:val="20"/>
                    <w:szCs w:val="20"/>
                  </w:rPr>
                </m:ctrlPr>
              </m:accPr>
              <m:e>
                <m:r>
                  <m:rPr>
                    <m:sty m:val="p"/>
                  </m:rPr>
                  <w:rPr>
                    <w:rFonts w:ascii="Cambria Math" w:hAnsi="Cambria Math"/>
                    <w:sz w:val="20"/>
                    <w:szCs w:val="20"/>
                  </w:rPr>
                  <m:t>p</m:t>
                </m:r>
              </m:e>
            </m:acc>
          </m:num>
          <m:den>
            <m:r>
              <w:rPr>
                <w:rFonts w:ascii="Cambria Math" w:hAnsi="Cambria Math" w:cs="Times New Roman"/>
                <w:sz w:val="20"/>
                <w:szCs w:val="20"/>
              </w:rPr>
              <m:t>2.5</m:t>
            </m:r>
          </m:den>
        </m:f>
      </m:oMath>
      <w:r w:rsidRPr="00435469">
        <w:rPr>
          <w:rFonts w:eastAsiaTheme="minorEastAsia"/>
          <w:iCs/>
          <w:sz w:val="20"/>
          <w:szCs w:val="20"/>
        </w:rPr>
        <w:t>.</w:t>
      </w:r>
    </w:p>
    <w:p w14:paraId="7F12B457" w14:textId="77777777" w:rsidR="00CA6299" w:rsidRPr="00435469" w:rsidRDefault="00CA6299" w:rsidP="00955FFB">
      <w:pPr>
        <w:spacing w:after="0" w:line="240" w:lineRule="auto"/>
        <w:rPr>
          <w:rFonts w:eastAsiaTheme="minorEastAsia"/>
          <w:iCs/>
          <w:sz w:val="20"/>
          <w:szCs w:val="20"/>
        </w:rPr>
      </w:pPr>
    </w:p>
    <w:p w14:paraId="33509B83" w14:textId="77777777" w:rsidR="00CA6299" w:rsidRPr="00435469" w:rsidRDefault="00CA6299" w:rsidP="00955FFB">
      <w:pPr>
        <w:spacing w:after="0" w:line="240" w:lineRule="auto"/>
        <w:rPr>
          <w:rFonts w:eastAsiaTheme="minorEastAsia"/>
          <w:iCs/>
          <w:sz w:val="20"/>
          <w:szCs w:val="20"/>
        </w:rPr>
      </w:pPr>
    </w:p>
    <w:p w14:paraId="222EC43B" w14:textId="77777777" w:rsidR="00CA6299" w:rsidRPr="00435469" w:rsidRDefault="00CA6299" w:rsidP="00955FFB">
      <w:pPr>
        <w:spacing w:after="0" w:line="240" w:lineRule="auto"/>
        <w:rPr>
          <w:rFonts w:eastAsiaTheme="minorEastAsia"/>
          <w:iCs/>
          <w:sz w:val="20"/>
          <w:szCs w:val="20"/>
        </w:rPr>
      </w:pPr>
    </w:p>
    <w:p w14:paraId="375CD389" w14:textId="77777777" w:rsidR="00CA6299" w:rsidRPr="00435469" w:rsidRDefault="00CA6299" w:rsidP="00955FFB">
      <w:pPr>
        <w:spacing w:after="0" w:line="240" w:lineRule="auto"/>
        <w:rPr>
          <w:rFonts w:eastAsiaTheme="minorEastAsia"/>
          <w:iCs/>
          <w:sz w:val="20"/>
          <w:szCs w:val="20"/>
        </w:rPr>
      </w:pPr>
    </w:p>
    <w:p w14:paraId="1D95F734" w14:textId="77777777" w:rsidR="00CA6299" w:rsidRPr="00435469" w:rsidRDefault="00CA6299" w:rsidP="00955FFB">
      <w:pPr>
        <w:spacing w:after="0" w:line="240" w:lineRule="auto"/>
        <w:rPr>
          <w:rFonts w:eastAsiaTheme="minorEastAsia"/>
          <w:iCs/>
          <w:sz w:val="20"/>
          <w:szCs w:val="20"/>
        </w:rPr>
      </w:pPr>
    </w:p>
    <w:p w14:paraId="0CE0F633" w14:textId="77777777" w:rsidR="00CA6299" w:rsidRPr="00435469" w:rsidRDefault="00CA6299" w:rsidP="00955FFB">
      <w:pPr>
        <w:spacing w:after="0" w:line="240" w:lineRule="auto"/>
        <w:rPr>
          <w:rFonts w:eastAsiaTheme="minorEastAsia"/>
          <w:iCs/>
          <w:sz w:val="20"/>
          <w:szCs w:val="20"/>
        </w:rPr>
      </w:pPr>
    </w:p>
    <w:p w14:paraId="26E311A9" w14:textId="77777777" w:rsidR="00CA6299" w:rsidRPr="00435469" w:rsidRDefault="00CA6299" w:rsidP="00955FFB">
      <w:pPr>
        <w:spacing w:after="0" w:line="240" w:lineRule="auto"/>
        <w:rPr>
          <w:rFonts w:eastAsiaTheme="minorEastAsia"/>
          <w:iCs/>
          <w:sz w:val="20"/>
          <w:szCs w:val="20"/>
        </w:rPr>
      </w:pPr>
    </w:p>
    <w:p w14:paraId="45FB246A" w14:textId="77777777" w:rsidR="00CA6299" w:rsidRPr="00435469" w:rsidRDefault="00CA6299" w:rsidP="00955FFB">
      <w:pPr>
        <w:spacing w:after="0" w:line="240" w:lineRule="auto"/>
        <w:rPr>
          <w:rFonts w:eastAsiaTheme="minorEastAsia"/>
          <w:iCs/>
          <w:sz w:val="20"/>
          <w:szCs w:val="20"/>
        </w:rPr>
      </w:pPr>
    </w:p>
    <w:p w14:paraId="4B7EABFE" w14:textId="77777777" w:rsidR="00CA6299" w:rsidRPr="00435469" w:rsidRDefault="00CA6299" w:rsidP="00955FFB">
      <w:pPr>
        <w:spacing w:after="0" w:line="240" w:lineRule="auto"/>
        <w:rPr>
          <w:rFonts w:eastAsiaTheme="minorEastAsia"/>
          <w:iCs/>
          <w:sz w:val="20"/>
          <w:szCs w:val="20"/>
        </w:rPr>
      </w:pPr>
    </w:p>
    <w:p w14:paraId="28E19C99" w14:textId="77777777" w:rsidR="00CA6299" w:rsidRPr="00435469" w:rsidRDefault="00CA6299" w:rsidP="00955FFB">
      <w:pPr>
        <w:spacing w:after="0" w:line="240" w:lineRule="auto"/>
        <w:rPr>
          <w:rFonts w:eastAsiaTheme="minorEastAsia"/>
          <w:iCs/>
          <w:sz w:val="20"/>
          <w:szCs w:val="20"/>
        </w:rPr>
      </w:pPr>
    </w:p>
    <w:p w14:paraId="3EDF6AB8" w14:textId="77777777" w:rsidR="00CA6299" w:rsidRPr="00435469" w:rsidRDefault="00CA6299" w:rsidP="00955FFB">
      <w:pPr>
        <w:spacing w:after="0" w:line="240" w:lineRule="auto"/>
        <w:rPr>
          <w:rFonts w:eastAsiaTheme="minorEastAsia"/>
          <w:iCs/>
          <w:sz w:val="20"/>
          <w:szCs w:val="20"/>
        </w:rPr>
      </w:pPr>
    </w:p>
    <w:p w14:paraId="3F196E04" w14:textId="77777777" w:rsidR="00CA6299" w:rsidRPr="00435469" w:rsidRDefault="00CA6299" w:rsidP="00955FFB">
      <w:pPr>
        <w:spacing w:after="0" w:line="240" w:lineRule="auto"/>
        <w:rPr>
          <w:rFonts w:eastAsiaTheme="minorEastAsia"/>
          <w:iCs/>
          <w:sz w:val="20"/>
          <w:szCs w:val="20"/>
        </w:rPr>
      </w:pPr>
    </w:p>
    <w:p w14:paraId="4BB98D3D" w14:textId="77777777" w:rsidR="007E2A2F" w:rsidRPr="00435469" w:rsidRDefault="007E2A2F" w:rsidP="00955FFB">
      <w:pPr>
        <w:pStyle w:val="Heading3"/>
        <w:rPr>
          <w:color w:val="auto"/>
          <w:sz w:val="20"/>
          <w:szCs w:val="20"/>
        </w:rPr>
      </w:pPr>
      <w:bookmarkStart w:id="21" w:name="_Toc87863312"/>
      <w:bookmarkStart w:id="22" w:name="_Toc88488551"/>
      <w:bookmarkStart w:id="23" w:name="_Toc103252920"/>
      <w:r w:rsidRPr="00435469">
        <w:rPr>
          <w:color w:val="auto"/>
          <w:sz w:val="20"/>
          <w:szCs w:val="20"/>
        </w:rPr>
        <w:lastRenderedPageBreak/>
        <w:t>The initial proportion of individuals previously treated for active tuberculosis</w:t>
      </w:r>
      <w:bookmarkEnd w:id="21"/>
      <w:bookmarkEnd w:id="22"/>
      <w:bookmarkEnd w:id="23"/>
    </w:p>
    <w:p w14:paraId="286C34C1" w14:textId="27AF94C8" w:rsidR="007E2A2F" w:rsidRPr="00435469" w:rsidRDefault="007E2A2F" w:rsidP="00955FFB">
      <w:pPr>
        <w:pStyle w:val="1Para"/>
        <w:spacing w:line="240" w:lineRule="auto"/>
        <w:ind w:firstLine="0"/>
        <w:rPr>
          <w:rFonts w:cs="Times New Roman"/>
          <w:sz w:val="20"/>
          <w:szCs w:val="20"/>
          <w:shd w:val="clear" w:color="auto" w:fill="FFFFFF"/>
        </w:rPr>
      </w:pPr>
      <w:r w:rsidRPr="00435469">
        <w:rPr>
          <w:rFonts w:cs="Times New Roman"/>
          <w:sz w:val="20"/>
          <w:szCs w:val="20"/>
        </w:rPr>
        <w:t>The initial proportion</w:t>
      </w:r>
      <w:r w:rsidR="000A1597" w:rsidRPr="00435469">
        <w:rPr>
          <w:rFonts w:cs="Times New Roman"/>
          <w:sz w:val="20"/>
          <w:szCs w:val="20"/>
        </w:rPr>
        <w:t>s</w:t>
      </w:r>
      <w:r w:rsidRPr="00435469">
        <w:rPr>
          <w:rFonts w:cs="Times New Roman"/>
          <w:sz w:val="20"/>
          <w:szCs w:val="20"/>
        </w:rPr>
        <w:t xml:space="preserve"> of individuals previously treated for active TB were based on</w:t>
      </w:r>
      <w:r w:rsidR="002F552A" w:rsidRPr="00435469">
        <w:rPr>
          <w:rFonts w:cs="Times New Roman"/>
          <w:sz w:val="20"/>
          <w:szCs w:val="20"/>
        </w:rPr>
        <w:t xml:space="preserve"> self-reported data on prior TB diagnosis from</w:t>
      </w:r>
      <w:r w:rsidRPr="00435469">
        <w:rPr>
          <w:rFonts w:cs="Times New Roman"/>
          <w:sz w:val="20"/>
          <w:szCs w:val="20"/>
        </w:rPr>
        <w:t xml:space="preserve"> the </w:t>
      </w:r>
      <w:r w:rsidRPr="00435469">
        <w:rPr>
          <w:rFonts w:cs="Times New Roman"/>
          <w:sz w:val="20"/>
          <w:szCs w:val="20"/>
          <w:lang w:val="en-US"/>
        </w:rPr>
        <w:t xml:space="preserve">South African Demographic and Health Survey 1998 (SADHS) </w:t>
      </w:r>
      <w:r w:rsidRPr="00435469">
        <w:rPr>
          <w:rFonts w:cs="Times New Roman"/>
          <w:sz w:val="20"/>
          <w:szCs w:val="20"/>
          <w:lang w:val="en-US"/>
        </w:rPr>
        <w:fldChar w:fldCharType="begin" w:fldLock="1"/>
      </w:r>
      <w:r w:rsidR="002F049E" w:rsidRPr="00435469">
        <w:rPr>
          <w:rFonts w:cs="Times New Roman"/>
          <w:sz w:val="20"/>
          <w:szCs w:val="20"/>
          <w:lang w:val="en-US"/>
        </w:rPr>
        <w:instrText>ADDIN CSL_CITATION {"citationItems":[{"id":"ITEM-1","itemData":{"author":[{"dropping-particle":"","family":"Department of Health","given":"","non-dropping-particle":"","parse-names":false,"suffix":""}],"id":"ITEM-1","issued":{"date-parts":[["1998"]]},"publisher-place":"Department of Health. Pretoria, South Africa","title":"South African Demographic and Health Survey 1998","type":"report"},"uris":["http://www.mendeley.com/documents/?uuid=4f852a2d-0e5d-4ed0-a344-8f06fb27725a"]}],"mendeley":{"formattedCitation":"(23)","plainTextFormattedCitation":"(23)","previouslyFormattedCitation":"(23)"},"properties":{"noteIndex":0},"schema":"https://github.com/citation-style-language/schema/raw/master/csl-citation.json"}</w:instrText>
      </w:r>
      <w:r w:rsidRPr="00435469">
        <w:rPr>
          <w:rFonts w:cs="Times New Roman"/>
          <w:sz w:val="20"/>
          <w:szCs w:val="20"/>
          <w:lang w:val="en-US"/>
        </w:rPr>
        <w:fldChar w:fldCharType="separate"/>
      </w:r>
      <w:r w:rsidR="0063047A" w:rsidRPr="00435469">
        <w:rPr>
          <w:rFonts w:cs="Times New Roman"/>
          <w:noProof/>
          <w:sz w:val="20"/>
          <w:szCs w:val="20"/>
          <w:lang w:val="en-US"/>
        </w:rPr>
        <w:t>(23)</w:t>
      </w:r>
      <w:r w:rsidRPr="00435469">
        <w:rPr>
          <w:rFonts w:cs="Times New Roman"/>
          <w:sz w:val="20"/>
          <w:szCs w:val="20"/>
          <w:lang w:val="en-US"/>
        </w:rPr>
        <w:fldChar w:fldCharType="end"/>
      </w:r>
      <w:r w:rsidRPr="00435469">
        <w:rPr>
          <w:rFonts w:cs="Times New Roman"/>
          <w:sz w:val="20"/>
          <w:szCs w:val="20"/>
          <w:lang w:val="en-US"/>
        </w:rPr>
        <w:t xml:space="preserve">. The initial prevalence is specified by age and sex as reported in the SADHS </w:t>
      </w:r>
      <w:r w:rsidR="002F552A" w:rsidRPr="00435469">
        <w:rPr>
          <w:rFonts w:cs="Times New Roman"/>
          <w:sz w:val="20"/>
          <w:szCs w:val="20"/>
          <w:lang w:val="en-US"/>
        </w:rPr>
        <w:t>(</w:t>
      </w:r>
      <w:r w:rsidRPr="00435469">
        <w:rPr>
          <w:rFonts w:cs="Times New Roman"/>
          <w:sz w:val="20"/>
          <w:szCs w:val="20"/>
          <w:lang w:val="en-US"/>
        </w:rPr>
        <w:fldChar w:fldCharType="begin"/>
      </w:r>
      <w:r w:rsidRPr="00435469">
        <w:rPr>
          <w:rFonts w:cs="Times New Roman"/>
          <w:sz w:val="20"/>
          <w:szCs w:val="20"/>
          <w:lang w:val="en-US"/>
        </w:rPr>
        <w:instrText xml:space="preserve"> REF _Ref88485234 \h </w:instrText>
      </w:r>
      <w:r w:rsidR="00F334C7" w:rsidRPr="00435469">
        <w:rPr>
          <w:rFonts w:cs="Times New Roman"/>
          <w:sz w:val="20"/>
          <w:szCs w:val="20"/>
          <w:lang w:val="en-US"/>
        </w:rPr>
        <w:instrText xml:space="preserve"> \* MERGEFORMAT </w:instrText>
      </w:r>
      <w:r w:rsidRPr="00435469">
        <w:rPr>
          <w:rFonts w:cs="Times New Roman"/>
          <w:sz w:val="20"/>
          <w:szCs w:val="20"/>
          <w:lang w:val="en-US"/>
        </w:rPr>
      </w:r>
      <w:r w:rsidRPr="00435469">
        <w:rPr>
          <w:rFonts w:cs="Times New Roman"/>
          <w:sz w:val="20"/>
          <w:szCs w:val="20"/>
          <w:lang w:val="en-US"/>
        </w:rPr>
        <w:fldChar w:fldCharType="separate"/>
      </w:r>
      <w:r w:rsidR="00186C2F" w:rsidRPr="00435469">
        <w:rPr>
          <w:sz w:val="20"/>
          <w:szCs w:val="20"/>
        </w:rPr>
        <w:t xml:space="preserve">Table </w:t>
      </w:r>
      <w:r w:rsidR="00186C2F" w:rsidRPr="00435469">
        <w:rPr>
          <w:noProof/>
          <w:sz w:val="20"/>
          <w:szCs w:val="20"/>
        </w:rPr>
        <w:t>4</w:t>
      </w:r>
      <w:r w:rsidRPr="00435469">
        <w:rPr>
          <w:rFonts w:cs="Times New Roman"/>
          <w:sz w:val="20"/>
          <w:szCs w:val="20"/>
          <w:lang w:val="en-US"/>
        </w:rPr>
        <w:fldChar w:fldCharType="end"/>
      </w:r>
      <w:r w:rsidR="002F552A" w:rsidRPr="00435469">
        <w:rPr>
          <w:rFonts w:cs="Times New Roman"/>
          <w:sz w:val="20"/>
          <w:szCs w:val="20"/>
          <w:lang w:val="en-US"/>
        </w:rPr>
        <w:t>)</w:t>
      </w:r>
      <w:r w:rsidRPr="00435469">
        <w:rPr>
          <w:rFonts w:cs="Times New Roman"/>
          <w:sz w:val="20"/>
          <w:szCs w:val="20"/>
          <w:lang w:val="en-US"/>
        </w:rPr>
        <w:t>.</w:t>
      </w:r>
    </w:p>
    <w:p w14:paraId="5A30908D" w14:textId="6C34CB10" w:rsidR="007E2A2F" w:rsidRPr="00435469" w:rsidRDefault="007E2A2F" w:rsidP="00AD6E54">
      <w:pPr>
        <w:pStyle w:val="3TableHead"/>
        <w:rPr>
          <w:rFonts w:cs="Times New Roman"/>
          <w:shd w:val="clear" w:color="auto" w:fill="FFFFFF"/>
        </w:rPr>
      </w:pPr>
      <w:bookmarkStart w:id="24" w:name="_Ref88485234"/>
      <w:bookmarkStart w:id="25" w:name="_Toc103253657"/>
      <w:r w:rsidRPr="00435469">
        <w:t xml:space="preserve">Table </w:t>
      </w:r>
      <w:r w:rsidR="00AB530B" w:rsidRPr="00435469">
        <w:fldChar w:fldCharType="begin"/>
      </w:r>
      <w:r w:rsidR="00AB530B" w:rsidRPr="00435469">
        <w:instrText xml:space="preserve"> SEQ Table \* ARABIC </w:instrText>
      </w:r>
      <w:r w:rsidR="00AB530B" w:rsidRPr="00435469">
        <w:fldChar w:fldCharType="separate"/>
      </w:r>
      <w:r w:rsidR="00186C2F" w:rsidRPr="00435469">
        <w:rPr>
          <w:noProof/>
        </w:rPr>
        <w:t>4</w:t>
      </w:r>
      <w:r w:rsidR="00AB530B" w:rsidRPr="00435469">
        <w:rPr>
          <w:noProof/>
        </w:rPr>
        <w:fldChar w:fldCharType="end"/>
      </w:r>
      <w:bookmarkEnd w:id="24"/>
      <w:r w:rsidRPr="00435469">
        <w:t xml:space="preserve">: Initial prevalence </w:t>
      </w:r>
      <w:r w:rsidR="000A1597" w:rsidRPr="00435469">
        <w:t xml:space="preserve">(%) </w:t>
      </w:r>
      <w:r w:rsidRPr="00435469">
        <w:t>of previous tuberculosis</w:t>
      </w:r>
      <w:bookmarkEnd w:id="25"/>
    </w:p>
    <w:tbl>
      <w:tblPr>
        <w:tblW w:w="6296" w:type="dxa"/>
        <w:tblBorders>
          <w:top w:val="single" w:sz="4" w:space="0" w:color="auto"/>
          <w:bottom w:val="single" w:sz="4" w:space="0" w:color="auto"/>
        </w:tblBorders>
        <w:tblLook w:val="04A0" w:firstRow="1" w:lastRow="0" w:firstColumn="1" w:lastColumn="0" w:noHBand="0" w:noVBand="1"/>
      </w:tblPr>
      <w:tblGrid>
        <w:gridCol w:w="2566"/>
        <w:gridCol w:w="1865"/>
        <w:gridCol w:w="1865"/>
      </w:tblGrid>
      <w:tr w:rsidR="00304411" w:rsidRPr="00435469" w14:paraId="27F308D0" w14:textId="77777777" w:rsidTr="001B3690">
        <w:trPr>
          <w:trHeight w:val="267"/>
        </w:trPr>
        <w:tc>
          <w:tcPr>
            <w:tcW w:w="2566" w:type="dxa"/>
            <w:tcBorders>
              <w:top w:val="single" w:sz="4" w:space="0" w:color="auto"/>
              <w:bottom w:val="single" w:sz="4" w:space="0" w:color="auto"/>
            </w:tcBorders>
            <w:shd w:val="clear" w:color="auto" w:fill="auto"/>
            <w:noWrap/>
            <w:vAlign w:val="bottom"/>
            <w:hideMark/>
          </w:tcPr>
          <w:p w14:paraId="14265328"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 xml:space="preserve">Age category </w:t>
            </w:r>
          </w:p>
        </w:tc>
        <w:tc>
          <w:tcPr>
            <w:tcW w:w="1865" w:type="dxa"/>
            <w:tcBorders>
              <w:top w:val="single" w:sz="4" w:space="0" w:color="auto"/>
              <w:bottom w:val="single" w:sz="4" w:space="0" w:color="auto"/>
            </w:tcBorders>
            <w:shd w:val="clear" w:color="auto" w:fill="auto"/>
            <w:noWrap/>
            <w:vAlign w:val="bottom"/>
            <w:hideMark/>
          </w:tcPr>
          <w:p w14:paraId="1D50E885"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Males</w:t>
            </w:r>
          </w:p>
        </w:tc>
        <w:tc>
          <w:tcPr>
            <w:tcW w:w="1865" w:type="dxa"/>
            <w:tcBorders>
              <w:top w:val="single" w:sz="4" w:space="0" w:color="auto"/>
              <w:bottom w:val="single" w:sz="4" w:space="0" w:color="auto"/>
            </w:tcBorders>
            <w:shd w:val="clear" w:color="auto" w:fill="auto"/>
            <w:noWrap/>
            <w:vAlign w:val="bottom"/>
            <w:hideMark/>
          </w:tcPr>
          <w:p w14:paraId="43F4F8A1" w14:textId="1C43B4D5"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Female</w:t>
            </w:r>
            <w:r w:rsidR="000A1597" w:rsidRPr="00435469">
              <w:rPr>
                <w:rFonts w:eastAsia="Times New Roman" w:cs="Times New Roman"/>
                <w:sz w:val="20"/>
                <w:szCs w:val="20"/>
                <w:lang w:val="en-ZA" w:eastAsia="en-ZA"/>
              </w:rPr>
              <w:t>s</w:t>
            </w:r>
          </w:p>
        </w:tc>
      </w:tr>
      <w:tr w:rsidR="00304411" w:rsidRPr="00435469" w14:paraId="14DB396B" w14:textId="77777777" w:rsidTr="001B3690">
        <w:trPr>
          <w:trHeight w:val="267"/>
        </w:trPr>
        <w:tc>
          <w:tcPr>
            <w:tcW w:w="2566" w:type="dxa"/>
            <w:tcBorders>
              <w:top w:val="single" w:sz="4" w:space="0" w:color="auto"/>
            </w:tcBorders>
            <w:shd w:val="clear" w:color="auto" w:fill="auto"/>
            <w:noWrap/>
            <w:vAlign w:val="bottom"/>
            <w:hideMark/>
          </w:tcPr>
          <w:p w14:paraId="31A5E29D"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15-25</w:t>
            </w:r>
          </w:p>
        </w:tc>
        <w:tc>
          <w:tcPr>
            <w:tcW w:w="1865" w:type="dxa"/>
            <w:tcBorders>
              <w:top w:val="single" w:sz="4" w:space="0" w:color="auto"/>
            </w:tcBorders>
            <w:shd w:val="clear" w:color="auto" w:fill="auto"/>
            <w:noWrap/>
            <w:vAlign w:val="bottom"/>
            <w:hideMark/>
          </w:tcPr>
          <w:p w14:paraId="43F36CB6"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0.8</w:t>
            </w:r>
          </w:p>
        </w:tc>
        <w:tc>
          <w:tcPr>
            <w:tcW w:w="1865" w:type="dxa"/>
            <w:tcBorders>
              <w:top w:val="single" w:sz="4" w:space="0" w:color="auto"/>
            </w:tcBorders>
            <w:shd w:val="clear" w:color="auto" w:fill="auto"/>
            <w:noWrap/>
            <w:vAlign w:val="bottom"/>
            <w:hideMark/>
          </w:tcPr>
          <w:p w14:paraId="6C9E6D7D"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1.1</w:t>
            </w:r>
          </w:p>
        </w:tc>
      </w:tr>
      <w:tr w:rsidR="00304411" w:rsidRPr="00435469" w14:paraId="1A7E2B01" w14:textId="77777777" w:rsidTr="001B3690">
        <w:trPr>
          <w:trHeight w:val="267"/>
        </w:trPr>
        <w:tc>
          <w:tcPr>
            <w:tcW w:w="2566" w:type="dxa"/>
            <w:shd w:val="clear" w:color="auto" w:fill="auto"/>
            <w:noWrap/>
            <w:vAlign w:val="bottom"/>
            <w:hideMark/>
          </w:tcPr>
          <w:p w14:paraId="39366BA7"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25-34</w:t>
            </w:r>
          </w:p>
        </w:tc>
        <w:tc>
          <w:tcPr>
            <w:tcW w:w="1865" w:type="dxa"/>
            <w:shd w:val="clear" w:color="auto" w:fill="auto"/>
            <w:noWrap/>
            <w:vAlign w:val="bottom"/>
            <w:hideMark/>
          </w:tcPr>
          <w:p w14:paraId="77CCBED4"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2.1</w:t>
            </w:r>
          </w:p>
        </w:tc>
        <w:tc>
          <w:tcPr>
            <w:tcW w:w="1865" w:type="dxa"/>
            <w:shd w:val="clear" w:color="auto" w:fill="auto"/>
            <w:noWrap/>
            <w:vAlign w:val="bottom"/>
            <w:hideMark/>
          </w:tcPr>
          <w:p w14:paraId="04C1D111"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1.8</w:t>
            </w:r>
          </w:p>
        </w:tc>
      </w:tr>
      <w:tr w:rsidR="00304411" w:rsidRPr="00435469" w14:paraId="03DE51CB" w14:textId="77777777" w:rsidTr="001B3690">
        <w:trPr>
          <w:trHeight w:val="267"/>
        </w:trPr>
        <w:tc>
          <w:tcPr>
            <w:tcW w:w="2566" w:type="dxa"/>
            <w:shd w:val="clear" w:color="auto" w:fill="auto"/>
            <w:noWrap/>
            <w:vAlign w:val="bottom"/>
            <w:hideMark/>
          </w:tcPr>
          <w:p w14:paraId="7544972F"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35-44</w:t>
            </w:r>
          </w:p>
        </w:tc>
        <w:tc>
          <w:tcPr>
            <w:tcW w:w="1865" w:type="dxa"/>
            <w:shd w:val="clear" w:color="auto" w:fill="auto"/>
            <w:noWrap/>
            <w:vAlign w:val="bottom"/>
            <w:hideMark/>
          </w:tcPr>
          <w:p w14:paraId="6368CD66"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4.1</w:t>
            </w:r>
          </w:p>
        </w:tc>
        <w:tc>
          <w:tcPr>
            <w:tcW w:w="1865" w:type="dxa"/>
            <w:shd w:val="clear" w:color="auto" w:fill="auto"/>
            <w:noWrap/>
            <w:vAlign w:val="bottom"/>
            <w:hideMark/>
          </w:tcPr>
          <w:p w14:paraId="469CAE7A"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2.0</w:t>
            </w:r>
          </w:p>
        </w:tc>
      </w:tr>
      <w:tr w:rsidR="00304411" w:rsidRPr="00435469" w14:paraId="7C8B5BCE" w14:textId="77777777" w:rsidTr="001B3690">
        <w:trPr>
          <w:trHeight w:val="267"/>
        </w:trPr>
        <w:tc>
          <w:tcPr>
            <w:tcW w:w="2566" w:type="dxa"/>
            <w:shd w:val="clear" w:color="auto" w:fill="auto"/>
            <w:noWrap/>
            <w:vAlign w:val="bottom"/>
            <w:hideMark/>
          </w:tcPr>
          <w:p w14:paraId="02F49990"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45-54</w:t>
            </w:r>
          </w:p>
        </w:tc>
        <w:tc>
          <w:tcPr>
            <w:tcW w:w="1865" w:type="dxa"/>
            <w:shd w:val="clear" w:color="auto" w:fill="auto"/>
            <w:noWrap/>
            <w:vAlign w:val="bottom"/>
            <w:hideMark/>
          </w:tcPr>
          <w:p w14:paraId="7CB3E15B"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5.2</w:t>
            </w:r>
          </w:p>
        </w:tc>
        <w:tc>
          <w:tcPr>
            <w:tcW w:w="1865" w:type="dxa"/>
            <w:shd w:val="clear" w:color="auto" w:fill="auto"/>
            <w:noWrap/>
            <w:vAlign w:val="bottom"/>
            <w:hideMark/>
          </w:tcPr>
          <w:p w14:paraId="1BD95B2C"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2.6</w:t>
            </w:r>
          </w:p>
        </w:tc>
      </w:tr>
      <w:tr w:rsidR="00304411" w:rsidRPr="00435469" w14:paraId="708DC7AC" w14:textId="77777777" w:rsidTr="001B3690">
        <w:trPr>
          <w:trHeight w:val="267"/>
        </w:trPr>
        <w:tc>
          <w:tcPr>
            <w:tcW w:w="2566" w:type="dxa"/>
            <w:shd w:val="clear" w:color="auto" w:fill="auto"/>
            <w:noWrap/>
            <w:vAlign w:val="bottom"/>
            <w:hideMark/>
          </w:tcPr>
          <w:p w14:paraId="094DF037"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55-64</w:t>
            </w:r>
          </w:p>
        </w:tc>
        <w:tc>
          <w:tcPr>
            <w:tcW w:w="1865" w:type="dxa"/>
            <w:shd w:val="clear" w:color="auto" w:fill="auto"/>
            <w:noWrap/>
            <w:vAlign w:val="bottom"/>
            <w:hideMark/>
          </w:tcPr>
          <w:p w14:paraId="0E05238F"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4.1</w:t>
            </w:r>
          </w:p>
        </w:tc>
        <w:tc>
          <w:tcPr>
            <w:tcW w:w="1865" w:type="dxa"/>
            <w:shd w:val="clear" w:color="auto" w:fill="auto"/>
            <w:noWrap/>
            <w:vAlign w:val="bottom"/>
            <w:hideMark/>
          </w:tcPr>
          <w:p w14:paraId="7631D38D"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2.2</w:t>
            </w:r>
          </w:p>
        </w:tc>
      </w:tr>
      <w:tr w:rsidR="00304411" w:rsidRPr="00435469" w14:paraId="3B231B17" w14:textId="77777777" w:rsidTr="001B3690">
        <w:trPr>
          <w:trHeight w:val="267"/>
        </w:trPr>
        <w:tc>
          <w:tcPr>
            <w:tcW w:w="2566" w:type="dxa"/>
            <w:tcBorders>
              <w:bottom w:val="single" w:sz="4" w:space="0" w:color="auto"/>
            </w:tcBorders>
            <w:shd w:val="clear" w:color="auto" w:fill="auto"/>
            <w:noWrap/>
            <w:vAlign w:val="bottom"/>
            <w:hideMark/>
          </w:tcPr>
          <w:p w14:paraId="0A3210A4"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65 and older</w:t>
            </w:r>
          </w:p>
        </w:tc>
        <w:tc>
          <w:tcPr>
            <w:tcW w:w="1865" w:type="dxa"/>
            <w:tcBorders>
              <w:bottom w:val="single" w:sz="4" w:space="0" w:color="auto"/>
            </w:tcBorders>
            <w:shd w:val="clear" w:color="auto" w:fill="auto"/>
            <w:noWrap/>
            <w:vAlign w:val="bottom"/>
            <w:hideMark/>
          </w:tcPr>
          <w:p w14:paraId="3DB5207F"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4.4</w:t>
            </w:r>
          </w:p>
        </w:tc>
        <w:tc>
          <w:tcPr>
            <w:tcW w:w="1865" w:type="dxa"/>
            <w:tcBorders>
              <w:bottom w:val="single" w:sz="4" w:space="0" w:color="auto"/>
            </w:tcBorders>
            <w:shd w:val="clear" w:color="auto" w:fill="auto"/>
            <w:noWrap/>
            <w:vAlign w:val="bottom"/>
            <w:hideMark/>
          </w:tcPr>
          <w:p w14:paraId="68AC7576"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3.1</w:t>
            </w:r>
          </w:p>
        </w:tc>
      </w:tr>
      <w:tr w:rsidR="007E2A2F" w:rsidRPr="00435469" w14:paraId="0BBA3C14" w14:textId="77777777" w:rsidTr="001B3690">
        <w:trPr>
          <w:trHeight w:val="267"/>
        </w:trPr>
        <w:tc>
          <w:tcPr>
            <w:tcW w:w="2566" w:type="dxa"/>
            <w:tcBorders>
              <w:top w:val="single" w:sz="4" w:space="0" w:color="auto"/>
              <w:bottom w:val="single" w:sz="4" w:space="0" w:color="auto"/>
            </w:tcBorders>
            <w:shd w:val="clear" w:color="auto" w:fill="auto"/>
            <w:noWrap/>
            <w:vAlign w:val="bottom"/>
            <w:hideMark/>
          </w:tcPr>
          <w:p w14:paraId="4CD3186C"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Overall</w:t>
            </w:r>
          </w:p>
        </w:tc>
        <w:tc>
          <w:tcPr>
            <w:tcW w:w="1865" w:type="dxa"/>
            <w:tcBorders>
              <w:top w:val="single" w:sz="4" w:space="0" w:color="auto"/>
              <w:bottom w:val="single" w:sz="4" w:space="0" w:color="auto"/>
            </w:tcBorders>
            <w:shd w:val="clear" w:color="auto" w:fill="auto"/>
            <w:noWrap/>
            <w:vAlign w:val="bottom"/>
            <w:hideMark/>
          </w:tcPr>
          <w:p w14:paraId="595CC39F"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2.9</w:t>
            </w:r>
          </w:p>
        </w:tc>
        <w:tc>
          <w:tcPr>
            <w:tcW w:w="1865" w:type="dxa"/>
            <w:tcBorders>
              <w:top w:val="single" w:sz="4" w:space="0" w:color="auto"/>
              <w:bottom w:val="single" w:sz="4" w:space="0" w:color="auto"/>
            </w:tcBorders>
            <w:shd w:val="clear" w:color="auto" w:fill="auto"/>
            <w:noWrap/>
            <w:vAlign w:val="bottom"/>
            <w:hideMark/>
          </w:tcPr>
          <w:p w14:paraId="56C9832D" w14:textId="77777777" w:rsidR="007E2A2F" w:rsidRPr="00435469" w:rsidRDefault="007E2A2F" w:rsidP="00955FFB">
            <w:pPr>
              <w:spacing w:after="0" w:line="240" w:lineRule="auto"/>
              <w:rPr>
                <w:rFonts w:eastAsia="Times New Roman" w:cs="Times New Roman"/>
                <w:sz w:val="20"/>
                <w:szCs w:val="20"/>
                <w:lang w:val="en-ZA" w:eastAsia="en-ZA"/>
              </w:rPr>
            </w:pPr>
            <w:r w:rsidRPr="00435469">
              <w:rPr>
                <w:rFonts w:eastAsia="Times New Roman" w:cs="Times New Roman"/>
                <w:sz w:val="20"/>
                <w:szCs w:val="20"/>
                <w:lang w:val="en-ZA" w:eastAsia="en-ZA"/>
              </w:rPr>
              <w:t>2.0</w:t>
            </w:r>
          </w:p>
        </w:tc>
      </w:tr>
    </w:tbl>
    <w:p w14:paraId="0449C8F7" w14:textId="77777777" w:rsidR="00655F81" w:rsidRPr="00435469" w:rsidRDefault="00655F81" w:rsidP="00AD6E54">
      <w:pPr>
        <w:pStyle w:val="3TableHead"/>
      </w:pPr>
      <w:bookmarkStart w:id="26" w:name="_Ref41763535"/>
      <w:bookmarkStart w:id="27" w:name="_Toc45195320"/>
      <w:bookmarkStart w:id="28" w:name="_Toc87863395"/>
    </w:p>
    <w:p w14:paraId="4D89914C" w14:textId="14935BC7" w:rsidR="007E2A2F" w:rsidRPr="00435469" w:rsidRDefault="007E2A2F" w:rsidP="00955FFB">
      <w:pPr>
        <w:pStyle w:val="Heading2"/>
        <w:rPr>
          <w:color w:val="auto"/>
          <w:sz w:val="20"/>
          <w:szCs w:val="20"/>
        </w:rPr>
      </w:pPr>
      <w:bookmarkStart w:id="29" w:name="_Toc79099806"/>
      <w:bookmarkStart w:id="30" w:name="_Toc80352129"/>
      <w:bookmarkStart w:id="31" w:name="_Toc87863314"/>
      <w:bookmarkStart w:id="32" w:name="_Toc88488553"/>
      <w:bookmarkStart w:id="33" w:name="_Toc103252921"/>
      <w:bookmarkEnd w:id="26"/>
      <w:bookmarkEnd w:id="27"/>
      <w:bookmarkEnd w:id="28"/>
      <w:r w:rsidRPr="00435469">
        <w:rPr>
          <w:color w:val="auto"/>
          <w:sz w:val="20"/>
          <w:szCs w:val="20"/>
        </w:rPr>
        <w:t xml:space="preserve">Estimating </w:t>
      </w:r>
      <w:r w:rsidR="00605CD4" w:rsidRPr="00435469">
        <w:rPr>
          <w:color w:val="auto"/>
          <w:sz w:val="20"/>
          <w:szCs w:val="20"/>
        </w:rPr>
        <w:t xml:space="preserve">the proportion of </w:t>
      </w:r>
      <w:r w:rsidRPr="00435469">
        <w:rPr>
          <w:color w:val="auto"/>
          <w:sz w:val="20"/>
          <w:szCs w:val="20"/>
        </w:rPr>
        <w:t>new active tuberculosis cases that are smear-positive</w:t>
      </w:r>
      <w:bookmarkEnd w:id="29"/>
      <w:bookmarkEnd w:id="30"/>
      <w:bookmarkEnd w:id="31"/>
      <w:bookmarkEnd w:id="32"/>
      <w:bookmarkEnd w:id="33"/>
    </w:p>
    <w:p w14:paraId="31980007" w14:textId="7FE33C0C" w:rsidR="007E2A2F" w:rsidRPr="00435469" w:rsidRDefault="007E2A2F" w:rsidP="00955FFB">
      <w:pPr>
        <w:spacing w:line="240" w:lineRule="auto"/>
        <w:rPr>
          <w:rFonts w:cs="Times New Roman"/>
          <w:bCs/>
          <w:sz w:val="20"/>
          <w:szCs w:val="20"/>
        </w:rPr>
      </w:pPr>
      <w:r w:rsidRPr="00435469">
        <w:rPr>
          <w:rFonts w:cs="Times New Roman"/>
          <w:bCs/>
          <w:sz w:val="20"/>
          <w:szCs w:val="20"/>
        </w:rPr>
        <w:t xml:space="preserve">Our model requires assumptions about the proportion of incident TB cases that are smear-positive, but most studies report the proportion of newly diagnosed/treated TB cases that are smear-positive. </w:t>
      </w:r>
      <w:r w:rsidRPr="00435469">
        <w:rPr>
          <w:rFonts w:cs="Times New Roman"/>
          <w:sz w:val="20"/>
          <w:szCs w:val="20"/>
        </w:rPr>
        <w:t>We expect the proportion of treated active TB cases that are smear-positive to be higher than the proportion of incident TB cases that are smear-positive due to the delays in TB diagnosis being greater for smear-negative TB than for smear-positive TB.</w:t>
      </w:r>
      <w:r w:rsidRPr="00435469">
        <w:rPr>
          <w:rFonts w:cs="Times New Roman"/>
          <w:bCs/>
          <w:sz w:val="20"/>
          <w:szCs w:val="20"/>
        </w:rPr>
        <w:t xml:space="preserve"> </w:t>
      </w:r>
    </w:p>
    <w:p w14:paraId="2F45EA34" w14:textId="42F7675E" w:rsidR="007E2A2F" w:rsidRPr="00435469" w:rsidRDefault="007E2A2F" w:rsidP="00955FFB">
      <w:pPr>
        <w:pStyle w:val="xmsonormal"/>
        <w:shd w:val="clear" w:color="auto" w:fill="FFFFFF"/>
        <w:spacing w:before="0" w:beforeAutospacing="0" w:after="0" w:afterAutospacing="0"/>
        <w:rPr>
          <w:sz w:val="20"/>
          <w:szCs w:val="20"/>
        </w:rPr>
      </w:pPr>
      <w:r w:rsidRPr="00435469">
        <w:rPr>
          <w:sz w:val="20"/>
          <w:szCs w:val="20"/>
        </w:rPr>
        <w:t xml:space="preserve">We used the Gupta </w:t>
      </w:r>
      <w:r w:rsidRPr="00435469">
        <w:rPr>
          <w:i/>
          <w:iCs/>
          <w:sz w:val="20"/>
          <w:szCs w:val="20"/>
        </w:rPr>
        <w:t>et al</w:t>
      </w:r>
      <w:r w:rsidRPr="00435469">
        <w:rPr>
          <w:sz w:val="20"/>
          <w:szCs w:val="20"/>
        </w:rPr>
        <w:t xml:space="preserve">. study to set the proportions of </w:t>
      </w:r>
      <w:r w:rsidR="00A077DA" w:rsidRPr="00435469">
        <w:rPr>
          <w:sz w:val="20"/>
          <w:szCs w:val="20"/>
        </w:rPr>
        <w:t>incident TB cases that are smear-positive,</w:t>
      </w:r>
      <w:r w:rsidRPr="00435469">
        <w:rPr>
          <w:sz w:val="20"/>
          <w:szCs w:val="20"/>
        </w:rPr>
        <w:t xml:space="preserve"> by HIV</w:t>
      </w:r>
      <w:r w:rsidR="00A077DA" w:rsidRPr="00435469">
        <w:rPr>
          <w:sz w:val="20"/>
          <w:szCs w:val="20"/>
        </w:rPr>
        <w:t xml:space="preserve"> status</w:t>
      </w:r>
      <w:r w:rsidRPr="00435469">
        <w:rPr>
          <w:sz w:val="20"/>
          <w:szCs w:val="20"/>
        </w:rPr>
        <w:t xml:space="preserve"> </w:t>
      </w:r>
      <w:r w:rsidRPr="00435469">
        <w:rPr>
          <w:sz w:val="20"/>
          <w:szCs w:val="20"/>
        </w:rPr>
        <w:fldChar w:fldCharType="begin" w:fldLock="1"/>
      </w:r>
      <w:r w:rsidR="002F049E" w:rsidRPr="00435469">
        <w:rPr>
          <w:sz w:val="20"/>
          <w:szCs w:val="20"/>
        </w:rPr>
        <w:instrText>ADDIN CSL_CITATION {"citationItems":[{"id":"ITEM-1","itemData":{"DOI":"10.5588/ijtld.13.0032.Impact","ISBN":"2122633255","PMID":"1000000221","abstract":"Background—The impact of HIV-infection and CD4 count on diagnosis of tuberculosis (TB) at a population level is incompletely defined. Objective—To determine how HIV-infection and CD4 count affect disease site, sputum smear status and overall rate of laboratory confirmation (sputum smear microscopy or culture) of TB cases under routine programme conditions. Design—Retrospective analysis of the 2009 electronic TB register for Cape Town, South Africa. Results—Of 29,478 TB cases notified in 2009, HIV-status was known in 25,744 (87.3%) of cases of which 13,237 (51.4%) were HIV-positive. Of these, 61.2% had CD4 cell counts &lt;200 cells/µL, 82.7% had counts &lt;350 cells/µL. Laboratory confirmation of TB (by smear or culture) was obtained less frequently in HIV-infected than HIV-uninfected adult cases (53.9% versus 74.3%; P&lt;0.001). HIV-infection was associated with higher proportions of sputum smear-negative and extrapulmonary TB and lower grades of sputum smear-positivity even among those with CD4 counts ≥ 500 cells/µL. However, the relationship between the proportion of cases testing smear- positive and CD4 count was non-linear. Conclusion—Much TB lacks laboratory confirmation in this setting despite good laboratory services. HIV-associated TB is more difficult to diagnose even at high CD4 cell counts &gt;500 cells/µL, suggesting an early impact after HIV-sero-conversion.","author":[{"dropping-particle":"","family":"Gupta","given":"Rishi K.","non-dropping-particle":"","parse-names":false,"suffix":""},{"dropping-particle":"","family":"Lawn","given":"Stephen D.","non-dropping-particle":"","parse-names":false,"suffix":""},{"dropping-particle":"","family":"Bekker","given":"Linda-Gail","non-dropping-particle":"","parse-names":false,"suffix":""},{"dropping-particle":"","family":"Caldwell","given":"Judy","non-dropping-particle":"","parse-names":false,"suffix":""},{"dropping-particle":"","family":"Kaplan","given":"Richard","non-dropping-particle":"","parse-names":false,"suffix":""},{"dropping-particle":"","family":"Wood","given":"Robin","non-dropping-particle":"","parse-names":false,"suffix":""}],"container-title":"Int J Tuberc Lung Dis","id":"ITEM-1","issue":"8","issued":{"date-parts":[["2013"]]},"page":"1014-1022","title":"Impact of HIV and CD4 count on tuberculosis diagnosis: analysis of citywide data from Cape Town, South Africa","type":"article-journal","volume":"17"},"uris":["http://www.mendeley.com/documents/?uuid=29ab6114-9cfb-4576-9e66-488e86781998"]}],"mendeley":{"formattedCitation":"(24)","plainTextFormattedCitation":"(24)","previouslyFormattedCitation":"(24)"},"properties":{"noteIndex":0},"schema":"https://github.com/citation-style-language/schema/raw/master/csl-citation.json"}</w:instrText>
      </w:r>
      <w:r w:rsidRPr="00435469">
        <w:rPr>
          <w:sz w:val="20"/>
          <w:szCs w:val="20"/>
        </w:rPr>
        <w:fldChar w:fldCharType="separate"/>
      </w:r>
      <w:r w:rsidR="0063047A" w:rsidRPr="00435469">
        <w:rPr>
          <w:noProof/>
          <w:sz w:val="20"/>
          <w:szCs w:val="20"/>
        </w:rPr>
        <w:t>(24)</w:t>
      </w:r>
      <w:r w:rsidRPr="00435469">
        <w:rPr>
          <w:sz w:val="20"/>
          <w:szCs w:val="20"/>
        </w:rPr>
        <w:fldChar w:fldCharType="end"/>
      </w:r>
      <w:r w:rsidRPr="00435469">
        <w:rPr>
          <w:sz w:val="20"/>
          <w:szCs w:val="20"/>
        </w:rPr>
        <w:t xml:space="preserve">. The study assessed how HIV and CD4 count affected TB disease site, smear status and overall laboratory confirmation of TB cases. The study was based on the </w:t>
      </w:r>
      <w:r w:rsidRPr="00435469">
        <w:rPr>
          <w:sz w:val="20"/>
          <w:szCs w:val="20"/>
          <w:lang w:val="en-US"/>
        </w:rPr>
        <w:t xml:space="preserve">2009 electronic TB register for Cape Town. From this study, the proportion of HIV-negative individuals who </w:t>
      </w:r>
      <w:r w:rsidR="00926641" w:rsidRPr="00435469">
        <w:rPr>
          <w:sz w:val="20"/>
          <w:szCs w:val="20"/>
          <w:lang w:val="en-US"/>
        </w:rPr>
        <w:t xml:space="preserve">were </w:t>
      </w:r>
      <w:r w:rsidRPr="00435469">
        <w:rPr>
          <w:sz w:val="20"/>
          <w:szCs w:val="20"/>
          <w:lang w:val="en-US"/>
        </w:rPr>
        <w:t xml:space="preserve">smear-positive was 0.523; among HIV-positive individuals, the proportion was 0.326. The proportion of HIV-negative individuals with no laboratory confirmation for TB diagnosis was 0.374 </w:t>
      </w:r>
      <w:r w:rsidRPr="00435469">
        <w:rPr>
          <w:sz w:val="20"/>
          <w:szCs w:val="20"/>
        </w:rPr>
        <w:fldChar w:fldCharType="begin" w:fldLock="1"/>
      </w:r>
      <w:r w:rsidR="002F049E" w:rsidRPr="00435469">
        <w:rPr>
          <w:sz w:val="20"/>
          <w:szCs w:val="20"/>
        </w:rPr>
        <w:instrText>ADDIN CSL_CITATION {"citationItems":[{"id":"ITEM-1","itemData":{"DOI":"10.5588/ijtld.13.0032.Impact","ISBN":"2122633255","PMID":"1000000221","abstract":"Background—The impact of HIV-infection and CD4 count on diagnosis of tuberculosis (TB) at a population level is incompletely defined. Objective—To determine how HIV-infection and CD4 count affect disease site, sputum smear status and overall rate of laboratory confirmation (sputum smear microscopy or culture) of TB cases under routine programme conditions. Design—Retrospective analysis of the 2009 electronic TB register for Cape Town, South Africa. Results—Of 29,478 TB cases notified in 2009, HIV-status was known in 25,744 (87.3%) of cases of which 13,237 (51.4%) were HIV-positive. Of these, 61.2% had CD4 cell counts &lt;200 cells/µL, 82.7% had counts &lt;350 cells/µL. Laboratory confirmation of TB (by smear or culture) was obtained less frequently in HIV-infected than HIV-uninfected adult cases (53.9% versus 74.3%; P&lt;0.001). HIV-infection was associated with higher proportions of sputum smear-negative and extrapulmonary TB and lower grades of sputum smear-positivity even among those with CD4 counts ≥ 500 cells/µL. However, the relationship between the proportion of cases testing smear- positive and CD4 count was non-linear. Conclusion—Much TB lacks laboratory confirmation in this setting despite good laboratory services. HIV-associated TB is more difficult to diagnose even at high CD4 cell counts &gt;500 cells/µL, suggesting an early impact after HIV-sero-conversion.","author":[{"dropping-particle":"","family":"Gupta","given":"Rishi K.","non-dropping-particle":"","parse-names":false,"suffix":""},{"dropping-particle":"","family":"Lawn","given":"Stephen D.","non-dropping-particle":"","parse-names":false,"suffix":""},{"dropping-particle":"","family":"Bekker","given":"Linda-Gail","non-dropping-particle":"","parse-names":false,"suffix":""},{"dropping-particle":"","family":"Caldwell","given":"Judy","non-dropping-particle":"","parse-names":false,"suffix":""},{"dropping-particle":"","family":"Kaplan","given":"Richard","non-dropping-particle":"","parse-names":false,"suffix":""},{"dropping-particle":"","family":"Wood","given":"Robin","non-dropping-particle":"","parse-names":false,"suffix":""}],"container-title":"Int J Tuberc Lung Dis","id":"ITEM-1","issue":"8","issued":{"date-parts":[["2013"]]},"page":"1014-1022","title":"Impact of HIV and CD4 count on tuberculosis diagnosis: analysis of citywide data from Cape Town, South Africa","type":"article-journal","volume":"17"},"uris":["http://www.mendeley.com/documents/?uuid=29ab6114-9cfb-4576-9e66-488e86781998"]}],"mendeley":{"formattedCitation":"(24)","plainTextFormattedCitation":"(24)","previouslyFormattedCitation":"(24)"},"properties":{"noteIndex":0},"schema":"https://github.com/citation-style-language/schema/raw/master/csl-citation.json"}</w:instrText>
      </w:r>
      <w:r w:rsidRPr="00435469">
        <w:rPr>
          <w:sz w:val="20"/>
          <w:szCs w:val="20"/>
        </w:rPr>
        <w:fldChar w:fldCharType="separate"/>
      </w:r>
      <w:r w:rsidR="0063047A" w:rsidRPr="00435469">
        <w:rPr>
          <w:noProof/>
          <w:sz w:val="20"/>
          <w:szCs w:val="20"/>
        </w:rPr>
        <w:t>(24)</w:t>
      </w:r>
      <w:r w:rsidRPr="00435469">
        <w:rPr>
          <w:sz w:val="20"/>
          <w:szCs w:val="20"/>
        </w:rPr>
        <w:fldChar w:fldCharType="end"/>
      </w:r>
      <w:r w:rsidRPr="00435469">
        <w:rPr>
          <w:sz w:val="20"/>
          <w:szCs w:val="20"/>
          <w:lang w:val="en-US"/>
        </w:rPr>
        <w:t xml:space="preserve">. </w:t>
      </w:r>
      <w:r w:rsidRPr="00435469">
        <w:rPr>
          <w:sz w:val="20"/>
          <w:szCs w:val="20"/>
        </w:rPr>
        <w:t xml:space="preserve">Given these data, we </w:t>
      </w:r>
      <w:r w:rsidR="00926641" w:rsidRPr="00435469">
        <w:rPr>
          <w:sz w:val="20"/>
          <w:szCs w:val="20"/>
        </w:rPr>
        <w:t xml:space="preserve">previously </w:t>
      </w:r>
      <w:r w:rsidRPr="00435469">
        <w:rPr>
          <w:sz w:val="20"/>
          <w:szCs w:val="20"/>
        </w:rPr>
        <w:t>set the prior mean for the proportion of smear-positive individuals at 0.52</w:t>
      </w:r>
      <w:r w:rsidR="002F049E" w:rsidRPr="00435469">
        <w:rPr>
          <w:sz w:val="20"/>
          <w:szCs w:val="20"/>
        </w:rPr>
        <w:t xml:space="preserve"> </w:t>
      </w:r>
      <w:r w:rsidR="002F049E" w:rsidRPr="00435469">
        <w:rPr>
          <w:sz w:val="20"/>
          <w:szCs w:val="20"/>
        </w:rPr>
        <w:fldChar w:fldCharType="begin" w:fldLock="1"/>
      </w:r>
      <w:r w:rsidR="000B73E2" w:rsidRPr="00435469">
        <w:rPr>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2F049E" w:rsidRPr="00435469">
        <w:rPr>
          <w:sz w:val="20"/>
          <w:szCs w:val="20"/>
        </w:rPr>
        <w:fldChar w:fldCharType="separate"/>
      </w:r>
      <w:r w:rsidR="002F049E" w:rsidRPr="00435469">
        <w:rPr>
          <w:noProof/>
          <w:sz w:val="20"/>
          <w:szCs w:val="20"/>
        </w:rPr>
        <w:t>(6)</w:t>
      </w:r>
      <w:r w:rsidR="002F049E" w:rsidRPr="00435469">
        <w:rPr>
          <w:sz w:val="20"/>
          <w:szCs w:val="20"/>
        </w:rPr>
        <w:fldChar w:fldCharType="end"/>
      </w:r>
      <w:r w:rsidRPr="00435469">
        <w:rPr>
          <w:sz w:val="20"/>
          <w:szCs w:val="20"/>
        </w:rPr>
        <w:t>. We further suppose</w:t>
      </w:r>
      <w:r w:rsidR="00926641" w:rsidRPr="00435469">
        <w:rPr>
          <w:sz w:val="20"/>
          <w:szCs w:val="20"/>
        </w:rPr>
        <w:t>d</w:t>
      </w:r>
      <w:r w:rsidRPr="00435469">
        <w:rPr>
          <w:sz w:val="20"/>
          <w:szCs w:val="20"/>
        </w:rPr>
        <w:t xml:space="preserve"> an upper limit </w:t>
      </w:r>
      <w:r w:rsidR="00926641" w:rsidRPr="00435469">
        <w:rPr>
          <w:sz w:val="20"/>
          <w:szCs w:val="20"/>
        </w:rPr>
        <w:t xml:space="preserve">of </w:t>
      </w:r>
      <w:r w:rsidRPr="00435469">
        <w:rPr>
          <w:sz w:val="20"/>
          <w:szCs w:val="20"/>
        </w:rPr>
        <w:t>0.84 (=0.523</w:t>
      </w:r>
      <w:proofErr w:type="gramStart"/>
      <w:r w:rsidRPr="00435469">
        <w:rPr>
          <w:sz w:val="20"/>
          <w:szCs w:val="20"/>
        </w:rPr>
        <w:t>/(</w:t>
      </w:r>
      <w:proofErr w:type="gramEnd"/>
      <w:r w:rsidRPr="00435469">
        <w:rPr>
          <w:sz w:val="20"/>
          <w:szCs w:val="20"/>
        </w:rPr>
        <w:t xml:space="preserve">1 – 0.374)), where </w:t>
      </w:r>
      <w:r w:rsidRPr="00435469">
        <w:rPr>
          <w:sz w:val="20"/>
          <w:szCs w:val="20"/>
          <w:lang w:val="en-US"/>
        </w:rPr>
        <w:t>0.374 is the proportion of those with unconfirmed smear status</w:t>
      </w:r>
      <w:r w:rsidRPr="00435469">
        <w:rPr>
          <w:sz w:val="20"/>
          <w:szCs w:val="20"/>
        </w:rPr>
        <w:t>. This</w:t>
      </w:r>
      <w:r w:rsidR="00A077DA" w:rsidRPr="00435469">
        <w:rPr>
          <w:sz w:val="20"/>
          <w:szCs w:val="20"/>
        </w:rPr>
        <w:t xml:space="preserve"> upper limit</w:t>
      </w:r>
      <w:r w:rsidRPr="00435469">
        <w:rPr>
          <w:sz w:val="20"/>
          <w:szCs w:val="20"/>
        </w:rPr>
        <w:t xml:space="preserve"> </w:t>
      </w:r>
      <w:r w:rsidR="00926641" w:rsidRPr="00435469">
        <w:rPr>
          <w:sz w:val="20"/>
          <w:szCs w:val="20"/>
        </w:rPr>
        <w:t>wa</w:t>
      </w:r>
      <w:r w:rsidRPr="00435469">
        <w:rPr>
          <w:sz w:val="20"/>
          <w:szCs w:val="20"/>
        </w:rPr>
        <w:t xml:space="preserve">s based on assuming that the smear-positive proportion in those with missing smear results is the same as that in those with recorded smear results. </w:t>
      </w:r>
      <w:r w:rsidR="003E55F2" w:rsidRPr="00435469">
        <w:rPr>
          <w:sz w:val="20"/>
          <w:szCs w:val="20"/>
        </w:rPr>
        <w:t>In a previous calibration analysis</w:t>
      </w:r>
      <w:r w:rsidRPr="00435469">
        <w:rPr>
          <w:sz w:val="20"/>
          <w:szCs w:val="20"/>
        </w:rPr>
        <w:t>, we assign</w:t>
      </w:r>
      <w:r w:rsidR="00926641" w:rsidRPr="00435469">
        <w:rPr>
          <w:sz w:val="20"/>
          <w:szCs w:val="20"/>
        </w:rPr>
        <w:t>ed</w:t>
      </w:r>
      <w:r w:rsidRPr="00435469">
        <w:rPr>
          <w:sz w:val="20"/>
          <w:szCs w:val="20"/>
        </w:rPr>
        <w:t xml:space="preserve"> a </w:t>
      </w:r>
      <w:proofErr w:type="gramStart"/>
      <w:r w:rsidRPr="00435469">
        <w:rPr>
          <w:sz w:val="20"/>
          <w:szCs w:val="20"/>
        </w:rPr>
        <w:t>Beta(</w:t>
      </w:r>
      <w:proofErr w:type="gramEnd"/>
      <w:r w:rsidRPr="00435469">
        <w:rPr>
          <w:sz w:val="20"/>
          <w:szCs w:val="20"/>
        </w:rPr>
        <w:t xml:space="preserve">12.46;11.50) prior distribution, with a mean of 0.52 and standard deviation of 0.1, for this parameter. </w:t>
      </w:r>
      <w:r w:rsidR="0070252C" w:rsidRPr="00435469">
        <w:rPr>
          <w:sz w:val="20"/>
          <w:szCs w:val="20"/>
        </w:rPr>
        <w:t xml:space="preserve">In this </w:t>
      </w:r>
      <w:r w:rsidR="00E019D7" w:rsidRPr="00435469">
        <w:rPr>
          <w:sz w:val="20"/>
          <w:szCs w:val="20"/>
        </w:rPr>
        <w:t xml:space="preserve">current </w:t>
      </w:r>
      <w:r w:rsidR="0070252C" w:rsidRPr="00435469">
        <w:rPr>
          <w:sz w:val="20"/>
          <w:szCs w:val="20"/>
        </w:rPr>
        <w:t xml:space="preserve">analysis, </w:t>
      </w:r>
      <w:r w:rsidR="00A67D62" w:rsidRPr="00435469">
        <w:rPr>
          <w:sz w:val="20"/>
          <w:szCs w:val="20"/>
        </w:rPr>
        <w:t>we fixed this</w:t>
      </w:r>
      <w:r w:rsidR="0070252C" w:rsidRPr="00435469">
        <w:rPr>
          <w:sz w:val="20"/>
          <w:szCs w:val="20"/>
        </w:rPr>
        <w:t xml:space="preserve"> parameter at 0.51</w:t>
      </w:r>
      <w:r w:rsidR="007C320E" w:rsidRPr="00435469">
        <w:rPr>
          <w:sz w:val="20"/>
          <w:szCs w:val="20"/>
        </w:rPr>
        <w:t xml:space="preserve">, </w:t>
      </w:r>
      <w:r w:rsidR="0070252C" w:rsidRPr="00435469">
        <w:rPr>
          <w:sz w:val="20"/>
          <w:szCs w:val="20"/>
        </w:rPr>
        <w:t>which was the poster</w:t>
      </w:r>
      <w:r w:rsidR="00D92BCB" w:rsidRPr="00435469">
        <w:rPr>
          <w:sz w:val="20"/>
          <w:szCs w:val="20"/>
        </w:rPr>
        <w:t>ior</w:t>
      </w:r>
      <w:r w:rsidR="00E52AE9" w:rsidRPr="00435469">
        <w:rPr>
          <w:sz w:val="20"/>
          <w:szCs w:val="20"/>
        </w:rPr>
        <w:t xml:space="preserve"> </w:t>
      </w:r>
      <w:r w:rsidR="0059328B" w:rsidRPr="00435469">
        <w:rPr>
          <w:sz w:val="20"/>
          <w:szCs w:val="20"/>
        </w:rPr>
        <w:t xml:space="preserve">estimate </w:t>
      </w:r>
      <w:r w:rsidR="00E52AE9" w:rsidRPr="00435469">
        <w:rPr>
          <w:sz w:val="20"/>
          <w:szCs w:val="20"/>
        </w:rPr>
        <w:t>(mean</w:t>
      </w:r>
      <w:r w:rsidR="00D90539" w:rsidRPr="00435469">
        <w:rPr>
          <w:sz w:val="20"/>
          <w:szCs w:val="20"/>
        </w:rPr>
        <w:t>=</w:t>
      </w:r>
      <w:r w:rsidR="00E52AE9" w:rsidRPr="00435469">
        <w:rPr>
          <w:sz w:val="20"/>
          <w:szCs w:val="20"/>
        </w:rPr>
        <w:t>0.51, 9</w:t>
      </w:r>
      <w:r w:rsidR="00516761" w:rsidRPr="00435469">
        <w:rPr>
          <w:sz w:val="20"/>
          <w:szCs w:val="20"/>
        </w:rPr>
        <w:t>5</w:t>
      </w:r>
      <w:r w:rsidR="00E52AE9" w:rsidRPr="00435469">
        <w:rPr>
          <w:sz w:val="20"/>
          <w:szCs w:val="20"/>
        </w:rPr>
        <w:t>% CI 0.48 – 0.54)</w:t>
      </w:r>
      <w:r w:rsidR="00D92BCB" w:rsidRPr="00435469">
        <w:rPr>
          <w:sz w:val="20"/>
          <w:szCs w:val="20"/>
        </w:rPr>
        <w:t xml:space="preserve"> </w:t>
      </w:r>
      <w:r w:rsidR="0059328B" w:rsidRPr="00435469">
        <w:rPr>
          <w:sz w:val="20"/>
          <w:szCs w:val="20"/>
        </w:rPr>
        <w:t>from</w:t>
      </w:r>
      <w:r w:rsidR="00D92BCB" w:rsidRPr="00435469">
        <w:rPr>
          <w:sz w:val="20"/>
          <w:szCs w:val="20"/>
        </w:rPr>
        <w:t xml:space="preserve"> </w:t>
      </w:r>
      <w:r w:rsidR="00D72974" w:rsidRPr="00435469">
        <w:rPr>
          <w:sz w:val="20"/>
          <w:szCs w:val="20"/>
        </w:rPr>
        <w:t xml:space="preserve">the </w:t>
      </w:r>
      <w:r w:rsidR="00D92BCB" w:rsidRPr="00435469">
        <w:rPr>
          <w:sz w:val="20"/>
          <w:szCs w:val="20"/>
        </w:rPr>
        <w:t xml:space="preserve">previous calibration analysis. </w:t>
      </w:r>
      <w:r w:rsidRPr="00435469">
        <w:rPr>
          <w:sz w:val="20"/>
          <w:szCs w:val="20"/>
        </w:rPr>
        <w:t xml:space="preserve">Lastly, we set the proportion of smear-positives in HIV-positive patients to be 0.62 times that in HIV-negative individuals (0.326/0.523) </w:t>
      </w:r>
      <w:r w:rsidRPr="00435469">
        <w:rPr>
          <w:sz w:val="20"/>
          <w:szCs w:val="20"/>
        </w:rPr>
        <w:fldChar w:fldCharType="begin" w:fldLock="1"/>
      </w:r>
      <w:r w:rsidR="002F049E" w:rsidRPr="00435469">
        <w:rPr>
          <w:sz w:val="20"/>
          <w:szCs w:val="20"/>
        </w:rPr>
        <w:instrText>ADDIN CSL_CITATION {"citationItems":[{"id":"ITEM-1","itemData":{"DOI":"10.5588/ijtld.13.0032.Impact","ISBN":"2122633255","PMID":"1000000221","abstract":"Background—The impact of HIV-infection and CD4 count on diagnosis of tuberculosis (TB) at a population level is incompletely defined. Objective—To determine how HIV-infection and CD4 count affect disease site, sputum smear status and overall rate of laboratory confirmation (sputum smear microscopy or culture) of TB cases under routine programme conditions. Design—Retrospective analysis of the 2009 electronic TB register for Cape Town, South Africa. Results—Of 29,478 TB cases notified in 2009, HIV-status was known in 25,744 (87.3%) of cases of which 13,237 (51.4%) were HIV-positive. Of these, 61.2% had CD4 cell counts &lt;200 cells/µL, 82.7% had counts &lt;350 cells/µL. Laboratory confirmation of TB (by smear or culture) was obtained less frequently in HIV-infected than HIV-uninfected adult cases (53.9% versus 74.3%; P&lt;0.001). HIV-infection was associated with higher proportions of sputum smear-negative and extrapulmonary TB and lower grades of sputum smear-positivity even among those with CD4 counts ≥ 500 cells/µL. However, the relationship between the proportion of cases testing smear- positive and CD4 count was non-linear. Conclusion—Much TB lacks laboratory confirmation in this setting despite good laboratory services. HIV-associated TB is more difficult to diagnose even at high CD4 cell counts &gt;500 cells/µL, suggesting an early impact after HIV-sero-conversion.","author":[{"dropping-particle":"","family":"Gupta","given":"Rishi K.","non-dropping-particle":"","parse-names":false,"suffix":""},{"dropping-particle":"","family":"Lawn","given":"Stephen D.","non-dropping-particle":"","parse-names":false,"suffix":""},{"dropping-particle":"","family":"Bekker","given":"Linda-Gail","non-dropping-particle":"","parse-names":false,"suffix":""},{"dropping-particle":"","family":"Caldwell","given":"Judy","non-dropping-particle":"","parse-names":false,"suffix":""},{"dropping-particle":"","family":"Kaplan","given":"Richard","non-dropping-particle":"","parse-names":false,"suffix":""},{"dropping-particle":"","family":"Wood","given":"Robin","non-dropping-particle":"","parse-names":false,"suffix":""}],"container-title":"Int J Tuberc Lung Dis","id":"ITEM-1","issue":"8","issued":{"date-parts":[["2013"]]},"page":"1014-1022","title":"Impact of HIV and CD4 count on tuberculosis diagnosis: analysis of citywide data from Cape Town, South Africa","type":"article-journal","volume":"17"},"uris":["http://www.mendeley.com/documents/?uuid=29ab6114-9cfb-4576-9e66-488e86781998"]}],"mendeley":{"formattedCitation":"(24)","plainTextFormattedCitation":"(24)","previouslyFormattedCitation":"(24)"},"properties":{"noteIndex":0},"schema":"https://github.com/citation-style-language/schema/raw/master/csl-citation.json"}</w:instrText>
      </w:r>
      <w:r w:rsidRPr="00435469">
        <w:rPr>
          <w:sz w:val="20"/>
          <w:szCs w:val="20"/>
        </w:rPr>
        <w:fldChar w:fldCharType="separate"/>
      </w:r>
      <w:r w:rsidR="0063047A" w:rsidRPr="00435469">
        <w:rPr>
          <w:noProof/>
          <w:sz w:val="20"/>
          <w:szCs w:val="20"/>
        </w:rPr>
        <w:t>(24)</w:t>
      </w:r>
      <w:r w:rsidRPr="00435469">
        <w:rPr>
          <w:sz w:val="20"/>
          <w:szCs w:val="20"/>
        </w:rPr>
        <w:fldChar w:fldCharType="end"/>
      </w:r>
      <w:r w:rsidRPr="00435469">
        <w:rPr>
          <w:sz w:val="20"/>
          <w:szCs w:val="20"/>
        </w:rPr>
        <w:t>.</w:t>
      </w:r>
      <w:r w:rsidR="0059757C" w:rsidRPr="00435469">
        <w:rPr>
          <w:sz w:val="20"/>
          <w:szCs w:val="20"/>
        </w:rPr>
        <w:t xml:space="preserve"> </w:t>
      </w:r>
    </w:p>
    <w:p w14:paraId="1CCDFC6A" w14:textId="25592223" w:rsidR="005A6946" w:rsidRPr="00435469" w:rsidRDefault="005A6946" w:rsidP="00955FFB">
      <w:pPr>
        <w:pStyle w:val="xmsonormal"/>
        <w:shd w:val="clear" w:color="auto" w:fill="FFFFFF"/>
        <w:spacing w:before="0" w:beforeAutospacing="0" w:after="0" w:afterAutospacing="0"/>
        <w:rPr>
          <w:sz w:val="20"/>
          <w:szCs w:val="20"/>
        </w:rPr>
      </w:pPr>
    </w:p>
    <w:p w14:paraId="1A781B84" w14:textId="77777777" w:rsidR="005A6946" w:rsidRPr="00435469" w:rsidRDefault="005A6946" w:rsidP="00955FFB">
      <w:pPr>
        <w:pStyle w:val="Heading2"/>
        <w:rPr>
          <w:rFonts w:cs="Times New Roman"/>
          <w:color w:val="auto"/>
          <w:sz w:val="20"/>
          <w:szCs w:val="20"/>
        </w:rPr>
      </w:pPr>
      <w:bookmarkStart w:id="34" w:name="_Toc87863315"/>
      <w:bookmarkStart w:id="35" w:name="_Toc88488554"/>
      <w:bookmarkStart w:id="36" w:name="_Toc103252922"/>
      <w:bookmarkStart w:id="37" w:name="_Toc79099807"/>
      <w:bookmarkStart w:id="38" w:name="_Ref80350880"/>
      <w:bookmarkStart w:id="39" w:name="_Ref80350944"/>
      <w:bookmarkStart w:id="40" w:name="_Toc80352130"/>
      <w:bookmarkStart w:id="41" w:name="_Ref81560319"/>
      <w:r w:rsidRPr="00435469">
        <w:rPr>
          <w:rFonts w:cs="Times New Roman"/>
          <w:color w:val="auto"/>
          <w:sz w:val="20"/>
          <w:szCs w:val="20"/>
        </w:rPr>
        <w:t>Modelling tuberculosis transmission</w:t>
      </w:r>
      <w:bookmarkEnd w:id="34"/>
      <w:bookmarkEnd w:id="35"/>
      <w:bookmarkEnd w:id="36"/>
    </w:p>
    <w:p w14:paraId="0CC465EE" w14:textId="14151012" w:rsidR="005A6946" w:rsidRPr="00435469" w:rsidRDefault="005A6946" w:rsidP="00955FFB">
      <w:pPr>
        <w:spacing w:line="240" w:lineRule="auto"/>
        <w:rPr>
          <w:rFonts w:eastAsiaTheme="majorEastAsia" w:cs="Times New Roman"/>
          <w:sz w:val="20"/>
          <w:szCs w:val="20"/>
        </w:rPr>
      </w:pPr>
      <w:r w:rsidRPr="00435469">
        <w:rPr>
          <w:rFonts w:eastAsiaTheme="majorEastAsia" w:cs="Times New Roman"/>
          <w:sz w:val="20"/>
          <w:szCs w:val="20"/>
        </w:rPr>
        <w:t>We define the force of infection (</w:t>
      </w:r>
      <m:oMath>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ly</m:t>
            </m:r>
          </m:sub>
        </m:sSub>
      </m:oMath>
      <w:r w:rsidRPr="00435469">
        <w:rPr>
          <w:rFonts w:eastAsiaTheme="majorEastAsia" w:cs="Times New Roman"/>
          <w:sz w:val="20"/>
          <w:szCs w:val="20"/>
        </w:rPr>
        <w:t xml:space="preserve">) as the </w:t>
      </w:r>
      <w:r w:rsidR="007D3D94" w:rsidRPr="00435469">
        <w:rPr>
          <w:rFonts w:eastAsiaTheme="majorEastAsia" w:cs="Times New Roman"/>
          <w:sz w:val="20"/>
          <w:szCs w:val="20"/>
        </w:rPr>
        <w:t xml:space="preserve">daily </w:t>
      </w:r>
      <w:r w:rsidRPr="00435469">
        <w:rPr>
          <w:rFonts w:eastAsiaTheme="majorEastAsia" w:cs="Times New Roman"/>
          <w:sz w:val="20"/>
          <w:szCs w:val="20"/>
        </w:rPr>
        <w:t xml:space="preserve">rate at which a susceptible individual of sex </w:t>
      </w:r>
      <m:oMath>
        <m:r>
          <w:rPr>
            <w:rFonts w:ascii="Cambria Math" w:eastAsiaTheme="majorEastAsia" w:hAnsi="Cambria Math" w:cs="Times New Roman"/>
            <w:sz w:val="20"/>
            <w:szCs w:val="20"/>
          </w:rPr>
          <m:t>l</m:t>
        </m:r>
      </m:oMath>
      <w:r w:rsidRPr="00435469">
        <w:rPr>
          <w:rFonts w:eastAsiaTheme="majorEastAsia" w:cs="Times New Roman"/>
          <w:sz w:val="20"/>
          <w:szCs w:val="20"/>
        </w:rPr>
        <w:t xml:space="preserve"> in age group </w:t>
      </w:r>
      <m:oMath>
        <m:r>
          <w:rPr>
            <w:rFonts w:ascii="Cambria Math" w:eastAsiaTheme="majorEastAsia" w:hAnsi="Cambria Math" w:cs="Times New Roman"/>
            <w:sz w:val="20"/>
            <w:szCs w:val="20"/>
          </w:rPr>
          <m:t>y</m:t>
        </m:r>
      </m:oMath>
      <w:r w:rsidRPr="00435469">
        <w:rPr>
          <w:rFonts w:eastAsiaTheme="majorEastAsia" w:cs="Times New Roman"/>
          <w:sz w:val="20"/>
          <w:szCs w:val="20"/>
        </w:rPr>
        <w:t xml:space="preserve"> gets infected at each step. The number of susceptible individuals who get infected in each time step is represented by the expression below:</w:t>
      </w:r>
    </w:p>
    <w:p w14:paraId="6587202B" w14:textId="744BC829" w:rsidR="005A6946" w:rsidRPr="00435469" w:rsidRDefault="00000000" w:rsidP="00955FFB">
      <w:pPr>
        <w:spacing w:line="240" w:lineRule="auto"/>
        <w:rPr>
          <w:rFonts w:eastAsiaTheme="minorEastAsia" w:cs="Times New Roman"/>
          <w:b/>
          <w:sz w:val="20"/>
          <w:szCs w:val="20"/>
        </w:rPr>
      </w:pPr>
      <m:oMathPara>
        <m:oMath>
          <m:sSub>
            <m:sSubPr>
              <m:ctrlPr>
                <w:rPr>
                  <w:rFonts w:ascii="Cambria Math" w:hAnsi="Cambria Math" w:cs="Times New Roman"/>
                  <w:i/>
                  <w:sz w:val="20"/>
                  <w:szCs w:val="20"/>
                </w:rPr>
              </m:ctrlPr>
            </m:sSubPr>
            <m:e>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ly</m:t>
                  </m:r>
                </m:sub>
              </m:sSub>
              <m:r>
                <w:rPr>
                  <w:rFonts w:ascii="Cambria Math" w:hAnsi="Cambria Math" w:cs="Times New Roman"/>
                  <w:sz w:val="20"/>
                  <w:szCs w:val="20"/>
                </w:rPr>
                <m:t>λ</m:t>
              </m:r>
            </m:e>
            <m:sub>
              <m:r>
                <w:rPr>
                  <w:rFonts w:ascii="Cambria Math" w:hAnsi="Cambria Math" w:cs="Times New Roman"/>
                  <w:sz w:val="20"/>
                  <w:szCs w:val="20"/>
                </w:rPr>
                <m:t>ly</m:t>
              </m:r>
            </m:sub>
          </m:sSub>
          <m:r>
            <w:rPr>
              <w:rFonts w:ascii="Cambria Math" w:hAnsi="Cambria Math" w:cs="Times New Roman"/>
              <w:sz w:val="20"/>
              <w:szCs w:val="20"/>
            </w:rPr>
            <m:t>=</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r>
                <w:rPr>
                  <w:rFonts w:ascii="Cambria Math" w:hAnsi="Cambria Math" w:cs="Times New Roman"/>
                  <w:sz w:val="20"/>
                  <w:szCs w:val="20"/>
                </w:rPr>
                <m:t xml:space="preserve"> </m:t>
              </m:r>
            </m:e>
          </m:nary>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x</m:t>
              </m:r>
            </m:sub>
            <m:sup/>
            <m:e>
              <m:sSub>
                <m:sSubPr>
                  <m:ctrlPr>
                    <w:rPr>
                      <w:rFonts w:ascii="Cambria Math" w:hAnsi="Cambria Math" w:cs="Times New Roman"/>
                      <w:i/>
                      <w:sz w:val="20"/>
                      <w:szCs w:val="20"/>
                    </w:rPr>
                  </m:ctrlPr>
                </m:sSubPr>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gx</m:t>
                      </m:r>
                    </m:sub>
                  </m:sSub>
                  <m:r>
                    <w:rPr>
                      <w:rFonts w:ascii="Cambria Math" w:hAnsi="Cambria Math" w:cs="Times New Roman"/>
                      <w:sz w:val="20"/>
                      <w:szCs w:val="20"/>
                    </w:rPr>
                    <m:t>ρ</m:t>
                  </m:r>
                </m:e>
                <m:sub>
                  <m:r>
                    <w:rPr>
                      <w:rFonts w:ascii="Cambria Math" w:hAnsi="Cambria Math" w:cs="Times New Roman"/>
                      <w:sz w:val="20"/>
                      <w:szCs w:val="20"/>
                    </w:rPr>
                    <m:t>gxly</m:t>
                  </m:r>
                </m:sub>
              </m:sSub>
            </m:e>
          </m:nary>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iϵ</m:t>
              </m:r>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gx</m:t>
                      </m:r>
                    </m:sub>
                  </m:sSub>
                </m:e>
              </m:d>
            </m:sub>
            <m:sup/>
            <m:e>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i</m:t>
                  </m:r>
                </m:sub>
              </m:sSub>
            </m:e>
          </m:nary>
          <m:r>
            <w:rPr>
              <w:rFonts w:ascii="Cambria Math" w:hAnsi="Cambria Math" w:cs="Times New Roman"/>
              <w:sz w:val="20"/>
              <w:szCs w:val="20"/>
            </w:rPr>
            <m:t>β</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ly</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ly</m:t>
                  </m:r>
                </m:sub>
              </m:sSub>
            </m:den>
          </m:f>
          <m:r>
            <w:rPr>
              <w:rFonts w:ascii="Cambria Math" w:hAnsi="Cambria Math" w:cs="Times New Roman"/>
              <w:sz w:val="20"/>
              <w:szCs w:val="20"/>
            </w:rPr>
            <m:t xml:space="preserve"> </m:t>
          </m:r>
        </m:oMath>
      </m:oMathPara>
    </w:p>
    <w:p w14:paraId="0BEA011E" w14:textId="23FEE2EA" w:rsidR="005A6946" w:rsidRPr="00435469" w:rsidRDefault="005A6946" w:rsidP="00955FFB">
      <w:pPr>
        <w:spacing w:after="160" w:line="240" w:lineRule="auto"/>
        <w:rPr>
          <w:rFonts w:eastAsiaTheme="minorEastAsia" w:cs="Times New Roman"/>
          <w:sz w:val="20"/>
          <w:szCs w:val="20"/>
        </w:rPr>
      </w:pPr>
      <w:r w:rsidRPr="00435469">
        <w:rPr>
          <w:rFonts w:eastAsiaTheme="minorEastAsia"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gx</m:t>
            </m:r>
          </m:sub>
        </m:sSub>
      </m:oMath>
      <w:r w:rsidRPr="00435469">
        <w:rPr>
          <w:rFonts w:cs="Times New Roman"/>
          <w:sz w:val="20"/>
          <w:szCs w:val="20"/>
        </w:rPr>
        <w:t xml:space="preserve"> is the frequency of contacts per day (daily rate) that individuals of sex </w:t>
      </w:r>
      <m:oMath>
        <m:r>
          <w:rPr>
            <w:rFonts w:ascii="Cambria Math" w:hAnsi="Cambria Math" w:cs="Times New Roman"/>
            <w:sz w:val="20"/>
            <w:szCs w:val="20"/>
          </w:rPr>
          <m:t>g</m:t>
        </m:r>
      </m:oMath>
      <w:r w:rsidRPr="00435469">
        <w:rPr>
          <w:rFonts w:cs="Times New Roman"/>
          <w:sz w:val="20"/>
          <w:szCs w:val="20"/>
        </w:rPr>
        <w:t xml:space="preserve"> and age group </w:t>
      </w:r>
      <m:oMath>
        <m:r>
          <w:rPr>
            <w:rFonts w:ascii="Cambria Math" w:hAnsi="Cambria Math" w:cs="Times New Roman"/>
            <w:sz w:val="20"/>
            <w:szCs w:val="20"/>
          </w:rPr>
          <m:t>x</m:t>
        </m:r>
      </m:oMath>
      <w:r w:rsidRPr="00435469">
        <w:rPr>
          <w:rFonts w:cs="Times New Roman"/>
          <w:sz w:val="20"/>
          <w:szCs w:val="20"/>
        </w:rPr>
        <w:t xml:space="preserve"> have with other individuals </w:t>
      </w:r>
      <w:r w:rsidR="00D062F4" w:rsidRPr="00435469">
        <w:rPr>
          <w:rFonts w:cs="Times New Roman"/>
          <w:sz w:val="20"/>
          <w:szCs w:val="20"/>
        </w:rPr>
        <w:t>(</w:t>
      </w:r>
      <w:r w:rsidR="00BC5AF7" w:rsidRPr="00435469">
        <w:rPr>
          <w:rFonts w:cs="Times New Roman"/>
          <w:sz w:val="20"/>
          <w:szCs w:val="20"/>
        </w:rPr>
        <w:fldChar w:fldCharType="begin"/>
      </w:r>
      <w:r w:rsidR="00BC5AF7" w:rsidRPr="00435469">
        <w:rPr>
          <w:rFonts w:cs="Times New Roman"/>
          <w:sz w:val="20"/>
          <w:szCs w:val="20"/>
        </w:rPr>
        <w:instrText xml:space="preserve"> REF _Ref87766389 \h </w:instrText>
      </w:r>
      <w:r w:rsidR="00955FFB" w:rsidRPr="00435469">
        <w:rPr>
          <w:rFonts w:cs="Times New Roman"/>
          <w:sz w:val="20"/>
          <w:szCs w:val="20"/>
        </w:rPr>
        <w:instrText xml:space="preserve"> \* MERGEFORMAT </w:instrText>
      </w:r>
      <w:r w:rsidR="00BC5AF7" w:rsidRPr="00435469">
        <w:rPr>
          <w:rFonts w:cs="Times New Roman"/>
          <w:sz w:val="20"/>
          <w:szCs w:val="20"/>
        </w:rPr>
      </w:r>
      <w:r w:rsidR="00BC5AF7"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5</w:t>
      </w:r>
      <w:r w:rsidR="00BC5AF7" w:rsidRPr="00435469">
        <w:rPr>
          <w:rFonts w:cs="Times New Roman"/>
          <w:sz w:val="20"/>
          <w:szCs w:val="20"/>
        </w:rPr>
        <w:fldChar w:fldCharType="end"/>
      </w:r>
      <w:r w:rsidR="00D062F4" w:rsidRPr="00435469">
        <w:rPr>
          <w:rFonts w:cs="Times New Roman"/>
          <w:sz w:val="20"/>
          <w:szCs w:val="20"/>
        </w:rPr>
        <w:t>).</w:t>
      </w:r>
      <w:r w:rsidRPr="00435469">
        <w:rPr>
          <w:rFonts w:cs="Times New Roman"/>
          <w:sz w:val="20"/>
          <w:szCs w:val="20"/>
        </w:rPr>
        <w:t xml:space="preserve"> This crude contact rate is obtained directly from data on the frequency of close contacts in a South African study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{"citationItems":[{"id":"ITEM-1","itemData":{"DOI":"10.1186/s12879-016-1406-5","ISBN":"1287901614065","ISSN":"1471-2334","PMID":"26861444","abstract":"BACKGROUND: In high incidence settings, the majority of Mycobacterium tuberculosis (M.tb) transmission occurs outside the household. Little is known about where people's indoor contacts occur outside the household, and how this differs between different settings. We estimate the number of contact hours that occur between adults and adult/youths and children in different building types in urban areas in Western Cape, South Africa, and Zambia. METHODS: Data were collected from 3206 adults using a cross-sectional survey, on buildings visited in a 24-h period, including building function, visit duration, and number of adults/youths and children (5-12 years) present. The mean numbers of contact hours per day by building function were calculated. RESULTS: Adults in Western Cape were more likely to visit workplaces, and less likely to visit shops and churches than adults in Zambia. Adults in Western Cape spent longer per visit in other homes and workplaces than adults in Zambia. More adults/youths were present at visits to shops and churches in Western Cape than in Zambia, and fewer at homes and hairdressers. More children were present at visits to shops in Western Cape than in Zambia, and fewer at schools and hairdressers. Overall numbers of adult/youth indoor contact hours were the same at both sites (35.4 and 37.6 h in Western Cape and Zambia respectively, p = 0.4). Child contact hours were higher in Zambia (16.0 vs 13.7 h, p = 0.03). Adult/youth and child contact hours were highest in workplaces in Western Cape and churches in Zambia. Compared to Zambia, adult contact hours in Western Cape were higher in workplaces (15.2 vs 8.0 h, p = 0.004), and lower in churches (3.7 vs 8.6 h, p = 0.002). Child contact hours were higher in other peoples' homes (2.8 vs 1.6 h, p = 0.03) and workplaces (4.9 vs 2.1 h, p = 0.003), and lower in churches (2.5 vs 6.2, p = 0.004) and schools (0.4 vs 1.5, p = 0.01). CONCLUSIONS: Patterns of indoor contact between adults and adults/youths and children differ between different sites in high M.tb incidence areas. Targeting public buildings with interventions to reduce M.tb transmission (e.g. increasing ventilation or UV irradiation) should be informed by local data.","author":[{"dropping-particle":"","family":"Icky","given":"","non-dropping-particle":"","parse-names":false,"suffix":""},{"dropping-particle":"","family":"Looker","given":"Clare","non-dropping-particle":"","parse-names":false,"suffix":""},{"dropping-particle":"","family":"Dodd","given":"Peter J","non-dropping-particle":"","parse-names":false,"suffix":""},{"dropping-particle":"","family":"Plumb","given":"Ian D","non-dropping-particle":"","parse-names":false,"suffix":""},{"dropping-particle":"","family":"Shanaube","given":"Kwame","non-dropping-particle":"","parse-names":false,"suffix":""},{"dropping-particle":"","family":"Muyoyeta","given":"Monde","non-dropping-particle":"","parse-names":false,"suffix":""},{"dropping-particle":"","family":"Godfrey-Faussett","given":"Peter","non-dropping-particle":"","parse-names":false,"suffix":""},{"dropping-particle":"","family":"Corbett","given":"Elizabeth L","non-dropping-particle":"","parse-names":false,"suffix":""},{"dropping-particle":"","family":"Ayles","given":"Helen","non-dropping-particle":"","parse-names":false,"suffix":""},{"dropping-particle":"","family":"White","given":"Richard G","non-dropping-particle":"","parse-names":false,"suffix":""}],"container-title":"BMC Infectious Diseases","id":"ITEM-1","issue":"1","issued":{"date-parts":[["2016"]]},"page":"71","publisher":"BMC Infectious Diseases","title":"Comparison of indoor contact time data in Zambia and Western Cape, South Africa suggests targeting of interventions to reduce Mycobacterium tuberculosis transmission should be informed by local data","type":"article-journal","volume":"16"},"uris":["http://www.mendeley.com/documents/?uuid=4666e40d-78d8-47e3-aad0-17e24ad61b42"]}],"mendeley":{"formattedCitation":"(25)","plainTextFormattedCitation":"(25)","previouslyFormattedCitation":"(25)"},"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(25)</w:t>
      </w:r>
      <w:r w:rsidRPr="00435469">
        <w:rPr>
          <w:rFonts w:cs="Times New Roman"/>
          <w:sz w:val="20"/>
          <w:szCs w:val="20"/>
        </w:rPr>
        <w:fldChar w:fldCharType="end"/>
      </w:r>
      <w:r w:rsidRPr="00435469">
        <w:rPr>
          <w:rFonts w:cs="Times New Roman"/>
          <w:sz w:val="20"/>
          <w:szCs w:val="20"/>
        </w:rPr>
        <w:t xml:space="preserve">. Also obtained directly from social mixing pattern data, </w:t>
      </w:r>
      <m:oMath>
        <m:sSub>
          <m:sSubPr>
            <m:ctrlPr>
              <w:rPr>
                <w:rFonts w:ascii="Cambria Math" w:hAnsi="Cambria Math" w:cs="Times New Roman"/>
                <w:i/>
                <w:sz w:val="20"/>
                <w:szCs w:val="20"/>
              </w:rPr>
            </m:ctrlPr>
          </m:sSubPr>
          <m:e>
            <m:r>
              <w:rPr>
                <w:rFonts w:ascii="Cambria Math" w:hAnsi="Cambria Math" w:cs="Times New Roman"/>
                <w:sz w:val="20"/>
                <w:szCs w:val="20"/>
              </w:rPr>
              <m:t>ρ</m:t>
            </m:r>
          </m:e>
          <m:sub>
            <m:r>
              <w:rPr>
                <w:rFonts w:ascii="Cambria Math" w:hAnsi="Cambria Math" w:cs="Times New Roman"/>
                <w:sz w:val="20"/>
                <w:szCs w:val="20"/>
              </w:rPr>
              <m:t>gxly</m:t>
            </m:r>
          </m:sub>
        </m:sSub>
      </m:oMath>
      <w:r w:rsidRPr="00435469">
        <w:rPr>
          <w:rFonts w:cs="Times New Roman"/>
          <w:sz w:val="20"/>
          <w:szCs w:val="20"/>
        </w:rPr>
        <w:t xml:space="preserve"> represents the proportion of contacts between an individual of sex </w:t>
      </w:r>
      <m:oMath>
        <m:r>
          <w:rPr>
            <w:rFonts w:ascii="Cambria Math" w:hAnsi="Cambria Math" w:cs="Times New Roman"/>
            <w:sz w:val="20"/>
            <w:szCs w:val="20"/>
          </w:rPr>
          <m:t>g</m:t>
        </m:r>
      </m:oMath>
      <w:r w:rsidRPr="00435469">
        <w:rPr>
          <w:rFonts w:cs="Times New Roman"/>
          <w:sz w:val="20"/>
          <w:szCs w:val="20"/>
        </w:rPr>
        <w:t xml:space="preserve"> and age </w:t>
      </w:r>
      <m:oMath>
        <m:r>
          <w:rPr>
            <w:rFonts w:ascii="Cambria Math" w:hAnsi="Cambria Math" w:cs="Times New Roman"/>
            <w:sz w:val="20"/>
            <w:szCs w:val="20"/>
          </w:rPr>
          <m:t>x</m:t>
        </m:r>
      </m:oMath>
      <w:r w:rsidRPr="00435469">
        <w:rPr>
          <w:rFonts w:cs="Times New Roman"/>
          <w:sz w:val="20"/>
          <w:szCs w:val="20"/>
        </w:rPr>
        <w:t xml:space="preserve">, with </w:t>
      </w:r>
      <w:r w:rsidR="007D3D94" w:rsidRPr="00435469">
        <w:rPr>
          <w:rFonts w:cs="Times New Roman"/>
          <w:sz w:val="20"/>
          <w:szCs w:val="20"/>
        </w:rPr>
        <w:t xml:space="preserve">individuals of </w:t>
      </w:r>
      <w:r w:rsidRPr="00435469">
        <w:rPr>
          <w:rFonts w:cs="Times New Roman"/>
          <w:sz w:val="20"/>
          <w:szCs w:val="20"/>
        </w:rPr>
        <w:t>sex</w:t>
      </w:r>
      <w:r w:rsidRPr="00435469">
        <w:rPr>
          <w:rFonts w:cs="Times New Roman"/>
          <w:i/>
          <w:sz w:val="20"/>
          <w:szCs w:val="20"/>
        </w:rPr>
        <w:t xml:space="preserve"> l</w:t>
      </w:r>
      <w:r w:rsidRPr="00435469">
        <w:rPr>
          <w:rFonts w:cs="Times New Roman"/>
          <w:sz w:val="20"/>
          <w:szCs w:val="20"/>
        </w:rPr>
        <w:t xml:space="preserve"> and age </w:t>
      </w:r>
      <w:r w:rsidRPr="00435469">
        <w:rPr>
          <w:rFonts w:cs="Times New Roman"/>
          <w:i/>
          <w:sz w:val="20"/>
          <w:szCs w:val="20"/>
        </w:rPr>
        <w:t xml:space="preserve">y </w:t>
      </w:r>
      <w:r w:rsidRPr="00435469">
        <w:rPr>
          <w:rFonts w:cs="Times New Roman"/>
          <w:iCs/>
          <w:sz w:val="20"/>
          <w:szCs w:val="20"/>
        </w:rPr>
        <w:t>(</w:t>
      </w:r>
      <w:r w:rsidRPr="00435469">
        <w:rPr>
          <w:rFonts w:cs="Times New Roman"/>
          <w:sz w:val="20"/>
          <w:szCs w:val="20"/>
        </w:rPr>
        <w:fldChar w:fldCharType="begin"/>
      </w:r>
      <w:r w:rsidRPr="00435469">
        <w:rPr>
          <w:rFonts w:cs="Times New Roman"/>
          <w:sz w:val="20"/>
          <w:szCs w:val="20"/>
        </w:rPr>
        <w:instrText xml:space="preserve"> REF _Ref87766389 \h </w:instrText>
      </w:r>
      <w:r w:rsidR="00F334C7" w:rsidRPr="00435469">
        <w:rPr>
          <w:rFonts w:cs="Times New Roman"/>
          <w:sz w:val="20"/>
          <w:szCs w:val="20"/>
        </w:rPr>
        <w:instrText xml:space="preserve"> \* MERGEFORMAT </w:instrText>
      </w:r>
      <w:r w:rsidRPr="00435469">
        <w:rPr>
          <w:rFonts w:cs="Times New Roman"/>
          <w:sz w:val="20"/>
          <w:szCs w:val="20"/>
        </w:rPr>
      </w:r>
      <w:r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lastRenderedPageBreak/>
        <w:t>5</w:t>
      </w:r>
      <w:r w:rsidRPr="00435469">
        <w:rPr>
          <w:rFonts w:cs="Times New Roman"/>
          <w:sz w:val="20"/>
          <w:szCs w:val="20"/>
        </w:rPr>
        <w:fldChar w:fldCharType="end"/>
      </w:r>
      <w:r w:rsidRPr="00435469">
        <w:rPr>
          <w:rFonts w:cs="Times New Roman"/>
          <w:iCs/>
          <w:sz w:val="20"/>
          <w:szCs w:val="20"/>
        </w:rPr>
        <w:t>)</w:t>
      </w:r>
      <w:r w:rsidRPr="00435469">
        <w:rPr>
          <w:rFonts w:cs="Times New Roman"/>
          <w:sz w:val="20"/>
          <w:szCs w:val="20"/>
        </w:rPr>
        <w:t xml:space="preserve">. Next, </w:t>
      </w:r>
      <m:oMath>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i</m:t>
            </m:r>
          </m:sub>
        </m:sSub>
        <m:r>
          <w:rPr>
            <w:rFonts w:ascii="Cambria Math" w:hAnsi="Cambria Math" w:cs="Times New Roman"/>
            <w:sz w:val="20"/>
            <w:szCs w:val="20"/>
          </w:rPr>
          <m:t xml:space="preserve"> </m:t>
        </m:r>
      </m:oMath>
      <w:r w:rsidRPr="00435469">
        <w:rPr>
          <w:rFonts w:cs="Times New Roman"/>
          <w:sz w:val="20"/>
          <w:szCs w:val="20"/>
        </w:rPr>
        <w:t>represents the relative infectiousness of individual</w:t>
      </w:r>
      <m:oMath>
        <m:r>
          <w:rPr>
            <w:rFonts w:ascii="Cambria Math" w:hAnsi="Cambria Math" w:cs="Times New Roman"/>
            <w:sz w:val="20"/>
            <w:szCs w:val="20"/>
          </w:rPr>
          <m:t xml:space="preserve"> i</m:t>
        </m:r>
      </m:oMath>
      <w:r w:rsidRPr="00435469">
        <w:rPr>
          <w:rFonts w:cs="Times New Roman"/>
          <w:sz w:val="20"/>
          <w:szCs w:val="20"/>
        </w:rPr>
        <w:t xml:space="preserve">, which depends on smear positivity; </w:t>
      </w:r>
      <m:oMath>
        <m:sSub>
          <m:sSubPr>
            <m:ctrlPr>
              <w:rPr>
                <w:rFonts w:ascii="Cambria Math" w:hAnsi="Cambria Math"/>
                <w:i/>
                <w:sz w:val="20"/>
                <w:szCs w:val="20"/>
              </w:rPr>
            </m:ctrlPr>
          </m:sSubPr>
          <m:e>
            <m:r>
              <w:rPr>
                <w:rFonts w:ascii="Cambria Math" w:hAnsi="Cambria Math"/>
                <w:sz w:val="20"/>
                <w:szCs w:val="20"/>
              </w:rPr>
              <m:t>Ω</m:t>
            </m:r>
          </m:e>
          <m:sub>
            <m:r>
              <w:rPr>
                <w:rFonts w:ascii="Cambria Math" w:hAnsi="Cambria Math"/>
                <w:sz w:val="20"/>
                <w:szCs w:val="20"/>
              </w:rPr>
              <m:t>gx</m:t>
            </m:r>
          </m:sub>
        </m:sSub>
      </m:oMath>
      <w:r w:rsidRPr="00435469">
        <w:rPr>
          <w:sz w:val="20"/>
          <w:szCs w:val="20"/>
        </w:rPr>
        <w:t xml:space="preserve"> is the subset of the active TB population with age</w:t>
      </w:r>
      <w:r w:rsidR="007D3D94" w:rsidRPr="00435469">
        <w:rPr>
          <w:sz w:val="20"/>
          <w:szCs w:val="20"/>
        </w:rPr>
        <w:t xml:space="preserve"> group </w:t>
      </w:r>
      <w:r w:rsidR="007D3D94" w:rsidRPr="00435469">
        <w:rPr>
          <w:i/>
          <w:iCs/>
          <w:sz w:val="20"/>
          <w:szCs w:val="20"/>
        </w:rPr>
        <w:t>x</w:t>
      </w:r>
      <w:r w:rsidRPr="00435469">
        <w:rPr>
          <w:sz w:val="20"/>
          <w:szCs w:val="20"/>
        </w:rPr>
        <w:t xml:space="preserve"> and sex </w:t>
      </w:r>
      <m:oMath>
        <m:r>
          <w:rPr>
            <w:rFonts w:ascii="Cambria Math" w:hAnsi="Cambria Math"/>
            <w:sz w:val="20"/>
            <w:szCs w:val="20"/>
          </w:rPr>
          <m:t>g</m:t>
        </m:r>
      </m:oMath>
      <w:r w:rsidRPr="00435469">
        <w:rPr>
          <w:sz w:val="20"/>
          <w:szCs w:val="20"/>
        </w:rPr>
        <w:t xml:space="preserve">. </w:t>
      </w:r>
      <w:r w:rsidRPr="00435469">
        <w:rPr>
          <w:rFonts w:cs="Times New Roman"/>
          <w:sz w:val="20"/>
          <w:szCs w:val="20"/>
        </w:rPr>
        <w:t xml:space="preserve">Then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ly</m:t>
            </m:r>
          </m:sub>
        </m:sSub>
      </m:oMath>
      <w:r w:rsidRPr="00435469">
        <w:rPr>
          <w:rFonts w:cs="Times New Roman"/>
          <w:sz w:val="20"/>
          <w:szCs w:val="20"/>
        </w:rPr>
        <w:t xml:space="preserve"> is the number of individuals of sex </w:t>
      </w:r>
      <w:r w:rsidRPr="00435469">
        <w:rPr>
          <w:rFonts w:cs="Times New Roman"/>
          <w:i/>
          <w:sz w:val="20"/>
          <w:szCs w:val="20"/>
        </w:rPr>
        <w:t>l</w:t>
      </w:r>
      <w:r w:rsidRPr="00435469">
        <w:rPr>
          <w:rFonts w:cs="Times New Roman"/>
          <w:sz w:val="20"/>
          <w:szCs w:val="20"/>
        </w:rPr>
        <w:t xml:space="preserve"> and age </w:t>
      </w:r>
      <w:r w:rsidRPr="00435469">
        <w:rPr>
          <w:rFonts w:cs="Times New Roman"/>
          <w:i/>
          <w:sz w:val="20"/>
          <w:szCs w:val="20"/>
        </w:rPr>
        <w:t>y</w:t>
      </w:r>
      <w:r w:rsidR="00844BF0" w:rsidRPr="00435469">
        <w:rPr>
          <w:rFonts w:cs="Times New Roman"/>
          <w:i/>
          <w:sz w:val="20"/>
          <w:szCs w:val="20"/>
        </w:rPr>
        <w:t xml:space="preserve"> </w:t>
      </w:r>
      <w:r w:rsidR="00844BF0" w:rsidRPr="00435469">
        <w:rPr>
          <w:rFonts w:cs="Times New Roman"/>
          <w:iCs/>
          <w:sz w:val="20"/>
          <w:szCs w:val="20"/>
        </w:rPr>
        <w:t>and</w:t>
      </w:r>
      <w:r w:rsidR="00844BF0" w:rsidRPr="00435469">
        <w:rPr>
          <w:rFonts w:cs="Times New Roman"/>
          <w:i/>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ly</m:t>
            </m:r>
          </m:sub>
        </m:sSub>
      </m:oMath>
      <w:r w:rsidR="00844BF0" w:rsidRPr="00435469">
        <w:rPr>
          <w:rFonts w:cs="Times New Roman"/>
          <w:sz w:val="20"/>
          <w:szCs w:val="20"/>
        </w:rPr>
        <w:t xml:space="preserve"> is the number of susceptible individuals of sex </w:t>
      </w:r>
      <w:r w:rsidR="00844BF0" w:rsidRPr="00435469">
        <w:rPr>
          <w:rFonts w:cs="Times New Roman"/>
          <w:i/>
          <w:sz w:val="20"/>
          <w:szCs w:val="20"/>
        </w:rPr>
        <w:t>l</w:t>
      </w:r>
      <w:r w:rsidR="00844BF0" w:rsidRPr="00435469">
        <w:rPr>
          <w:rFonts w:cs="Times New Roman"/>
          <w:sz w:val="20"/>
          <w:szCs w:val="20"/>
        </w:rPr>
        <w:t xml:space="preserve"> and age </w:t>
      </w:r>
      <w:r w:rsidR="00844BF0" w:rsidRPr="00435469">
        <w:rPr>
          <w:rFonts w:cs="Times New Roman"/>
          <w:i/>
          <w:sz w:val="20"/>
          <w:szCs w:val="20"/>
        </w:rPr>
        <w:t>y</w:t>
      </w:r>
      <w:r w:rsidRPr="00435469">
        <w:rPr>
          <w:rFonts w:cs="Times New Roman"/>
          <w:i/>
          <w:sz w:val="20"/>
          <w:szCs w:val="20"/>
        </w:rPr>
        <w:t>.</w:t>
      </w:r>
      <w:r w:rsidRPr="00435469">
        <w:rPr>
          <w:rFonts w:cs="Times New Roman"/>
          <w:sz w:val="20"/>
          <w:szCs w:val="20"/>
        </w:rPr>
        <w:t xml:space="preserve"> Lastly, </w:t>
      </w:r>
      <m:oMath>
        <m:r>
          <w:rPr>
            <w:rFonts w:ascii="Cambria Math" w:hAnsi="Cambria Math" w:cs="Times New Roman"/>
            <w:sz w:val="20"/>
            <w:szCs w:val="20"/>
          </w:rPr>
          <m:t>β</m:t>
        </m:r>
      </m:oMath>
      <w:r w:rsidRPr="00435469">
        <w:rPr>
          <w:rFonts w:eastAsiaTheme="minorEastAsia" w:cs="Times New Roman"/>
          <w:sz w:val="20"/>
          <w:szCs w:val="20"/>
        </w:rPr>
        <w:t xml:space="preserve"> represents the probability of transmission per contact if </w:t>
      </w:r>
      <w:r w:rsidR="00855C20" w:rsidRPr="00435469">
        <w:rPr>
          <w:rFonts w:eastAsiaTheme="minorEastAsia" w:cs="Times New Roman"/>
          <w:sz w:val="20"/>
          <w:szCs w:val="20"/>
        </w:rPr>
        <w:t xml:space="preserve">a </w:t>
      </w:r>
      <w:r w:rsidRPr="00435469">
        <w:rPr>
          <w:rFonts w:eastAsiaTheme="minorEastAsia" w:cs="Times New Roman"/>
          <w:sz w:val="20"/>
          <w:szCs w:val="20"/>
        </w:rPr>
        <w:t xml:space="preserve">smear-positive individual </w:t>
      </w:r>
      <w:r w:rsidR="00855C20" w:rsidRPr="00435469">
        <w:rPr>
          <w:rFonts w:eastAsiaTheme="minorEastAsia" w:cs="Times New Roman"/>
          <w:sz w:val="20"/>
          <w:szCs w:val="20"/>
        </w:rPr>
        <w:t xml:space="preserve">has </w:t>
      </w:r>
      <w:r w:rsidRPr="00435469">
        <w:rPr>
          <w:rFonts w:eastAsiaTheme="minorEastAsia" w:cs="Times New Roman"/>
          <w:sz w:val="20"/>
          <w:szCs w:val="20"/>
        </w:rPr>
        <w:t xml:space="preserve">contact </w:t>
      </w:r>
      <w:r w:rsidR="00855C20" w:rsidRPr="00435469">
        <w:rPr>
          <w:rFonts w:eastAsiaTheme="minorEastAsia" w:cs="Times New Roman"/>
          <w:sz w:val="20"/>
          <w:szCs w:val="20"/>
        </w:rPr>
        <w:t xml:space="preserve">with </w:t>
      </w:r>
      <w:r w:rsidRPr="00435469">
        <w:rPr>
          <w:rFonts w:eastAsiaTheme="minorEastAsia" w:cs="Times New Roman"/>
          <w:sz w:val="20"/>
          <w:szCs w:val="20"/>
        </w:rPr>
        <w:t xml:space="preserve">a susceptible individual. </w:t>
      </w:r>
      <w:r w:rsidR="00844BF0" w:rsidRPr="00435469">
        <w:rPr>
          <w:rFonts w:eastAsiaTheme="minorEastAsia" w:cs="Times New Roman"/>
          <w:sz w:val="20"/>
          <w:szCs w:val="20"/>
        </w:rPr>
        <w:t xml:space="preserve">From this it follows that </w:t>
      </w:r>
    </w:p>
    <w:p w14:paraId="04275E4E" w14:textId="00A3791F" w:rsidR="00844BF0" w:rsidRPr="00435469" w:rsidRDefault="00000000" w:rsidP="00844BF0">
      <w:pPr>
        <w:spacing w:line="240" w:lineRule="auto"/>
        <w:rPr>
          <w:rFonts w:eastAsiaTheme="minorEastAsia" w:cs="Times New Roman"/>
          <w:b/>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ly</m:t>
              </m:r>
            </m:sub>
          </m:sSub>
          <m:r>
            <w:rPr>
              <w:rFonts w:ascii="Cambria Math" w:hAnsi="Cambria Math" w:cs="Times New Roman"/>
              <w:sz w:val="20"/>
              <w:szCs w:val="20"/>
            </w:rPr>
            <m:t>=</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r>
                <w:rPr>
                  <w:rFonts w:ascii="Cambria Math" w:hAnsi="Cambria Math" w:cs="Times New Roman"/>
                  <w:sz w:val="20"/>
                  <w:szCs w:val="20"/>
                </w:rPr>
                <m:t xml:space="preserve"> </m:t>
              </m:r>
            </m:e>
          </m:nary>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x</m:t>
              </m:r>
            </m:sub>
            <m:sup/>
            <m:e>
              <m:sSub>
                <m:sSubPr>
                  <m:ctrlPr>
                    <w:rPr>
                      <w:rFonts w:ascii="Cambria Math" w:hAnsi="Cambria Math" w:cs="Times New Roman"/>
                      <w:i/>
                      <w:sz w:val="20"/>
                      <w:szCs w:val="20"/>
                    </w:rPr>
                  </m:ctrlPr>
                </m:sSubPr>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gx</m:t>
                      </m:r>
                    </m:sub>
                  </m:sSub>
                  <m:r>
                    <w:rPr>
                      <w:rFonts w:ascii="Cambria Math" w:hAnsi="Cambria Math" w:cs="Times New Roman"/>
                      <w:sz w:val="20"/>
                      <w:szCs w:val="20"/>
                    </w:rPr>
                    <m:t>ρ</m:t>
                  </m:r>
                </m:e>
                <m:sub>
                  <m:r>
                    <w:rPr>
                      <w:rFonts w:ascii="Cambria Math" w:hAnsi="Cambria Math" w:cs="Times New Roman"/>
                      <w:sz w:val="20"/>
                      <w:szCs w:val="20"/>
                    </w:rPr>
                    <m:t>gxly</m:t>
                  </m:r>
                </m:sub>
              </m:sSub>
            </m:e>
          </m:nary>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iϵ</m:t>
              </m:r>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gx</m:t>
                      </m:r>
                    </m:sub>
                  </m:sSub>
                </m:e>
              </m:d>
            </m:sub>
            <m:sup/>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i</m:t>
                      </m:r>
                    </m:sub>
                  </m:sSub>
                  <m:r>
                    <w:rPr>
                      <w:rFonts w:ascii="Cambria Math" w:hAnsi="Cambria Math" w:cs="Times New Roman"/>
                      <w:sz w:val="20"/>
                      <w:szCs w:val="20"/>
                    </w:rPr>
                    <m:t>β</m:t>
                  </m:r>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ly</m:t>
                      </m:r>
                    </m:sub>
                  </m:sSub>
                </m:den>
              </m:f>
            </m:e>
          </m:nary>
          <m:r>
            <w:rPr>
              <w:rFonts w:ascii="Cambria Math" w:hAnsi="Cambria Math" w:cs="Times New Roman"/>
              <w:sz w:val="20"/>
              <w:szCs w:val="20"/>
            </w:rPr>
            <m:t xml:space="preserve"> </m:t>
          </m:r>
        </m:oMath>
      </m:oMathPara>
    </w:p>
    <w:p w14:paraId="2B399A2A" w14:textId="77777777" w:rsidR="005A6946" w:rsidRPr="00435469" w:rsidRDefault="005A6946" w:rsidP="00955FFB">
      <w:pPr>
        <w:pStyle w:val="Heading3"/>
        <w:rPr>
          <w:rFonts w:cs="Times New Roman"/>
          <w:bCs/>
          <w:color w:val="auto"/>
          <w:sz w:val="20"/>
          <w:szCs w:val="20"/>
        </w:rPr>
      </w:pPr>
      <w:bookmarkStart w:id="42" w:name="_Toc87863316"/>
      <w:bookmarkStart w:id="43" w:name="_Ref88054991"/>
      <w:bookmarkStart w:id="44" w:name="_Toc88488555"/>
      <w:bookmarkStart w:id="45" w:name="_Ref99458920"/>
      <w:bookmarkStart w:id="46" w:name="_Toc103252923"/>
      <w:r w:rsidRPr="00435469">
        <w:rPr>
          <w:rFonts w:cs="Times New Roman"/>
          <w:color w:val="auto"/>
          <w:sz w:val="20"/>
          <w:szCs w:val="20"/>
        </w:rPr>
        <w:t>The transmission probability per daily contact</w:t>
      </w:r>
      <w:bookmarkEnd w:id="42"/>
      <w:bookmarkEnd w:id="43"/>
      <w:bookmarkEnd w:id="44"/>
      <w:bookmarkEnd w:id="45"/>
      <w:bookmarkEnd w:id="46"/>
    </w:p>
    <w:p w14:paraId="5BDC14EC" w14:textId="5A36A7A8" w:rsidR="005A6946" w:rsidRPr="00435469" w:rsidRDefault="003C34AB" w:rsidP="00955FFB">
      <w:pPr>
        <w:pStyle w:val="1ParaFlushLeft"/>
        <w:spacing w:line="240" w:lineRule="auto"/>
        <w:rPr>
          <w:rFonts w:eastAsiaTheme="minorEastAsia" w:cs="Times New Roman"/>
          <w:sz w:val="20"/>
          <w:szCs w:val="20"/>
        </w:rPr>
      </w:pPr>
      <w:r w:rsidRPr="00435469">
        <w:rPr>
          <w:rFonts w:cs="Times New Roman"/>
          <w:sz w:val="20"/>
          <w:szCs w:val="20"/>
        </w:rPr>
        <w:t xml:space="preserve">We allow for the transmissibility of smear-positive TB to change over time, because as treatment delays </w:t>
      </w:r>
      <w:r w:rsidR="005D57C9" w:rsidRPr="00435469">
        <w:rPr>
          <w:rFonts w:cs="Times New Roman"/>
          <w:sz w:val="20"/>
          <w:szCs w:val="20"/>
        </w:rPr>
        <w:t>reduce,</w:t>
      </w:r>
      <w:r w:rsidRPr="00435469">
        <w:rPr>
          <w:rFonts w:cs="Times New Roman"/>
          <w:sz w:val="20"/>
          <w:szCs w:val="20"/>
        </w:rPr>
        <w:t xml:space="preserve"> we would expect fewer TB patients to progress to the more advanced (and more infectious) disease stages prior to treatment. </w:t>
      </w:r>
      <w:r w:rsidR="005A6946" w:rsidRPr="00435469">
        <w:rPr>
          <w:rFonts w:cs="Times New Roman"/>
          <w:sz w:val="20"/>
          <w:szCs w:val="20"/>
        </w:rPr>
        <w:t xml:space="preserve">To model transmission, we define </w:t>
      </w:r>
      <m:oMath>
        <m:r>
          <w:rPr>
            <w:rFonts w:ascii="Cambria Math" w:hAnsi="Cambria Math" w:cs="Times New Roman"/>
            <w:sz w:val="20"/>
            <w:szCs w:val="20"/>
          </w:rPr>
          <m:t>β</m:t>
        </m:r>
        <m:d>
          <m:dPr>
            <m:ctrlPr>
              <w:rPr>
                <w:rFonts w:ascii="Cambria Math" w:hAnsi="Cambria Math" w:cs="Times New Roman"/>
                <w:i/>
                <w:sz w:val="20"/>
                <w:szCs w:val="20"/>
              </w:rPr>
            </m:ctrlPr>
          </m:dPr>
          <m:e>
            <m:r>
              <w:rPr>
                <w:rFonts w:ascii="Cambria Math" w:hAnsi="Cambria Math" w:cs="Times New Roman"/>
                <w:sz w:val="20"/>
                <w:szCs w:val="20"/>
              </w:rPr>
              <m:t>t</m:t>
            </m:r>
          </m:e>
        </m:d>
      </m:oMath>
      <w:r w:rsidR="005A6946" w:rsidRPr="00435469">
        <w:rPr>
          <w:rFonts w:cs="Times New Roman"/>
          <w:sz w:val="20"/>
          <w:szCs w:val="20"/>
        </w:rPr>
        <w:t xml:space="preserve"> to be the transmission probability per daily contact between a smear-positive TB case and a susceptible individual in year </w:t>
      </w:r>
      <m:oMath>
        <m:r>
          <w:rPr>
            <w:rFonts w:ascii="Cambria Math" w:hAnsi="Cambria Math" w:cs="Times New Roman"/>
            <w:sz w:val="20"/>
            <w:szCs w:val="20"/>
          </w:rPr>
          <m:t>t</m:t>
        </m:r>
      </m:oMath>
      <w:r w:rsidR="005A6946" w:rsidRPr="00435469">
        <w:rPr>
          <w:rFonts w:cs="Times New Roman"/>
          <w:i/>
          <w:sz w:val="20"/>
          <w:szCs w:val="20"/>
        </w:rPr>
        <w:t>,</w:t>
      </w:r>
      <w:r w:rsidR="005A6946" w:rsidRPr="00435469">
        <w:rPr>
          <w:rFonts w:cs="Times New Roman"/>
          <w:sz w:val="20"/>
          <w:szCs w:val="20"/>
        </w:rPr>
        <w:t xml:space="preserve"> and </w:t>
      </w:r>
      <m:oMath>
        <m:r>
          <w:rPr>
            <w:rFonts w:ascii="Cambria Math" w:hAnsi="Cambria Math" w:cs="Times New Roman"/>
            <w:sz w:val="20"/>
            <w:szCs w:val="20"/>
          </w:rPr>
          <m:t>β</m:t>
        </m:r>
        <m:d>
          <m:dPr>
            <m:ctrlPr>
              <w:rPr>
                <w:rFonts w:ascii="Cambria Math" w:hAnsi="Cambria Math" w:cs="Times New Roman"/>
                <w:i/>
                <w:sz w:val="20"/>
                <w:szCs w:val="20"/>
              </w:rPr>
            </m:ctrlPr>
          </m:dPr>
          <m:e>
            <m:r>
              <w:rPr>
                <w:rFonts w:ascii="Cambria Math" w:hAnsi="Cambria Math" w:cs="Times New Roman"/>
                <w:sz w:val="20"/>
                <w:szCs w:val="20"/>
              </w:rPr>
              <m:t>0</m:t>
            </m:r>
          </m:e>
        </m:d>
      </m:oMath>
      <w:r w:rsidR="005A6946" w:rsidRPr="00435469">
        <w:rPr>
          <w:rFonts w:cs="Times New Roman"/>
          <w:sz w:val="20"/>
          <w:szCs w:val="20"/>
        </w:rPr>
        <w:t xml:space="preserve"> is the corresponding average transmission probability in the period before 2000. </w:t>
      </w:r>
      <w:r w:rsidR="005A6946" w:rsidRPr="00435469">
        <w:rPr>
          <w:rFonts w:eastAsiaTheme="minorEastAsia" w:cs="Times New Roman"/>
          <w:sz w:val="20"/>
          <w:szCs w:val="20"/>
        </w:rPr>
        <w:t>T</w:t>
      </w:r>
      <w:r w:rsidR="005A6946" w:rsidRPr="00435469">
        <w:rPr>
          <w:rFonts w:eastAsiaTheme="minorEastAsia" w:cs="Times New Roman"/>
          <w:sz w:val="20"/>
          <w:szCs w:val="20"/>
          <w:lang w:val="en-ZA"/>
        </w:rPr>
        <w:t xml:space="preserve">he prior distribution assigned to represent the uncertainty in this transmission parameter </w:t>
      </w:r>
      <m:oMath>
        <m:r>
          <w:rPr>
            <w:rFonts w:ascii="Cambria Math" w:hAnsi="Cambria Math" w:cs="Times New Roman"/>
            <w:sz w:val="20"/>
            <w:szCs w:val="20"/>
          </w:rPr>
          <m:t>β</m:t>
        </m:r>
        <m:d>
          <m:dPr>
            <m:ctrlPr>
              <w:rPr>
                <w:rFonts w:ascii="Cambria Math" w:hAnsi="Cambria Math" w:cs="Times New Roman"/>
                <w:i/>
                <w:sz w:val="20"/>
                <w:szCs w:val="20"/>
              </w:rPr>
            </m:ctrlPr>
          </m:dPr>
          <m:e>
            <m:r>
              <w:rPr>
                <w:rFonts w:ascii="Cambria Math" w:hAnsi="Cambria Math" w:cs="Times New Roman"/>
                <w:sz w:val="20"/>
                <w:szCs w:val="20"/>
              </w:rPr>
              <m:t>0</m:t>
            </m:r>
          </m:e>
        </m:d>
      </m:oMath>
      <w:r w:rsidR="005A6946" w:rsidRPr="00435469">
        <w:rPr>
          <w:rFonts w:cs="Times New Roman"/>
          <w:sz w:val="20"/>
          <w:szCs w:val="20"/>
        </w:rPr>
        <w:t xml:space="preserve"> </w:t>
      </w:r>
      <w:r w:rsidR="005A6946" w:rsidRPr="00435469">
        <w:rPr>
          <w:rFonts w:eastAsiaTheme="minorEastAsia" w:cs="Times New Roman"/>
          <w:sz w:val="20"/>
          <w:szCs w:val="20"/>
          <w:lang w:val="en-ZA"/>
        </w:rPr>
        <w:t xml:space="preserve">is a Gamma (1; </w:t>
      </w:r>
      <w:r w:rsidR="00380697" w:rsidRPr="00435469">
        <w:rPr>
          <w:rFonts w:eastAsiaTheme="minorEastAsia" w:cs="Times New Roman"/>
          <w:sz w:val="20"/>
          <w:szCs w:val="20"/>
          <w:lang w:val="en-ZA"/>
        </w:rPr>
        <w:t>4</w:t>
      </w:r>
      <w:r w:rsidR="005A6946" w:rsidRPr="00435469">
        <w:rPr>
          <w:rFonts w:eastAsiaTheme="minorEastAsia" w:cs="Times New Roman"/>
          <w:sz w:val="20"/>
          <w:szCs w:val="20"/>
          <w:lang w:val="en-ZA"/>
        </w:rPr>
        <w:t>00) distribution with mean = 0.</w:t>
      </w:r>
      <w:r w:rsidR="0056334B" w:rsidRPr="00435469">
        <w:rPr>
          <w:rFonts w:eastAsiaTheme="minorEastAsia" w:cs="Times New Roman"/>
          <w:sz w:val="20"/>
          <w:szCs w:val="20"/>
          <w:lang w:val="en-ZA"/>
        </w:rPr>
        <w:t xml:space="preserve">0025 </w:t>
      </w:r>
      <w:r w:rsidR="005A6946" w:rsidRPr="00435469">
        <w:rPr>
          <w:rFonts w:eastAsiaTheme="minorEastAsia" w:cs="Times New Roman"/>
          <w:sz w:val="20"/>
          <w:szCs w:val="20"/>
          <w:lang w:val="en-ZA"/>
        </w:rPr>
        <w:t>and standard deviation = 0.00</w:t>
      </w:r>
      <w:r w:rsidR="0056334B" w:rsidRPr="00435469">
        <w:rPr>
          <w:rFonts w:eastAsiaTheme="minorEastAsia" w:cs="Times New Roman"/>
          <w:sz w:val="20"/>
          <w:szCs w:val="20"/>
          <w:lang w:val="en-ZA"/>
        </w:rPr>
        <w:t>2</w:t>
      </w:r>
      <w:r w:rsidR="005A6946" w:rsidRPr="00435469">
        <w:rPr>
          <w:rFonts w:eastAsiaTheme="minorEastAsia" w:cs="Times New Roman"/>
          <w:sz w:val="20"/>
          <w:szCs w:val="20"/>
          <w:lang w:val="en-ZA"/>
        </w:rPr>
        <w:t>5</w:t>
      </w:r>
      <w:r w:rsidR="00F44355" w:rsidRPr="00435469">
        <w:rPr>
          <w:rFonts w:eastAsiaTheme="minorEastAsia" w:cs="Times New Roman"/>
          <w:sz w:val="20"/>
          <w:szCs w:val="20"/>
          <w:lang w:val="en-ZA"/>
        </w:rPr>
        <w:t xml:space="preserve">. </w:t>
      </w:r>
      <w:r w:rsidR="00CD2574" w:rsidRPr="00435469">
        <w:rPr>
          <w:rFonts w:eastAsiaTheme="minorEastAsia" w:cs="Times New Roman"/>
          <w:sz w:val="20"/>
          <w:szCs w:val="20"/>
          <w:lang w:val="en-ZA"/>
        </w:rPr>
        <w:t xml:space="preserve">Although this parameter value is set arbitrarily, </w:t>
      </w:r>
      <w:r w:rsidR="00627CDD" w:rsidRPr="00435469">
        <w:rPr>
          <w:rFonts w:eastAsiaTheme="minorEastAsia" w:cs="Times New Roman"/>
          <w:sz w:val="20"/>
          <w:szCs w:val="20"/>
          <w:lang w:val="en-ZA"/>
        </w:rPr>
        <w:t xml:space="preserve">it was chosen </w:t>
      </w:r>
      <w:r w:rsidR="008B71EA" w:rsidRPr="00435469">
        <w:rPr>
          <w:rFonts w:eastAsiaTheme="minorEastAsia" w:cs="Times New Roman"/>
          <w:sz w:val="20"/>
          <w:szCs w:val="20"/>
          <w:lang w:val="en-ZA"/>
        </w:rPr>
        <w:t xml:space="preserve">based on </w:t>
      </w:r>
      <w:r w:rsidR="00441B66" w:rsidRPr="00435469">
        <w:rPr>
          <w:rFonts w:eastAsiaTheme="minorEastAsia" w:cs="Times New Roman"/>
          <w:sz w:val="20"/>
          <w:szCs w:val="20"/>
          <w:lang w:val="en-ZA"/>
        </w:rPr>
        <w:t>whether</w:t>
      </w:r>
      <w:r w:rsidR="00A83785" w:rsidRPr="00435469">
        <w:rPr>
          <w:rFonts w:eastAsiaTheme="minorEastAsia" w:cs="Times New Roman"/>
          <w:sz w:val="20"/>
          <w:szCs w:val="20"/>
          <w:lang w:val="en-ZA"/>
        </w:rPr>
        <w:t xml:space="preserve"> </w:t>
      </w:r>
      <w:r w:rsidR="00AD221D" w:rsidRPr="00435469">
        <w:rPr>
          <w:rFonts w:eastAsiaTheme="minorEastAsia" w:cs="Times New Roman"/>
          <w:sz w:val="20"/>
          <w:szCs w:val="20"/>
          <w:lang w:val="en-ZA"/>
        </w:rPr>
        <w:t>the chosen va</w:t>
      </w:r>
      <w:r w:rsidR="008B71EA" w:rsidRPr="00435469">
        <w:rPr>
          <w:rFonts w:eastAsiaTheme="minorEastAsia" w:cs="Times New Roman"/>
          <w:sz w:val="20"/>
          <w:szCs w:val="20"/>
          <w:lang w:val="en-ZA"/>
        </w:rPr>
        <w:t xml:space="preserve">lue yielded </w:t>
      </w:r>
      <w:r w:rsidR="00D72EA7" w:rsidRPr="00435469">
        <w:rPr>
          <w:rFonts w:eastAsiaTheme="minorEastAsia" w:cs="Times New Roman"/>
          <w:sz w:val="20"/>
          <w:szCs w:val="20"/>
          <w:lang w:val="en-ZA"/>
        </w:rPr>
        <w:t>reasonable transmission rates. In the initial model fitting</w:t>
      </w:r>
      <w:r w:rsidR="00AD221D" w:rsidRPr="00435469">
        <w:rPr>
          <w:rFonts w:eastAsiaTheme="minorEastAsia" w:cs="Times New Roman"/>
          <w:sz w:val="20"/>
          <w:szCs w:val="20"/>
          <w:lang w:val="en-ZA"/>
        </w:rPr>
        <w:t>,</w:t>
      </w:r>
      <w:r w:rsidR="00D72EA7" w:rsidRPr="00435469">
        <w:rPr>
          <w:rFonts w:eastAsiaTheme="minorEastAsia" w:cs="Times New Roman"/>
          <w:sz w:val="20"/>
          <w:szCs w:val="20"/>
          <w:lang w:val="en-ZA"/>
        </w:rPr>
        <w:t xml:space="preserve"> the </w:t>
      </w:r>
      <w:r w:rsidR="00AD221D" w:rsidRPr="00435469">
        <w:rPr>
          <w:rFonts w:eastAsiaTheme="minorEastAsia" w:cs="Times New Roman"/>
          <w:sz w:val="20"/>
          <w:szCs w:val="20"/>
          <w:lang w:val="en-ZA"/>
        </w:rPr>
        <w:t>parameter</w:t>
      </w:r>
      <w:r w:rsidR="000A508C" w:rsidRPr="00435469">
        <w:rPr>
          <w:rFonts w:eastAsiaTheme="minorEastAsia" w:cs="Times New Roman"/>
          <w:sz w:val="20"/>
          <w:szCs w:val="20"/>
          <w:lang w:val="en-ZA"/>
        </w:rPr>
        <w:t xml:space="preserve"> </w:t>
      </w:r>
      <w:r w:rsidR="00D72EA7" w:rsidRPr="00435469">
        <w:rPr>
          <w:rFonts w:eastAsiaTheme="minorEastAsia" w:cs="Times New Roman"/>
          <w:sz w:val="20"/>
          <w:szCs w:val="20"/>
          <w:lang w:val="en-ZA"/>
        </w:rPr>
        <w:t>value was set at 0.02</w:t>
      </w:r>
      <w:r w:rsidR="002E0CAA" w:rsidRPr="00435469">
        <w:rPr>
          <w:rFonts w:eastAsiaTheme="minorEastAsia" w:cs="Times New Roman"/>
          <w:sz w:val="20"/>
          <w:szCs w:val="20"/>
          <w:lang w:val="en-ZA"/>
        </w:rPr>
        <w:t xml:space="preserve">, however it </w:t>
      </w:r>
      <w:r w:rsidR="00877727" w:rsidRPr="00435469">
        <w:rPr>
          <w:sz w:val="20"/>
          <w:szCs w:val="20"/>
        </w:rPr>
        <w:t>yielded implausibly high rates of transmission, and so we selected a prior distribution with a lower mean but</w:t>
      </w:r>
      <w:r w:rsidR="00FB3ECD" w:rsidRPr="00435469">
        <w:rPr>
          <w:sz w:val="20"/>
          <w:szCs w:val="20"/>
        </w:rPr>
        <w:t xml:space="preserve"> high </w:t>
      </w:r>
      <w:r w:rsidR="00877727" w:rsidRPr="00435469">
        <w:rPr>
          <w:sz w:val="20"/>
          <w:szCs w:val="20"/>
        </w:rPr>
        <w:t>variance</w:t>
      </w:r>
      <w:r w:rsidR="00ED733D" w:rsidRPr="00435469">
        <w:rPr>
          <w:sz w:val="20"/>
          <w:szCs w:val="20"/>
        </w:rPr>
        <w:t>.</w:t>
      </w:r>
    </w:p>
    <w:p w14:paraId="251B8F82" w14:textId="3FDD1369" w:rsidR="005A6946" w:rsidRPr="00435469" w:rsidRDefault="005A6946" w:rsidP="00955FFB">
      <w:pPr>
        <w:pStyle w:val="NoSpacing"/>
        <w:spacing w:after="240"/>
        <w:rPr>
          <w:rFonts w:cs="Times New Roman"/>
          <w:sz w:val="20"/>
          <w:szCs w:val="20"/>
        </w:rPr>
      </w:pPr>
      <w:r w:rsidRPr="00435469">
        <w:rPr>
          <w:sz w:val="20"/>
          <w:szCs w:val="20"/>
        </w:rPr>
        <w:t xml:space="preserve">We define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oMath>
      <w:r w:rsidRPr="00435469">
        <w:rPr>
          <w:rFonts w:eastAsiaTheme="minorEastAsia" w:cs="Times New Roman"/>
          <w:sz w:val="20"/>
          <w:szCs w:val="20"/>
        </w:rPr>
        <w:t xml:space="preserve"> </w:t>
      </w:r>
      <w:r w:rsidRPr="00435469">
        <w:rPr>
          <w:rFonts w:cs="Times New Roman"/>
          <w:sz w:val="20"/>
          <w:szCs w:val="20"/>
        </w:rPr>
        <w:t xml:space="preserve">as the ratio of the minimum infectivity (when the treatment delay is zero) to the baseline infectivity (given the treatment delay in the period before 2000). </w:t>
      </w:r>
      <m:oMath>
        <m:r>
          <w:rPr>
            <w:rFonts w:ascii="Cambria Math" w:hAnsi="Cambria Math" w:cs="Times New Roman"/>
            <w:sz w:val="20"/>
            <w:szCs w:val="20"/>
          </w:rPr>
          <m:t>S</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represents the </w:t>
      </w:r>
      <w:r w:rsidRPr="00435469">
        <w:rPr>
          <w:rFonts w:cs="Times New Roman"/>
          <w:sz w:val="20"/>
          <w:szCs w:val="20"/>
        </w:rPr>
        <w:t xml:space="preserve">average smear-positive treatment delay, </w:t>
      </w:r>
      <w:r w:rsidR="001411C5" w:rsidRPr="00435469">
        <w:rPr>
          <w:rFonts w:cs="Times New Roman"/>
          <w:sz w:val="20"/>
          <w:szCs w:val="20"/>
        </w:rPr>
        <w:t xml:space="preserve">approximated </w:t>
      </w:r>
      <w:r w:rsidRPr="00435469">
        <w:rPr>
          <w:rFonts w:cs="Times New Roman"/>
          <w:sz w:val="20"/>
          <w:szCs w:val="20"/>
        </w:rPr>
        <w:t xml:space="preserve">as </w:t>
      </w:r>
      <m:oMath>
        <m:r>
          <w:rPr>
            <w:rFonts w:ascii="Cambria Math" w:hAnsi="Cambria Math" w:cs="Times New Roman"/>
            <w:sz w:val="20"/>
            <w:szCs w:val="20"/>
          </w:rPr>
          <m:t>U</m:t>
        </m:r>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/R(t)</m:t>
        </m:r>
      </m:oMath>
      <w:r w:rsidRPr="00435469">
        <w:rPr>
          <w:rFonts w:cs="Times New Roman"/>
          <w:sz w:val="20"/>
          <w:szCs w:val="20"/>
        </w:rPr>
        <w:t xml:space="preserve">, where </w:t>
      </w:r>
      <m:oMath>
        <m:r>
          <w:rPr>
            <w:rFonts w:ascii="Cambria Math" w:hAnsi="Cambria Math" w:cs="Times New Roman"/>
            <w:sz w:val="20"/>
            <w:szCs w:val="20"/>
          </w:rPr>
          <m:t>U</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cs="Times New Roman"/>
          <w:sz w:val="20"/>
          <w:szCs w:val="20"/>
        </w:rPr>
        <w:t xml:space="preserve"> is the number of untreated smear-positive TB cases at the start of year </w:t>
      </w:r>
      <w:r w:rsidRPr="00435469">
        <w:rPr>
          <w:rFonts w:cs="Times New Roman"/>
          <w:i/>
          <w:iCs/>
          <w:sz w:val="20"/>
          <w:szCs w:val="20"/>
        </w:rPr>
        <w:t>t</w:t>
      </w:r>
      <w:r w:rsidR="003C34AB" w:rsidRPr="00435469">
        <w:rPr>
          <w:rFonts w:cs="Times New Roman"/>
          <w:sz w:val="20"/>
          <w:szCs w:val="20"/>
        </w:rPr>
        <w:t xml:space="preserve"> and</w:t>
      </w:r>
      <w:r w:rsidRPr="00435469">
        <w:rPr>
          <w:rFonts w:cs="Times New Roman"/>
          <w:sz w:val="20"/>
          <w:szCs w:val="20"/>
        </w:rPr>
        <w:t xml:space="preserve"> </w:t>
      </w:r>
      <m:oMath>
        <m:r>
          <w:rPr>
            <w:rFonts w:ascii="Cambria Math" w:hAnsi="Cambria Math" w:cs="Times New Roman"/>
            <w:sz w:val="20"/>
            <w:szCs w:val="20"/>
          </w:rPr>
          <m:t>R(t)</m:t>
        </m:r>
      </m:oMath>
      <w:r w:rsidRPr="00435469">
        <w:rPr>
          <w:rFonts w:cs="Times New Roman"/>
          <w:sz w:val="20"/>
          <w:szCs w:val="20"/>
        </w:rPr>
        <w:t xml:space="preserve"> is the number of smear-positive TB patients who are treated in year </w:t>
      </w:r>
      <m:oMath>
        <m:r>
          <w:rPr>
            <w:rFonts w:ascii="Cambria Math" w:hAnsi="Cambria Math" w:cs="Times New Roman"/>
            <w:sz w:val="20"/>
            <w:szCs w:val="20"/>
          </w:rPr>
          <m:t>t</m:t>
        </m:r>
      </m:oMath>
      <w:r w:rsidRPr="00435469">
        <w:rPr>
          <w:rFonts w:cs="Times New Roman"/>
          <w:sz w:val="20"/>
          <w:szCs w:val="20"/>
        </w:rPr>
        <w:t>.</w:t>
      </w:r>
      <m:oMath>
        <m:r>
          <w:rPr>
            <w:rFonts w:ascii="Cambria Math" w:hAnsi="Cambria Math" w:cs="Times New Roman"/>
            <w:sz w:val="20"/>
            <w:szCs w:val="20"/>
          </w:rPr>
          <m:t>S</m:t>
        </m:r>
        <m:d>
          <m:dPr>
            <m:ctrlPr>
              <w:rPr>
                <w:rFonts w:ascii="Cambria Math" w:hAnsi="Cambria Math" w:cs="Times New Roman"/>
                <w:i/>
                <w:sz w:val="20"/>
                <w:szCs w:val="20"/>
              </w:rPr>
            </m:ctrlPr>
          </m:dPr>
          <m:e>
            <m:r>
              <w:rPr>
                <w:rFonts w:ascii="Cambria Math" w:hAnsi="Cambria Math" w:cs="Times New Roman"/>
                <w:sz w:val="20"/>
                <w:szCs w:val="20"/>
              </w:rPr>
              <m:t>0</m:t>
            </m:r>
          </m:e>
        </m:d>
      </m:oMath>
      <w:r w:rsidR="003C34AB" w:rsidRPr="00435469">
        <w:rPr>
          <w:rFonts w:eastAsiaTheme="minorEastAsia" w:cs="Times New Roman"/>
          <w:sz w:val="20"/>
          <w:szCs w:val="20"/>
        </w:rPr>
        <w:t xml:space="preserve"> represents the </w:t>
      </w:r>
      <w:r w:rsidR="003C34AB" w:rsidRPr="00435469">
        <w:rPr>
          <w:rFonts w:cs="Times New Roman"/>
          <w:sz w:val="20"/>
          <w:szCs w:val="20"/>
        </w:rPr>
        <w:t>average smear-positive treatment delay before 2000.</w:t>
      </w:r>
    </w:p>
    <w:p w14:paraId="2D5D25AD" w14:textId="4227B4CD" w:rsidR="005A6946" w:rsidRPr="00435469" w:rsidRDefault="005A6946" w:rsidP="00955FFB">
      <w:pPr>
        <w:pStyle w:val="NoSpacing"/>
        <w:spacing w:after="240"/>
        <w:rPr>
          <w:rFonts w:cs="Times New Roman"/>
          <w:sz w:val="20"/>
          <w:szCs w:val="20"/>
          <w:lang w:val="en-ZA"/>
        </w:rPr>
      </w:pPr>
      <w:r w:rsidRPr="00435469">
        <w:rPr>
          <w:rFonts w:cs="Times New Roman"/>
          <w:sz w:val="20"/>
          <w:szCs w:val="20"/>
        </w:rPr>
        <w:t xml:space="preserve">Because we lack data on smear grade distributions in South Africa before 2000, we conservatively estimated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oMath>
      <w:r w:rsidRPr="00435469">
        <w:rPr>
          <w:rFonts w:eastAsiaTheme="minorEastAsia" w:cs="Times New Roman"/>
          <w:sz w:val="20"/>
          <w:szCs w:val="20"/>
        </w:rPr>
        <w:t xml:space="preserve"> </w:t>
      </w:r>
      <w:r w:rsidRPr="00435469">
        <w:rPr>
          <w:rFonts w:cs="Times New Roman"/>
          <w:sz w:val="20"/>
          <w:szCs w:val="20"/>
        </w:rPr>
        <w:t xml:space="preserve">based on the smear grade distribution observed by Singla </w:t>
      </w:r>
      <w:r w:rsidRPr="00435469">
        <w:rPr>
          <w:rFonts w:cs="Times New Roman"/>
          <w:i/>
          <w:iCs/>
          <w:sz w:val="20"/>
          <w:szCs w:val="20"/>
        </w:rPr>
        <w:t xml:space="preserve">et al. </w:t>
      </w:r>
      <w:r w:rsidRPr="00435469">
        <w:rPr>
          <w:rFonts w:cs="Times New Roman"/>
          <w:i/>
          <w:iCs/>
          <w:sz w:val="20"/>
          <w:szCs w:val="20"/>
        </w:rPr>
        <w:fldChar w:fldCharType="begin" w:fldLock="1"/>
      </w:r>
      <w:r w:rsidR="002F049E" w:rsidRPr="00435469">
        <w:rPr>
          <w:rFonts w:cs="Times New Roman"/>
          <w:i/>
          <w:iCs/>
          <w:sz w:val="20"/>
          <w:szCs w:val="20"/>
        </w:rPr>
        <w:instrText>ADDIN CSL_CITATION {"citationItems":[{"id":"ITEM-1","itemData":{"ISSN":"03779343","abstract":"OBJECTIVE: To study the influence of initial bacillary load on sputum conversion rates and treatment outcome of new smear positive pulmonary tuberculosis patients. METHODS: A retrospective study was done among 2938 new smear positive pulmonary tuberculosis patients, registered at the peripheral centres, covering a population of 1.6 million in Delhi, India. The patients pre-treatment sputum smears were graded as 1+, 2+ or 3+ based on three samples. Patients were given intermittent short-course chemotherapy under supervision and the treatment outcome was analysed. RESULTS: Sputum conversion rates among patients graded as sputum 3+ and rest of the patients (combined graded sputum 1+ and 2+) at the end of two months were 62.2% and 76.8% respectively (p&lt;0.001), and at the end of three months were 81.3% and 89.5% respectively (p&lt;0.001). Cure rates among same group of patients were 76.6% and 85.1% respectively (p&lt;0.001), and failure rates were 7.7% and 4.5% respectively (p&lt;0.001). CONCLUSIONS: Under field conditions even with directly observed treatment (DOT) new smear positive patients with heavy bacillary load showed statistically significant poor sputum conversion rates at two and three months and higher failure rates as compared to patients with lesser bacillary load. To investigate possible reasons for this poor response and possible solutions further studies are needed.","author":[{"dropping-particle":"","family":"Singla","given":"Rupak","non-dropping-particle":"","parse-names":false,"suffix":""},{"dropping-particle":"","family":"Singla","given":"Neeta","non-dropping-particle":"","parse-names":false,"suffix":""},{"dropping-particle":"","family":"Sarin","given":"Rohit","non-dropping-particle":"","parse-names":false,"suffix":""},{"dropping-particle":"","family":"Arora","given":"V. K.","non-dropping-particle":"","parse-names":false,"suffix":""}],"container-title":"The Indian journal of chest diseases &amp; allied sciences","id":"ITEM-1","issue":"1","issued":{"date-parts":[["2005"]]},"title":"Influence of pre-treatment bacillary load on treatment outcome of pulmonary tuberculosis patients receiving DOTS under revised national tuberculosis control programme.","type":"article-journal","volume":"47"},"uris":["http://www.mendeley.com/documents/?uuid=bca6a520-5df1-3bbb-a28d-7ecb422a1198"]}],"mendeley":{"formattedCitation":"(26)","plainTextFormattedCitation":"(26)","previouslyFormattedCitation":"(26)"},"properties":{"noteIndex":0},"schema":"https://github.com/citation-style-language/schema/raw/master/csl-citation.json"}</w:instrText>
      </w:r>
      <w:r w:rsidRPr="00435469">
        <w:rPr>
          <w:rFonts w:cs="Times New Roman"/>
          <w:i/>
          <w:iCs/>
          <w:sz w:val="20"/>
          <w:szCs w:val="20"/>
        </w:rPr>
        <w:fldChar w:fldCharType="separate"/>
      </w:r>
      <w:r w:rsidR="0063047A" w:rsidRPr="00435469">
        <w:rPr>
          <w:rFonts w:cs="Times New Roman"/>
          <w:iCs/>
          <w:noProof/>
          <w:sz w:val="20"/>
          <w:szCs w:val="20"/>
        </w:rPr>
        <w:t>(26)</w:t>
      </w:r>
      <w:r w:rsidRPr="00435469">
        <w:rPr>
          <w:rFonts w:cs="Times New Roman"/>
          <w:i/>
          <w:iCs/>
          <w:sz w:val="20"/>
          <w:szCs w:val="20"/>
        </w:rPr>
        <w:fldChar w:fldCharType="end"/>
      </w:r>
      <w:r w:rsidRPr="00435469">
        <w:rPr>
          <w:rFonts w:cs="Times New Roman"/>
          <w:i/>
          <w:iCs/>
          <w:sz w:val="20"/>
          <w:szCs w:val="20"/>
        </w:rPr>
        <w:t xml:space="preserve"> </w:t>
      </w:r>
      <w:r w:rsidRPr="00435469">
        <w:rPr>
          <w:rFonts w:cs="Times New Roman"/>
          <w:sz w:val="20"/>
          <w:szCs w:val="20"/>
        </w:rPr>
        <w:t xml:space="preserve">in an Indian population with poor treatment access. </w:t>
      </w:r>
      <w:r w:rsidRPr="00435469">
        <w:rPr>
          <w:rFonts w:cs="Times New Roman"/>
          <w:sz w:val="20"/>
          <w:szCs w:val="20"/>
          <w:lang w:val="en-ZA"/>
        </w:rPr>
        <w:t xml:space="preserve">In this study, </w:t>
      </w:r>
      <w:r w:rsidRPr="00435469">
        <w:rPr>
          <w:rFonts w:cs="Times New Roman"/>
          <w:sz w:val="20"/>
          <w:szCs w:val="20"/>
        </w:rPr>
        <w:t>the</w:t>
      </w:r>
      <w:r w:rsidRPr="00435469">
        <w:rPr>
          <w:rFonts w:cs="Times New Roman"/>
          <w:sz w:val="20"/>
          <w:szCs w:val="20"/>
          <w:lang w:val="en-ZA"/>
        </w:rPr>
        <w:t xml:space="preserve"> distribution of smear-grades in TB patients were 27% for smear-grade &lt;2+; 25% for smear-grade 2+ and 48% for smear-grade 3+ </w:t>
      </w:r>
      <w:r w:rsidRPr="00435469">
        <w:rPr>
          <w:rFonts w:cs="Times New Roman"/>
          <w:sz w:val="20"/>
          <w:szCs w:val="20"/>
          <w:lang w:val="en-ZA"/>
        </w:rPr>
        <w:fldChar w:fldCharType="begin" w:fldLock="1"/>
      </w:r>
      <w:r w:rsidR="002F049E" w:rsidRPr="00435469">
        <w:rPr>
          <w:rFonts w:cs="Times New Roman"/>
          <w:sz w:val="20"/>
          <w:szCs w:val="20"/>
          <w:lang w:val="en-ZA"/>
        </w:rPr>
        <w:instrText>ADDIN CSL_CITATION {"citationItems":[{"id":"ITEM-1","itemData":{"ISSN":"03779343","abstract":"OBJECTIVE: To study the influence of initial bacillary load on sputum conversion rates and treatment outcome of new smear positive pulmonary tuberculosis patients. METHODS: A retrospective study was done among 2938 new smear positive pulmonary tuberculosis patients, registered at the peripheral centres, covering a population of 1.6 million in Delhi, India. The patients pre-treatment sputum smears were graded as 1+, 2+ or 3+ based on three samples. Patients were given intermittent short-course chemotherapy under supervision and the treatment outcome was analysed. RESULTS: Sputum conversion rates among patients graded as sputum 3+ and rest of the patients (combined graded sputum 1+ and 2+) at the end of two months were 62.2% and 76.8% respectively (p&lt;0.001), and at the end of three months were 81.3% and 89.5% respectively (p&lt;0.001). Cure rates among same group of patients were 76.6% and 85.1% respectively (p&lt;0.001), and failure rates were 7.7% and 4.5% respectively (p&lt;0.001). CONCLUSIONS: Under field conditions even with directly observed treatment (DOT) new smear positive patients with heavy bacillary load showed statistically significant poor sputum conversion rates at two and three months and higher failure rates as compared to patients with lesser bacillary load. To investigate possible reasons for this poor response and possible solutions further studies are needed.","author":[{"dropping-particle":"","family":"Singla","given":"Rupak","non-dropping-particle":"","parse-names":false,"suffix":""},{"dropping-particle":"","family":"Singla","given":"Neeta","non-dropping-particle":"","parse-names":false,"suffix":""},{"dropping-particle":"","family":"Sarin","given":"Rohit","non-dropping-particle":"","parse-names":false,"suffix":""},{"dropping-particle":"","family":"Arora","given":"V. K.","non-dropping-particle":"","parse-names":false,"suffix":""}],"container-title":"The Indian journal of chest diseases &amp; allied sciences","id":"ITEM-1","issue":"1","issued":{"date-parts":[["2005"]]},"title":"Influence of pre-treatment bacillary load on treatment outcome of pulmonary tuberculosis patients receiving DOTS under revised national tuberculosis control programme.","type":"article-journal","volume":"47"},"uris":["http://www.mendeley.com/documents/?uuid=bca6a520-5df1-3bbb-a28d-7ecb422a1198"]}],"mendeley":{"formattedCitation":"(26)","plainTextFormattedCitation":"(26)","previouslyFormattedCitation":"(26)"},"properties":{"noteIndex":0},"schema":"https://github.com/citation-style-language/schema/raw/master/csl-citation.json"}</w:instrText>
      </w:r>
      <w:r w:rsidRPr="00435469">
        <w:rPr>
          <w:rFonts w:cs="Times New Roman"/>
          <w:sz w:val="20"/>
          <w:szCs w:val="20"/>
          <w:lang w:val="en-ZA"/>
        </w:rPr>
        <w:fldChar w:fldCharType="separate"/>
      </w:r>
      <w:r w:rsidR="0063047A" w:rsidRPr="00435469">
        <w:rPr>
          <w:rFonts w:cs="Times New Roman"/>
          <w:noProof/>
          <w:sz w:val="20"/>
          <w:szCs w:val="20"/>
          <w:lang w:val="en-ZA"/>
        </w:rPr>
        <w:t>(26)</w:t>
      </w:r>
      <w:r w:rsidRPr="00435469">
        <w:rPr>
          <w:rFonts w:cs="Times New Roman"/>
          <w:sz w:val="20"/>
          <w:szCs w:val="20"/>
          <w:lang w:val="en-ZA"/>
        </w:rPr>
        <w:fldChar w:fldCharType="end"/>
      </w:r>
      <w:r w:rsidRPr="00435469">
        <w:rPr>
          <w:rFonts w:cs="Times New Roman"/>
          <w:sz w:val="20"/>
          <w:szCs w:val="20"/>
          <w:lang w:val="en-ZA"/>
        </w:rPr>
        <w:t>. W</w:t>
      </w:r>
      <w:proofErr w:type="spellStart"/>
      <w:r w:rsidRPr="00435469">
        <w:rPr>
          <w:rFonts w:cs="Times New Roman"/>
          <w:sz w:val="20"/>
          <w:szCs w:val="20"/>
        </w:rPr>
        <w:t>e</w:t>
      </w:r>
      <w:proofErr w:type="spellEnd"/>
      <w:r w:rsidRPr="00435469">
        <w:rPr>
          <w:rFonts w:cs="Times New Roman"/>
          <w:sz w:val="20"/>
          <w:szCs w:val="20"/>
        </w:rPr>
        <w:t xml:space="preserve"> assumed the same relative levels of infectiousness by smear grade as measured by </w:t>
      </w:r>
      <w:proofErr w:type="spellStart"/>
      <w:r w:rsidRPr="00435469">
        <w:rPr>
          <w:rFonts w:cs="Times New Roman"/>
          <w:sz w:val="20"/>
          <w:szCs w:val="20"/>
        </w:rPr>
        <w:t>Acuña-Villaorduña</w:t>
      </w:r>
      <w:proofErr w:type="spellEnd"/>
      <w:r w:rsidRPr="00435469">
        <w:rPr>
          <w:rFonts w:cs="Times New Roman"/>
          <w:sz w:val="20"/>
          <w:szCs w:val="20"/>
        </w:rPr>
        <w:t xml:space="preserve"> </w:t>
      </w:r>
      <w:r w:rsidRPr="00435469">
        <w:rPr>
          <w:rFonts w:cs="Times New Roman"/>
          <w:i/>
          <w:iCs/>
          <w:sz w:val="20"/>
          <w:szCs w:val="20"/>
        </w:rPr>
        <w:t>et al</w:t>
      </w:r>
      <w:r w:rsidRPr="00435469">
        <w:rPr>
          <w:rFonts w:cs="Times New Roman"/>
          <w:sz w:val="20"/>
          <w:szCs w:val="20"/>
        </w:rPr>
        <w:t xml:space="preserve">., who estimated that infectivity increased by 1.45 times and 4.25 times in patients with smear grades 2+ and smear grades 3+ respectively, compared to TB patients with smear grade 1+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{"citationItems":[{"id":"ITEM-1","itemData":{"DOI":"10.1093/ofid/ofz184","ISSN":"23288957","abstract":"Background Epidemiologic data suggests that only a minority of tuberculosis (TB) patients are infectious. Cough aerosol sampling is a novel quantitative method to measure TB infectiousness. Methods We analyzed data from three studies conducted in Uganda and Brazil over a 13-year period. We included sputum acid fast bacilli (AFB) and culture positive pulmonary TB patients and used a cough aerosol sampling system (CASS) to measure the number of colony-forming units (CFU) of Mycobacterium tuberculosis in cough-generated aerosols as a measure for infectiousness. Aerosol data was categorized as: aerosol negative (CFU = 0) and aerosol positive (CFU &gt; 0). Logistic regression models were built to identify factors associated with aerosol positivity. Results M. tuberculosis was isolated by culture from cough aerosols in 100/233 (43%) TB patients. In an unadjusted analysis, aerosol positivity was associated with fewer days of antituberculous therapy before CASS sampling (p = .0001), higher sputum AFB smear grade (p = .01), shorter days to positivity in liquid culture media (p = .02), and larger sputum volume (p = .03). In an adjusted analysis, only fewer days of TB treatment (OR 1.47 per 1 day of therapy, 95% CI 1.16-1.89; p = .001) was associated with aerosol positivity. Conclusion Cough generated aerosols containing viable M. tuberculosis, the infectious moiety in TB, are detected in a minority of TB patients and rapidly become non-culturable after initiation of antituberculous treatment. Mechanistic studies are needed to further elucidate these findings.","author":[{"dropping-particle":"","family":"Acuña-Villaorduña","given":"Carlos","non-dropping-particle":"","parse-names":false,"suffix":""},{"dropping-particle":"","family":"Ayakaka","given":"Irene","non-dropping-particle":"","parse-names":false,"suffix":""},{"dropping-particle":"","family":"Schmidt-Castellani","given":"Luiz Guilherme","non-dropping-particle":"","parse-names":false,"suffix":""},{"dropping-particle":"","family":"Mumbowa","given":"Francis","non-dropping-particle":"","parse-names":false,"suffix":""},{"dropping-particle":"","family":"Marques-Rodrigues","given":"Patricia","non-dropping-particle":"","parse-names":false,"suffix":""},{"dropping-particle":"","family":"Gaeddert","given":"Mary","non-dropping-particle":"","parse-names":false,"suffix":""},{"dropping-particle":"","family":"White","given":"Laura F.","non-dropping-particle":"","parse-names":false,"suffix":""},{"dropping-particle":"","family":"Palaci","given":"Moises","non-dropping-particle":"","parse-names":false,"suffix":""},{"dropping-particle":"","family":"Ellner","given":"Jerrold J.","non-dropping-particle":"","parse-names":false,"suffix":""},{"dropping-particle":"","family":"Dietze","given":"Reynaldo","non-dropping-particle":"","parse-names":false,"suffix":""},{"dropping-particle":"","family":"Joloba","given":"Moses","non-dropping-particle":"","parse-names":false,"suffix":""},{"dropping-particle":"","family":"Fennelly","given":"Kevin P.","non-dropping-particle":"","parse-names":false,"suffix":""},{"dropping-particle":"","family":"Jones-López","given":"Edward C.","non-dropping-particle":"","parse-names":false,"suffix":""}],"container-title":"Open Forum Infectious Diseases","id":"ITEM-1","issue":"6","issued":{"date-parts":[["2019"]]},"page":"1-9","title":"Host determinants of infectiousness in smear-positive patients with pulmonary tuberculosis","type":"article-journal","volume":"6"},"uris":["http://www.mendeley.com/documents/?uuid=38ff8253-52f2-4cb8-aa2e-d1b7832141b9"]}],"mendeley":{"formattedCitation":"(27)","plainTextFormattedCitation":"(27)","previouslyFormattedCitation":"(27)"},"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(27)</w:t>
      </w:r>
      <w:r w:rsidRPr="00435469">
        <w:rPr>
          <w:rFonts w:cs="Times New Roman"/>
          <w:sz w:val="20"/>
          <w:szCs w:val="20"/>
        </w:rPr>
        <w:fldChar w:fldCharType="end"/>
      </w:r>
      <w:r w:rsidRPr="00435469">
        <w:rPr>
          <w:rFonts w:cs="Times New Roman"/>
          <w:sz w:val="20"/>
          <w:szCs w:val="20"/>
        </w:rPr>
        <w:t>. Then we have</w:t>
      </w:r>
      <w:r w:rsidRPr="00435469">
        <w:rPr>
          <w:rFonts w:cs="Times New Roman"/>
          <w:sz w:val="20"/>
          <w:szCs w:val="20"/>
          <w:lang w:val="en-ZA"/>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r>
          <w:rPr>
            <w:rFonts w:ascii="Cambria Math" w:hAnsi="Cambria Math" w:cs="Times New Roman"/>
            <w:sz w:val="20"/>
            <w:szCs w:val="20"/>
          </w:rPr>
          <m:t xml:space="preserve"> </m:t>
        </m:r>
        <m:r>
          <m:rPr>
            <m:sty m:val="p"/>
          </m:rPr>
          <w:rPr>
            <w:rFonts w:ascii="Cambria Math" w:hAnsi="Cambria Math" w:cs="Times New Roman"/>
            <w:sz w:val="20"/>
            <w:szCs w:val="20"/>
          </w:rPr>
          <m:t>= 1/(0.27 + 0.25 × 1.45 + 0.48 × 4.25) = 0.37</m:t>
        </m:r>
      </m:oMath>
      <w:r w:rsidR="003C34AB" w:rsidRPr="00435469">
        <w:rPr>
          <w:rFonts w:eastAsiaTheme="minorEastAsia" w:cs="Times New Roman"/>
          <w:sz w:val="20"/>
          <w:szCs w:val="20"/>
        </w:rPr>
        <w:t xml:space="preserve">, on the assumption that if there was no treatment delay all smear-positive TB cases would have </w:t>
      </w:r>
      <w:r w:rsidR="003C34AB" w:rsidRPr="00435469">
        <w:rPr>
          <w:rFonts w:cs="Times New Roman"/>
          <w:sz w:val="20"/>
          <w:szCs w:val="20"/>
          <w:lang w:val="en-ZA"/>
        </w:rPr>
        <w:t>smear-grade &lt;2+</w:t>
      </w:r>
      <w:r w:rsidRPr="00435469">
        <w:rPr>
          <w:rFonts w:cs="Times New Roman"/>
          <w:sz w:val="20"/>
          <w:szCs w:val="20"/>
        </w:rPr>
        <w:t>.</w:t>
      </w:r>
    </w:p>
    <w:p w14:paraId="697B2135" w14:textId="1F3E7531" w:rsidR="005A6946" w:rsidRPr="00435469" w:rsidRDefault="005A6946" w:rsidP="00955FFB">
      <w:pPr>
        <w:pStyle w:val="1ParaFlushLeft"/>
        <w:spacing w:line="240" w:lineRule="auto"/>
        <w:rPr>
          <w:rFonts w:cs="Times New Roman"/>
          <w:sz w:val="20"/>
          <w:szCs w:val="20"/>
        </w:rPr>
      </w:pPr>
      <w:r w:rsidRPr="00435469">
        <w:rPr>
          <w:rFonts w:cs="Times New Roman"/>
          <w:sz w:val="20"/>
          <w:szCs w:val="20"/>
        </w:rPr>
        <w:t xml:space="preserve">To allow this transmission probability to change with disease severity (indicated by smear-grade distributions), we assume that for </w:t>
      </w:r>
      <m:oMath>
        <m:r>
          <w:rPr>
            <w:rFonts w:ascii="Cambria Math" w:hAnsi="Cambria Math" w:cs="Times New Roman"/>
            <w:sz w:val="20"/>
            <w:szCs w:val="20"/>
          </w:rPr>
          <m:t>t ≥ 2000</m:t>
        </m:r>
      </m:oMath>
      <w:r w:rsidR="001411C5" w:rsidRPr="00435469">
        <w:rPr>
          <w:rFonts w:cs="Times New Roman"/>
          <w:sz w:val="20"/>
          <w:szCs w:val="20"/>
        </w:rPr>
        <w:t xml:space="preserve">, </w:t>
      </w:r>
    </w:p>
    <w:p w14:paraId="617C1EDC" w14:textId="1F203ECD" w:rsidR="005A6946" w:rsidRPr="00435469" w:rsidRDefault="005A6946" w:rsidP="00955FFB">
      <w:pPr>
        <w:pStyle w:val="NoSpacing"/>
        <w:spacing w:after="240"/>
        <w:jc w:val="center"/>
        <w:rPr>
          <w:rFonts w:eastAsiaTheme="minorEastAsia" w:cs="Times New Roman"/>
          <w:sz w:val="20"/>
          <w:szCs w:val="20"/>
        </w:rPr>
      </w:pPr>
      <m:oMath>
        <m:r>
          <w:rPr>
            <w:rFonts w:ascii="Cambria Math" w:hAnsi="Cambria Math" w:cs="Times New Roman"/>
            <w:sz w:val="20"/>
            <w:szCs w:val="20"/>
          </w:rPr>
          <m:t>β</m:t>
        </m:r>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=β</m:t>
        </m:r>
        <m:d>
          <m:dPr>
            <m:ctrlPr>
              <w:rPr>
                <w:rFonts w:ascii="Cambria Math" w:hAnsi="Cambria Math" w:cs="Times New Roman"/>
                <w:i/>
                <w:sz w:val="20"/>
                <w:szCs w:val="20"/>
              </w:rPr>
            </m:ctrlPr>
          </m:dPr>
          <m:e>
            <m:r>
              <w:rPr>
                <w:rFonts w:ascii="Cambria Math" w:hAnsi="Cambria Math" w:cs="Times New Roman"/>
                <w:sz w:val="20"/>
                <w:szCs w:val="20"/>
              </w:rPr>
              <m:t>0</m:t>
            </m:r>
          </m:e>
        </m:d>
        <m:d>
          <m:dPr>
            <m:ctrlPr>
              <w:rPr>
                <w:rFonts w:ascii="Cambria Math" w:hAnsi="Cambria Math" w:cs="Times New Roman"/>
                <w:i/>
                <w:sz w:val="20"/>
                <w:szCs w:val="20"/>
              </w:rPr>
            </m:ctrlPr>
          </m:dPr>
          <m:e>
            <m:r>
              <w:rPr>
                <w:rFonts w:ascii="Cambria Math" w:hAnsi="Cambria Math" w:cs="Times New Roman"/>
                <w:sz w:val="20"/>
                <w:szCs w:val="20"/>
              </w:rPr>
              <m:t>1-</m:t>
            </m:r>
            <m:d>
              <m:dPr>
                <m:ctrlPr>
                  <w:rPr>
                    <w:rFonts w:ascii="Cambria Math" w:hAnsi="Cambria Math" w:cs="Times New Roman"/>
                    <w:i/>
                    <w:sz w:val="20"/>
                    <w:szCs w:val="20"/>
                  </w:rPr>
                </m:ctrlPr>
              </m:dPr>
              <m:e>
                <m:r>
                  <w:rPr>
                    <w:rFonts w:ascii="Cambria Math" w:hAnsi="Cambria Math" w:cs="Times New Roman"/>
                    <w:sz w:val="20"/>
                    <w:szCs w:val="20"/>
                  </w:rPr>
                  <m:t>1-</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e>
            </m:d>
            <m:d>
              <m:dPr>
                <m:begChr m:val="["/>
                <m:endChr m:val="]"/>
                <m:ctrlPr>
                  <w:rPr>
                    <w:rFonts w:ascii="Cambria Math" w:hAnsi="Cambria Math" w:cs="Times New Roman"/>
                    <w:i/>
                    <w:sz w:val="20"/>
                    <w:szCs w:val="20"/>
                  </w:rPr>
                </m:ctrlPr>
              </m:dPr>
              <m:e>
                <m:r>
                  <w:rPr>
                    <w:rFonts w:ascii="Cambria Math" w:hAnsi="Cambria Math" w:cs="Times New Roman"/>
                    <w:sz w:val="20"/>
                    <w:szCs w:val="20"/>
                  </w:rPr>
                  <m:t>1-S</m:t>
                </m:r>
                <m:d>
                  <m:dPr>
                    <m:ctrlPr>
                      <w:rPr>
                        <w:rFonts w:ascii="Cambria Math" w:hAnsi="Cambria Math" w:cs="Times New Roman"/>
                        <w:i/>
                        <w:sz w:val="20"/>
                        <w:szCs w:val="20"/>
                      </w:rPr>
                    </m:ctrlPr>
                  </m:dPr>
                  <m:e>
                    <m:r>
                      <w:rPr>
                        <w:rFonts w:ascii="Cambria Math" w:hAnsi="Cambria Math" w:cs="Times New Roman"/>
                        <w:sz w:val="20"/>
                        <w:szCs w:val="20"/>
                      </w:rPr>
                      <m:t>t-1</m:t>
                    </m:r>
                  </m:e>
                </m:d>
                <m:r>
                  <m:rPr>
                    <m:lit/>
                  </m:rPr>
                  <w:rPr>
                    <w:rFonts w:ascii="Cambria Math" w:hAnsi="Cambria Math" w:cs="Times New Roman"/>
                    <w:sz w:val="20"/>
                    <w:szCs w:val="20"/>
                  </w:rPr>
                  <m:t>/</m:t>
                </m:r>
                <m:r>
                  <w:rPr>
                    <w:rFonts w:ascii="Cambria Math" w:hAnsi="Cambria Math" w:cs="Times New Roman"/>
                    <w:sz w:val="20"/>
                    <w:szCs w:val="20"/>
                  </w:rPr>
                  <m:t>S</m:t>
                </m:r>
                <m:d>
                  <m:dPr>
                    <m:ctrlPr>
                      <w:rPr>
                        <w:rFonts w:ascii="Cambria Math" w:hAnsi="Cambria Math" w:cs="Times New Roman"/>
                        <w:i/>
                        <w:sz w:val="20"/>
                        <w:szCs w:val="20"/>
                      </w:rPr>
                    </m:ctrlPr>
                  </m:dPr>
                  <m:e>
                    <m:r>
                      <w:rPr>
                        <w:rFonts w:ascii="Cambria Math" w:hAnsi="Cambria Math" w:cs="Times New Roman"/>
                        <w:sz w:val="20"/>
                        <w:szCs w:val="20"/>
                      </w:rPr>
                      <m:t>0</m:t>
                    </m:r>
                  </m:e>
                </m:d>
              </m:e>
            </m:d>
          </m:e>
        </m:d>
      </m:oMath>
      <w:r w:rsidRPr="00435469">
        <w:rPr>
          <w:rFonts w:eastAsiaTheme="minorEastAsia" w:cs="Times New Roman"/>
          <w:sz w:val="20"/>
          <w:szCs w:val="20"/>
        </w:rPr>
        <w:t>.</w:t>
      </w:r>
    </w:p>
    <w:p w14:paraId="71B8D534" w14:textId="77777777" w:rsidR="005A6946" w:rsidRPr="00435469" w:rsidRDefault="005A6946" w:rsidP="00955FFB">
      <w:pPr>
        <w:pStyle w:val="Heading3"/>
        <w:rPr>
          <w:rFonts w:cs="Times New Roman"/>
          <w:color w:val="auto"/>
          <w:sz w:val="20"/>
          <w:szCs w:val="20"/>
        </w:rPr>
      </w:pPr>
      <w:bookmarkStart w:id="47" w:name="_Toc87863317"/>
      <w:bookmarkStart w:id="48" w:name="_Toc88488556"/>
      <w:bookmarkStart w:id="49" w:name="_Toc103252924"/>
      <w:r w:rsidRPr="00435469">
        <w:rPr>
          <w:rFonts w:cs="Times New Roman"/>
          <w:color w:val="auto"/>
          <w:sz w:val="20"/>
          <w:szCs w:val="20"/>
        </w:rPr>
        <w:t>Infectiousness in smear-positive and smear-negative active TB</w:t>
      </w:r>
      <w:bookmarkEnd w:id="47"/>
      <w:bookmarkEnd w:id="48"/>
      <w:bookmarkEnd w:id="49"/>
      <w:r w:rsidRPr="00435469">
        <w:rPr>
          <w:rFonts w:cs="Times New Roman"/>
          <w:color w:val="auto"/>
          <w:sz w:val="20"/>
          <w:szCs w:val="20"/>
        </w:rPr>
        <w:t xml:space="preserve"> </w:t>
      </w:r>
    </w:p>
    <w:p w14:paraId="2084DAED" w14:textId="5CF6B28A" w:rsidR="003104D7" w:rsidRPr="00435469" w:rsidRDefault="005A6946" w:rsidP="00955FFB">
      <w:pPr>
        <w:spacing w:line="240" w:lineRule="auto"/>
        <w:rPr>
          <w:rFonts w:cs="Times New Roman"/>
          <w:sz w:val="20"/>
          <w:szCs w:val="20"/>
        </w:rPr>
      </w:pPr>
      <w:r w:rsidRPr="00435469">
        <w:rPr>
          <w:rFonts w:eastAsia="Yu Mincho" w:cs="Times New Roman"/>
          <w:sz w:val="20"/>
          <w:szCs w:val="20"/>
        </w:rPr>
        <w:t xml:space="preserve">We rely on evidence from Andrews </w:t>
      </w:r>
      <w:r w:rsidRPr="00435469">
        <w:rPr>
          <w:rFonts w:eastAsia="Yu Mincho" w:cs="Times New Roman"/>
          <w:i/>
          <w:iCs/>
          <w:sz w:val="20"/>
          <w:szCs w:val="20"/>
        </w:rPr>
        <w:t>et al</w:t>
      </w:r>
      <w:r w:rsidRPr="00435469">
        <w:rPr>
          <w:rFonts w:eastAsia="Yu Mincho" w:cs="Times New Roman"/>
          <w:sz w:val="20"/>
          <w:szCs w:val="20"/>
        </w:rPr>
        <w:t xml:space="preserve">., who estimated the relative infectivity of smear-negative compared with smear-positive individuals to be 0.22 (95% CI 0.16-0.32)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{"citationItems":[{"id":"ITEM-1","itemData":{"DOI":"10.1016/S0140-6736(98)03406-0","ISSN":"01406736","abstract":"Background. The microscopic examination of sputum for acid-fast bacilli, is a simple and rapid test that is used to provide a presumptive diagnosis of infectious tuberculosis. While patients with tuberculosis with sputum smears negative for acid-fast bacilli are less infectious than those with positive smears, both theoretical and empirical evidence suggest that they can still transmit Mycobacterium tuberculosis. We aimed to estimate the risk of transmission from smear-negative individuals. Methods. As part of an ongoing study of the molecular epidemiology of tuberculosis in San Francisco, patients with tuberculosis with mycobacterial isolates with the same DNA fingerprint were assigned to clusters that were assumed to have involved recent transmission. Secondary cases with tuberculosis, whose mycobacterial isolates had the same DNA, were linked to their presumed source case to estimate transmission from smear-negative patients. Sensitivity analyses were done to assess potential bias due to misclassification of source cases, unidentified source cases, and HIV-1 co-infection. Findings. 1574 patients with culture-positive tuberculosis were reported and DNA fingerprints were available for 1359 (86%) of these patients. Of the 71 clusters of patients infected with strains that had matching fingerprints, 28 (39% [95% CI 28-52]) had a smear-negative putative source. There were 183 secondary cases in these 71 clusters, of whom a minimum of 32 were attributed to infection by smear-negative patients (17% [12-24]). The relative transmission rate of smear-negative compared with smear-positive patients was calculated as 0.22 (95% CI 0.16-0.32). Sensitivity analyses and stratification for HIV-1 status had no impact on these estimates. Interpretation. In San Francisco, the acid-fast-bacilli smear identifies the most infectious patients, but patients with smear-negative culture-positive tuberculosis appear responsible for about 17% of tuberculosis transmission.","author":[{"dropping-particle":"","family":"Behr","given":"M. A.","non-dropping-particle":"","parse-names":false,"suffix":""},{"dropping-particle":"","family":"Warren","given":"S. A.","non-dropping-particle":"","parse-names":false,"suffix":""},{"dropping-particle":"","family":"Salamon","given":"H.","non-dropping-particle":"","parse-names":false,"suffix":""},{"dropping-particle":"","family":"Hopewell","given":"P. C.","non-dropping-particle":"","parse-names":false,"suffix":""},{"dropping-particle":"","family":"Ponce De Leon","given":"A.","non-dropping-particle":"","parse-names":false,"suffix":""},{"dropping-particle":"","family":"Daley","given":"C. L.","non-dropping-particle":"","parse-names":false,"suffix":""},{"dropping-particle":"","family":"Small","given":"P. M.","non-dropping-particle":"","parse-names":false,"suffix":""}],"container-title":"Lancet","id":"ITEM-1","issue":"9151","issued":{"date-parts":[["1999"]]},"page":"444-449","title":"Transmission of Mycobacterium tuberculosis from patients smear-negative for acid-fast bacilli","type":"article-journal","volume":"353"},"uris":["http://www.mendeley.com/documents/?uuid=ec5538be-8966-455f-9f49-64cb736f9507","http://www.mendeley.com/documents/?uuid=65ea0d90-c582-4684-8ddd-6be28613e38a"]}],"mendeley":{"formattedCitation":"(28)","plainTextFormattedCitation":"(28)","previouslyFormattedCitation":"(28)"},"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(28)</w:t>
      </w:r>
      <w:r w:rsidRPr="00435469">
        <w:rPr>
          <w:rFonts w:cs="Times New Roman"/>
          <w:sz w:val="20"/>
          <w:szCs w:val="20"/>
        </w:rPr>
        <w:fldChar w:fldCharType="end"/>
      </w:r>
      <w:r w:rsidRPr="00435469">
        <w:rPr>
          <w:rFonts w:eastAsia="Yu Mincho" w:cs="Times New Roman"/>
          <w:sz w:val="20"/>
          <w:szCs w:val="20"/>
        </w:rPr>
        <w:t>. We define</w:t>
      </w:r>
      <w:r w:rsidRPr="00435469">
        <w:rPr>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i</m:t>
            </m:r>
          </m:sub>
        </m:sSub>
      </m:oMath>
      <w:r w:rsidRPr="00435469">
        <w:rPr>
          <w:sz w:val="20"/>
          <w:szCs w:val="20"/>
        </w:rPr>
        <w:t xml:space="preserve"> as the relative infectiousness of individual </w:t>
      </w:r>
      <m:oMath>
        <m:r>
          <w:rPr>
            <w:rFonts w:ascii="Cambria Math" w:hAnsi="Cambria Math" w:cs="Times New Roman"/>
            <w:sz w:val="20"/>
            <w:szCs w:val="20"/>
          </w:rPr>
          <m:t>i</m:t>
        </m:r>
      </m:oMath>
      <w:r w:rsidRPr="00435469">
        <w:rPr>
          <w:sz w:val="20"/>
          <w:szCs w:val="20"/>
        </w:rPr>
        <w:t xml:space="preserve"> and </w:t>
      </w:r>
      <w:r w:rsidR="0056334B" w:rsidRPr="00435469">
        <w:rPr>
          <w:sz w:val="20"/>
          <w:szCs w:val="20"/>
        </w:rPr>
        <w:t>previously s</w:t>
      </w:r>
      <w:r w:rsidR="0056334B" w:rsidRPr="00435469">
        <w:rPr>
          <w:rFonts w:eastAsia="Yu Mincho" w:cs="Times New Roman"/>
          <w:sz w:val="20"/>
          <w:szCs w:val="20"/>
        </w:rPr>
        <w:t xml:space="preserve">pecified </w:t>
      </w:r>
      <w:r w:rsidRPr="00435469">
        <w:rPr>
          <w:rFonts w:eastAsia="Yu Mincho" w:cs="Times New Roman"/>
          <w:sz w:val="20"/>
          <w:szCs w:val="20"/>
        </w:rPr>
        <w:t xml:space="preserve">a </w:t>
      </w:r>
      <w:r w:rsidRPr="00435469">
        <w:rPr>
          <w:rFonts w:cs="Times New Roman"/>
          <w:sz w:val="20"/>
          <w:szCs w:val="20"/>
        </w:rPr>
        <w:t>Beta (41.73; 147.9)</w:t>
      </w:r>
      <w:r w:rsidR="003E39C1" w:rsidRPr="00435469">
        <w:rPr>
          <w:rFonts w:cs="Times New Roman"/>
          <w:sz w:val="20"/>
          <w:szCs w:val="20"/>
        </w:rPr>
        <w:t xml:space="preserve"> </w:t>
      </w:r>
      <w:r w:rsidRPr="00435469">
        <w:rPr>
          <w:rFonts w:cs="Times New Roman"/>
          <w:sz w:val="20"/>
          <w:szCs w:val="20"/>
        </w:rPr>
        <w:t xml:space="preserve">prior distribution for the uncertainty around </w:t>
      </w:r>
      <w:r w:rsidR="00AF259A" w:rsidRPr="00435469">
        <w:rPr>
          <w:rFonts w:cs="Times New Roman"/>
          <w:sz w:val="20"/>
          <w:szCs w:val="20"/>
        </w:rPr>
        <w:t xml:space="preserve">the relative </w:t>
      </w:r>
      <w:r w:rsidRPr="00435469">
        <w:rPr>
          <w:rFonts w:cs="Times New Roman"/>
          <w:sz w:val="20"/>
          <w:szCs w:val="20"/>
        </w:rPr>
        <w:t xml:space="preserve">infectiousness </w:t>
      </w:r>
      <w:r w:rsidR="00AF259A" w:rsidRPr="00435469">
        <w:rPr>
          <w:rFonts w:cs="Times New Roman"/>
          <w:sz w:val="20"/>
          <w:szCs w:val="20"/>
        </w:rPr>
        <w:t>of smear-negative TB</w:t>
      </w:r>
      <w:r w:rsidR="0002784F" w:rsidRPr="00435469">
        <w:rPr>
          <w:rFonts w:cs="Times New Roman"/>
          <w:sz w:val="20"/>
          <w:szCs w:val="20"/>
        </w:rPr>
        <w:t>, with a mean of 0.</w:t>
      </w:r>
      <w:r w:rsidR="00DE1340" w:rsidRPr="00435469">
        <w:rPr>
          <w:rFonts w:cs="Times New Roman"/>
          <w:sz w:val="20"/>
          <w:szCs w:val="20"/>
        </w:rPr>
        <w:t>22</w:t>
      </w:r>
      <w:r w:rsidR="0002784F" w:rsidRPr="00435469">
        <w:rPr>
          <w:rFonts w:cs="Times New Roman"/>
          <w:sz w:val="20"/>
          <w:szCs w:val="20"/>
        </w:rPr>
        <w:t xml:space="preserve"> and standard deviation of 0.</w:t>
      </w:r>
      <w:r w:rsidR="009E3BB8" w:rsidRPr="00435469">
        <w:rPr>
          <w:rFonts w:cs="Times New Roman"/>
          <w:sz w:val="20"/>
          <w:szCs w:val="20"/>
        </w:rPr>
        <w:t>03</w:t>
      </w:r>
      <w:r w:rsidRPr="00435469">
        <w:rPr>
          <w:rFonts w:eastAsia="Yu Mincho" w:cs="Times New Roman"/>
          <w:sz w:val="20"/>
          <w:szCs w:val="20"/>
        </w:rPr>
        <w:t xml:space="preserve">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{"citationItems":[{"id":"ITEM-1","itemData":{"DOI":"10.1016/S0140-6736(98)03406-0","ISSN":"01406736","abstract":"Background. The microscopic examination of sputum for acid-fast bacilli, is a simple and rapid test that is used to provide a presumptive diagnosis of infectious tuberculosis. While patients with tuberculosis with sputum smears negative for acid-fast bacilli are less infectious than those with positive smears, both theoretical and empirical evidence suggest that they can still transmit Mycobacterium tuberculosis. We aimed to estimate the risk of transmission from smear-negative individuals. Methods. As part of an ongoing study of the molecular epidemiology of tuberculosis in San Francisco, patients with tuberculosis with mycobacterial isolates with the same DNA fingerprint were assigned to clusters that were assumed to have involved recent transmission. Secondary cases with tuberculosis, whose mycobacterial isolates had the same DNA, were linked to their presumed source case to estimate transmission from smear-negative patients. Sensitivity analyses were done to assess potential bias due to misclassification of source cases, unidentified source cases, and HIV-1 co-infection. Findings. 1574 patients with culture-positive tuberculosis were reported and DNA fingerprints were available for 1359 (86%) of these patients. Of the 71 clusters of patients infected with strains that had matching fingerprints, 28 (39% [95% CI 28-52]) had a smear-negative putative source. There were 183 secondary cases in these 71 clusters, of whom a minimum of 32 were attributed to infection by smear-negative patients (17% [12-24]). The relative transmission rate of smear-negative compared with smear-positive patients was calculated as 0.22 (95% CI 0.16-0.32). Sensitivity analyses and stratification for HIV-1 status had no impact on these estimates. Interpretation. In San Francisco, the acid-fast-bacilli smear identifies the most infectious patients, but patients with smear-negative culture-positive tuberculosis appear responsible for about 17% of tuberculosis transmission.","author":[{"dropping-particle":"","family":"Behr","given":"M. A.","non-dropping-particle":"","parse-names":false,"suffix":""},{"dropping-particle":"","family":"Warren","given":"S. A.","non-dropping-particle":"","parse-names":false,"suffix":""},{"dropping-particle":"","family":"Salamon","given":"H.","non-dropping-particle":"","parse-names":false,"suffix":""},{"dropping-particle":"","family":"Hopewell","given":"P. C.","non-dropping-particle":"","parse-names":false,"suffix":""},{"dropping-particle":"","family":"Ponce De Leon","given":"A.","non-dropping-particle":"","parse-names":false,"suffix":""},{"dropping-particle":"","family":"Daley","given":"C. L.","non-dropping-particle":"","parse-names":false,"suffix":""},{"dropping-particle":"","family":"Small","given":"P. M.","non-dropping-particle":"","parse-names":false,"suffix":""}],"container-title":"Lancet","id":"ITEM-1","issue":"9151","issued":{"date-parts":[["1999"]]},"page":"444-449","title":"Transmission of Mycobacterium tuberculosis from patients smear-negative for acid-fast bacilli","type":"article-journal","volume":"353"},"uris":["http://www.mendeley.com/documents/?uuid=ec5538be-8966-455f-9f49-64cb736f9507","http://www.mendeley.com/documents/?uuid=65ea0d90-c582-4684-8ddd-6be28613e38a"]}],"mendeley":{"formattedCitation":"(28)","plainTextFormattedCitation":"(28)","previouslyFormattedCitation":"(28)"},"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(28)</w:t>
      </w:r>
      <w:r w:rsidRPr="00435469">
        <w:rPr>
          <w:rFonts w:cs="Times New Roman"/>
          <w:sz w:val="20"/>
          <w:szCs w:val="20"/>
        </w:rPr>
        <w:fldChar w:fldCharType="end"/>
      </w:r>
      <w:r w:rsidRPr="00435469">
        <w:rPr>
          <w:rFonts w:cs="Times New Roman"/>
          <w:sz w:val="20"/>
          <w:szCs w:val="20"/>
        </w:rPr>
        <w:t>.</w:t>
      </w:r>
      <w:r w:rsidR="002F632D" w:rsidRPr="00435469">
        <w:rPr>
          <w:rFonts w:cs="Times New Roman"/>
          <w:sz w:val="20"/>
          <w:szCs w:val="20"/>
        </w:rPr>
        <w:t xml:space="preserve"> </w:t>
      </w:r>
      <w:r w:rsidR="00113ABD" w:rsidRPr="00435469">
        <w:rPr>
          <w:rFonts w:cs="Times New Roman"/>
          <w:sz w:val="20"/>
          <w:szCs w:val="20"/>
        </w:rPr>
        <w:t xml:space="preserve">In </w:t>
      </w:r>
      <w:r w:rsidR="00310D87" w:rsidRPr="00435469">
        <w:rPr>
          <w:rFonts w:cs="Times New Roman"/>
          <w:sz w:val="20"/>
          <w:szCs w:val="20"/>
        </w:rPr>
        <w:t>a</w:t>
      </w:r>
      <w:r w:rsidR="00113ABD" w:rsidRPr="00435469">
        <w:rPr>
          <w:rFonts w:cs="Times New Roman"/>
          <w:sz w:val="20"/>
          <w:szCs w:val="20"/>
        </w:rPr>
        <w:t xml:space="preserve"> previous calibration analysis,</w:t>
      </w:r>
      <w:r w:rsidR="004049A8" w:rsidRPr="00435469">
        <w:rPr>
          <w:rFonts w:cs="Times New Roman"/>
          <w:sz w:val="20"/>
          <w:szCs w:val="20"/>
        </w:rPr>
        <w:t xml:space="preserve"> we estimated the</w:t>
      </w:r>
      <w:r w:rsidR="00113ABD" w:rsidRPr="00435469">
        <w:rPr>
          <w:rFonts w:cs="Times New Roman"/>
          <w:sz w:val="20"/>
          <w:szCs w:val="20"/>
        </w:rPr>
        <w:t xml:space="preserve"> posterior mean and 95% confidence interval</w:t>
      </w:r>
      <w:r w:rsidR="006B29E7" w:rsidRPr="00435469">
        <w:rPr>
          <w:rFonts w:cs="Times New Roman"/>
          <w:sz w:val="20"/>
          <w:szCs w:val="20"/>
        </w:rPr>
        <w:t xml:space="preserve"> for this parameter</w:t>
      </w:r>
      <w:r w:rsidR="00113ABD" w:rsidRPr="00435469">
        <w:rPr>
          <w:rFonts w:cs="Times New Roman"/>
          <w:sz w:val="20"/>
          <w:szCs w:val="20"/>
        </w:rPr>
        <w:t xml:space="preserve"> </w:t>
      </w:r>
      <w:r w:rsidR="004049A8" w:rsidRPr="00435469">
        <w:rPr>
          <w:rFonts w:cs="Times New Roman"/>
          <w:sz w:val="20"/>
          <w:szCs w:val="20"/>
        </w:rPr>
        <w:t xml:space="preserve">at </w:t>
      </w:r>
      <w:r w:rsidR="00113ABD" w:rsidRPr="00435469">
        <w:rPr>
          <w:rFonts w:cs="Times New Roman"/>
          <w:sz w:val="20"/>
          <w:szCs w:val="20"/>
        </w:rPr>
        <w:t>0.206 (</w:t>
      </w:r>
      <w:r w:rsidR="004049A8" w:rsidRPr="00435469">
        <w:rPr>
          <w:rFonts w:cs="Times New Roman"/>
          <w:sz w:val="20"/>
          <w:szCs w:val="20"/>
        </w:rPr>
        <w:t xml:space="preserve">95% CI </w:t>
      </w:r>
      <w:r w:rsidR="00113ABD" w:rsidRPr="00435469">
        <w:rPr>
          <w:rFonts w:cs="Times New Roman"/>
          <w:sz w:val="20"/>
          <w:szCs w:val="20"/>
        </w:rPr>
        <w:t>0.196 – 0.218). In this analysis, we fixed this parameter at this mean of 0.206.</w:t>
      </w:r>
    </w:p>
    <w:p w14:paraId="331D5B16" w14:textId="77777777" w:rsidR="005A6946" w:rsidRPr="00435469" w:rsidRDefault="005A6946" w:rsidP="00955FFB">
      <w:pPr>
        <w:pStyle w:val="Heading3"/>
        <w:rPr>
          <w:color w:val="auto"/>
          <w:sz w:val="20"/>
          <w:szCs w:val="20"/>
        </w:rPr>
      </w:pPr>
      <w:bookmarkStart w:id="50" w:name="_Toc87863318"/>
      <w:bookmarkStart w:id="51" w:name="_Toc88488557"/>
      <w:bookmarkStart w:id="52" w:name="_Toc103252925"/>
      <w:r w:rsidRPr="00435469">
        <w:rPr>
          <w:color w:val="auto"/>
          <w:sz w:val="20"/>
          <w:szCs w:val="20"/>
        </w:rPr>
        <w:t>Social mixing patterns</w:t>
      </w:r>
      <w:bookmarkEnd w:id="50"/>
      <w:bookmarkEnd w:id="51"/>
      <w:bookmarkEnd w:id="52"/>
      <w:r w:rsidRPr="00435469">
        <w:rPr>
          <w:color w:val="auto"/>
          <w:sz w:val="20"/>
          <w:szCs w:val="20"/>
        </w:rPr>
        <w:t xml:space="preserve"> </w:t>
      </w:r>
    </w:p>
    <w:p w14:paraId="083C29F8" w14:textId="0AE50ADA" w:rsidR="005A6946" w:rsidRPr="00435469" w:rsidRDefault="005A6946" w:rsidP="00955FFB">
      <w:pPr>
        <w:spacing w:line="240" w:lineRule="auto"/>
        <w:rPr>
          <w:rFonts w:cs="Times New Roman"/>
          <w:sz w:val="20"/>
          <w:szCs w:val="20"/>
        </w:rPr>
      </w:pPr>
      <w:r w:rsidRPr="00435469">
        <w:rPr>
          <w:rFonts w:cs="Times New Roman"/>
          <w:sz w:val="20"/>
          <w:szCs w:val="20"/>
        </w:rPr>
        <w:t xml:space="preserve">The primary data source for the social mixing parameters in the model is the Dodd </w:t>
      </w:r>
      <w:r w:rsidRPr="00435469">
        <w:rPr>
          <w:rFonts w:cs="Times New Roman"/>
          <w:i/>
          <w:iCs/>
          <w:sz w:val="20"/>
          <w:szCs w:val="20"/>
        </w:rPr>
        <w:t>et al</w:t>
      </w:r>
      <w:r w:rsidRPr="00435469">
        <w:rPr>
          <w:rFonts w:cs="Times New Roman"/>
          <w:sz w:val="20"/>
          <w:szCs w:val="20"/>
        </w:rPr>
        <w:t xml:space="preserve">. study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{"citationItems":[{"id":"ITEM-1","itemData":{"DOI":"10.1093/aje/kwv160","ISBN":"1476-6256 (Electronic)\\r0002-9262 (Linking)","ISSN":"14766256","PMID":"26646292","abstract":"We aimed to model the incidence of infection with Mycobacterium tuberculosis among adults using data on infection incidence in children, disease prevalence in adults, and social contact patterns. We conducted a cross-sectional face-to-face survey of adults in 2011, enumerating \"close\" (shared conversation) and \"casual\" (shared indoor space) social contacts in 16 Zambian communities and 8 South African communities. We modeled the incidence of M. tuberculosis infection in all age groups using these contact patterns, as well as the observed incidence of M. tuberculosis infection in children and the prevalence of tuberculosis disease in adults. A total of 3,528 adults participated in the study. The reported rates of close and casual contact were 4.9 per adult per day (95% confidence interval: 4.6, 5.2) and 10.4 per adult per day (95% confidence interval: 9.3, 11.6), respectively. Rates of close contact were higher for adults in larger households and rural areas. There was preferential mixing of close contacts within age groups and within sexes. The estimated incidence of M. tuberculosis infection in adults was 1.5-6 times higher (2.5%-10% per year) than that in children. More than 50% of infections in men, women, and children were estimated to be due to contact with adult men. We conclude that estimates of infection incidence based on surveys in children might underestimate incidence in adults. Most infections may be due to contact with adult men. Treatment and control of tuberculosis in men is critical to protecting men, women, and children from tuberculosis.","author":[{"dropping-particle":"","family":"Dodd","given":"Peter J.","non-dropping-particle":"","parse-names":false,"suffix":""},{"dropping-particle":"","family":"Looker","given":"Clare","non-dropping-particle":"","parse-names":false,"suffix":""},{"dropping-particle":"","family":"Plumb","given":"Ian D.","non-dropping-particle":"","parse-names":false,"suffix":""},{"dropping-particle":"","family":"Bond","given":"Virginia","non-dropping-particle":"","parse-names":false,"suffix":""},{"dropping-particle":"","family":"Schaap","given":"Ab","non-dropping-particle":"","parse-names":false,"suffix":""},{"dropping-particle":"","family":"Shanaube","given":"Kwame","non-dropping-particle":"","parse-names":false,"suffix":""},{"dropping-particle":"","family":"Muyoyeta","given":"Monde","non-dropping-particle":"","parse-names":false,"suffix":""},{"dropping-particle":"","family":"Vynnycky","given":"Emilia","non-dropping-particle":"","parse-names":false,"suffix":""},{"dropping-particle":"","family":"Godfrey-Faussett","given":"Peter","non-dropping-particle":"","parse-names":false,"suffix":""},{"dropping-particle":"","family":"Corbett","given":"Elizabeth L.","non-dropping-particle":"","parse-names":false,"suffix":""},{"dropping-particle":"","family":"Beyers","given":"Nulda","non-dropping-particle":"","parse-names":false,"suffix":""},{"dropping-particle":"","family":"Ayles","given":"Helen","non-dropping-particle":"","parse-names":false,"suffix":""},{"dropping-particle":"","family":"White","given":"Richard G.","non-dropping-particle":"","parse-names":false,"suffix":""}],"container-title":"American Journal of Epidemiology","id":"ITEM-1","issue":"2","issued":{"date-parts":[["2016"]]},"page":"156-166","title":"Age- and Sex-Specific Social Contact Patterns and Incidence of Mycobacterium tuberculosis Infection","type":"article-journal","volume":"183"},"uris":["http://www.mendeley.com/documents/?uuid=a5909f99-75a1-4bf8-97b1-eb4a4f2484f2"]}],"mendeley":{"formattedCitation":"(29)","plainTextFormattedCitation":"(29)","previouslyFormattedCitation":"(29)"},"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(29)</w:t>
      </w:r>
      <w:r w:rsidRPr="00435469">
        <w:rPr>
          <w:rFonts w:cs="Times New Roman"/>
          <w:sz w:val="20"/>
          <w:szCs w:val="20"/>
        </w:rPr>
        <w:fldChar w:fldCharType="end"/>
      </w:r>
      <w:r w:rsidRPr="00435469">
        <w:rPr>
          <w:rFonts w:cs="Times New Roman"/>
          <w:sz w:val="20"/>
          <w:szCs w:val="20"/>
        </w:rPr>
        <w:t xml:space="preserve">. The data from this study were based on </w:t>
      </w:r>
      <w:r w:rsidR="00AF259A" w:rsidRPr="00435469">
        <w:rPr>
          <w:rFonts w:cs="Times New Roman"/>
          <w:sz w:val="20"/>
          <w:szCs w:val="20"/>
        </w:rPr>
        <w:t xml:space="preserve">a </w:t>
      </w:r>
      <w:r w:rsidRPr="00435469">
        <w:rPr>
          <w:rFonts w:cs="Times New Roman"/>
          <w:sz w:val="20"/>
          <w:szCs w:val="20"/>
        </w:rPr>
        <w:t xml:space="preserve">social contact survey conducted in eight communities in the Western Cape. In the study, interviewees reported contacts that </w:t>
      </w:r>
      <w:r w:rsidRPr="00435469">
        <w:rPr>
          <w:rFonts w:cs="Times New Roman"/>
          <w:sz w:val="20"/>
          <w:szCs w:val="20"/>
          <w:lang w:val="en-ZA"/>
        </w:rPr>
        <w:t>occurred approximately 24 hours before the interviews</w:t>
      </w:r>
      <w:r w:rsidRPr="00435469">
        <w:rPr>
          <w:rFonts w:cs="Times New Roman"/>
          <w:sz w:val="20"/>
          <w:szCs w:val="20"/>
        </w:rPr>
        <w:t xml:space="preserve">. We chose </w:t>
      </w:r>
      <w:r w:rsidRPr="00435469">
        <w:rPr>
          <w:rFonts w:cs="Times New Roman"/>
          <w:sz w:val="20"/>
          <w:szCs w:val="20"/>
        </w:rPr>
        <w:lastRenderedPageBreak/>
        <w:t xml:space="preserve">these data because they provide both an age and gender stratification. However, the data is limited to age groups &gt;18 years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{"citationItems":[{"id":"ITEM-1","itemData":{"DOI":"10.1016/S2214-109X(14)70245-1","ISBN":"2214-109X (Electronic)\\n2214-109X (Linking)","ISSN":"2214109X","PMID":"25103518","abstract":"Background: Confirmation of a diagnosis of tuberculosis in children (aged &lt;15 years) is challenging; under-reporting can result even when children do present to health services. Direct incidence estimates are unavailable, and WHO estimates build on paediatric notifications, with adjustment for incomplete surveillance by the same factor as adult notifications. We aimed to estimate the incidence of infection and disease in children, the prevalence of infection, and household exposure in the 22 countries with a high burden of the disease. Methods: Within a mechanistic mathematical model, we combined estimates of adult tuberculosis prevalence in 2010, with aspects of the natural history of paediatric tuberculosis. In a household model, we estimated household exposure and infection. We accounted for the effects of age, BCG vaccination, and HIV infection. Additionally, we tested sensitivity to key structural assumptions by repeating all analyses without variation in BCG efficacy by latitude. Findings: The median number of children estimated to be sharing a household with an individual with infectious tuberculosis in 2010 was 15319701 (IQR 13766297-17061821). In 2010, the median number of Mycobacterium tuberculosis infections in children was 7591759 (5800053-9969780), and 650977 children (424871-983118) developed disease. Cumulative exposure meant that the median number of children with latent infection in 2010 was 53234854 (41111669-68959804). The model suggests that 35% (23-54) of paediatric cases of tuberculosis in the 15 countries reporting notifications by age in 2010 were detected. India is predicted to account for 27% (22-33) of the total burden of paediatric tuberculosis in the 22 countries. The predicted proportion of tuberculosis burden in children for each country correlated with incidence, varying between 4% and 21%. Interpretation: Our model has shown that the incidence of paediatric tuberculosis is higher than the number of notifications, particularly in young children. Estimates of current household exposure and cumulative infection suggest an enormous opportunity for preventive treatment. Funding: UNITAID and the US Agency for International Development. ?? 2014 Dodd et al. Open Access article distributed under the terms of CC BY.","author":[{"dropping-particle":"","family":"Dodd","given":"Peter J.","non-dropping-particle":"","parse-names":false,"suffix":""},{"dropping-particle":"","family":"Gardiner","given":"Elizabeth","non-dropping-particle":"","parse-names":false,"suffix":""},{"dropping-particle":"","family":"Coghlan","given":"Renia","non-dropping-particle":"","parse-names":false,"suffix":""},{"dropping-particle":"","family":"Seddon","given":"James A.","non-dropping-particle":"","parse-names":false,"suffix":""}],"container-title":"The Lancet Global Health","id":"ITEM-1","issue":"8","issued":{"date-parts":[["2014"]]},"publisher":"Dodd et al. Open Access article distributed under the terms of CC BY","title":"Burden of childhood tuberculosis in 22 high-burden countries: A mathematical modelling study","type":"article-journal","volume":"2"},"uris":["http://www.mendeley.com/documents/?uuid=21c311fa-ca98-4c4c-94fd-7b91e12d9b15"]}],"mendeley":{"formattedCitation":"(30)","plainTextFormattedCitation":"(30)","previouslyFormattedCitation":"(30)"},"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(30)</w:t>
      </w:r>
      <w:r w:rsidRPr="00435469">
        <w:rPr>
          <w:rFonts w:cs="Times New Roman"/>
          <w:sz w:val="20"/>
          <w:szCs w:val="20"/>
        </w:rPr>
        <w:fldChar w:fldCharType="end"/>
      </w:r>
      <w:r w:rsidRPr="00435469">
        <w:rPr>
          <w:rFonts w:cs="Times New Roman"/>
          <w:sz w:val="20"/>
          <w:szCs w:val="20"/>
        </w:rPr>
        <w:t xml:space="preserve">. Therefore, for ages 10-18 years, we use data from Johnstone-Robertson </w:t>
      </w:r>
      <w:r w:rsidRPr="00435469">
        <w:rPr>
          <w:rFonts w:cs="Times New Roman"/>
          <w:i/>
          <w:iCs/>
          <w:sz w:val="20"/>
          <w:szCs w:val="20"/>
        </w:rPr>
        <w:t>et al</w:t>
      </w:r>
      <w:r w:rsidRPr="00435469">
        <w:rPr>
          <w:rFonts w:cs="Times New Roman"/>
          <w:sz w:val="20"/>
          <w:szCs w:val="20"/>
        </w:rPr>
        <w:t xml:space="preserve">.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{"citationItems":[{"id":"ITEM-1","itemData":{"DOI":"10.1093/aje/kwr251","ISBN":"1476-6256 (Electronic)\\r0002-9262 (Linking)","ISSN":"00029262","PMID":"22071585","abstract":"A prospective survey of social mixing patterns relevant to respiratory disease transmission by large droplets (e.g., influenza) or small droplet nuclei (e.g., tuberculosis) was performed in a South African township in 2010. A total of 571 randomly selected participants recorded the numbers, times, and locations of close contacts (physical/nonphysical) and indoor casual contacts met daily. The median number of physical contacts was 12 (interquartile range (IQR), 7-18), the median number of close contacts was 20 (IQR, 13-29), and the total number of indoor contacts was 30 (IQR, 12-54). Physical and close contacts were most frequent and age-associative in youths aged 5-19 years. Numbers of close contacts were 40% higher than in corresponding populations in industrialized countries (P &lt; 0.001). This may put township communities at higher risk for epidemics of acute respiratory illnesses. Simulations of an acute influenza epidemic predominantly involved adolescents and young adults, indicating that control strategies should be directed toward these age groups. Of all contacts, 86.2% occurred indoors with potential exposure to respiratory droplet nuclei, of which 27.2%, 20.1%, 20.0%, and 8.0% were in transport, own household, crèche/school, and work locations, respectively. Indoor contact time was long in households and short during transport. High numbers of indoor contacts and intergenerational mixing in households and transport may contribute to exceptionally high rates of tuberculosis transmission reported in the community.","author":[{"dropping-particle":"","family":"Johnstone-Robertson","given":"Simon P.","non-dropping-particle":"","parse-names":false,"suffix":""},{"dropping-particle":"","family":"Mark","given":"Daniella","non-dropping-particle":"","parse-names":false,"suffix":""},{"dropping-particle":"","family":"Morrow","given":"Carl","non-dropping-particle":"","parse-names":false,"suffix":""},{"dropping-particle":"","family":"Middelkoop","given":"Keren","non-dropping-particle":"","parse-names":false,"suffix":""},{"dropping-particle":"","family":"Chiswell","given":"Melika","non-dropping-particle":"","parse-names":false,"suffix":""},{"dropping-particle":"","family":"Aquino","given":"Lisa D H","non-dropping-particle":"","parse-names":false,"suffix":""},{"dropping-particle":"","family":"Bekker","given":"Linda Gail","non-dropping-particle":"","parse-names":false,"suffix":""},{"dropping-particle":"","family":"Wood","given":"Robin","non-dropping-particle":"","parse-names":false,"suffix":""}],"container-title":"American Journal of Epidemiology","id":"ITEM-1","issue":"11","issued":{"date-parts":[["2011"]]},"page":"1246-1255","title":"Social mixing patterns within a South African township community: Implications for respiratory disease transmission and control","type":"article-journal","volume":"174"},"uris":["http://www.mendeley.com/documents/?uuid=b77a7423-8e21-4747-9292-1cda442ef461"]}],"mendeley":{"formattedCitation":"(31)","plainTextFormattedCitation":"(31)","previouslyFormattedCitation":"(31)"},"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(31)</w:t>
      </w:r>
      <w:r w:rsidRPr="00435469">
        <w:rPr>
          <w:rFonts w:cs="Times New Roman"/>
          <w:sz w:val="20"/>
          <w:szCs w:val="20"/>
        </w:rPr>
        <w:fldChar w:fldCharType="end"/>
      </w:r>
      <w:r w:rsidRPr="00435469">
        <w:rPr>
          <w:rFonts w:cs="Times New Roman"/>
          <w:sz w:val="20"/>
          <w:szCs w:val="20"/>
        </w:rPr>
        <w:t xml:space="preserve">. This Johnstone-Robertson study was also conducted in the Western Cape, although the setting was limited to one township and the data were not differentiated by sex. Based on several social mixing studies, the majority of close contacts in this age group occur in school settings among children of similar age groups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{"citationItems":[{"id":"ITEM-1","itemData":{"DOI":"10.1093/aje/kwr251","ISBN":"1476-6256 (Electronic)\\r0002-9262 (Linking)","ISSN":"00029262","PMID":"22071585","abstract":"A prospective survey of social mixing patterns relevant to respiratory disease transmission by large droplets (e.g., influenza) or small droplet nuclei (e.g., tuberculosis) was performed in a South African township in 2010. A total of 571 randomly selected participants recorded the numbers, times, and locations of close contacts (physical/nonphysical) and indoor casual contacts met daily. The median number of physical contacts was 12 (interquartile range (IQR), 7-18), the median number of close contacts was 20 (IQR, 13-29), and the total number of indoor contacts was 30 (IQR, 12-54). Physical and close contacts were most frequent and age-associative in youths aged 5-19 years. Numbers of close contacts were 40% higher than in corresponding populations in industrialized countries (P &lt; 0.001). This may put township communities at higher risk for epidemics of acute respiratory illnesses. Simulations of an acute influenza epidemic predominantly involved adolescents and young adults, indicating that control strategies should be directed toward these age groups. Of all contacts, 86.2% occurred indoors with potential exposure to respiratory droplet nuclei, of which 27.2%, 20.1%, 20.0%, and 8.0% were in transport, own household, crèche/school, and work locations, respectively. Indoor contact time was long in households and short during transport. High numbers of indoor contacts and intergenerational mixing in households and transport may contribute to exceptionally high rates of tuberculosis transmission reported in the community.","author":[{"dropping-particle":"","family":"Johnstone-Robertson","given":"Simon P.","non-dropping-particle":"","parse-names":false,"suffix":""},{"dropping-particle":"","family":"Mark","given":"Daniella","non-dropping-particle":"","parse-names":false,"suffix":""},{"dropping-particle":"","family":"Morrow","given":"Carl","non-dropping-particle":"","parse-names":false,"suffix":""},{"dropping-particle":"","family":"Middelkoop","given":"Keren","non-dropping-particle":"","parse-names":false,"suffix":""},{"dropping-particle":"","family":"Chiswell","given":"Melika","non-dropping-particle":"","parse-names":false,"suffix":""},{"dropping-particle":"","family":"Aquino","given":"Lisa D H","non-dropping-particle":"","parse-names":false,"suffix":""},{"dropping-particle":"","family":"Bekker","given":"Linda Gail","non-dropping-particle":"","parse-names":false,"suffix":""},{"dropping-particle":"","family":"Wood","given":"Robin","non-dropping-particle":"","parse-names":false,"suffix":""}],"container-title":"American Journal of Epidemiology","id":"ITEM-1","issue":"11","issued":{"date-parts":[["2011"]]},"page":"1246-1255","title":"Social mixing patterns within a South African township community: Implications for respiratory disease transmission and control","type":"article-journal","volume":"174"},"uris":["http://www.mendeley.com/documents/?uuid=b77a7423-8e21-4747-9292-1cda442ef461"]},{"id":"ITEM-2","itemData":{"DOI":"http://dx.doi.org/10.1186/s12879-018-3073-1","ISBN":"1287901830731","ISSN":"1471-2334","abstract":"Background: Quantification of human interactions relevant to infectious disease transmission through social contact is central to predict disease dynamics, yet data from low-resource settings remain scarce. Methods: We undertook a social contact survey in rural Uganda, whereby participants were asked to recall details about the frequency, type, and socio-demographic characteristics of any conversational encounter that lasted for &gt;=5 min (henceforth defined as 'contacts') during the previous day. An estimate of the number of 'casual contacts' (i.e. &lt;5 min) was also obtained. Results: In total, 566 individuals were included in the study. On average participants reported having routine contact with 7.2 individuals (range 1-25). Children aged 5-14 years had the highest frequency of contacts and the elderly (&gt;=65 years) the fewest (P&lt;0.001). A strong age-assortative pattern was seen, particularly outside the household and increasingly so for contacts occurring further away from home. Adults aged 25-64 years tended to travel more often and further than others, and males travelled more frequently than females. Conclusion: Our study provides detailed information on contact patterns and their spatial characteristics in an African setting. It therefore fills an important knowledge gap that will help more accurately predict transmission dynamics and the impact of control strategies in such areas.Copyright © 2018 The Author(s).","author":[{"dropping-particle":"","family":"WarouxO","given":"le Polain","non-dropping-particle":"de","parse-names":false,"suffix":""},{"dropping-particle":"","family":"Cohuet","given":"S","non-dropping-particle":"","parse-names":false,"suffix":""},{"dropping-particle":"","family":"Ndazima","given":"D","non-dropping-particle":"","parse-names":false,"suffix":""},{"dropping-particle":"","family":"Kucharski","given":"A.J","non-dropping-particle":"","parse-names":false,"suffix":""},{"dropping-particle":"","family":"Juan-Giner","given":"A. J","non-dropping-particle":"","parse-names":false,"suffix":""},{"dropping-particle":"","family":"Flasche","given":"S","non-dropping-particle":"","parse-names":false,"suffix":""},{"dropping-particle":"","family":"Tumwesigye","given":"E","non-dropping-particle":"","parse-names":false,"suffix":""},{"dropping-particle":"","family":"Arinaitwe","given":"R","non-dropping-particle":"","parse-names":false,"suffix":""},{"dropping-particle":"","family":"Mwanga-Amumpaire","given":"J","non-dropping-particle":"","parse-names":false,"suffix":""},{"dropping-particle":"","family":"Boum","given":"Y","non-dropping-particle":"","parse-names":false,"suffix":""},{"dropping-particle":"","family":"Nackers","given":"F","non-dropping-particle":"","parse-names":false,"suffix":""},{"dropping-particle":"","family":"Checchi","given":"F","non-dropping-particle":"","parse-names":false,"suffix":""},{"dropping-particle":"","family":"Grais","given":"R.F","non-dropping-particle":"","parse-names":false,"suffix":""}],"container-title":"BMC Infectious Diseases","id":"ITEM-2","issue":"1","issued":{"date-parts":[["2018"]]},"page":"172","publisher":"BMC Infectious Diseases","title":"Characteristics of human encounters and social mixing patterns relevant to infectious diseases spread by close contact: A survey in Southwest Uganda","type":"article-journal","volume":"18"},"uris":["http://www.mendeley.com/documents/?uuid=28589bae-1516-47d1-a6bf-4df08e1ce3fb"]},{"id":"ITEM-3","itemData":{"DOI":"10.1371/journal.pmed.0050074","ISSN":"15491277","abstract":"BACKGROUND Mathematical modelling of infectious diseases transmitted by the respiratory or close-contact route (e.g., pandemic influenza) is increasingly being used to determine the impact of possible interventions. Although mixing patterns are known to be crucial determinants for model outcome, researchers often rely on a priori contact assumptions with little or no empirical basis. We conducted a population-based prospective survey of mixing patterns in eight European countries using a common paper-diary methodology. METHODS AND FINDINGS 7,290 participants recorded characteristics of 97,904 contacts with different individuals during one day, including age, sex, location, duration, frequency, and occurrence of physical contact. We found that mixing patterns and contact characteristics were remarkably similar across different European countries. Contact patterns were highly assortative with age: schoolchildren and young adults in particular tended to mix with people of the same age. Contacts lasting at least one hour or occurring on a daily basis mostly involved physical contact, while short duration and infrequent contacts tended to be nonphysical. Contacts at home, school, or leisure were more likely to be physical than contacts at the workplace or while travelling. Preliminary modelling indicates that 5- to 19-year-olds are expected to suffer the highest incidence during the initial epidemic phase of an emerging infection transmitted through social contacts measured here when the population is completely susceptible. CONCLUSIONS To our knowledge, our study provides the first large-scale quantitative approach to contact patterns relevant for infections transmitted by the respiratory or close-contact route, and the results should lead to improved parameterisation of mathematical models used to design control strategies.","author":[{"dropping-particle":"","family":"Mossong","given":"Joël","non-dropping-particle":"","parse-names":false,"suffix":""},{"dropping-particle":"","family":"Hens","given":"Niel","non-dropping-particle":"","parse-names":false,"suffix":""},{"dropping-particle":"","family":"Jit","given":"Mark","non-dropping-particle":"","parse-names":false,"suffix":""},{"dropping-particle":"","family":"Beutels","given":"Philippe","non-dropping-particle":"","parse-names":false,"suffix":""},{"dropping-particle":"","family":"Auranen","given":"Kari","non-dropping-particle":"","parse-names":false,"suffix":""},{"dropping-particle":"","family":"Mikolajczyk","given":"Rafael","non-dropping-particle":"","parse-names":false,"suffix":""},{"dropping-particle":"","family":"Massari","given":"Marco","non-dropping-particle":"","parse-names":false,"suffix":""},{"dropping-particle":"","family":"Salmaso","given":"Stefania","non-dropping-particle":"","parse-names":false,"suffix":""},{"dropping-particle":"","family":"Tomba","given":"Gianpaolo Scalia","non-dropping-particle":"","parse-names":false,"suffix":""},{"dropping-particle":"","family":"Wallinga","given":"Jacco","non-dropping-particle":"","parse-names":false,"suffix":""},{"dropping-particle":"","family":"Heijne","given":"Janneke","non-dropping-particle":"","parse-names":false,"suffix":""},{"dropping-particle":"","family":"Sadkowska-Todys","given":"Malgorzata","non-dropping-particle":"","parse-names":false,"suffix":""},{"dropping-particle":"","family":"Rosinska","given":"Magdalena","non-dropping-particle":"","parse-names":false,"suffix":""},{"dropping-particle":"","family":"Edmunds","given":"W. John","non-dropping-particle":"","parse-names":false,"suffix":""}],"container-title":"PLoS Medicine","id":"ITEM-3","issue":"3","issued":{"date-parts":[["2008"]]},"page":"0381-0391","title":"Social contacts and mixing patterns relevant to the spread of infectious diseases","type":"article-journal","volume":"5"},"uris":["http://www.mendeley.com/documents/?uuid=c9dc225d-b6e6-4224-a1f7-6fa6dfbc7b4d"]}],"mendeley":{"formattedCitation":"(31–33)","plainTextFormattedCitation":"(31–33)","previouslyFormattedCitation":"(31–33)"},"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(31–33)</w:t>
      </w:r>
      <w:r w:rsidRPr="00435469">
        <w:rPr>
          <w:rFonts w:cs="Times New Roman"/>
          <w:sz w:val="20"/>
          <w:szCs w:val="20"/>
        </w:rPr>
        <w:fldChar w:fldCharType="end"/>
      </w:r>
      <w:r w:rsidRPr="00435469">
        <w:rPr>
          <w:rFonts w:cs="Times New Roman"/>
          <w:sz w:val="20"/>
          <w:szCs w:val="20"/>
        </w:rPr>
        <w:t xml:space="preserve">. For simplicity, we assumed the sex structure in the age groups 10-18 years (Johnstone-Robertson </w:t>
      </w:r>
      <w:r w:rsidRPr="00435469">
        <w:rPr>
          <w:rFonts w:cs="Times New Roman"/>
          <w:i/>
          <w:iCs/>
          <w:sz w:val="20"/>
          <w:szCs w:val="20"/>
        </w:rPr>
        <w:t>et al</w:t>
      </w:r>
      <w:r w:rsidRPr="00435469">
        <w:rPr>
          <w:rFonts w:cs="Times New Roman"/>
          <w:sz w:val="20"/>
          <w:szCs w:val="20"/>
        </w:rPr>
        <w:t xml:space="preserve">. data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{"citationItems":[{"id":"ITEM-1","itemData":{"DOI":"10.1093/aje/kwr251","ISBN":"1476-6256 (Electronic)\\r0002-9262 (Linking)","ISSN":"00029262","PMID":"22071585","abstract":"A prospective survey of social mixing patterns relevant to respiratory disease transmission by large droplets (e.g., influenza) or small droplet nuclei (e.g., tuberculosis) was performed in a South African township in 2010. A total of 571 randomly selected participants recorded the numbers, times, and locations of close contacts (physical/nonphysical) and indoor casual contacts met daily. The median number of physical contacts was 12 (interquartile range (IQR), 7-18), the median number of close contacts was 20 (IQR, 13-29), and the total number of indoor contacts was 30 (IQR, 12-54). Physical and close contacts were most frequent and age-associative in youths aged 5-19 years. Numbers of close contacts were 40% higher than in corresponding populations in industrialized countries (P &lt; 0.001). This may put township communities at higher risk for epidemics of acute respiratory illnesses. Simulations of an acute influenza epidemic predominantly involved adolescents and young adults, indicating that control strategies should be directed toward these age groups. Of all contacts, 86.2% occurred indoors with potential exposure to respiratory droplet nuclei, of which 27.2%, 20.1%, 20.0%, and 8.0% were in transport, own household, crèche/school, and work locations, respectively. Indoor contact time was long in households and short during transport. High numbers of indoor contacts and intergenerational mixing in households and transport may contribute to exceptionally high rates of tuberculosis transmission reported in the community.","author":[{"dropping-particle":"","family":"Johnstone-Robertson","given":"Simon P.","non-dropping-particle":"","parse-names":false,"suffix":""},{"dropping-particle":"","family":"Mark","given":"Daniella","non-dropping-particle":"","parse-names":false,"suffix":""},{"dropping-particle":"","family":"Morrow","given":"Carl","non-dropping-particle":"","parse-names":false,"suffix":""},{"dropping-particle":"","family":"Middelkoop","given":"Keren","non-dropping-particle":"","parse-names":false,"suffix":""},{"dropping-particle":"","family":"Chiswell","given":"Melika","non-dropping-particle":"","parse-names":false,"suffix":""},{"dropping-particle":"","family":"Aquino","given":"Lisa D H","non-dropping-particle":"","parse-names":false,"suffix":""},{"dropping-particle":"","family":"Bekker","given":"Linda Gail","non-dropping-particle":"","parse-names":false,"suffix":""},{"dropping-particle":"","family":"Wood","given":"Robin","non-dropping-particle":"","parse-names":false,"suffix":""}],"container-title":"American Journal of Epidemiology","id":"ITEM-1","issue":"11","issued":{"date-parts":[["2011"]]},"page":"1246-1255","title":"Social mixing patterns within a South African township community: Implications for respiratory disease transmission and control","type":"article-journal","volume":"174"},"uris":["http://www.mendeley.com/documents/?uuid=b77a7423-8e21-4747-9292-1cda442ef461"]}],"mendeley":{"formattedCitation":"(31)","plainTextFormattedCitation":"(31)","previouslyFormattedCitation":"(31)"},"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(31)</w:t>
      </w:r>
      <w:r w:rsidRPr="00435469">
        <w:rPr>
          <w:rFonts w:cs="Times New Roman"/>
          <w:sz w:val="20"/>
          <w:szCs w:val="20"/>
        </w:rPr>
        <w:fldChar w:fldCharType="end"/>
      </w:r>
      <w:r w:rsidRPr="00435469">
        <w:rPr>
          <w:rFonts w:cs="Times New Roman"/>
          <w:sz w:val="20"/>
          <w:szCs w:val="20"/>
        </w:rPr>
        <w:t xml:space="preserve">) would be similar to that observed in the 19-25-year age group (Dodd </w:t>
      </w:r>
      <w:r w:rsidRPr="00435469">
        <w:rPr>
          <w:rFonts w:cs="Times New Roman"/>
          <w:i/>
          <w:iCs/>
          <w:sz w:val="20"/>
          <w:szCs w:val="20"/>
        </w:rPr>
        <w:t>et al</w:t>
      </w:r>
      <w:r w:rsidRPr="00435469">
        <w:rPr>
          <w:rFonts w:cs="Times New Roman"/>
          <w:sz w:val="20"/>
          <w:szCs w:val="20"/>
        </w:rPr>
        <w:t xml:space="preserve">. data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{"citationItems":[{"id":"ITEM-1","itemData":{"DOI":"10.1093/aje/kwv160","ISBN":"1476-6256 (Electronic)\\r0002-9262 (Linking)","ISSN":"14766256","PMID":"26646292","abstract":"We aimed to model the incidence of infection with Mycobacterium tuberculosis among adults using data on infection incidence in children, disease prevalence in adults, and social contact patterns. We conducted a cross-sectional face-to-face survey of adults in 2011, enumerating \"close\" (shared conversation) and \"casual\" (shared indoor space) social contacts in 16 Zambian communities and 8 South African communities. We modeled the incidence of M. tuberculosis infection in all age groups using these contact patterns, as well as the observed incidence of M. tuberculosis infection in children and the prevalence of tuberculosis disease in adults. A total of 3,528 adults participated in the study. The reported rates of close and casual contact were 4.9 per adult per day (95% confidence interval: 4.6, 5.2) and 10.4 per adult per day (95% confidence interval: 9.3, 11.6), respectively. Rates of close contact were higher for adults in larger households and rural areas. There was preferential mixing of close contacts within age groups and within sexes. The estimated incidence of M. tuberculosis infection in adults was 1.5-6 times higher (2.5%-10% per year) than that in children. More than 50% of infections in men, women, and children were estimated to be due to contact with adult men. We conclude that estimates of infection incidence based on surveys in children might underestimate incidence in adults. Most infections may be due to contact with adult men. Treatment and control of tuberculosis in men is critical to protecting men, women, and children from tuberculosis.","author":[{"dropping-particle":"","family":"Dodd","given":"Peter J.","non-dropping-particle":"","parse-names":false,"suffix":""},{"dropping-particle":"","family":"Looker","given":"Clare","non-dropping-particle":"","parse-names":false,"suffix":""},{"dropping-particle":"","family":"Plumb","given":"Ian D.","non-dropping-particle":"","parse-names":false,"suffix":""},{"dropping-particle":"","family":"Bond","given":"Virginia","non-dropping-particle":"","parse-names":false,"suffix":""},{"dropping-particle":"","family":"Schaap","given":"Ab","non-dropping-particle":"","parse-names":false,"suffix":""},{"dropping-particle":"","family":"Shanaube","given":"Kwame","non-dropping-particle":"","parse-names":false,"suffix":""},{"dropping-particle":"","family":"Muyoyeta","given":"Monde","non-dropping-particle":"","parse-names":false,"suffix":""},{"dropping-particle":"","family":"Vynnycky","given":"Emilia","non-dropping-particle":"","parse-names":false,"suffix":""},{"dropping-particle":"","family":"Godfrey-Faussett","given":"Peter","non-dropping-particle":"","parse-names":false,"suffix":""},{"dropping-particle":"","family":"Corbett","given":"Elizabeth L.","non-dropping-particle":"","parse-names":false,"suffix":""},{"dropping-particle":"","family":"Beyers","given":"Nulda","non-dropping-particle":"","parse-names":false,"suffix":""},{"dropping-particle":"","family":"Ayles","given":"Helen","non-dropping-particle":"","parse-names":false,"suffix":""},{"dropping-particle":"","family":"White","given":"Richard G.","non-dropping-particle":"","parse-names":false,"suffix":""}],"container-title":"American Journal of Epidemiology","id":"ITEM-1","issue":"2","issued":{"date-parts":[["2016"]]},"page":"156-166","title":"Age- and Sex-Specific Social Contact Patterns and Incidence of Mycobacterium tuberculosis Infection","type":"article-journal","volume":"183"},"uris":["http://www.mendeley.com/documents/?uuid=a5909f99-75a1-4bf8-97b1-eb4a4f2484f2"]}],"mendeley":{"formattedCitation":"(29)","plainTextFormattedCitation":"(29)","previouslyFormattedCitation":"(29)"},"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(29)</w:t>
      </w:r>
      <w:r w:rsidRPr="00435469">
        <w:rPr>
          <w:rFonts w:cs="Times New Roman"/>
          <w:sz w:val="20"/>
          <w:szCs w:val="20"/>
        </w:rPr>
        <w:fldChar w:fldCharType="end"/>
      </w:r>
      <w:r w:rsidRPr="00435469">
        <w:rPr>
          <w:rFonts w:cs="Times New Roman"/>
          <w:sz w:val="20"/>
          <w:szCs w:val="20"/>
        </w:rPr>
        <w:t xml:space="preserve">). </w:t>
      </w:r>
    </w:p>
    <w:p w14:paraId="0722D3CF" w14:textId="73868CF9" w:rsidR="005A6946" w:rsidRPr="00435469" w:rsidRDefault="005A6946" w:rsidP="00955FFB">
      <w:pPr>
        <w:spacing w:line="240" w:lineRule="auto"/>
        <w:rPr>
          <w:rFonts w:cs="Times New Roman"/>
          <w:sz w:val="20"/>
          <w:szCs w:val="20"/>
        </w:rPr>
      </w:pPr>
      <w:r w:rsidRPr="00435469">
        <w:rPr>
          <w:rFonts w:cs="Times New Roman"/>
          <w:sz w:val="20"/>
          <w:szCs w:val="20"/>
        </w:rPr>
        <w:t xml:space="preserve">The average contact rates across the age groups in the Johnstone-Robertson </w:t>
      </w:r>
      <w:r w:rsidRPr="00435469">
        <w:rPr>
          <w:rFonts w:cs="Times New Roman"/>
          <w:i/>
          <w:iCs/>
          <w:sz w:val="20"/>
          <w:szCs w:val="20"/>
        </w:rPr>
        <w:t>et al.</w:t>
      </w:r>
      <w:r w:rsidRPr="00435469">
        <w:rPr>
          <w:rFonts w:cs="Times New Roman"/>
          <w:sz w:val="20"/>
          <w:szCs w:val="20"/>
        </w:rPr>
        <w:t xml:space="preserve"> study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{"citationItems":[{"id":"ITEM-1","itemData":{"DOI":"10.1093/aje/kwr251","ISBN":"1476-6256 (Electronic)\\r0002-9262 (Linking)","ISSN":"00029262","PMID":"22071585","abstract":"A prospective survey of social mixing patterns relevant to respiratory disease transmission by large droplets (e.g., influenza) or small droplet nuclei (e.g., tuberculosis) was performed in a South African township in 2010. A total of 571 randomly selected participants recorded the numbers, times, and locations of close contacts (physical/nonphysical) and indoor casual contacts met daily. The median number of physical contacts was 12 (interquartile range (IQR), 7-18), the median number of close contacts was 20 (IQR, 13-29), and the total number of indoor contacts was 30 (IQR, 12-54). Physical and close contacts were most frequent and age-associative in youths aged 5-19 years. Numbers of close contacts were 40% higher than in corresponding populations in industrialized countries (P &lt; 0.001). This may put township communities at higher risk for epidemics of acute respiratory illnesses. Simulations of an acute influenza epidemic predominantly involved adolescents and young adults, indicating that control strategies should be directed toward these age groups. Of all contacts, 86.2% occurred indoors with potential exposure to respiratory droplet nuclei, of which 27.2%, 20.1%, 20.0%, and 8.0% were in transport, own household, crèche/school, and work locations, respectively. Indoor contact time was long in households and short during transport. High numbers of indoor contacts and intergenerational mixing in households and transport may contribute to exceptionally high rates of tuberculosis transmission reported in the community.","author":[{"dropping-particle":"","family":"Johnstone-Robertson","given":"Simon P.","non-dropping-particle":"","parse-names":false,"suffix":""},{"dropping-particle":"","family":"Mark","given":"Daniella","non-dropping-particle":"","parse-names":false,"suffix":""},{"dropping-particle":"","family":"Morrow","given":"Carl","non-dropping-particle":"","parse-names":false,"suffix":""},{"dropping-particle":"","family":"Middelkoop","given":"Keren","non-dropping-particle":"","parse-names":false,"suffix":""},{"dropping-particle":"","family":"Chiswell","given":"Melika","non-dropping-particle":"","parse-names":false,"suffix":""},{"dropping-particle":"","family":"Aquino","given":"Lisa D H","non-dropping-particle":"","parse-names":false,"suffix":""},{"dropping-particle":"","family":"Bekker","given":"Linda Gail","non-dropping-particle":"","parse-names":false,"suffix":""},{"dropping-particle":"","family":"Wood","given":"Robin","non-dropping-particle":"","parse-names":false,"suffix":""}],"container-title":"American Journal of Epidemiology","id":"ITEM-1","issue":"11","issued":{"date-parts":[["2011"]]},"page":"1246-1255","title":"Social mixing patterns within a South African township community: Implications for respiratory disease transmission and control","type":"article-journal","volume":"174"},"uris":["http://www.mendeley.com/documents/?uuid=b77a7423-8e21-4747-9292-1cda442ef461"]}],"mendeley":{"formattedCitation":"(31)","plainTextFormattedCitation":"(31)","previouslyFormattedCitation":"(31)"},"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(31)</w:t>
      </w:r>
      <w:r w:rsidRPr="00435469">
        <w:rPr>
          <w:rFonts w:cs="Times New Roman"/>
          <w:sz w:val="20"/>
          <w:szCs w:val="20"/>
        </w:rPr>
        <w:fldChar w:fldCharType="end"/>
      </w:r>
      <w:r w:rsidRPr="00435469">
        <w:rPr>
          <w:rFonts w:cs="Times New Roman"/>
          <w:sz w:val="20"/>
          <w:szCs w:val="20"/>
        </w:rPr>
        <w:t xml:space="preserve"> were higher than those observed in Dodd </w:t>
      </w:r>
      <w:r w:rsidRPr="00435469">
        <w:rPr>
          <w:rFonts w:cs="Times New Roman"/>
          <w:i/>
          <w:iCs/>
          <w:sz w:val="20"/>
          <w:szCs w:val="20"/>
        </w:rPr>
        <w:t>et al.</w:t>
      </w:r>
      <w:r w:rsidRPr="00435469">
        <w:rPr>
          <w:rFonts w:cs="Times New Roman"/>
          <w:sz w:val="20"/>
          <w:szCs w:val="20"/>
        </w:rPr>
        <w:t xml:space="preserve">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{"citationItems":[{"id":"ITEM-1","itemData":{"DOI":"10.1093/aje/kwv160","ISBN":"1476-6256 (Electronic)\\r0002-9262 (Linking)","ISSN":"14766256","PMID":"26646292","abstract":"We aimed to model the incidence of infection with Mycobacterium tuberculosis among adults using data on infection incidence in children, disease prevalence in adults, and social contact patterns. We conducted a cross-sectional face-to-face survey of adults in 2011, enumerating \"close\" (shared conversation) and \"casual\" (shared indoor space) social contacts in 16 Zambian communities and 8 South African communities. We modeled the incidence of M. tuberculosis infection in all age groups using these contact patterns, as well as the observed incidence of M. tuberculosis infection in children and the prevalence of tuberculosis disease in adults. A total of 3,528 adults participated in the study. The reported rates of close and casual contact were 4.9 per adult per day (95% confidence interval: 4.6, 5.2) and 10.4 per adult per day (95% confidence interval: 9.3, 11.6), respectively. Rates of close contact were higher for adults in larger households and rural areas. There was preferential mixing of close contacts within age groups and within sexes. The estimated incidence of M. tuberculosis infection in adults was 1.5-6 times higher (2.5%-10% per year) than that in children. More than 50% of infections in men, women, and children were estimated to be due to contact with adult men. We conclude that estimates of infection incidence based on surveys in children might underestimate incidence in adults. Most infections may be due to contact with adult men. Treatment and control of tuberculosis in men is critical to protecting men, women, and children from tuberculosis.","author":[{"dropping-particle":"","family":"Dodd","given":"Peter J.","non-dropping-particle":"","parse-names":false,"suffix":""},{"dropping-particle":"","family":"Looker","given":"Clare","non-dropping-particle":"","parse-names":false,"suffix":""},{"dropping-particle":"","family":"Plumb","given":"Ian D.","non-dropping-particle":"","parse-names":false,"suffix":""},{"dropping-particle":"","family":"Bond","given":"Virginia","non-dropping-particle":"","parse-names":false,"suffix":""},{"dropping-particle":"","family":"Schaap","given":"Ab","non-dropping-particle":"","parse-names":false,"suffix":""},{"dropping-particle":"","family":"Shanaube","given":"Kwame","non-dropping-particle":"","parse-names":false,"suffix":""},{"dropping-particle":"","family":"Muyoyeta","given":"Monde","non-dropping-particle":"","parse-names":false,"suffix":""},{"dropping-particle":"","family":"Vynnycky","given":"Emilia","non-dropping-particle":"","parse-names":false,"suffix":""},{"dropping-particle":"","family":"Godfrey-Faussett","given":"Peter","non-dropping-particle":"","parse-names":false,"suffix":""},{"dropping-particle":"","family":"Corbett","given":"Elizabeth L.","non-dropping-particle":"","parse-names":false,"suffix":""},{"dropping-particle":"","family":"Beyers","given":"Nulda","non-dropping-particle":"","parse-names":false,"suffix":""},{"dropping-particle":"","family":"Ayles","given":"Helen","non-dropping-particle":"","parse-names":false,"suffix":""},{"dropping-particle":"","family":"White","given":"Richard G.","non-dropping-particle":"","parse-names":false,"suffix":""}],"container-title":"American Journal of Epidemiology","id":"ITEM-1","issue":"2","issued":{"date-parts":[["2016"]]},"page":"156-166","title":"Age- and Sex-Specific Social Contact Patterns and Incidence of Mycobacterium tuberculosis Infection","type":"article-journal","volume":"183"},"uris":["http://www.mendeley.com/documents/?uuid=a5909f99-75a1-4bf8-97b1-eb4a4f2484f2"]}],"mendeley":{"formattedCitation":"(29)","plainTextFormattedCitation":"(29)","previouslyFormattedCitation":"(29)"},"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(29)</w:t>
      </w:r>
      <w:r w:rsidRPr="00435469">
        <w:rPr>
          <w:rFonts w:cs="Times New Roman"/>
          <w:sz w:val="20"/>
          <w:szCs w:val="20"/>
        </w:rPr>
        <w:fldChar w:fldCharType="end"/>
      </w:r>
      <w:r w:rsidRPr="00435469">
        <w:rPr>
          <w:rFonts w:cs="Times New Roman"/>
          <w:sz w:val="20"/>
          <w:szCs w:val="20"/>
        </w:rPr>
        <w:t xml:space="preserve"> study. This may be due to differences in study settings and definitions of "close contacts". In the Dodd </w:t>
      </w:r>
      <w:r w:rsidRPr="00435469">
        <w:rPr>
          <w:rFonts w:cs="Times New Roman"/>
          <w:i/>
          <w:iCs/>
          <w:sz w:val="20"/>
          <w:szCs w:val="20"/>
        </w:rPr>
        <w:t>et al</w:t>
      </w:r>
      <w:r w:rsidRPr="00435469">
        <w:rPr>
          <w:rFonts w:cs="Times New Roman"/>
          <w:sz w:val="20"/>
          <w:szCs w:val="20"/>
        </w:rPr>
        <w:t xml:space="preserve">. study, close contacts were defined as contacts involving a face-to-face conversation longer than a greeting and within an arm's reach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{"citationItems":[{"id":"ITEM-1","itemData":{"DOI":"10.1093/aje/kwv160","ISBN":"1476-6256 (Electronic)\\r0002-9262 (Linking)","ISSN":"14766256","PMID":"26646292","abstract":"We aimed to model the incidence of infection with Mycobacterium tuberculosis among adults using data on infection incidence in children, disease prevalence in adults, and social contact patterns. We conducted a cross-sectional face-to-face survey of adults in 2011, enumerating \"close\" (shared conversation) and \"casual\" (shared indoor space) social contacts in 16 Zambian communities and 8 South African communities. We modeled the incidence of M. tuberculosis infection in all age groups using these contact patterns, as well as the observed incidence of M. tuberculosis infection in children and the prevalence of tuberculosis disease in adults. A total of 3,528 adults participated in the study. The reported rates of close and casual contact were 4.9 per adult per day (95% confidence interval: 4.6, 5.2) and 10.4 per adult per day (95% confidence interval: 9.3, 11.6), respectively. Rates of close contact were higher for adults in larger households and rural areas. There was preferential mixing of close contacts within age groups and within sexes. The estimated incidence of M. tuberculosis infection in adults was 1.5-6 times higher (2.5%-10% per year) than that in children. More than 50% of infections in men, women, and children were estimated to be due to contact with adult men. We conclude that estimates of infection incidence based on surveys in children might underestimate incidence in adults. Most infections may be due to contact with adult men. Treatment and control of tuberculosis in men is critical to protecting men, women, and children from tuberculosis.","author":[{"dropping-particle":"","family":"Dodd","given":"Peter J.","non-dropping-particle":"","parse-names":false,"suffix":""},{"dropping-particle":"","family":"Looker","given":"Clare","non-dropping-particle":"","parse-names":false,"suffix":""},{"dropping-particle":"","family":"Plumb","given":"Ian D.","non-dropping-particle":"","parse-names":false,"suffix":""},{"dropping-particle":"","family":"Bond","given":"Virginia","non-dropping-particle":"","parse-names":false,"suffix":""},{"dropping-particle":"","family":"Schaap","given":"Ab","non-dropping-particle":"","parse-names":false,"suffix":""},{"dropping-particle":"","family":"Shanaube","given":"Kwame","non-dropping-particle":"","parse-names":false,"suffix":""},{"dropping-particle":"","family":"Muyoyeta","given":"Monde","non-dropping-particle":"","parse-names":false,"suffix":""},{"dropping-particle":"","family":"Vynnycky","given":"Emilia","non-dropping-particle":"","parse-names":false,"suffix":""},{"dropping-particle":"","family":"Godfrey-Faussett","given":"Peter","non-dropping-particle":"","parse-names":false,"suffix":""},{"dropping-particle":"","family":"Corbett","given":"Elizabeth L.","non-dropping-particle":"","parse-names":false,"suffix":""},{"dropping-particle":"","family":"Beyers","given":"Nulda","non-dropping-particle":"","parse-names":false,"suffix":""},{"dropping-particle":"","family":"Ayles","given":"Helen","non-dropping-particle":"","parse-names":false,"suffix":""},{"dropping-particle":"","family":"White","given":"Richard G.","non-dropping-particle":"","parse-names":false,"suffix":""}],"container-title":"American Journal of Epidemiology","id":"ITEM-1","issue":"2","issued":{"date-parts":[["2016"]]},"page":"156-166","title":"Age- and Sex-Specific Social Contact Patterns and Incidence of Mycobacterium tuberculosis Infection","type":"article-journal","volume":"183"},"uris":["http://www.mendeley.com/documents/?uuid=a5909f99-75a1-4bf8-97b1-eb4a4f2484f2"]}],"mendeley":{"formattedCitation":"(29)","plainTextFormattedCitation":"(29)","previouslyFormattedCitation":"(29)"},"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(29)</w:t>
      </w:r>
      <w:r w:rsidRPr="00435469">
        <w:rPr>
          <w:rFonts w:cs="Times New Roman"/>
          <w:sz w:val="20"/>
          <w:szCs w:val="20"/>
        </w:rPr>
        <w:fldChar w:fldCharType="end"/>
      </w:r>
      <w:r w:rsidRPr="00435469">
        <w:rPr>
          <w:rFonts w:cs="Times New Roman"/>
          <w:sz w:val="20"/>
          <w:szCs w:val="20"/>
        </w:rPr>
        <w:t xml:space="preserve">.  In Johnstone-Robertson </w:t>
      </w:r>
      <w:r w:rsidRPr="00435469">
        <w:rPr>
          <w:rFonts w:cs="Times New Roman"/>
          <w:i/>
          <w:iCs/>
          <w:sz w:val="20"/>
          <w:szCs w:val="20"/>
        </w:rPr>
        <w:t>et al</w:t>
      </w:r>
      <w:r w:rsidRPr="00435469">
        <w:rPr>
          <w:rFonts w:cs="Times New Roman"/>
          <w:sz w:val="20"/>
          <w:szCs w:val="20"/>
        </w:rPr>
        <w:t>. study, they were defined as contacts involving physical touch or those that involved a two-</w:t>
      </w:r>
      <w:r w:rsidR="008A7234" w:rsidRPr="00435469">
        <w:rPr>
          <w:rFonts w:cs="Times New Roman"/>
          <w:sz w:val="20"/>
          <w:szCs w:val="20"/>
        </w:rPr>
        <w:t xml:space="preserve">person </w:t>
      </w:r>
      <w:r w:rsidRPr="00435469">
        <w:rPr>
          <w:rFonts w:cs="Times New Roman"/>
          <w:sz w:val="20"/>
          <w:szCs w:val="20"/>
        </w:rPr>
        <w:t xml:space="preserve">conversation with three or more words in the physical presence of another person without physical touch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{"citationItems":[{"id":"ITEM-1","itemData":{"DOI":"10.1093/aje/kwr251","ISBN":"1476-6256 (Electronic)\\r0002-9262 (Linking)","ISSN":"00029262","PMID":"22071585","abstract":"A prospective survey of social mixing patterns relevant to respiratory disease transmission by large droplets (e.g., influenza) or small droplet nuclei (e.g., tuberculosis) was performed in a South African township in 2010. A total of 571 randomly selected participants recorded the numbers, times, and locations of close contacts (physical/nonphysical) and indoor casual contacts met daily. The median number of physical contacts was 12 (interquartile range (IQR), 7-18), the median number of close contacts was 20 (IQR, 13-29), and the total number of indoor contacts was 30 (IQR, 12-54). Physical and close contacts were most frequent and age-associative in youths aged 5-19 years. Numbers of close contacts were 40% higher than in corresponding populations in industrialized countries (P &lt; 0.001). This may put township communities at higher risk for epidemics of acute respiratory illnesses. Simulations of an acute influenza epidemic predominantly involved adolescents and young adults, indicating that control strategies should be directed toward these age groups. Of all contacts, 86.2% occurred indoors with potential exposure to respiratory droplet nuclei, of which 27.2%, 20.1%, 20.0%, and 8.0% were in transport, own household, crèche/school, and work locations, respectively. Indoor contact time was long in households and short during transport. High numbers of indoor contacts and intergenerational mixing in households and transport may contribute to exceptionally high rates of tuberculosis transmission reported in the community.","author":[{"dropping-particle":"","family":"Johnstone-Robertson","given":"Simon P.","non-dropping-particle":"","parse-names":false,"suffix":""},{"dropping-particle":"","family":"Mark","given":"Daniella","non-dropping-particle":"","parse-names":false,"suffix":""},{"dropping-particle":"","family":"Morrow","given":"Carl","non-dropping-particle":"","parse-names":false,"suffix":""},{"dropping-particle":"","family":"Middelkoop","given":"Keren","non-dropping-particle":"","parse-names":false,"suffix":""},{"dropping-particle":"","family":"Chiswell","given":"Melika","non-dropping-particle":"","parse-names":false,"suffix":""},{"dropping-particle":"","family":"Aquino","given":"Lisa D H","non-dropping-particle":"","parse-names":false,"suffix":""},{"dropping-particle":"","family":"Bekker","given":"Linda Gail","non-dropping-particle":"","parse-names":false,"suffix":""},{"dropping-particle":"","family":"Wood","given":"Robin","non-dropping-particle":"","parse-names":false,"suffix":""}],"container-title":"American Journal of Epidemiology","id":"ITEM-1","issue":"11","issued":{"date-parts":[["2011"]]},"page":"1246-1255","title":"Social mixing patterns within a South African township community: Implications for respiratory disease transmission and control","type":"article-journal","volume":"174"},"uris":["http://www.mendeley.com/documents/?uuid=b77a7423-8e21-4747-9292-1cda442ef461"]}],"mendeley":{"formattedCitation":"(31)","plainTextFormattedCitation":"(31)","previouslyFormattedCitation":"(31)"},"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(31)</w:t>
      </w:r>
      <w:r w:rsidRPr="00435469">
        <w:rPr>
          <w:rFonts w:cs="Times New Roman"/>
          <w:sz w:val="20"/>
          <w:szCs w:val="20"/>
        </w:rPr>
        <w:fldChar w:fldCharType="end"/>
      </w:r>
      <w:r w:rsidRPr="00435469">
        <w:rPr>
          <w:rFonts w:cs="Times New Roman"/>
          <w:sz w:val="20"/>
          <w:szCs w:val="20"/>
        </w:rPr>
        <w:t>. The former definition is more restrictive than the latter, hence limiting the number of contacts recorded.</w:t>
      </w:r>
    </w:p>
    <w:p w14:paraId="0B365DB3" w14:textId="5FC070D8" w:rsidR="00827574" w:rsidRPr="00435469" w:rsidRDefault="005A6946" w:rsidP="00955FFB">
      <w:pPr>
        <w:spacing w:line="240" w:lineRule="auto"/>
        <w:rPr>
          <w:rFonts w:cs="Times New Roman"/>
          <w:sz w:val="20"/>
          <w:szCs w:val="20"/>
        </w:rPr>
      </w:pPr>
      <w:r w:rsidRPr="00435469">
        <w:rPr>
          <w:rFonts w:cs="Times New Roman"/>
          <w:sz w:val="20"/>
          <w:szCs w:val="20"/>
        </w:rPr>
        <w:t xml:space="preserve">In order to have consistency in the mixing patterns in our assumptions (which are based on the Dodd </w:t>
      </w:r>
      <w:r w:rsidRPr="00435469">
        <w:rPr>
          <w:rFonts w:cs="Times New Roman"/>
          <w:i/>
          <w:iCs/>
          <w:sz w:val="20"/>
          <w:szCs w:val="20"/>
        </w:rPr>
        <w:t>et al</w:t>
      </w:r>
      <w:r w:rsidRPr="00435469">
        <w:rPr>
          <w:rFonts w:cs="Times New Roman"/>
          <w:sz w:val="20"/>
          <w:szCs w:val="20"/>
        </w:rPr>
        <w:t xml:space="preserve">. study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{"citationItems":[{"id":"ITEM-1","itemData":{"DOI":"10.1093/aje/kwv160","ISBN":"1476-6256 (Electronic)\\r0002-9262 (Linking)","ISSN":"14766256","PMID":"26646292","abstract":"We aimed to model the incidence of infection with Mycobacterium tuberculosis among adults using data on infection incidence in children, disease prevalence in adults, and social contact patterns. We conducted a cross-sectional face-to-face survey of adults in 2011, enumerating \"close\" (shared conversation) and \"casual\" (shared indoor space) social contacts in 16 Zambian communities and 8 South African communities. We modeled the incidence of M. tuberculosis infection in all age groups using these contact patterns, as well as the observed incidence of M. tuberculosis infection in children and the prevalence of tuberculosis disease in adults. A total of 3,528 adults participated in the study. The reported rates of close and casual contact were 4.9 per adult per day (95% confidence interval: 4.6, 5.2) and 10.4 per adult per day (95% confidence interval: 9.3, 11.6), respectively. Rates of close contact were higher for adults in larger households and rural areas. There was preferential mixing of close contacts within age groups and within sexes. The estimated incidence of M. tuberculosis infection in adults was 1.5-6 times higher (2.5%-10% per year) than that in children. More than 50% of infections in men, women, and children were estimated to be due to contact with adult men. We conclude that estimates of infection incidence based on surveys in children might underestimate incidence in adults. Most infections may be due to contact with adult men. Treatment and control of tuberculosis in men is critical to protecting men, women, and children from tuberculosis.","author":[{"dropping-particle":"","family":"Dodd","given":"Peter J.","non-dropping-particle":"","parse-names":false,"suffix":""},{"dropping-particle":"","family":"Looker","given":"Clare","non-dropping-particle":"","parse-names":false,"suffix":""},{"dropping-particle":"","family":"Plumb","given":"Ian D.","non-dropping-particle":"","parse-names":false,"suffix":""},{"dropping-particle":"","family":"Bond","given":"Virginia","non-dropping-particle":"","parse-names":false,"suffix":""},{"dropping-particle":"","family":"Schaap","given":"Ab","non-dropping-particle":"","parse-names":false,"suffix":""},{"dropping-particle":"","family":"Shanaube","given":"Kwame","non-dropping-particle":"","parse-names":false,"suffix":""},{"dropping-particle":"","family":"Muyoyeta","given":"Monde","non-dropping-particle":"","parse-names":false,"suffix":""},{"dropping-particle":"","family":"Vynnycky","given":"Emilia","non-dropping-particle":"","parse-names":false,"suffix":""},{"dropping-particle":"","family":"Godfrey-Faussett","given":"Peter","non-dropping-particle":"","parse-names":false,"suffix":""},{"dropping-particle":"","family":"Corbett","given":"Elizabeth L.","non-dropping-particle":"","parse-names":false,"suffix":""},{"dropping-particle":"","family":"Beyers","given":"Nulda","non-dropping-particle":"","parse-names":false,"suffix":""},{"dropping-particle":"","family":"Ayles","given":"Helen","non-dropping-particle":"","parse-names":false,"suffix":""},{"dropping-particle":"","family":"White","given":"Richard G.","non-dropping-particle":"","parse-names":false,"suffix":""}],"container-title":"American Journal of Epidemiology","id":"ITEM-1","issue":"2","issued":{"date-parts":[["2016"]]},"page":"156-166","title":"Age- and Sex-Specific Social Contact Patterns and Incidence of Mycobacterium tuberculosis Infection","type":"article-journal","volume":"183"},"uris":["http://www.mendeley.com/documents/?uuid=a5909f99-75a1-4bf8-97b1-eb4a4f2484f2"]}],"mendeley":{"formattedCitation":"(29)","plainTextFormattedCitation":"(29)","previouslyFormattedCitation":"(29)"},"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(29)</w:t>
      </w:r>
      <w:r w:rsidRPr="00435469">
        <w:rPr>
          <w:rFonts w:cs="Times New Roman"/>
          <w:sz w:val="20"/>
          <w:szCs w:val="20"/>
        </w:rPr>
        <w:fldChar w:fldCharType="end"/>
      </w:r>
      <w:r w:rsidRPr="00435469">
        <w:rPr>
          <w:rFonts w:cs="Times New Roman"/>
          <w:sz w:val="20"/>
          <w:szCs w:val="20"/>
        </w:rPr>
        <w:t xml:space="preserve">) and those observed in Johnstone-Robertson </w:t>
      </w:r>
      <w:r w:rsidRPr="00435469">
        <w:rPr>
          <w:rFonts w:cs="Times New Roman"/>
          <w:i/>
          <w:iCs/>
          <w:sz w:val="20"/>
          <w:szCs w:val="20"/>
        </w:rPr>
        <w:t>et al.</w:t>
      </w:r>
      <w:r w:rsidRPr="00435469">
        <w:rPr>
          <w:rFonts w:cs="Times New Roman"/>
          <w:sz w:val="20"/>
          <w:szCs w:val="20"/>
        </w:rPr>
        <w:t xml:space="preserve"> study, we applied the ratio of mean contacts for 10-17-year-olds to 18-25 year- </w:t>
      </w:r>
      <w:proofErr w:type="spellStart"/>
      <w:r w:rsidRPr="00435469">
        <w:rPr>
          <w:rFonts w:cs="Times New Roman"/>
          <w:sz w:val="20"/>
          <w:szCs w:val="20"/>
        </w:rPr>
        <w:t>olds</w:t>
      </w:r>
      <w:proofErr w:type="spellEnd"/>
      <w:r w:rsidRPr="00435469">
        <w:rPr>
          <w:rFonts w:cs="Times New Roman"/>
          <w:sz w:val="20"/>
          <w:szCs w:val="20"/>
        </w:rPr>
        <w:t xml:space="preserve"> in the Johnstone-Robertson </w:t>
      </w:r>
      <w:r w:rsidRPr="00435469">
        <w:rPr>
          <w:rFonts w:cs="Times New Roman"/>
          <w:i/>
          <w:iCs/>
          <w:sz w:val="20"/>
          <w:szCs w:val="20"/>
        </w:rPr>
        <w:t>et al.</w:t>
      </w:r>
      <w:r w:rsidRPr="00435469">
        <w:rPr>
          <w:rFonts w:cs="Times New Roman"/>
          <w:sz w:val="20"/>
          <w:szCs w:val="20"/>
        </w:rPr>
        <w:t xml:space="preserve"> study to the 18-25-year-old group in </w:t>
      </w:r>
      <w:r w:rsidR="00955AEE" w:rsidRPr="00435469">
        <w:rPr>
          <w:rFonts w:cs="Times New Roman"/>
          <w:sz w:val="20"/>
          <w:szCs w:val="20"/>
        </w:rPr>
        <w:t>Dodd et al</w:t>
      </w:r>
      <w:r w:rsidRPr="00435469">
        <w:rPr>
          <w:rFonts w:cs="Times New Roman"/>
          <w:sz w:val="20"/>
          <w:szCs w:val="20"/>
        </w:rPr>
        <w:t xml:space="preserve">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{"citationItems":[{"id":"ITEM-1","itemData":{"DOI":"10.1093/aje/kwr251","ISBN":"1476-6256 (Electronic)\\r0002-9262 (Linking)","ISSN":"00029262","PMID":"22071585","abstract":"A prospective survey of social mixing patterns relevant to respiratory disease transmission by large droplets (e.g., influenza) or small droplet nuclei (e.g., tuberculosis) was performed in a South African township in 2010. A total of 571 randomly selected participants recorded the numbers, times, and locations of close contacts (physical/nonphysical) and indoor casual contacts met daily. The median number of physical contacts was 12 (interquartile range (IQR), 7-18), the median number of close contacts was 20 (IQR, 13-29), and the total number of indoor contacts was 30 (IQR, 12-54). Physical and close contacts were most frequent and age-associative in youths aged 5-19 years. Numbers of close contacts were 40% higher than in corresponding populations in industrialized countries (P &lt; 0.001). This may put township communities at higher risk for epidemics of acute respiratory illnesses. Simulations of an acute influenza epidemic predominantly involved adolescents and young adults, indicating that control strategies should be directed toward these age groups. Of all contacts, 86.2% occurred indoors with potential exposure to respiratory droplet nuclei, of which 27.2%, 20.1%, 20.0%, and 8.0% were in transport, own household, crèche/school, and work locations, respectively. Indoor contact time was long in households and short during transport. High numbers of indoor contacts and intergenerational mixing in households and transport may contribute to exceptionally high rates of tuberculosis transmission reported in the community.","author":[{"dropping-particle":"","family":"Johnstone-Robertson","given":"Simon P.","non-dropping-particle":"","parse-names":false,"suffix":""},{"dropping-particle":"","family":"Mark","given":"Daniella","non-dropping-particle":"","parse-names":false,"suffix":""},{"dropping-particle":"","family":"Morrow","given":"Carl","non-dropping-particle":"","parse-names":false,"suffix":""},{"dropping-particle":"","family":"Middelkoop","given":"Keren","non-dropping-particle":"","parse-names":false,"suffix":""},{"dropping-particle":"","family":"Chiswell","given":"Melika","non-dropping-particle":"","parse-names":false,"suffix":""},{"dropping-particle":"","family":"Aquino","given":"Lisa D H","non-dropping-particle":"","parse-names":false,"suffix":""},{"dropping-particle":"","family":"Bekker","given":"Linda Gail","non-dropping-particle":"","parse-names":false,"suffix":""},{"dropping-particle":"","family":"Wood","given":"Robin","non-dropping-particle":"","parse-names":false,"suffix":""}],"container-title":"American Journal of Epidemiology","id":"ITEM-1","issue":"11","issued":{"date-parts":[["2011"]]},"page":"1246-1255","title":"Social mixing patterns within a South African township community: Implications for respiratory disease transmission and control","type":"article-journal","volume":"174"},"uris":["http://www.mendeley.com/documents/?uuid=b77a7423-8e21-4747-9292-1cda442ef461"]}],"mendeley":{"formattedCitation":"(31)","plainTextFormattedCitation":"(31)","previouslyFormattedCitation":"(31)"},"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(31)</w:t>
      </w:r>
      <w:r w:rsidRPr="00435469">
        <w:rPr>
          <w:rFonts w:cs="Times New Roman"/>
          <w:sz w:val="20"/>
          <w:szCs w:val="20"/>
        </w:rPr>
        <w:fldChar w:fldCharType="end"/>
      </w:r>
      <w:r w:rsidRPr="00435469">
        <w:rPr>
          <w:rFonts w:cs="Times New Roman"/>
          <w:sz w:val="20"/>
          <w:szCs w:val="20"/>
        </w:rPr>
        <w:t xml:space="preserve">. That is, the ratio 19.0 /15.9 = 1.2 multiplied by our study's average contact rate for the 18-25 years age group. The resulting contact rates and social mixing proportions are in </w:t>
      </w:r>
      <w:r w:rsidRPr="00435469">
        <w:rPr>
          <w:rFonts w:cs="Times New Roman"/>
          <w:sz w:val="20"/>
          <w:szCs w:val="20"/>
        </w:rPr>
        <w:fldChar w:fldCharType="begin"/>
      </w:r>
      <w:r w:rsidRPr="00435469">
        <w:rPr>
          <w:rFonts w:cs="Times New Roman"/>
          <w:sz w:val="20"/>
          <w:szCs w:val="20"/>
        </w:rPr>
        <w:instrText xml:space="preserve"> REF _Ref87766389 \h  \* MERGEFORMAT </w:instrText>
      </w:r>
      <w:r w:rsidRPr="00435469">
        <w:rPr>
          <w:rFonts w:cs="Times New Roman"/>
          <w:sz w:val="20"/>
          <w:szCs w:val="20"/>
        </w:rPr>
      </w:r>
      <w:r w:rsidRPr="00435469">
        <w:rPr>
          <w:rFonts w:cs="Times New Roman"/>
          <w:sz w:val="20"/>
          <w:szCs w:val="20"/>
        </w:rPr>
        <w:fldChar w:fldCharType="separate"/>
      </w:r>
      <w:r w:rsidR="00186C2F" w:rsidRPr="00435469">
        <w:rPr>
          <w:sz w:val="20"/>
          <w:szCs w:val="20"/>
        </w:rPr>
        <w:t>Table 5</w:t>
      </w:r>
      <w:r w:rsidRPr="00435469">
        <w:rPr>
          <w:rFonts w:cs="Times New Roman"/>
          <w:sz w:val="20"/>
          <w:szCs w:val="20"/>
        </w:rPr>
        <w:fldChar w:fldCharType="end"/>
      </w:r>
      <w:r w:rsidRPr="00435469">
        <w:rPr>
          <w:rFonts w:cs="Times New Roman"/>
          <w:sz w:val="20"/>
          <w:szCs w:val="20"/>
        </w:rPr>
        <w:t xml:space="preserve"> .</w:t>
      </w:r>
    </w:p>
    <w:p w14:paraId="31F63E5C" w14:textId="3E1FC606" w:rsidR="005A6946" w:rsidRPr="00435469" w:rsidRDefault="005A6946" w:rsidP="00955FFB">
      <w:pPr>
        <w:pStyle w:val="3CaptionBelowwithNote"/>
        <w:rPr>
          <w:iCs/>
          <w:sz w:val="20"/>
          <w:szCs w:val="20"/>
        </w:rPr>
      </w:pPr>
      <w:bookmarkStart w:id="53" w:name="_Ref87766389"/>
      <w:bookmarkStart w:id="54" w:name="_Toc87863396"/>
      <w:bookmarkStart w:id="55" w:name="_Toc103253658"/>
      <w:r w:rsidRPr="00435469">
        <w:rPr>
          <w:sz w:val="20"/>
          <w:szCs w:val="20"/>
        </w:rPr>
        <w:t xml:space="preserve">Table </w:t>
      </w:r>
      <w:r w:rsidRPr="00435469">
        <w:rPr>
          <w:iCs/>
          <w:noProof w:val="0"/>
          <w:sz w:val="20"/>
          <w:szCs w:val="20"/>
        </w:rPr>
        <w:fldChar w:fldCharType="begin"/>
      </w:r>
      <w:r w:rsidRPr="00435469">
        <w:rPr>
          <w:sz w:val="20"/>
          <w:szCs w:val="20"/>
        </w:rPr>
        <w:instrText xml:space="preserve"> SEQ Table \* ARABIC </w:instrText>
      </w:r>
      <w:r w:rsidRPr="00435469">
        <w:rPr>
          <w:iCs/>
          <w:noProof w:val="0"/>
          <w:sz w:val="20"/>
          <w:szCs w:val="20"/>
        </w:rPr>
        <w:fldChar w:fldCharType="separate"/>
      </w:r>
      <w:r w:rsidR="00186C2F" w:rsidRPr="00435469">
        <w:rPr>
          <w:sz w:val="20"/>
          <w:szCs w:val="20"/>
        </w:rPr>
        <w:t>5</w:t>
      </w:r>
      <w:r w:rsidRPr="00435469">
        <w:rPr>
          <w:iCs/>
          <w:sz w:val="20"/>
          <w:szCs w:val="20"/>
        </w:rPr>
        <w:fldChar w:fldCharType="end"/>
      </w:r>
      <w:bookmarkEnd w:id="53"/>
      <w:r w:rsidRPr="00435469">
        <w:rPr>
          <w:sz w:val="20"/>
          <w:szCs w:val="20"/>
        </w:rPr>
        <w:t>: Age- and sex-stratified proportions of social contacts in different age and sex groups, and mean contact rates</w:t>
      </w:r>
      <w:bookmarkEnd w:id="54"/>
      <w:bookmarkEnd w:id="55"/>
    </w:p>
    <w:tbl>
      <w:tblPr>
        <w:tblW w:w="9747" w:type="dxa"/>
        <w:tblLook w:val="04A0" w:firstRow="1" w:lastRow="0" w:firstColumn="1" w:lastColumn="0" w:noHBand="0" w:noVBand="1"/>
      </w:tblPr>
      <w:tblGrid>
        <w:gridCol w:w="808"/>
        <w:gridCol w:w="1261"/>
        <w:gridCol w:w="693"/>
        <w:gridCol w:w="693"/>
        <w:gridCol w:w="709"/>
        <w:gridCol w:w="709"/>
        <w:gridCol w:w="695"/>
        <w:gridCol w:w="693"/>
        <w:gridCol w:w="693"/>
        <w:gridCol w:w="709"/>
        <w:gridCol w:w="709"/>
        <w:gridCol w:w="695"/>
        <w:gridCol w:w="680"/>
      </w:tblGrid>
      <w:tr w:rsidR="00304411" w:rsidRPr="00435469" w14:paraId="754AC7BE" w14:textId="77777777" w:rsidTr="00C46225">
        <w:trPr>
          <w:trHeight w:val="252"/>
        </w:trPr>
        <w:tc>
          <w:tcPr>
            <w:tcW w:w="808" w:type="dxa"/>
            <w:tcBorders>
              <w:top w:val="single" w:sz="4" w:space="0" w:color="auto"/>
              <w:left w:val="nil"/>
              <w:right w:val="nil"/>
            </w:tcBorders>
            <w:shd w:val="clear" w:color="auto" w:fill="auto"/>
            <w:noWrap/>
            <w:vAlign w:val="bottom"/>
            <w:hideMark/>
          </w:tcPr>
          <w:p w14:paraId="4EC32716" w14:textId="77777777" w:rsidR="005A6946" w:rsidRPr="00435469" w:rsidRDefault="005A6946" w:rsidP="00955FFB">
            <w:pPr>
              <w:spacing w:after="0" w:line="240" w:lineRule="auto"/>
              <w:rPr>
                <w:rFonts w:cs="Times New Roman"/>
                <w:sz w:val="16"/>
                <w:szCs w:val="16"/>
                <w:lang w:eastAsia="en-ZA"/>
              </w:rPr>
            </w:pPr>
          </w:p>
        </w:tc>
        <w:tc>
          <w:tcPr>
            <w:tcW w:w="1261" w:type="dxa"/>
            <w:tcBorders>
              <w:top w:val="single" w:sz="4" w:space="0" w:color="auto"/>
              <w:left w:val="nil"/>
              <w:right w:val="nil"/>
            </w:tcBorders>
            <w:shd w:val="clear" w:color="auto" w:fill="auto"/>
            <w:noWrap/>
            <w:vAlign w:val="bottom"/>
            <w:hideMark/>
          </w:tcPr>
          <w:p w14:paraId="2FBF64C3" w14:textId="77777777" w:rsidR="005A6946" w:rsidRPr="00435469" w:rsidRDefault="005A6946" w:rsidP="00955FFB">
            <w:pPr>
              <w:spacing w:after="0" w:line="240" w:lineRule="auto"/>
              <w:rPr>
                <w:rFonts w:cs="Times New Roman"/>
                <w:sz w:val="16"/>
                <w:szCs w:val="16"/>
                <w:lang w:eastAsia="en-ZA"/>
              </w:rPr>
            </w:pPr>
          </w:p>
        </w:tc>
        <w:tc>
          <w:tcPr>
            <w:tcW w:w="3499" w:type="dxa"/>
            <w:gridSpan w:val="5"/>
            <w:tcBorders>
              <w:top w:val="single" w:sz="4" w:space="0" w:color="auto"/>
              <w:left w:val="nil"/>
              <w:bottom w:val="single" w:sz="4" w:space="0" w:color="auto"/>
              <w:right w:val="nil"/>
            </w:tcBorders>
            <w:shd w:val="clear" w:color="auto" w:fill="auto"/>
            <w:noWrap/>
            <w:vAlign w:val="bottom"/>
            <w:hideMark/>
          </w:tcPr>
          <w:p w14:paraId="5C896AA6"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 xml:space="preserve">Female </w:t>
            </w:r>
            <w:proofErr w:type="spellStart"/>
            <w:r w:rsidRPr="00435469">
              <w:rPr>
                <w:rFonts w:cs="Times New Roman"/>
                <w:b/>
                <w:sz w:val="16"/>
                <w:szCs w:val="16"/>
                <w:lang w:eastAsia="en-ZA"/>
              </w:rPr>
              <w:t>contactees</w:t>
            </w:r>
            <w:proofErr w:type="spellEnd"/>
          </w:p>
        </w:tc>
        <w:tc>
          <w:tcPr>
            <w:tcW w:w="3499" w:type="dxa"/>
            <w:gridSpan w:val="5"/>
            <w:tcBorders>
              <w:top w:val="single" w:sz="4" w:space="0" w:color="auto"/>
              <w:left w:val="nil"/>
              <w:bottom w:val="single" w:sz="4" w:space="0" w:color="auto"/>
              <w:right w:val="nil"/>
            </w:tcBorders>
            <w:shd w:val="clear" w:color="auto" w:fill="auto"/>
            <w:noWrap/>
            <w:vAlign w:val="bottom"/>
            <w:hideMark/>
          </w:tcPr>
          <w:p w14:paraId="1ECD4C08"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 xml:space="preserve">Male </w:t>
            </w:r>
            <w:proofErr w:type="spellStart"/>
            <w:r w:rsidRPr="00435469">
              <w:rPr>
                <w:rFonts w:cs="Times New Roman"/>
                <w:b/>
                <w:sz w:val="16"/>
                <w:szCs w:val="16"/>
                <w:lang w:eastAsia="en-ZA"/>
              </w:rPr>
              <w:t>contactees</w:t>
            </w:r>
            <w:proofErr w:type="spellEnd"/>
          </w:p>
        </w:tc>
        <w:tc>
          <w:tcPr>
            <w:tcW w:w="680" w:type="dxa"/>
            <w:tcBorders>
              <w:top w:val="single" w:sz="4" w:space="0" w:color="auto"/>
              <w:left w:val="nil"/>
              <w:bottom w:val="single" w:sz="4" w:space="0" w:color="auto"/>
              <w:right w:val="nil"/>
            </w:tcBorders>
            <w:shd w:val="clear" w:color="auto" w:fill="auto"/>
            <w:noWrap/>
            <w:vAlign w:val="bottom"/>
            <w:hideMark/>
          </w:tcPr>
          <w:p w14:paraId="44EA8DB2" w14:textId="77777777" w:rsidR="005A6946" w:rsidRPr="00435469" w:rsidRDefault="005A6946" w:rsidP="00955FFB">
            <w:pPr>
              <w:spacing w:after="0" w:line="240" w:lineRule="auto"/>
              <w:jc w:val="center"/>
              <w:rPr>
                <w:rFonts w:cs="Times New Roman"/>
                <w:sz w:val="16"/>
                <w:szCs w:val="16"/>
                <w:lang w:eastAsia="en-ZA"/>
              </w:rPr>
            </w:pPr>
          </w:p>
        </w:tc>
      </w:tr>
      <w:tr w:rsidR="00304411" w:rsidRPr="00435469" w14:paraId="7F84434F" w14:textId="77777777" w:rsidTr="004735F4">
        <w:trPr>
          <w:trHeight w:val="79"/>
        </w:trPr>
        <w:tc>
          <w:tcPr>
            <w:tcW w:w="808" w:type="dxa"/>
            <w:tcBorders>
              <w:bottom w:val="single" w:sz="4" w:space="0" w:color="auto"/>
            </w:tcBorders>
            <w:shd w:val="clear" w:color="auto" w:fill="auto"/>
            <w:noWrap/>
            <w:vAlign w:val="bottom"/>
            <w:hideMark/>
          </w:tcPr>
          <w:p w14:paraId="50DDBB4F" w14:textId="77777777" w:rsidR="005A6946" w:rsidRPr="00435469" w:rsidRDefault="005A6946" w:rsidP="00955FFB">
            <w:pPr>
              <w:spacing w:after="0" w:line="240" w:lineRule="auto"/>
              <w:rPr>
                <w:rFonts w:cs="Times New Roman"/>
                <w:b/>
                <w:sz w:val="16"/>
                <w:szCs w:val="16"/>
                <w:lang w:eastAsia="en-ZA"/>
              </w:rPr>
            </w:pPr>
            <w:r w:rsidRPr="00435469">
              <w:rPr>
                <w:rFonts w:cs="Times New Roman"/>
                <w:b/>
                <w:sz w:val="16"/>
                <w:szCs w:val="16"/>
                <w:lang w:eastAsia="en-ZA"/>
              </w:rPr>
              <w:t> </w:t>
            </w:r>
          </w:p>
        </w:tc>
        <w:tc>
          <w:tcPr>
            <w:tcW w:w="1261" w:type="dxa"/>
            <w:tcBorders>
              <w:bottom w:val="single" w:sz="4" w:space="0" w:color="auto"/>
            </w:tcBorders>
            <w:shd w:val="clear" w:color="auto" w:fill="auto"/>
            <w:noWrap/>
            <w:vAlign w:val="bottom"/>
            <w:hideMark/>
          </w:tcPr>
          <w:p w14:paraId="6567A621"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 xml:space="preserve">Age </w:t>
            </w:r>
          </w:p>
        </w:tc>
        <w:tc>
          <w:tcPr>
            <w:tcW w:w="693" w:type="dxa"/>
            <w:tcBorders>
              <w:top w:val="single" w:sz="4" w:space="0" w:color="auto"/>
              <w:bottom w:val="single" w:sz="4" w:space="0" w:color="auto"/>
            </w:tcBorders>
            <w:shd w:val="clear" w:color="auto" w:fill="auto"/>
            <w:noWrap/>
            <w:vAlign w:val="bottom"/>
            <w:hideMark/>
          </w:tcPr>
          <w:p w14:paraId="545D376C"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0-4</w:t>
            </w:r>
          </w:p>
        </w:tc>
        <w:tc>
          <w:tcPr>
            <w:tcW w:w="693" w:type="dxa"/>
            <w:tcBorders>
              <w:top w:val="single" w:sz="4" w:space="0" w:color="auto"/>
              <w:bottom w:val="single" w:sz="4" w:space="0" w:color="auto"/>
            </w:tcBorders>
            <w:shd w:val="clear" w:color="auto" w:fill="auto"/>
            <w:noWrap/>
            <w:vAlign w:val="bottom"/>
            <w:hideMark/>
          </w:tcPr>
          <w:p w14:paraId="1724189B"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5_12</w:t>
            </w:r>
          </w:p>
        </w:tc>
        <w:tc>
          <w:tcPr>
            <w:tcW w:w="709" w:type="dxa"/>
            <w:tcBorders>
              <w:top w:val="single" w:sz="4" w:space="0" w:color="auto"/>
              <w:bottom w:val="single" w:sz="4" w:space="0" w:color="auto"/>
            </w:tcBorders>
            <w:shd w:val="clear" w:color="auto" w:fill="auto"/>
            <w:noWrap/>
            <w:vAlign w:val="bottom"/>
            <w:hideMark/>
          </w:tcPr>
          <w:p w14:paraId="5ED0BB23"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13-25</w:t>
            </w:r>
          </w:p>
        </w:tc>
        <w:tc>
          <w:tcPr>
            <w:tcW w:w="709" w:type="dxa"/>
            <w:tcBorders>
              <w:top w:val="single" w:sz="4" w:space="0" w:color="auto"/>
              <w:bottom w:val="single" w:sz="4" w:space="0" w:color="auto"/>
            </w:tcBorders>
            <w:shd w:val="clear" w:color="auto" w:fill="auto"/>
            <w:noWrap/>
            <w:vAlign w:val="bottom"/>
            <w:hideMark/>
          </w:tcPr>
          <w:p w14:paraId="08A81CD6"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26-45</w:t>
            </w:r>
          </w:p>
        </w:tc>
        <w:tc>
          <w:tcPr>
            <w:tcW w:w="694" w:type="dxa"/>
            <w:tcBorders>
              <w:top w:val="single" w:sz="4" w:space="0" w:color="auto"/>
              <w:bottom w:val="single" w:sz="4" w:space="0" w:color="auto"/>
              <w:right w:val="single" w:sz="4" w:space="0" w:color="auto"/>
            </w:tcBorders>
            <w:shd w:val="clear" w:color="auto" w:fill="auto"/>
            <w:noWrap/>
            <w:vAlign w:val="bottom"/>
            <w:hideMark/>
          </w:tcPr>
          <w:p w14:paraId="3466FF88"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&gt;45</w:t>
            </w:r>
          </w:p>
        </w:tc>
        <w:tc>
          <w:tcPr>
            <w:tcW w:w="693" w:type="dxa"/>
            <w:tcBorders>
              <w:top w:val="single" w:sz="4" w:space="0" w:color="auto"/>
              <w:left w:val="single" w:sz="4" w:space="0" w:color="auto"/>
              <w:bottom w:val="single" w:sz="4" w:space="0" w:color="auto"/>
            </w:tcBorders>
            <w:shd w:val="clear" w:color="auto" w:fill="auto"/>
            <w:noWrap/>
            <w:vAlign w:val="bottom"/>
            <w:hideMark/>
          </w:tcPr>
          <w:p w14:paraId="6E65CA50"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0-4</w:t>
            </w:r>
          </w:p>
        </w:tc>
        <w:tc>
          <w:tcPr>
            <w:tcW w:w="693" w:type="dxa"/>
            <w:tcBorders>
              <w:top w:val="single" w:sz="4" w:space="0" w:color="auto"/>
              <w:bottom w:val="single" w:sz="4" w:space="0" w:color="auto"/>
            </w:tcBorders>
            <w:shd w:val="clear" w:color="auto" w:fill="auto"/>
            <w:noWrap/>
            <w:vAlign w:val="bottom"/>
            <w:hideMark/>
          </w:tcPr>
          <w:p w14:paraId="520F4AF5"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5_12</w:t>
            </w:r>
          </w:p>
        </w:tc>
        <w:tc>
          <w:tcPr>
            <w:tcW w:w="709" w:type="dxa"/>
            <w:tcBorders>
              <w:top w:val="single" w:sz="4" w:space="0" w:color="auto"/>
              <w:bottom w:val="single" w:sz="4" w:space="0" w:color="auto"/>
            </w:tcBorders>
            <w:shd w:val="clear" w:color="auto" w:fill="auto"/>
            <w:noWrap/>
            <w:vAlign w:val="bottom"/>
            <w:hideMark/>
          </w:tcPr>
          <w:p w14:paraId="2FBB886C"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13-25</w:t>
            </w:r>
          </w:p>
        </w:tc>
        <w:tc>
          <w:tcPr>
            <w:tcW w:w="709" w:type="dxa"/>
            <w:tcBorders>
              <w:top w:val="single" w:sz="4" w:space="0" w:color="auto"/>
              <w:bottom w:val="single" w:sz="4" w:space="0" w:color="auto"/>
            </w:tcBorders>
            <w:shd w:val="clear" w:color="auto" w:fill="auto"/>
            <w:noWrap/>
            <w:vAlign w:val="bottom"/>
            <w:hideMark/>
          </w:tcPr>
          <w:p w14:paraId="486D74E5"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26-45</w:t>
            </w:r>
          </w:p>
        </w:tc>
        <w:tc>
          <w:tcPr>
            <w:tcW w:w="694" w:type="dxa"/>
            <w:tcBorders>
              <w:top w:val="single" w:sz="4" w:space="0" w:color="auto"/>
              <w:bottom w:val="single" w:sz="4" w:space="0" w:color="auto"/>
            </w:tcBorders>
            <w:shd w:val="clear" w:color="auto" w:fill="auto"/>
            <w:noWrap/>
            <w:vAlign w:val="bottom"/>
            <w:hideMark/>
          </w:tcPr>
          <w:p w14:paraId="2A2A50FB"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&gt;45</w:t>
            </w:r>
          </w:p>
        </w:tc>
        <w:tc>
          <w:tcPr>
            <w:tcW w:w="680" w:type="dxa"/>
            <w:tcBorders>
              <w:top w:val="single" w:sz="4" w:space="0" w:color="auto"/>
              <w:bottom w:val="single" w:sz="4" w:space="0" w:color="auto"/>
            </w:tcBorders>
            <w:shd w:val="clear" w:color="auto" w:fill="auto"/>
            <w:noWrap/>
            <w:vAlign w:val="bottom"/>
            <w:hideMark/>
          </w:tcPr>
          <w:p w14:paraId="34717437" w14:textId="2A4889CF"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Mean</w:t>
            </w:r>
          </w:p>
        </w:tc>
      </w:tr>
      <w:tr w:rsidR="00304411" w:rsidRPr="00435469" w14:paraId="08A1585E" w14:textId="77777777" w:rsidTr="004735F4">
        <w:trPr>
          <w:trHeight w:val="240"/>
        </w:trPr>
        <w:tc>
          <w:tcPr>
            <w:tcW w:w="808" w:type="dxa"/>
            <w:vMerge w:val="restart"/>
            <w:tcBorders>
              <w:top w:val="single" w:sz="4" w:space="0" w:color="auto"/>
            </w:tcBorders>
            <w:shd w:val="clear" w:color="auto" w:fill="auto"/>
            <w:noWrap/>
            <w:vAlign w:val="center"/>
            <w:hideMark/>
          </w:tcPr>
          <w:p w14:paraId="10172C08"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Female</w:t>
            </w:r>
          </w:p>
        </w:tc>
        <w:tc>
          <w:tcPr>
            <w:tcW w:w="1261" w:type="dxa"/>
            <w:tcBorders>
              <w:top w:val="single" w:sz="4" w:space="0" w:color="auto"/>
            </w:tcBorders>
            <w:shd w:val="clear" w:color="auto" w:fill="auto"/>
            <w:noWrap/>
            <w:vAlign w:val="bottom"/>
            <w:hideMark/>
          </w:tcPr>
          <w:p w14:paraId="6400EBF9"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10-17</w:t>
            </w:r>
          </w:p>
        </w:tc>
        <w:tc>
          <w:tcPr>
            <w:tcW w:w="693" w:type="dxa"/>
            <w:tcBorders>
              <w:top w:val="single" w:sz="4" w:space="0" w:color="auto"/>
            </w:tcBorders>
            <w:shd w:val="clear" w:color="auto" w:fill="auto"/>
            <w:noWrap/>
            <w:vAlign w:val="bottom"/>
            <w:hideMark/>
          </w:tcPr>
          <w:p w14:paraId="12698AB9"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0.016</w:t>
            </w:r>
          </w:p>
        </w:tc>
        <w:tc>
          <w:tcPr>
            <w:tcW w:w="693" w:type="dxa"/>
            <w:tcBorders>
              <w:top w:val="single" w:sz="4" w:space="0" w:color="auto"/>
            </w:tcBorders>
            <w:shd w:val="clear" w:color="auto" w:fill="auto"/>
            <w:noWrap/>
            <w:vAlign w:val="bottom"/>
            <w:hideMark/>
          </w:tcPr>
          <w:p w14:paraId="75FB97D2"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0.042</w:t>
            </w:r>
          </w:p>
        </w:tc>
        <w:tc>
          <w:tcPr>
            <w:tcW w:w="709" w:type="dxa"/>
            <w:tcBorders>
              <w:top w:val="single" w:sz="4" w:space="0" w:color="auto"/>
            </w:tcBorders>
            <w:shd w:val="clear" w:color="auto" w:fill="auto"/>
            <w:noWrap/>
            <w:vAlign w:val="bottom"/>
            <w:hideMark/>
          </w:tcPr>
          <w:p w14:paraId="4FFC5178"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0.494</w:t>
            </w:r>
          </w:p>
        </w:tc>
        <w:tc>
          <w:tcPr>
            <w:tcW w:w="709" w:type="dxa"/>
            <w:tcBorders>
              <w:top w:val="single" w:sz="4" w:space="0" w:color="auto"/>
            </w:tcBorders>
            <w:shd w:val="clear" w:color="auto" w:fill="auto"/>
            <w:noWrap/>
            <w:vAlign w:val="bottom"/>
            <w:hideMark/>
          </w:tcPr>
          <w:p w14:paraId="1DCE3DF1"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0.124</w:t>
            </w:r>
          </w:p>
        </w:tc>
        <w:tc>
          <w:tcPr>
            <w:tcW w:w="694" w:type="dxa"/>
            <w:tcBorders>
              <w:top w:val="single" w:sz="4" w:space="0" w:color="auto"/>
              <w:right w:val="single" w:sz="4" w:space="0" w:color="auto"/>
            </w:tcBorders>
            <w:shd w:val="clear" w:color="auto" w:fill="auto"/>
            <w:noWrap/>
            <w:vAlign w:val="bottom"/>
            <w:hideMark/>
          </w:tcPr>
          <w:p w14:paraId="0C2AF5C2"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0.021</w:t>
            </w:r>
          </w:p>
        </w:tc>
        <w:tc>
          <w:tcPr>
            <w:tcW w:w="693" w:type="dxa"/>
            <w:tcBorders>
              <w:top w:val="single" w:sz="4" w:space="0" w:color="auto"/>
              <w:left w:val="single" w:sz="4" w:space="0" w:color="auto"/>
            </w:tcBorders>
            <w:shd w:val="clear" w:color="auto" w:fill="auto"/>
            <w:noWrap/>
            <w:vAlign w:val="bottom"/>
            <w:hideMark/>
          </w:tcPr>
          <w:p w14:paraId="6722D796"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0.015</w:t>
            </w:r>
          </w:p>
        </w:tc>
        <w:tc>
          <w:tcPr>
            <w:tcW w:w="693" w:type="dxa"/>
            <w:tcBorders>
              <w:top w:val="single" w:sz="4" w:space="0" w:color="auto"/>
            </w:tcBorders>
            <w:shd w:val="clear" w:color="auto" w:fill="auto"/>
            <w:noWrap/>
            <w:vAlign w:val="bottom"/>
            <w:hideMark/>
          </w:tcPr>
          <w:p w14:paraId="3EB5739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0.027</w:t>
            </w:r>
          </w:p>
        </w:tc>
        <w:tc>
          <w:tcPr>
            <w:tcW w:w="709" w:type="dxa"/>
            <w:tcBorders>
              <w:top w:val="single" w:sz="4" w:space="0" w:color="auto"/>
            </w:tcBorders>
            <w:shd w:val="clear" w:color="auto" w:fill="auto"/>
            <w:noWrap/>
            <w:vAlign w:val="bottom"/>
            <w:hideMark/>
          </w:tcPr>
          <w:p w14:paraId="5220BA2E"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0.169</w:t>
            </w:r>
          </w:p>
        </w:tc>
        <w:tc>
          <w:tcPr>
            <w:tcW w:w="709" w:type="dxa"/>
            <w:tcBorders>
              <w:top w:val="single" w:sz="4" w:space="0" w:color="auto"/>
            </w:tcBorders>
            <w:shd w:val="clear" w:color="auto" w:fill="auto"/>
            <w:noWrap/>
            <w:vAlign w:val="bottom"/>
            <w:hideMark/>
          </w:tcPr>
          <w:p w14:paraId="4C934B61"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0.081</w:t>
            </w:r>
          </w:p>
        </w:tc>
        <w:tc>
          <w:tcPr>
            <w:tcW w:w="694" w:type="dxa"/>
            <w:tcBorders>
              <w:top w:val="single" w:sz="4" w:space="0" w:color="auto"/>
            </w:tcBorders>
            <w:shd w:val="clear" w:color="auto" w:fill="auto"/>
            <w:noWrap/>
            <w:vAlign w:val="bottom"/>
            <w:hideMark/>
          </w:tcPr>
          <w:p w14:paraId="49BFABD1"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0.012</w:t>
            </w:r>
          </w:p>
        </w:tc>
        <w:tc>
          <w:tcPr>
            <w:tcW w:w="680" w:type="dxa"/>
            <w:tcBorders>
              <w:top w:val="single" w:sz="4" w:space="0" w:color="auto"/>
            </w:tcBorders>
            <w:shd w:val="clear" w:color="auto" w:fill="auto"/>
            <w:noWrap/>
            <w:vAlign w:val="bottom"/>
            <w:hideMark/>
          </w:tcPr>
          <w:p w14:paraId="592F5A20" w14:textId="66515181"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6.</w:t>
            </w:r>
            <w:r w:rsidR="0075070D" w:rsidRPr="00435469">
              <w:rPr>
                <w:rFonts w:cs="Times New Roman"/>
                <w:sz w:val="16"/>
                <w:szCs w:val="16"/>
                <w:lang w:eastAsia="en-ZA"/>
              </w:rPr>
              <w:t>84</w:t>
            </w:r>
          </w:p>
        </w:tc>
      </w:tr>
      <w:tr w:rsidR="00304411" w:rsidRPr="00435469" w14:paraId="2C3DCE95" w14:textId="77777777" w:rsidTr="004735F4">
        <w:trPr>
          <w:trHeight w:val="240"/>
        </w:trPr>
        <w:tc>
          <w:tcPr>
            <w:tcW w:w="808" w:type="dxa"/>
            <w:vMerge/>
            <w:shd w:val="clear" w:color="auto" w:fill="auto"/>
            <w:vAlign w:val="center"/>
            <w:hideMark/>
          </w:tcPr>
          <w:p w14:paraId="30C7C05A" w14:textId="77777777" w:rsidR="005A6946" w:rsidRPr="00435469" w:rsidRDefault="005A6946" w:rsidP="00955FFB">
            <w:pPr>
              <w:spacing w:after="0" w:line="240" w:lineRule="auto"/>
              <w:rPr>
                <w:rFonts w:cs="Times New Roman"/>
                <w:b/>
                <w:sz w:val="16"/>
                <w:szCs w:val="16"/>
                <w:lang w:eastAsia="en-ZA"/>
              </w:rPr>
            </w:pPr>
          </w:p>
        </w:tc>
        <w:tc>
          <w:tcPr>
            <w:tcW w:w="1261" w:type="dxa"/>
            <w:shd w:val="clear" w:color="auto" w:fill="auto"/>
            <w:noWrap/>
            <w:vAlign w:val="bottom"/>
            <w:hideMark/>
          </w:tcPr>
          <w:p w14:paraId="7A2B0AFE"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18-25</w:t>
            </w:r>
          </w:p>
        </w:tc>
        <w:tc>
          <w:tcPr>
            <w:tcW w:w="693" w:type="dxa"/>
            <w:shd w:val="clear" w:color="auto" w:fill="auto"/>
            <w:noWrap/>
            <w:vAlign w:val="bottom"/>
            <w:hideMark/>
          </w:tcPr>
          <w:p w14:paraId="6051AB5B"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0.052</w:t>
            </w:r>
          </w:p>
        </w:tc>
        <w:tc>
          <w:tcPr>
            <w:tcW w:w="693" w:type="dxa"/>
            <w:shd w:val="clear" w:color="auto" w:fill="auto"/>
            <w:noWrap/>
            <w:vAlign w:val="bottom"/>
            <w:hideMark/>
          </w:tcPr>
          <w:p w14:paraId="3827B047"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0.073</w:t>
            </w:r>
          </w:p>
        </w:tc>
        <w:tc>
          <w:tcPr>
            <w:tcW w:w="709" w:type="dxa"/>
            <w:shd w:val="clear" w:color="auto" w:fill="auto"/>
            <w:noWrap/>
            <w:vAlign w:val="bottom"/>
            <w:hideMark/>
          </w:tcPr>
          <w:p w14:paraId="65A2750C"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0.269</w:t>
            </w:r>
          </w:p>
        </w:tc>
        <w:tc>
          <w:tcPr>
            <w:tcW w:w="709" w:type="dxa"/>
            <w:shd w:val="clear" w:color="auto" w:fill="auto"/>
            <w:noWrap/>
            <w:vAlign w:val="bottom"/>
            <w:hideMark/>
          </w:tcPr>
          <w:p w14:paraId="247144B9"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0.168</w:t>
            </w:r>
          </w:p>
        </w:tc>
        <w:tc>
          <w:tcPr>
            <w:tcW w:w="694" w:type="dxa"/>
            <w:tcBorders>
              <w:right w:val="single" w:sz="4" w:space="0" w:color="auto"/>
            </w:tcBorders>
            <w:shd w:val="clear" w:color="auto" w:fill="auto"/>
            <w:noWrap/>
            <w:vAlign w:val="bottom"/>
            <w:hideMark/>
          </w:tcPr>
          <w:p w14:paraId="28662E3F"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0.09</w:t>
            </w:r>
          </w:p>
        </w:tc>
        <w:tc>
          <w:tcPr>
            <w:tcW w:w="693" w:type="dxa"/>
            <w:tcBorders>
              <w:left w:val="single" w:sz="4" w:space="0" w:color="auto"/>
            </w:tcBorders>
            <w:shd w:val="clear" w:color="auto" w:fill="auto"/>
            <w:noWrap/>
            <w:vAlign w:val="bottom"/>
            <w:hideMark/>
          </w:tcPr>
          <w:p w14:paraId="7308F3D6"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0.049</w:t>
            </w:r>
          </w:p>
        </w:tc>
        <w:tc>
          <w:tcPr>
            <w:tcW w:w="693" w:type="dxa"/>
            <w:shd w:val="clear" w:color="auto" w:fill="auto"/>
            <w:noWrap/>
            <w:vAlign w:val="bottom"/>
            <w:hideMark/>
          </w:tcPr>
          <w:p w14:paraId="397F477D"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0.046</w:t>
            </w:r>
          </w:p>
        </w:tc>
        <w:tc>
          <w:tcPr>
            <w:tcW w:w="709" w:type="dxa"/>
            <w:shd w:val="clear" w:color="auto" w:fill="auto"/>
            <w:noWrap/>
            <w:vAlign w:val="bottom"/>
            <w:hideMark/>
          </w:tcPr>
          <w:p w14:paraId="62E64BDE"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0.092</w:t>
            </w:r>
          </w:p>
        </w:tc>
        <w:tc>
          <w:tcPr>
            <w:tcW w:w="709" w:type="dxa"/>
            <w:shd w:val="clear" w:color="auto" w:fill="auto"/>
            <w:noWrap/>
            <w:vAlign w:val="bottom"/>
            <w:hideMark/>
          </w:tcPr>
          <w:p w14:paraId="37F96C19"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0.11</w:t>
            </w:r>
          </w:p>
        </w:tc>
        <w:tc>
          <w:tcPr>
            <w:tcW w:w="694" w:type="dxa"/>
            <w:shd w:val="clear" w:color="auto" w:fill="auto"/>
            <w:noWrap/>
            <w:vAlign w:val="bottom"/>
            <w:hideMark/>
          </w:tcPr>
          <w:p w14:paraId="76B4DCDC"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0.05</w:t>
            </w:r>
          </w:p>
        </w:tc>
        <w:tc>
          <w:tcPr>
            <w:tcW w:w="680" w:type="dxa"/>
            <w:shd w:val="clear" w:color="auto" w:fill="auto"/>
            <w:noWrap/>
            <w:vAlign w:val="bottom"/>
            <w:hideMark/>
          </w:tcPr>
          <w:p w14:paraId="1389E5B3" w14:textId="3AC8A900"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5.</w:t>
            </w:r>
            <w:r w:rsidR="0075070D" w:rsidRPr="00435469">
              <w:rPr>
                <w:rFonts w:cs="Times New Roman"/>
                <w:sz w:val="16"/>
                <w:szCs w:val="16"/>
                <w:lang w:eastAsia="en-ZA"/>
              </w:rPr>
              <w:t>70</w:t>
            </w:r>
          </w:p>
        </w:tc>
      </w:tr>
      <w:tr w:rsidR="00304411" w:rsidRPr="00435469" w14:paraId="34B7D041" w14:textId="77777777" w:rsidTr="004735F4">
        <w:trPr>
          <w:trHeight w:val="240"/>
        </w:trPr>
        <w:tc>
          <w:tcPr>
            <w:tcW w:w="808" w:type="dxa"/>
            <w:vMerge/>
            <w:shd w:val="clear" w:color="auto" w:fill="auto"/>
            <w:vAlign w:val="center"/>
            <w:hideMark/>
          </w:tcPr>
          <w:p w14:paraId="5A2AF9B4" w14:textId="77777777" w:rsidR="005A6946" w:rsidRPr="00435469" w:rsidRDefault="005A6946" w:rsidP="00955FFB">
            <w:pPr>
              <w:spacing w:after="0" w:line="240" w:lineRule="auto"/>
              <w:rPr>
                <w:rFonts w:cs="Times New Roman"/>
                <w:b/>
                <w:sz w:val="16"/>
                <w:szCs w:val="16"/>
                <w:lang w:eastAsia="en-ZA"/>
              </w:rPr>
            </w:pPr>
          </w:p>
        </w:tc>
        <w:tc>
          <w:tcPr>
            <w:tcW w:w="1261" w:type="dxa"/>
            <w:shd w:val="clear" w:color="auto" w:fill="auto"/>
            <w:noWrap/>
            <w:vAlign w:val="bottom"/>
            <w:hideMark/>
          </w:tcPr>
          <w:p w14:paraId="3DBA447C"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26-45</w:t>
            </w:r>
          </w:p>
        </w:tc>
        <w:tc>
          <w:tcPr>
            <w:tcW w:w="693" w:type="dxa"/>
            <w:shd w:val="clear" w:color="auto" w:fill="auto"/>
            <w:noWrap/>
            <w:vAlign w:val="bottom"/>
            <w:hideMark/>
          </w:tcPr>
          <w:p w14:paraId="2DE21793"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0.058</w:t>
            </w:r>
          </w:p>
        </w:tc>
        <w:tc>
          <w:tcPr>
            <w:tcW w:w="693" w:type="dxa"/>
            <w:shd w:val="clear" w:color="auto" w:fill="auto"/>
            <w:noWrap/>
            <w:vAlign w:val="bottom"/>
            <w:hideMark/>
          </w:tcPr>
          <w:p w14:paraId="55AF23A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0.083</w:t>
            </w:r>
          </w:p>
        </w:tc>
        <w:tc>
          <w:tcPr>
            <w:tcW w:w="709" w:type="dxa"/>
            <w:shd w:val="clear" w:color="auto" w:fill="auto"/>
            <w:noWrap/>
            <w:vAlign w:val="bottom"/>
            <w:hideMark/>
          </w:tcPr>
          <w:p w14:paraId="3AF8129D"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0.155</w:t>
            </w:r>
          </w:p>
        </w:tc>
        <w:tc>
          <w:tcPr>
            <w:tcW w:w="709" w:type="dxa"/>
            <w:shd w:val="clear" w:color="auto" w:fill="auto"/>
            <w:noWrap/>
            <w:vAlign w:val="bottom"/>
            <w:hideMark/>
          </w:tcPr>
          <w:p w14:paraId="59EEF36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0.238</w:t>
            </w:r>
          </w:p>
        </w:tc>
        <w:tc>
          <w:tcPr>
            <w:tcW w:w="694" w:type="dxa"/>
            <w:tcBorders>
              <w:right w:val="single" w:sz="4" w:space="0" w:color="auto"/>
            </w:tcBorders>
            <w:shd w:val="clear" w:color="auto" w:fill="auto"/>
            <w:noWrap/>
            <w:vAlign w:val="bottom"/>
            <w:hideMark/>
          </w:tcPr>
          <w:p w14:paraId="3EFD164E"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0.07</w:t>
            </w:r>
          </w:p>
        </w:tc>
        <w:tc>
          <w:tcPr>
            <w:tcW w:w="693" w:type="dxa"/>
            <w:tcBorders>
              <w:left w:val="single" w:sz="4" w:space="0" w:color="auto"/>
            </w:tcBorders>
            <w:shd w:val="clear" w:color="auto" w:fill="auto"/>
            <w:noWrap/>
            <w:vAlign w:val="bottom"/>
            <w:hideMark/>
          </w:tcPr>
          <w:p w14:paraId="0E4D7E4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0.051</w:t>
            </w:r>
          </w:p>
        </w:tc>
        <w:tc>
          <w:tcPr>
            <w:tcW w:w="693" w:type="dxa"/>
            <w:shd w:val="clear" w:color="auto" w:fill="auto"/>
            <w:noWrap/>
            <w:vAlign w:val="bottom"/>
            <w:hideMark/>
          </w:tcPr>
          <w:p w14:paraId="4DF28917"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0.058</w:t>
            </w:r>
          </w:p>
        </w:tc>
        <w:tc>
          <w:tcPr>
            <w:tcW w:w="709" w:type="dxa"/>
            <w:shd w:val="clear" w:color="auto" w:fill="auto"/>
            <w:noWrap/>
            <w:vAlign w:val="bottom"/>
            <w:hideMark/>
          </w:tcPr>
          <w:p w14:paraId="6C8217A3"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0.089</w:t>
            </w:r>
          </w:p>
        </w:tc>
        <w:tc>
          <w:tcPr>
            <w:tcW w:w="709" w:type="dxa"/>
            <w:shd w:val="clear" w:color="auto" w:fill="auto"/>
            <w:noWrap/>
            <w:vAlign w:val="bottom"/>
            <w:hideMark/>
          </w:tcPr>
          <w:p w14:paraId="55D1B1B6"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0.145</w:t>
            </w:r>
          </w:p>
        </w:tc>
        <w:tc>
          <w:tcPr>
            <w:tcW w:w="694" w:type="dxa"/>
            <w:shd w:val="clear" w:color="auto" w:fill="auto"/>
            <w:noWrap/>
            <w:vAlign w:val="bottom"/>
            <w:hideMark/>
          </w:tcPr>
          <w:p w14:paraId="689B89B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0.05</w:t>
            </w:r>
          </w:p>
        </w:tc>
        <w:tc>
          <w:tcPr>
            <w:tcW w:w="680" w:type="dxa"/>
            <w:shd w:val="clear" w:color="auto" w:fill="auto"/>
            <w:noWrap/>
            <w:vAlign w:val="bottom"/>
            <w:hideMark/>
          </w:tcPr>
          <w:p w14:paraId="31FF9304" w14:textId="054CA99D"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5.</w:t>
            </w:r>
            <w:r w:rsidR="0075070D" w:rsidRPr="00435469">
              <w:rPr>
                <w:rFonts w:cs="Times New Roman"/>
                <w:sz w:val="16"/>
                <w:szCs w:val="16"/>
                <w:lang w:eastAsia="en-ZA"/>
              </w:rPr>
              <w:t>4</w:t>
            </w:r>
            <w:r w:rsidR="00627ED1" w:rsidRPr="00435469">
              <w:rPr>
                <w:rFonts w:cs="Times New Roman"/>
                <w:sz w:val="16"/>
                <w:szCs w:val="16"/>
                <w:lang w:eastAsia="en-ZA"/>
              </w:rPr>
              <w:t>0</w:t>
            </w:r>
          </w:p>
        </w:tc>
      </w:tr>
      <w:tr w:rsidR="00304411" w:rsidRPr="00435469" w14:paraId="0128CCF6" w14:textId="77777777" w:rsidTr="004735F4">
        <w:trPr>
          <w:trHeight w:val="252"/>
        </w:trPr>
        <w:tc>
          <w:tcPr>
            <w:tcW w:w="808" w:type="dxa"/>
            <w:vMerge/>
            <w:shd w:val="clear" w:color="auto" w:fill="auto"/>
            <w:vAlign w:val="center"/>
            <w:hideMark/>
          </w:tcPr>
          <w:p w14:paraId="0ABD1240" w14:textId="77777777" w:rsidR="005A6946" w:rsidRPr="00435469" w:rsidRDefault="005A6946" w:rsidP="00955FFB">
            <w:pPr>
              <w:spacing w:after="0" w:line="240" w:lineRule="auto"/>
              <w:rPr>
                <w:rFonts w:cs="Times New Roman"/>
                <w:b/>
                <w:sz w:val="16"/>
                <w:szCs w:val="16"/>
                <w:lang w:eastAsia="en-ZA"/>
              </w:rPr>
            </w:pPr>
          </w:p>
        </w:tc>
        <w:tc>
          <w:tcPr>
            <w:tcW w:w="1261" w:type="dxa"/>
            <w:tcBorders>
              <w:bottom w:val="single" w:sz="4" w:space="0" w:color="auto"/>
            </w:tcBorders>
            <w:shd w:val="clear" w:color="auto" w:fill="auto"/>
            <w:noWrap/>
            <w:vAlign w:val="bottom"/>
            <w:hideMark/>
          </w:tcPr>
          <w:p w14:paraId="1271E36A"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&gt;45</w:t>
            </w:r>
          </w:p>
        </w:tc>
        <w:tc>
          <w:tcPr>
            <w:tcW w:w="693" w:type="dxa"/>
            <w:tcBorders>
              <w:bottom w:val="single" w:sz="4" w:space="0" w:color="auto"/>
            </w:tcBorders>
            <w:shd w:val="clear" w:color="auto" w:fill="auto"/>
            <w:noWrap/>
            <w:vAlign w:val="bottom"/>
            <w:hideMark/>
          </w:tcPr>
          <w:p w14:paraId="362E1BE5"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0.029</w:t>
            </w:r>
          </w:p>
        </w:tc>
        <w:tc>
          <w:tcPr>
            <w:tcW w:w="693" w:type="dxa"/>
            <w:tcBorders>
              <w:bottom w:val="single" w:sz="4" w:space="0" w:color="auto"/>
            </w:tcBorders>
            <w:shd w:val="clear" w:color="auto" w:fill="auto"/>
            <w:noWrap/>
            <w:vAlign w:val="bottom"/>
            <w:hideMark/>
          </w:tcPr>
          <w:p w14:paraId="21F0F77C"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0.066</w:t>
            </w:r>
          </w:p>
        </w:tc>
        <w:tc>
          <w:tcPr>
            <w:tcW w:w="709" w:type="dxa"/>
            <w:tcBorders>
              <w:bottom w:val="single" w:sz="4" w:space="0" w:color="auto"/>
            </w:tcBorders>
            <w:shd w:val="clear" w:color="auto" w:fill="auto"/>
            <w:noWrap/>
            <w:vAlign w:val="bottom"/>
            <w:hideMark/>
          </w:tcPr>
          <w:p w14:paraId="34531AF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0.162</w:t>
            </w:r>
          </w:p>
        </w:tc>
        <w:tc>
          <w:tcPr>
            <w:tcW w:w="709" w:type="dxa"/>
            <w:tcBorders>
              <w:bottom w:val="single" w:sz="4" w:space="0" w:color="auto"/>
            </w:tcBorders>
            <w:shd w:val="clear" w:color="auto" w:fill="auto"/>
            <w:noWrap/>
            <w:vAlign w:val="bottom"/>
            <w:hideMark/>
          </w:tcPr>
          <w:p w14:paraId="733EB4DF"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0.194</w:t>
            </w:r>
          </w:p>
        </w:tc>
        <w:tc>
          <w:tcPr>
            <w:tcW w:w="694" w:type="dxa"/>
            <w:tcBorders>
              <w:bottom w:val="single" w:sz="4" w:space="0" w:color="auto"/>
              <w:right w:val="single" w:sz="4" w:space="0" w:color="auto"/>
            </w:tcBorders>
            <w:shd w:val="clear" w:color="auto" w:fill="auto"/>
            <w:noWrap/>
            <w:vAlign w:val="bottom"/>
            <w:hideMark/>
          </w:tcPr>
          <w:p w14:paraId="47ADB6DD"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w:t>
            </w:r>
          </w:p>
        </w:tc>
        <w:tc>
          <w:tcPr>
            <w:tcW w:w="693" w:type="dxa"/>
            <w:tcBorders>
              <w:left w:val="single" w:sz="4" w:space="0" w:color="auto"/>
              <w:bottom w:val="single" w:sz="4" w:space="0" w:color="auto"/>
            </w:tcBorders>
            <w:shd w:val="clear" w:color="auto" w:fill="auto"/>
            <w:noWrap/>
            <w:vAlign w:val="bottom"/>
            <w:hideMark/>
          </w:tcPr>
          <w:p w14:paraId="6E4D0CD5"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0.046</w:t>
            </w:r>
          </w:p>
        </w:tc>
        <w:tc>
          <w:tcPr>
            <w:tcW w:w="693" w:type="dxa"/>
            <w:tcBorders>
              <w:bottom w:val="single" w:sz="4" w:space="0" w:color="auto"/>
            </w:tcBorders>
            <w:shd w:val="clear" w:color="auto" w:fill="auto"/>
            <w:noWrap/>
            <w:vAlign w:val="bottom"/>
            <w:hideMark/>
          </w:tcPr>
          <w:p w14:paraId="1CF22B56"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0.062</w:t>
            </w:r>
          </w:p>
        </w:tc>
        <w:tc>
          <w:tcPr>
            <w:tcW w:w="709" w:type="dxa"/>
            <w:tcBorders>
              <w:bottom w:val="single" w:sz="4" w:space="0" w:color="auto"/>
            </w:tcBorders>
            <w:shd w:val="clear" w:color="auto" w:fill="auto"/>
            <w:noWrap/>
            <w:vAlign w:val="bottom"/>
            <w:hideMark/>
          </w:tcPr>
          <w:p w14:paraId="117541B6"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0.13</w:t>
            </w:r>
          </w:p>
        </w:tc>
        <w:tc>
          <w:tcPr>
            <w:tcW w:w="709" w:type="dxa"/>
            <w:tcBorders>
              <w:bottom w:val="single" w:sz="4" w:space="0" w:color="auto"/>
            </w:tcBorders>
            <w:shd w:val="clear" w:color="auto" w:fill="auto"/>
            <w:noWrap/>
            <w:vAlign w:val="bottom"/>
            <w:hideMark/>
          </w:tcPr>
          <w:p w14:paraId="5A6690D2"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0.117</w:t>
            </w:r>
          </w:p>
        </w:tc>
        <w:tc>
          <w:tcPr>
            <w:tcW w:w="694" w:type="dxa"/>
            <w:tcBorders>
              <w:bottom w:val="single" w:sz="4" w:space="0" w:color="auto"/>
            </w:tcBorders>
            <w:shd w:val="clear" w:color="auto" w:fill="auto"/>
            <w:noWrap/>
            <w:vAlign w:val="bottom"/>
            <w:hideMark/>
          </w:tcPr>
          <w:p w14:paraId="2BCEC0D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0.09</w:t>
            </w:r>
          </w:p>
        </w:tc>
        <w:tc>
          <w:tcPr>
            <w:tcW w:w="680" w:type="dxa"/>
            <w:tcBorders>
              <w:bottom w:val="single" w:sz="4" w:space="0" w:color="auto"/>
            </w:tcBorders>
            <w:shd w:val="clear" w:color="auto" w:fill="auto"/>
            <w:noWrap/>
            <w:vAlign w:val="bottom"/>
            <w:hideMark/>
          </w:tcPr>
          <w:p w14:paraId="35C928A3" w14:textId="33BD6EB3" w:rsidR="005A6946" w:rsidRPr="00435469" w:rsidRDefault="00627ED1" w:rsidP="00955FFB">
            <w:pPr>
              <w:spacing w:after="0" w:line="240" w:lineRule="auto"/>
              <w:jc w:val="center"/>
              <w:rPr>
                <w:rFonts w:cs="Times New Roman"/>
                <w:sz w:val="16"/>
                <w:szCs w:val="16"/>
                <w:lang w:eastAsia="en-ZA"/>
              </w:rPr>
            </w:pPr>
            <w:r w:rsidRPr="00435469">
              <w:rPr>
                <w:rFonts w:cs="Times New Roman"/>
                <w:sz w:val="16"/>
                <w:szCs w:val="16"/>
                <w:lang w:eastAsia="en-ZA"/>
              </w:rPr>
              <w:t>5.30</w:t>
            </w:r>
          </w:p>
        </w:tc>
      </w:tr>
      <w:tr w:rsidR="00304411" w:rsidRPr="00435469" w14:paraId="3A5DB533" w14:textId="77777777" w:rsidTr="004735F4">
        <w:trPr>
          <w:trHeight w:val="240"/>
        </w:trPr>
        <w:tc>
          <w:tcPr>
            <w:tcW w:w="808" w:type="dxa"/>
            <w:vMerge w:val="restart"/>
            <w:shd w:val="clear" w:color="auto" w:fill="auto"/>
            <w:noWrap/>
            <w:vAlign w:val="center"/>
            <w:hideMark/>
          </w:tcPr>
          <w:p w14:paraId="154BA162"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Male</w:t>
            </w:r>
          </w:p>
        </w:tc>
        <w:tc>
          <w:tcPr>
            <w:tcW w:w="1261" w:type="dxa"/>
            <w:tcBorders>
              <w:top w:val="single" w:sz="4" w:space="0" w:color="auto"/>
            </w:tcBorders>
            <w:shd w:val="clear" w:color="auto" w:fill="auto"/>
            <w:noWrap/>
            <w:vAlign w:val="bottom"/>
            <w:hideMark/>
          </w:tcPr>
          <w:p w14:paraId="117ADFEF"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10-17</w:t>
            </w:r>
          </w:p>
        </w:tc>
        <w:tc>
          <w:tcPr>
            <w:tcW w:w="693" w:type="dxa"/>
            <w:tcBorders>
              <w:top w:val="single" w:sz="4" w:space="0" w:color="auto"/>
            </w:tcBorders>
            <w:shd w:val="clear" w:color="auto" w:fill="auto"/>
            <w:noWrap/>
            <w:vAlign w:val="bottom"/>
            <w:hideMark/>
          </w:tcPr>
          <w:p w14:paraId="31ED7CB3"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0.016</w:t>
            </w:r>
          </w:p>
        </w:tc>
        <w:tc>
          <w:tcPr>
            <w:tcW w:w="693" w:type="dxa"/>
            <w:tcBorders>
              <w:top w:val="single" w:sz="4" w:space="0" w:color="auto"/>
            </w:tcBorders>
            <w:shd w:val="clear" w:color="auto" w:fill="auto"/>
            <w:noWrap/>
            <w:vAlign w:val="bottom"/>
            <w:hideMark/>
          </w:tcPr>
          <w:p w14:paraId="7ED5A8F1"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0.029</w:t>
            </w:r>
          </w:p>
        </w:tc>
        <w:tc>
          <w:tcPr>
            <w:tcW w:w="709" w:type="dxa"/>
            <w:tcBorders>
              <w:top w:val="single" w:sz="4" w:space="0" w:color="auto"/>
            </w:tcBorders>
            <w:shd w:val="clear" w:color="auto" w:fill="auto"/>
            <w:noWrap/>
            <w:vAlign w:val="bottom"/>
            <w:hideMark/>
          </w:tcPr>
          <w:p w14:paraId="65BF19CD"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0.225</w:t>
            </w:r>
          </w:p>
        </w:tc>
        <w:tc>
          <w:tcPr>
            <w:tcW w:w="709" w:type="dxa"/>
            <w:tcBorders>
              <w:top w:val="single" w:sz="4" w:space="0" w:color="auto"/>
            </w:tcBorders>
            <w:shd w:val="clear" w:color="auto" w:fill="auto"/>
            <w:noWrap/>
            <w:vAlign w:val="bottom"/>
            <w:hideMark/>
          </w:tcPr>
          <w:p w14:paraId="6F4DB373"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0.091</w:t>
            </w:r>
          </w:p>
        </w:tc>
        <w:tc>
          <w:tcPr>
            <w:tcW w:w="694" w:type="dxa"/>
            <w:tcBorders>
              <w:top w:val="single" w:sz="4" w:space="0" w:color="auto"/>
              <w:right w:val="single" w:sz="4" w:space="0" w:color="auto"/>
            </w:tcBorders>
            <w:shd w:val="clear" w:color="auto" w:fill="auto"/>
            <w:noWrap/>
            <w:vAlign w:val="bottom"/>
            <w:hideMark/>
          </w:tcPr>
          <w:p w14:paraId="12EA24C9"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0.017</w:t>
            </w:r>
          </w:p>
        </w:tc>
        <w:tc>
          <w:tcPr>
            <w:tcW w:w="693" w:type="dxa"/>
            <w:tcBorders>
              <w:top w:val="single" w:sz="4" w:space="0" w:color="auto"/>
              <w:left w:val="single" w:sz="4" w:space="0" w:color="auto"/>
            </w:tcBorders>
            <w:shd w:val="clear" w:color="auto" w:fill="auto"/>
            <w:noWrap/>
            <w:vAlign w:val="bottom"/>
            <w:hideMark/>
          </w:tcPr>
          <w:p w14:paraId="3B91FCF9"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0.015</w:t>
            </w:r>
          </w:p>
        </w:tc>
        <w:tc>
          <w:tcPr>
            <w:tcW w:w="693" w:type="dxa"/>
            <w:tcBorders>
              <w:top w:val="single" w:sz="4" w:space="0" w:color="auto"/>
            </w:tcBorders>
            <w:shd w:val="clear" w:color="auto" w:fill="auto"/>
            <w:noWrap/>
            <w:vAlign w:val="bottom"/>
            <w:hideMark/>
          </w:tcPr>
          <w:p w14:paraId="6AA2C102"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0.040</w:t>
            </w:r>
          </w:p>
        </w:tc>
        <w:tc>
          <w:tcPr>
            <w:tcW w:w="709" w:type="dxa"/>
            <w:tcBorders>
              <w:top w:val="single" w:sz="4" w:space="0" w:color="auto"/>
            </w:tcBorders>
            <w:shd w:val="clear" w:color="auto" w:fill="auto"/>
            <w:noWrap/>
            <w:vAlign w:val="bottom"/>
            <w:hideMark/>
          </w:tcPr>
          <w:p w14:paraId="00D360CB"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0.438</w:t>
            </w:r>
          </w:p>
        </w:tc>
        <w:tc>
          <w:tcPr>
            <w:tcW w:w="709" w:type="dxa"/>
            <w:tcBorders>
              <w:top w:val="single" w:sz="4" w:space="0" w:color="auto"/>
            </w:tcBorders>
            <w:shd w:val="clear" w:color="auto" w:fill="auto"/>
            <w:noWrap/>
            <w:vAlign w:val="bottom"/>
            <w:hideMark/>
          </w:tcPr>
          <w:p w14:paraId="4834F0E9"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0.115</w:t>
            </w:r>
          </w:p>
        </w:tc>
        <w:tc>
          <w:tcPr>
            <w:tcW w:w="694" w:type="dxa"/>
            <w:tcBorders>
              <w:top w:val="single" w:sz="4" w:space="0" w:color="auto"/>
            </w:tcBorders>
            <w:shd w:val="clear" w:color="auto" w:fill="auto"/>
            <w:noWrap/>
            <w:vAlign w:val="bottom"/>
            <w:hideMark/>
          </w:tcPr>
          <w:p w14:paraId="320AF815"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0.015</w:t>
            </w:r>
          </w:p>
        </w:tc>
        <w:tc>
          <w:tcPr>
            <w:tcW w:w="680" w:type="dxa"/>
            <w:tcBorders>
              <w:top w:val="single" w:sz="4" w:space="0" w:color="auto"/>
            </w:tcBorders>
            <w:shd w:val="clear" w:color="auto" w:fill="auto"/>
            <w:noWrap/>
            <w:vAlign w:val="bottom"/>
            <w:hideMark/>
          </w:tcPr>
          <w:p w14:paraId="69DC0FF9" w14:textId="20A2BD2B"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6.</w:t>
            </w:r>
            <w:r w:rsidR="00963E19" w:rsidRPr="00435469">
              <w:rPr>
                <w:rFonts w:cs="Times New Roman"/>
                <w:sz w:val="16"/>
                <w:szCs w:val="16"/>
                <w:lang w:eastAsia="en-ZA"/>
              </w:rPr>
              <w:t>60</w:t>
            </w:r>
          </w:p>
        </w:tc>
      </w:tr>
      <w:tr w:rsidR="00304411" w:rsidRPr="00435469" w14:paraId="3C51CC66" w14:textId="77777777" w:rsidTr="004735F4">
        <w:trPr>
          <w:trHeight w:val="240"/>
        </w:trPr>
        <w:tc>
          <w:tcPr>
            <w:tcW w:w="808" w:type="dxa"/>
            <w:vMerge/>
            <w:tcBorders>
              <w:top w:val="nil"/>
            </w:tcBorders>
            <w:shd w:val="clear" w:color="auto" w:fill="auto"/>
            <w:vAlign w:val="center"/>
            <w:hideMark/>
          </w:tcPr>
          <w:p w14:paraId="37FD3507" w14:textId="77777777" w:rsidR="005A6946" w:rsidRPr="00435469" w:rsidRDefault="005A6946" w:rsidP="00955FFB">
            <w:pPr>
              <w:spacing w:after="0" w:line="240" w:lineRule="auto"/>
              <w:rPr>
                <w:rFonts w:cs="Times New Roman"/>
                <w:sz w:val="16"/>
                <w:szCs w:val="16"/>
                <w:lang w:eastAsia="en-ZA"/>
              </w:rPr>
            </w:pPr>
          </w:p>
        </w:tc>
        <w:tc>
          <w:tcPr>
            <w:tcW w:w="1261" w:type="dxa"/>
            <w:tcBorders>
              <w:top w:val="nil"/>
            </w:tcBorders>
            <w:shd w:val="clear" w:color="auto" w:fill="auto"/>
            <w:noWrap/>
            <w:vAlign w:val="bottom"/>
            <w:hideMark/>
          </w:tcPr>
          <w:p w14:paraId="07E81CAC"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18-25</w:t>
            </w:r>
          </w:p>
        </w:tc>
        <w:tc>
          <w:tcPr>
            <w:tcW w:w="693" w:type="dxa"/>
            <w:tcBorders>
              <w:top w:val="nil"/>
            </w:tcBorders>
            <w:shd w:val="clear" w:color="auto" w:fill="auto"/>
            <w:noWrap/>
            <w:vAlign w:val="bottom"/>
            <w:hideMark/>
          </w:tcPr>
          <w:p w14:paraId="6EA09EC4"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0.024</w:t>
            </w:r>
          </w:p>
        </w:tc>
        <w:tc>
          <w:tcPr>
            <w:tcW w:w="693" w:type="dxa"/>
            <w:tcBorders>
              <w:top w:val="nil"/>
            </w:tcBorders>
            <w:shd w:val="clear" w:color="auto" w:fill="auto"/>
            <w:noWrap/>
            <w:vAlign w:val="bottom"/>
            <w:hideMark/>
          </w:tcPr>
          <w:p w14:paraId="22F7AC75"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0.032</w:t>
            </w:r>
          </w:p>
        </w:tc>
        <w:tc>
          <w:tcPr>
            <w:tcW w:w="709" w:type="dxa"/>
            <w:tcBorders>
              <w:top w:val="nil"/>
            </w:tcBorders>
            <w:shd w:val="clear" w:color="auto" w:fill="auto"/>
            <w:noWrap/>
            <w:vAlign w:val="bottom"/>
            <w:hideMark/>
          </w:tcPr>
          <w:p w14:paraId="129FC3AC"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0.155</w:t>
            </w:r>
          </w:p>
        </w:tc>
        <w:tc>
          <w:tcPr>
            <w:tcW w:w="709" w:type="dxa"/>
            <w:tcBorders>
              <w:top w:val="nil"/>
            </w:tcBorders>
            <w:shd w:val="clear" w:color="auto" w:fill="auto"/>
            <w:noWrap/>
            <w:vAlign w:val="bottom"/>
            <w:hideMark/>
          </w:tcPr>
          <w:p w14:paraId="162255AF"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0.119</w:t>
            </w:r>
          </w:p>
        </w:tc>
        <w:tc>
          <w:tcPr>
            <w:tcW w:w="694" w:type="dxa"/>
            <w:tcBorders>
              <w:top w:val="nil"/>
              <w:right w:val="single" w:sz="4" w:space="0" w:color="auto"/>
            </w:tcBorders>
            <w:shd w:val="clear" w:color="auto" w:fill="auto"/>
            <w:noWrap/>
            <w:vAlign w:val="bottom"/>
            <w:hideMark/>
          </w:tcPr>
          <w:p w14:paraId="3E3DD6E4"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0.08</w:t>
            </w:r>
          </w:p>
        </w:tc>
        <w:tc>
          <w:tcPr>
            <w:tcW w:w="693" w:type="dxa"/>
            <w:tcBorders>
              <w:top w:val="nil"/>
              <w:left w:val="single" w:sz="4" w:space="0" w:color="auto"/>
            </w:tcBorders>
            <w:shd w:val="clear" w:color="auto" w:fill="auto"/>
            <w:noWrap/>
            <w:vAlign w:val="bottom"/>
            <w:hideMark/>
          </w:tcPr>
          <w:p w14:paraId="6569CB22"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0.022</w:t>
            </w:r>
          </w:p>
        </w:tc>
        <w:tc>
          <w:tcPr>
            <w:tcW w:w="693" w:type="dxa"/>
            <w:tcBorders>
              <w:top w:val="nil"/>
            </w:tcBorders>
            <w:shd w:val="clear" w:color="auto" w:fill="auto"/>
            <w:noWrap/>
            <w:vAlign w:val="bottom"/>
            <w:hideMark/>
          </w:tcPr>
          <w:p w14:paraId="26A2BD2E"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0.045</w:t>
            </w:r>
          </w:p>
        </w:tc>
        <w:tc>
          <w:tcPr>
            <w:tcW w:w="709" w:type="dxa"/>
            <w:tcBorders>
              <w:top w:val="nil"/>
            </w:tcBorders>
            <w:shd w:val="clear" w:color="auto" w:fill="auto"/>
            <w:noWrap/>
            <w:vAlign w:val="bottom"/>
            <w:hideMark/>
          </w:tcPr>
          <w:p w14:paraId="4C4061C8"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0.302</w:t>
            </w:r>
          </w:p>
        </w:tc>
        <w:tc>
          <w:tcPr>
            <w:tcW w:w="709" w:type="dxa"/>
            <w:tcBorders>
              <w:top w:val="nil"/>
            </w:tcBorders>
            <w:shd w:val="clear" w:color="auto" w:fill="auto"/>
            <w:noWrap/>
            <w:vAlign w:val="bottom"/>
            <w:hideMark/>
          </w:tcPr>
          <w:p w14:paraId="5CF407D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0.15</w:t>
            </w:r>
          </w:p>
        </w:tc>
        <w:tc>
          <w:tcPr>
            <w:tcW w:w="694" w:type="dxa"/>
            <w:tcBorders>
              <w:top w:val="nil"/>
            </w:tcBorders>
            <w:shd w:val="clear" w:color="auto" w:fill="auto"/>
            <w:noWrap/>
            <w:vAlign w:val="bottom"/>
            <w:hideMark/>
          </w:tcPr>
          <w:p w14:paraId="18DE1A01"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0.07</w:t>
            </w:r>
          </w:p>
        </w:tc>
        <w:tc>
          <w:tcPr>
            <w:tcW w:w="680" w:type="dxa"/>
            <w:tcBorders>
              <w:top w:val="nil"/>
            </w:tcBorders>
            <w:shd w:val="clear" w:color="auto" w:fill="auto"/>
            <w:noWrap/>
            <w:vAlign w:val="bottom"/>
            <w:hideMark/>
          </w:tcPr>
          <w:p w14:paraId="1B9849BE"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5.50</w:t>
            </w:r>
          </w:p>
        </w:tc>
      </w:tr>
      <w:tr w:rsidR="00304411" w:rsidRPr="00435469" w14:paraId="57EE480D" w14:textId="77777777" w:rsidTr="004735F4">
        <w:trPr>
          <w:trHeight w:val="240"/>
        </w:trPr>
        <w:tc>
          <w:tcPr>
            <w:tcW w:w="808" w:type="dxa"/>
            <w:vMerge/>
            <w:tcBorders>
              <w:top w:val="nil"/>
            </w:tcBorders>
            <w:shd w:val="clear" w:color="auto" w:fill="auto"/>
            <w:vAlign w:val="center"/>
            <w:hideMark/>
          </w:tcPr>
          <w:p w14:paraId="291B3EBF" w14:textId="77777777" w:rsidR="005A6946" w:rsidRPr="00435469" w:rsidRDefault="005A6946" w:rsidP="00955FFB">
            <w:pPr>
              <w:spacing w:after="0" w:line="240" w:lineRule="auto"/>
              <w:rPr>
                <w:rFonts w:cs="Times New Roman"/>
                <w:sz w:val="16"/>
                <w:szCs w:val="16"/>
                <w:lang w:eastAsia="en-ZA"/>
              </w:rPr>
            </w:pPr>
          </w:p>
        </w:tc>
        <w:tc>
          <w:tcPr>
            <w:tcW w:w="1261" w:type="dxa"/>
            <w:tcBorders>
              <w:top w:val="nil"/>
            </w:tcBorders>
            <w:shd w:val="clear" w:color="auto" w:fill="auto"/>
            <w:noWrap/>
            <w:vAlign w:val="bottom"/>
            <w:hideMark/>
          </w:tcPr>
          <w:p w14:paraId="1542E920"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26-45</w:t>
            </w:r>
          </w:p>
        </w:tc>
        <w:tc>
          <w:tcPr>
            <w:tcW w:w="693" w:type="dxa"/>
            <w:tcBorders>
              <w:top w:val="nil"/>
            </w:tcBorders>
            <w:shd w:val="clear" w:color="auto" w:fill="auto"/>
            <w:noWrap/>
            <w:vAlign w:val="bottom"/>
            <w:hideMark/>
          </w:tcPr>
          <w:p w14:paraId="42F62BE5"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0.026</w:t>
            </w:r>
          </w:p>
        </w:tc>
        <w:tc>
          <w:tcPr>
            <w:tcW w:w="693" w:type="dxa"/>
            <w:tcBorders>
              <w:top w:val="nil"/>
            </w:tcBorders>
            <w:shd w:val="clear" w:color="auto" w:fill="auto"/>
            <w:noWrap/>
            <w:vAlign w:val="bottom"/>
            <w:hideMark/>
          </w:tcPr>
          <w:p w14:paraId="78FEBDA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0.042</w:t>
            </w:r>
          </w:p>
        </w:tc>
        <w:tc>
          <w:tcPr>
            <w:tcW w:w="709" w:type="dxa"/>
            <w:tcBorders>
              <w:top w:val="nil"/>
            </w:tcBorders>
            <w:shd w:val="clear" w:color="auto" w:fill="auto"/>
            <w:noWrap/>
            <w:vAlign w:val="bottom"/>
            <w:hideMark/>
          </w:tcPr>
          <w:p w14:paraId="5FBF1BE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0.123</w:t>
            </w:r>
          </w:p>
        </w:tc>
        <w:tc>
          <w:tcPr>
            <w:tcW w:w="709" w:type="dxa"/>
            <w:tcBorders>
              <w:top w:val="nil"/>
            </w:tcBorders>
            <w:shd w:val="clear" w:color="auto" w:fill="auto"/>
            <w:noWrap/>
            <w:vAlign w:val="bottom"/>
            <w:hideMark/>
          </w:tcPr>
          <w:p w14:paraId="419ED545"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0.166</w:t>
            </w:r>
          </w:p>
        </w:tc>
        <w:tc>
          <w:tcPr>
            <w:tcW w:w="694" w:type="dxa"/>
            <w:tcBorders>
              <w:top w:val="nil"/>
              <w:right w:val="single" w:sz="4" w:space="0" w:color="auto"/>
            </w:tcBorders>
            <w:shd w:val="clear" w:color="auto" w:fill="auto"/>
            <w:noWrap/>
            <w:vAlign w:val="bottom"/>
            <w:hideMark/>
          </w:tcPr>
          <w:p w14:paraId="05689C2D"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0.07</w:t>
            </w:r>
          </w:p>
        </w:tc>
        <w:tc>
          <w:tcPr>
            <w:tcW w:w="693" w:type="dxa"/>
            <w:tcBorders>
              <w:top w:val="nil"/>
              <w:left w:val="single" w:sz="4" w:space="0" w:color="auto"/>
            </w:tcBorders>
            <w:shd w:val="clear" w:color="auto" w:fill="auto"/>
            <w:noWrap/>
            <w:vAlign w:val="bottom"/>
            <w:hideMark/>
          </w:tcPr>
          <w:p w14:paraId="193C113D"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0.029</w:t>
            </w:r>
          </w:p>
        </w:tc>
        <w:tc>
          <w:tcPr>
            <w:tcW w:w="693" w:type="dxa"/>
            <w:tcBorders>
              <w:top w:val="nil"/>
            </w:tcBorders>
            <w:shd w:val="clear" w:color="auto" w:fill="auto"/>
            <w:noWrap/>
            <w:vAlign w:val="bottom"/>
            <w:hideMark/>
          </w:tcPr>
          <w:p w14:paraId="306E0F0D"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0.04</w:t>
            </w:r>
          </w:p>
        </w:tc>
        <w:tc>
          <w:tcPr>
            <w:tcW w:w="709" w:type="dxa"/>
            <w:tcBorders>
              <w:top w:val="nil"/>
            </w:tcBorders>
            <w:shd w:val="clear" w:color="auto" w:fill="auto"/>
            <w:noWrap/>
            <w:vAlign w:val="bottom"/>
            <w:hideMark/>
          </w:tcPr>
          <w:p w14:paraId="094440E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0.124</w:t>
            </w:r>
          </w:p>
        </w:tc>
        <w:tc>
          <w:tcPr>
            <w:tcW w:w="709" w:type="dxa"/>
            <w:tcBorders>
              <w:top w:val="nil"/>
            </w:tcBorders>
            <w:shd w:val="clear" w:color="auto" w:fill="auto"/>
            <w:noWrap/>
            <w:vAlign w:val="bottom"/>
            <w:hideMark/>
          </w:tcPr>
          <w:p w14:paraId="1A7B06A9"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0.294</w:t>
            </w:r>
          </w:p>
        </w:tc>
        <w:tc>
          <w:tcPr>
            <w:tcW w:w="694" w:type="dxa"/>
            <w:tcBorders>
              <w:top w:val="nil"/>
            </w:tcBorders>
            <w:shd w:val="clear" w:color="auto" w:fill="auto"/>
            <w:noWrap/>
            <w:vAlign w:val="bottom"/>
            <w:hideMark/>
          </w:tcPr>
          <w:p w14:paraId="7CBB36F7"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0.09</w:t>
            </w:r>
          </w:p>
        </w:tc>
        <w:tc>
          <w:tcPr>
            <w:tcW w:w="680" w:type="dxa"/>
            <w:tcBorders>
              <w:top w:val="nil"/>
            </w:tcBorders>
            <w:shd w:val="clear" w:color="auto" w:fill="auto"/>
            <w:noWrap/>
            <w:vAlign w:val="bottom"/>
            <w:hideMark/>
          </w:tcPr>
          <w:p w14:paraId="35389D10"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4.70</w:t>
            </w:r>
          </w:p>
        </w:tc>
      </w:tr>
      <w:tr w:rsidR="005A6946" w:rsidRPr="00435469" w14:paraId="5AA0184F" w14:textId="77777777" w:rsidTr="004735F4">
        <w:trPr>
          <w:trHeight w:val="252"/>
        </w:trPr>
        <w:tc>
          <w:tcPr>
            <w:tcW w:w="808" w:type="dxa"/>
            <w:vMerge/>
            <w:tcBorders>
              <w:top w:val="nil"/>
              <w:bottom w:val="single" w:sz="4" w:space="0" w:color="auto"/>
            </w:tcBorders>
            <w:shd w:val="clear" w:color="auto" w:fill="auto"/>
            <w:vAlign w:val="center"/>
            <w:hideMark/>
          </w:tcPr>
          <w:p w14:paraId="6B4F015F" w14:textId="77777777" w:rsidR="005A6946" w:rsidRPr="00435469" w:rsidRDefault="005A6946" w:rsidP="00955FFB">
            <w:pPr>
              <w:spacing w:after="0" w:line="240" w:lineRule="auto"/>
              <w:rPr>
                <w:rFonts w:cs="Times New Roman"/>
                <w:sz w:val="16"/>
                <w:szCs w:val="16"/>
                <w:lang w:eastAsia="en-ZA"/>
              </w:rPr>
            </w:pPr>
          </w:p>
        </w:tc>
        <w:tc>
          <w:tcPr>
            <w:tcW w:w="1261" w:type="dxa"/>
            <w:tcBorders>
              <w:top w:val="nil"/>
              <w:bottom w:val="single" w:sz="4" w:space="0" w:color="auto"/>
            </w:tcBorders>
            <w:shd w:val="clear" w:color="auto" w:fill="auto"/>
            <w:noWrap/>
            <w:vAlign w:val="bottom"/>
            <w:hideMark/>
          </w:tcPr>
          <w:p w14:paraId="50F493DE" w14:textId="77777777" w:rsidR="005A6946" w:rsidRPr="00435469" w:rsidRDefault="005A6946" w:rsidP="00955FFB">
            <w:pPr>
              <w:spacing w:after="0" w:line="240" w:lineRule="auto"/>
              <w:jc w:val="center"/>
              <w:rPr>
                <w:rFonts w:cs="Times New Roman"/>
                <w:b/>
                <w:sz w:val="16"/>
                <w:szCs w:val="16"/>
                <w:lang w:eastAsia="en-ZA"/>
              </w:rPr>
            </w:pPr>
            <w:r w:rsidRPr="00435469">
              <w:rPr>
                <w:rFonts w:cs="Times New Roman"/>
                <w:b/>
                <w:sz w:val="16"/>
                <w:szCs w:val="16"/>
                <w:lang w:eastAsia="en-ZA"/>
              </w:rPr>
              <w:t>&gt;45</w:t>
            </w:r>
          </w:p>
        </w:tc>
        <w:tc>
          <w:tcPr>
            <w:tcW w:w="693" w:type="dxa"/>
            <w:tcBorders>
              <w:top w:val="nil"/>
              <w:bottom w:val="single" w:sz="4" w:space="0" w:color="auto"/>
            </w:tcBorders>
            <w:shd w:val="clear" w:color="auto" w:fill="auto"/>
            <w:noWrap/>
            <w:vAlign w:val="bottom"/>
            <w:hideMark/>
          </w:tcPr>
          <w:p w14:paraId="51D99D50"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0.037</w:t>
            </w:r>
          </w:p>
        </w:tc>
        <w:tc>
          <w:tcPr>
            <w:tcW w:w="693" w:type="dxa"/>
            <w:tcBorders>
              <w:top w:val="nil"/>
              <w:bottom w:val="single" w:sz="4" w:space="0" w:color="auto"/>
            </w:tcBorders>
            <w:shd w:val="clear" w:color="auto" w:fill="auto"/>
            <w:noWrap/>
            <w:vAlign w:val="bottom"/>
            <w:hideMark/>
          </w:tcPr>
          <w:p w14:paraId="2474F4F5"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0.047</w:t>
            </w:r>
          </w:p>
        </w:tc>
        <w:tc>
          <w:tcPr>
            <w:tcW w:w="709" w:type="dxa"/>
            <w:tcBorders>
              <w:top w:val="nil"/>
              <w:bottom w:val="single" w:sz="4" w:space="0" w:color="auto"/>
            </w:tcBorders>
            <w:shd w:val="clear" w:color="auto" w:fill="auto"/>
            <w:noWrap/>
            <w:vAlign w:val="bottom"/>
            <w:hideMark/>
          </w:tcPr>
          <w:p w14:paraId="35E62E40"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0.117</w:t>
            </w:r>
          </w:p>
        </w:tc>
        <w:tc>
          <w:tcPr>
            <w:tcW w:w="709" w:type="dxa"/>
            <w:tcBorders>
              <w:top w:val="nil"/>
              <w:bottom w:val="single" w:sz="4" w:space="0" w:color="auto"/>
            </w:tcBorders>
            <w:shd w:val="clear" w:color="auto" w:fill="auto"/>
            <w:noWrap/>
            <w:vAlign w:val="bottom"/>
            <w:hideMark/>
          </w:tcPr>
          <w:p w14:paraId="5A891F85"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0.144</w:t>
            </w:r>
          </w:p>
        </w:tc>
        <w:tc>
          <w:tcPr>
            <w:tcW w:w="694" w:type="dxa"/>
            <w:tcBorders>
              <w:top w:val="nil"/>
              <w:bottom w:val="single" w:sz="4" w:space="0" w:color="auto"/>
              <w:right w:val="single" w:sz="4" w:space="0" w:color="auto"/>
            </w:tcBorders>
            <w:shd w:val="clear" w:color="auto" w:fill="auto"/>
            <w:noWrap/>
            <w:vAlign w:val="bottom"/>
            <w:hideMark/>
          </w:tcPr>
          <w:p w14:paraId="598B1C17"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0.12</w:t>
            </w:r>
          </w:p>
        </w:tc>
        <w:tc>
          <w:tcPr>
            <w:tcW w:w="693" w:type="dxa"/>
            <w:tcBorders>
              <w:top w:val="nil"/>
              <w:left w:val="single" w:sz="4" w:space="0" w:color="auto"/>
              <w:bottom w:val="single" w:sz="4" w:space="0" w:color="auto"/>
            </w:tcBorders>
            <w:shd w:val="clear" w:color="auto" w:fill="auto"/>
            <w:noWrap/>
            <w:vAlign w:val="bottom"/>
            <w:hideMark/>
          </w:tcPr>
          <w:p w14:paraId="48C171FA"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0.03</w:t>
            </w:r>
          </w:p>
        </w:tc>
        <w:tc>
          <w:tcPr>
            <w:tcW w:w="693" w:type="dxa"/>
            <w:tcBorders>
              <w:top w:val="nil"/>
              <w:bottom w:val="single" w:sz="4" w:space="0" w:color="auto"/>
            </w:tcBorders>
            <w:shd w:val="clear" w:color="auto" w:fill="auto"/>
            <w:noWrap/>
            <w:vAlign w:val="bottom"/>
            <w:hideMark/>
          </w:tcPr>
          <w:p w14:paraId="403E5292"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0.058</w:t>
            </w:r>
          </w:p>
        </w:tc>
        <w:tc>
          <w:tcPr>
            <w:tcW w:w="709" w:type="dxa"/>
            <w:tcBorders>
              <w:top w:val="nil"/>
              <w:bottom w:val="single" w:sz="4" w:space="0" w:color="auto"/>
            </w:tcBorders>
            <w:shd w:val="clear" w:color="auto" w:fill="auto"/>
            <w:noWrap/>
            <w:vAlign w:val="bottom"/>
            <w:hideMark/>
          </w:tcPr>
          <w:p w14:paraId="31F28135"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0.13</w:t>
            </w:r>
          </w:p>
        </w:tc>
        <w:tc>
          <w:tcPr>
            <w:tcW w:w="709" w:type="dxa"/>
            <w:tcBorders>
              <w:top w:val="nil"/>
              <w:bottom w:val="single" w:sz="4" w:space="0" w:color="auto"/>
            </w:tcBorders>
            <w:shd w:val="clear" w:color="auto" w:fill="auto"/>
            <w:noWrap/>
            <w:vAlign w:val="bottom"/>
            <w:hideMark/>
          </w:tcPr>
          <w:p w14:paraId="3F53A3BF"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0.184</w:t>
            </w:r>
          </w:p>
        </w:tc>
        <w:tc>
          <w:tcPr>
            <w:tcW w:w="694" w:type="dxa"/>
            <w:tcBorders>
              <w:top w:val="nil"/>
              <w:bottom w:val="single" w:sz="4" w:space="0" w:color="auto"/>
            </w:tcBorders>
            <w:shd w:val="clear" w:color="auto" w:fill="auto"/>
            <w:noWrap/>
            <w:vAlign w:val="bottom"/>
            <w:hideMark/>
          </w:tcPr>
          <w:p w14:paraId="06BDB9E5"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0.13</w:t>
            </w:r>
          </w:p>
        </w:tc>
        <w:tc>
          <w:tcPr>
            <w:tcW w:w="680" w:type="dxa"/>
            <w:tcBorders>
              <w:top w:val="nil"/>
              <w:bottom w:val="single" w:sz="4" w:space="0" w:color="auto"/>
            </w:tcBorders>
            <w:shd w:val="clear" w:color="auto" w:fill="auto"/>
            <w:noWrap/>
            <w:vAlign w:val="bottom"/>
            <w:hideMark/>
          </w:tcPr>
          <w:p w14:paraId="3791420F" w14:textId="77777777" w:rsidR="005A6946" w:rsidRPr="00435469" w:rsidRDefault="005A6946" w:rsidP="00955FFB">
            <w:pPr>
              <w:spacing w:after="0" w:line="240" w:lineRule="auto"/>
              <w:jc w:val="center"/>
              <w:rPr>
                <w:rFonts w:cs="Times New Roman"/>
                <w:sz w:val="16"/>
                <w:szCs w:val="16"/>
                <w:lang w:eastAsia="en-ZA"/>
              </w:rPr>
            </w:pPr>
            <w:r w:rsidRPr="00435469">
              <w:rPr>
                <w:rFonts w:cs="Times New Roman"/>
                <w:sz w:val="16"/>
                <w:szCs w:val="16"/>
                <w:lang w:eastAsia="en-ZA"/>
              </w:rPr>
              <w:t>4.70</w:t>
            </w:r>
          </w:p>
        </w:tc>
      </w:tr>
    </w:tbl>
    <w:p w14:paraId="4AD166E4" w14:textId="611F6989" w:rsidR="005A6946" w:rsidRPr="00435469" w:rsidRDefault="005A6946" w:rsidP="00955FFB">
      <w:pPr>
        <w:pStyle w:val="1ParaFlushLeft"/>
        <w:spacing w:line="240" w:lineRule="auto"/>
        <w:rPr>
          <w:rFonts w:cs="Times New Roman"/>
          <w:sz w:val="20"/>
          <w:szCs w:val="20"/>
          <w:lang w:val="en-ZA"/>
        </w:rPr>
      </w:pPr>
    </w:p>
    <w:p w14:paraId="5E650AA6" w14:textId="210EFA74" w:rsidR="005A6946" w:rsidRPr="00435469" w:rsidRDefault="005A6946" w:rsidP="00955FFB">
      <w:pPr>
        <w:pStyle w:val="Heading2"/>
        <w:rPr>
          <w:rFonts w:cs="Times New Roman"/>
          <w:color w:val="auto"/>
          <w:sz w:val="20"/>
          <w:szCs w:val="20"/>
        </w:rPr>
      </w:pPr>
      <w:bookmarkStart w:id="56" w:name="_Ref81562361"/>
      <w:bookmarkStart w:id="57" w:name="_Toc87863319"/>
      <w:bookmarkStart w:id="58" w:name="_Toc88488558"/>
      <w:bookmarkStart w:id="59" w:name="_Toc103252926"/>
      <w:r w:rsidRPr="00435469">
        <w:rPr>
          <w:rFonts w:cs="Times New Roman"/>
          <w:color w:val="auto"/>
          <w:sz w:val="20"/>
          <w:szCs w:val="20"/>
        </w:rPr>
        <w:t>Modelling the tuberculosis natural history and the effects of human immunodeficiency virus and antiretroviral therapy</w:t>
      </w:r>
      <w:bookmarkEnd w:id="37"/>
      <w:bookmarkEnd w:id="38"/>
      <w:bookmarkEnd w:id="39"/>
      <w:bookmarkEnd w:id="40"/>
      <w:bookmarkEnd w:id="41"/>
      <w:bookmarkEnd w:id="56"/>
      <w:bookmarkEnd w:id="57"/>
      <w:bookmarkEnd w:id="58"/>
      <w:bookmarkEnd w:id="59"/>
      <w:r w:rsidRPr="00435469">
        <w:rPr>
          <w:rFonts w:cs="Times New Roman"/>
          <w:color w:val="auto"/>
          <w:sz w:val="20"/>
          <w:szCs w:val="20"/>
        </w:rPr>
        <w:t xml:space="preserve"> </w:t>
      </w:r>
    </w:p>
    <w:p w14:paraId="655669A1" w14:textId="77777777" w:rsidR="005A6946" w:rsidRPr="00435469" w:rsidRDefault="005A6946" w:rsidP="00955FFB">
      <w:pPr>
        <w:pStyle w:val="Heading3"/>
        <w:rPr>
          <w:rFonts w:cs="Times New Roman"/>
          <w:color w:val="auto"/>
          <w:sz w:val="20"/>
          <w:szCs w:val="20"/>
        </w:rPr>
      </w:pPr>
      <w:bookmarkStart w:id="60" w:name="_Toc79099808"/>
      <w:bookmarkStart w:id="61" w:name="_Ref80350968"/>
      <w:bookmarkStart w:id="62" w:name="_Ref80350975"/>
      <w:bookmarkStart w:id="63" w:name="_Ref80351135"/>
      <w:bookmarkStart w:id="64" w:name="_Ref80351142"/>
      <w:bookmarkStart w:id="65" w:name="_Toc80352131"/>
      <w:bookmarkStart w:id="66" w:name="_Ref81560292"/>
      <w:bookmarkStart w:id="67" w:name="_Toc87863320"/>
      <w:bookmarkStart w:id="68" w:name="_Toc88488559"/>
      <w:bookmarkStart w:id="69" w:name="_Toc103252927"/>
      <w:r w:rsidRPr="00435469">
        <w:rPr>
          <w:rFonts w:cs="Times New Roman"/>
          <w:color w:val="auto"/>
          <w:sz w:val="20"/>
          <w:szCs w:val="20"/>
        </w:rPr>
        <w:t>Progression to active tuberculosis disease: fast progression and reactivation</w:t>
      </w:r>
      <w:bookmarkEnd w:id="60"/>
      <w:bookmarkEnd w:id="61"/>
      <w:bookmarkEnd w:id="62"/>
      <w:bookmarkEnd w:id="63"/>
      <w:bookmarkEnd w:id="64"/>
      <w:bookmarkEnd w:id="65"/>
      <w:bookmarkEnd w:id="66"/>
      <w:bookmarkEnd w:id="67"/>
      <w:bookmarkEnd w:id="68"/>
      <w:bookmarkEnd w:id="69"/>
      <w:r w:rsidRPr="00435469">
        <w:rPr>
          <w:rFonts w:cs="Times New Roman"/>
          <w:color w:val="auto"/>
          <w:sz w:val="20"/>
          <w:szCs w:val="20"/>
        </w:rPr>
        <w:t xml:space="preserve"> </w:t>
      </w:r>
    </w:p>
    <w:p w14:paraId="199F89AC" w14:textId="08DC9445" w:rsidR="00BA5D6E" w:rsidRPr="00435469" w:rsidRDefault="005A6946" w:rsidP="00955FFB">
      <w:pPr>
        <w:autoSpaceDE w:val="0"/>
        <w:autoSpaceDN w:val="0"/>
        <w:adjustRightInd w:val="0"/>
        <w:spacing w:line="240" w:lineRule="auto"/>
        <w:rPr>
          <w:rFonts w:cs="Times New Roman"/>
          <w:sz w:val="20"/>
          <w:szCs w:val="20"/>
        </w:rPr>
      </w:pPr>
      <w:r w:rsidRPr="00435469">
        <w:rPr>
          <w:rFonts w:cs="Times New Roman"/>
          <w:sz w:val="20"/>
          <w:szCs w:val="20"/>
        </w:rPr>
        <w:t>Following infection with LTBI, a proportion of individuals progresses directly to active TB disease (‘fast progression’).</w:t>
      </w:r>
      <w:r w:rsidR="00590DF9" w:rsidRPr="00435469">
        <w:rPr>
          <w:rFonts w:cs="Times New Roman"/>
          <w:sz w:val="20"/>
          <w:szCs w:val="20"/>
        </w:rPr>
        <w:t xml:space="preserve"> </w:t>
      </w:r>
      <w:r w:rsidR="00BA5D6E" w:rsidRPr="00435469">
        <w:rPr>
          <w:rFonts w:cs="Times New Roman"/>
          <w:sz w:val="20"/>
          <w:szCs w:val="20"/>
        </w:rPr>
        <w:t xml:space="preserve">We specified the </w:t>
      </w:r>
      <w:r w:rsidR="009A7202" w:rsidRPr="00435469">
        <w:rPr>
          <w:rFonts w:cs="Times New Roman"/>
          <w:sz w:val="20"/>
          <w:szCs w:val="20"/>
        </w:rPr>
        <w:t xml:space="preserve">value of this </w:t>
      </w:r>
      <w:r w:rsidR="00C92E5A" w:rsidRPr="00435469">
        <w:rPr>
          <w:rFonts w:cs="Times New Roman"/>
          <w:sz w:val="20"/>
          <w:szCs w:val="20"/>
        </w:rPr>
        <w:t xml:space="preserve">proportion of fast progressors </w:t>
      </w:r>
      <w:r w:rsidR="009A7202" w:rsidRPr="00435469">
        <w:rPr>
          <w:rFonts w:cs="Times New Roman"/>
          <w:sz w:val="20"/>
          <w:szCs w:val="20"/>
        </w:rPr>
        <w:t xml:space="preserve">at 0.1 to be consistent with previous modelling studies </w:t>
      </w:r>
      <w:r w:rsidR="005D4193" w:rsidRPr="00435469">
        <w:rPr>
          <w:rFonts w:cs="Times New Roman"/>
          <w:sz w:val="20"/>
          <w:szCs w:val="20"/>
        </w:rPr>
        <w:fldChar w:fldCharType="begin" w:fldLock="1"/>
      </w:r>
      <w:r w:rsidR="002F049E" w:rsidRPr="00435469">
        <w:rPr>
          <w:rFonts w:cs="Times New Roman"/>
          <w:sz w:val="20"/>
          <w:szCs w:val="20"/>
        </w:rPr>
        <w:instrText>ADDIN CSL_CITATION {"citationItems":[{"id":"ITEM-1","itemData":{"DOI":"10.1007/s00285-008-0177-z","ISSN":"03036812","PMID":"18414866","abstract":"We present a simple mathematical model with six compartments for the interaction between HIV and TB epidemics. Using data from a township near Cape Town, South Africa, where the prevalence of HIV is above 20% and where the TB notification rate is close to 2,000 per 100,000 per year, we estimate some of the model parameters and study how various control measures might change the course of these epidemics. Condom promotion, increased TB detection and TB preventive therapy have a clear positive effect. The impact of antiretroviral therapy on the incidence of HIV is unclear and depends on the extent to which it reduces sexual transmission. However, our analysis suggests that it will greatly reduce the TB notification rate. © 2008 Springer-Verlag.","author":[{"dropping-particle":"","family":"Bacaër","given":"Nicolas","non-dropping-particle":"","parse-names":false,"suffix":""},{"dropping-particle":"","family":"Ouifki","given":"Rachid","non-dropping-particle":"","parse-names":false,"suffix":""},{"dropping-particle":"","family":"Pretorius","given":"Carel","non-dropping-particle":"","parse-names":false,"suffix":""},{"dropping-particle":"","family":"Wood","given":"Robin","non-dropping-particle":"","parse-names":false,"suffix":""},{"dropping-particle":"","family":"Williams","given":"Brian","non-dropping-particle":"","parse-names":false,"suffix":""}],"container-title":"Journal of Mathematical Biology","id":"ITEM-1","issue":"4","issued":{"date-parts":[["2008"]]},"page":"557-593","title":"Modeling the joint epidemics of TB and HIV in a South African township","type":"article-journal","volume":"57"},"uris":["http://www.mendeley.com/documents/?uuid=ee868cd8-682e-4203-8419-c180fc978952"]},{"id":"ITEM-2","itemData":{"DOI":"10.1186/s12916-016-0608-4","ISBN":"10.1186/s12916-016-0608-4","ISSN":"1741-7015","PMID":"27012808","abstract":"Tuberculosis (TB) is the leading cause of death from infectious disease worldwide, predominantly affecting low- and middle-income countries (LMICs), where resources are limited. As such, countries need to be able to choose the most efficient interventions for their respective setting. Mathematical models can be valuable tools to inform rational policy decisions and improve resource allocation, but are often unavailable or inaccessible for LMICs, particularly in TB. We developed TIME Impact, a user-friendly TB model that enables local capacity building and strengthens country-specific policy discussions to inform support funding applications at the (sub-)national level (e.g. Ministry of Finance) or to international donors (e.g. the Global Fund to Fight AIDS, Tuberculosis and Malaria).TIME Impact is an epidemiological transmission model nested in TIME, a set of TB modelling tools available for free download within the widely-used Spectrum software. The TIME Impact model reflects key aspects of the natural history of TB, with additional structure for HIV/ART, drug resistance, treatment history and age. TIME Impact enables national TB programmes (NTPs) and other TB policymakers to better understand their own TB epidemic, plan their response, apply for funding and evaluate the implementation of the response.The explicit aim of TIME Impact's user-friendly interface is to enable training of local and international TB experts towards independent use. During application of TIME Impact, close involvement of the NTPs and other local partners also builds critical understanding of the modelling methods, assumptions and limitations inherent to modelling. This is essential to generate broad country-level ownership of the modelling data inputs and results. In turn, it stimulates discussions and a review of the current evidence and assumptions, strengthening the decision-making process in general.TIME Impact has been effectively applied in a variety of settings. In South Africa, it informed the first South African HIV and TB Investment Cases and successfully leveraged additional resources from the National Treasury at a time of austerity. In Ghana, a long-term TIME model-centred interaction with the NTP provided new insights into the local epidemiology and guided resource allocation decisions to improve impact.","author":[{"dropping-particle":"","family":"Houben","given":"R M G J","non-dropping-particle":"","parse-names":false,"suffix":""},{"dropping-particle":"","family":"Lalli","given":"M","non-dropping-particle":"","parse-names":false,"suffix":""},{"dropping-particle":"","family":"Sumner","given":"T","non-dropping-particle":"","parse-names":false,"suffix":""},{"dropping-particle":"","family":"Hamilton","given":"M","non-dropping-particle":"","parse-names":false,"suffix":""},{"dropping-particle":"","family":"Pedrazzoli","given":"D","non-dropping-particle":"","parse-names":false,"suffix":""},{"dropping-particle":"","family":"Bonsu","given":"F","non-dropping-particle":"","parse-names":false,"suffix":""},{"dropping-particle":"","family":"Hippner","given":"P","non-dropping-particle":"","parse-names":false,"suffix":""},{"dropping-particle":"","family":"Pillay","given":"Y","non-dropping-particle":"","parse-names":false,"suffix":""},{"dropping-particle":"","family":"Kimerling","given":"M","non-dropping-particle":"","parse-names":false,"suffix":""},{"dropping-particle":"","family":"Ahmedov","given":"S","non-dropping-particle":"","parse-names":false,"suffix":""},{"dropping-particle":"","family":"Pretorius","given":"C","non-dropping-particle":"","parse-names":false,"suffix":""},{"dropping-particle":"","family":"White","given":"R G","non-dropping-particle":"","parse-names":false,"suffix":""}],"container-title":"BMC medicine","id":"ITEM-2","issue":"1","issued":{"date-parts":[["2016"]]},"page":"56","publisher":"BMC Medicine","title":"TIME Impact - a new user-friendly tuberculosis (TB) model to inform TB policy decisions.","type":"article-journal","volume":"14"},"uris":["http://www.mendeley.com/documents/?uuid=ce1839a0-8aa1-4c23-8155-7b79f8d07c0a"]},{"id":"ITEM-3","itemData":{"DOI":"10.1371/journal.pmed.1001347","ISBN":"1549-1676","ISSN":"15491277","PMID":"23185139","abstract":"BACKGROUND: The Xpert MTB/RIF test enables rapid detection of tuberculosis (TB) and rifampicin resistance. The World Health Organization recommends Xpert for initial diagnosis in individuals suspected of having multidrug-resistant TB (MDR-TB) or HIV-associated TB, and many countries are moving quickly toward adopting Xpert. As roll-out proceeds, it is essential to understand the potential health impact and cost-effectiveness of diagnostic strategies based on Xpert.\\n\\nMETHODS AND FINDINGS: We evaluated potential health and economic consequences of implementing Xpert in five southern African countries--Botswana, Lesotho, Namibia, South Africa, and Swaziland--where drug resistance and TB-HIV coinfection are prevalent. Using a calibrated, dynamic mathematical model, we compared the status quo diagnostic algorithm, emphasizing sputum smear, against an algorithm incorporating Xpert for initial diagnosis. Results were projected over 10- and 20-y time periods starting from 2012. Compared to status quo, implementation of Xpert would avert 132,000 (95% CI: 55,000-284,000) TB cases and 182,000 (97,000-302,000) TB deaths in southern Africa over the 10 y following introduction, and would reduce prevalence by 28% (14%-40%) by 2022, with more modest reductions in incidence. Health system costs are projected to increase substantially with Xpert, by US$460 million (294-699 million) over 10 y. Antiretroviral therapy for HIV represents a substantial fraction of these additional costs, because of improved survival in TB/HIV-infected populations through better TB case-finding and treatment. Costs for treating MDR-TB are also expected to rise significantly with Xpert scale-up. Relative to status quo, Xpert has an estimated cost-effectiveness of US$959 (633-1,485) per disability-adjusted life-year averted over 10 y. Across countries, cost-effectiveness ratios ranged from US$792 (482-1,785) in Swaziland to US$1,257 (767-2,276) in Botswana. Assessing outcomes over a 10-y period focuses on the near-term consequences of Xpert adoption, but the cost-effectiveness results are conservative, with cost-effectiveness ratios assessed over a 20-y time horizon approximately 20% lower than the 10-y values.\\n\\nCONCLUSIONS: Introduction of Xpert could substantially change TB morbidity and mortality through improved case-finding and treatment, with more limited impact on long-term transmission dynamics. Despite extant uncertainty about TB natural history and intervention impact in southern A…","author":[{"dropping-particle":"","family":"Menzies","given":"Nicolas A.","non-dropping-particle":"","parse-names":false,"suffix":""},{"dropping-particle":"","family":"Cohen","given":"Ted","non-dropping-particle":"","parse-names":false,"suffix":""},{"dropping-particle":"","family":"Lin","given":"Hsien Ho","non-dropping-particle":"","parse-names":false,"suffix":""},{"dropping-particle":"","family":"Murray","given":"Megan","non-dropping-particle":"","parse-names":false,"suffix":""},{"dropping-particle":"","family":"Salomon","given":"Joshua A.","non-dropping-particle":"","parse-names":false,"suffix":""}],"container-title":"PLoS Medicine","id":"ITEM-3","issue":"11","issued":{"date-parts":[["2012"]]},"title":"Population Health Impact and Cost-Effectiveness of Tuberculosis Diagnosis with Xpert MTB/RIF: A Dynamic Simulation and Economic Evaluation","type":"article-journal","volume":"9"},"uris":["http://www.mendeley.com/documents/?uuid=ad6267ad-d3cc-4dfe-894c-84851b812426"]}],"mendeley":{"formattedCitation":"(34–36)","plainTextFormattedCitation":"(34–36)","previouslyFormattedCitation":"(34–36)"},"properties":{"noteIndex":0},"schema":"https://github.com/citation-style-language/schema/raw/master/csl-citation.json"}</w:instrText>
      </w:r>
      <w:r w:rsidR="005D4193" w:rsidRPr="00435469">
        <w:rPr>
          <w:rFonts w:cs="Times New Roman"/>
          <w:sz w:val="20"/>
          <w:szCs w:val="20"/>
        </w:rPr>
        <w:fldChar w:fldCharType="separate"/>
      </w:r>
      <w:r w:rsidR="0063047A" w:rsidRPr="00435469">
        <w:rPr>
          <w:rFonts w:cs="Times New Roman"/>
          <w:noProof/>
          <w:sz w:val="20"/>
          <w:szCs w:val="20"/>
        </w:rPr>
        <w:t>(34–36)</w:t>
      </w:r>
      <w:r w:rsidR="005D4193" w:rsidRPr="00435469">
        <w:rPr>
          <w:rFonts w:cs="Times New Roman"/>
          <w:sz w:val="20"/>
          <w:szCs w:val="20"/>
        </w:rPr>
        <w:fldChar w:fldCharType="end"/>
      </w:r>
      <w:r w:rsidR="00784D01" w:rsidRPr="00435469">
        <w:rPr>
          <w:rFonts w:cs="Times New Roman"/>
          <w:sz w:val="20"/>
          <w:szCs w:val="20"/>
        </w:rPr>
        <w:t>.</w:t>
      </w:r>
    </w:p>
    <w:p w14:paraId="2AC7AB3F" w14:textId="64A58565" w:rsidR="005A6946" w:rsidRPr="00435469" w:rsidRDefault="005A6946" w:rsidP="00955FFB">
      <w:pPr>
        <w:autoSpaceDE w:val="0"/>
        <w:autoSpaceDN w:val="0"/>
        <w:adjustRightInd w:val="0"/>
        <w:spacing w:line="240" w:lineRule="auto"/>
        <w:rPr>
          <w:rFonts w:cs="Times New Roman"/>
          <w:sz w:val="20"/>
          <w:szCs w:val="20"/>
          <w:lang w:val="en-ZA"/>
        </w:rPr>
      </w:pPr>
      <w:r w:rsidRPr="00435469">
        <w:rPr>
          <w:rFonts w:cs="Times New Roman"/>
          <w:sz w:val="20"/>
          <w:szCs w:val="20"/>
        </w:rPr>
        <w:t xml:space="preserve">The remainder of individuals are assumed to stay latently infected and may develop active TB disease at an annual rate through reactivation. This rate </w:t>
      </w:r>
      <w:r w:rsidR="00F27C8B" w:rsidRPr="00435469">
        <w:rPr>
          <w:rFonts w:cs="Times New Roman"/>
          <w:sz w:val="20"/>
          <w:szCs w:val="20"/>
        </w:rPr>
        <w:t xml:space="preserve">might be estimated as 0.0024, </w:t>
      </w:r>
      <w:r w:rsidRPr="00435469">
        <w:rPr>
          <w:rFonts w:cs="Times New Roman"/>
          <w:sz w:val="20"/>
          <w:szCs w:val="20"/>
        </w:rPr>
        <w:t xml:space="preserve">based on assuming 0.0866 as the rate of fast progression in the first year after infection and 0.028 as the relative risk of progression in the fifth year, as estimated by </w:t>
      </w:r>
      <w:proofErr w:type="spellStart"/>
      <w:r w:rsidRPr="00435469">
        <w:rPr>
          <w:rFonts w:cs="Times New Roman"/>
          <w:sz w:val="20"/>
          <w:szCs w:val="20"/>
        </w:rPr>
        <w:t>Vynnycky</w:t>
      </w:r>
      <w:proofErr w:type="spellEnd"/>
      <w:r w:rsidRPr="00435469">
        <w:rPr>
          <w:rFonts w:cs="Times New Roman"/>
          <w:sz w:val="20"/>
          <w:szCs w:val="20"/>
        </w:rPr>
        <w:t xml:space="preserve"> &amp; Fine </w:t>
      </w:r>
      <m:oMath>
        <m:r>
          <w:rPr>
            <w:rFonts w:ascii="Cambria Math" w:hAnsi="Cambria Math" w:cs="Times New Roman"/>
            <w:sz w:val="20"/>
            <w:szCs w:val="20"/>
          </w:rPr>
          <m:t>(0.0024=</m:t>
        </m:r>
        <m:r>
          <m:rPr>
            <m:sty m:val="p"/>
          </m:rPr>
          <w:rPr>
            <w:rFonts w:ascii="Cambria Math" w:hAnsi="Cambria Math" w:cs="Times New Roman"/>
            <w:sz w:val="20"/>
            <w:szCs w:val="20"/>
          </w:rPr>
          <m:t>0.0866×0.028)</m:t>
        </m:r>
      </m:oMath>
      <w:r w:rsidRPr="00435469">
        <w:rPr>
          <w:rFonts w:cs="Times New Roman"/>
          <w:sz w:val="20"/>
          <w:szCs w:val="20"/>
        </w:rPr>
        <w:t xml:space="preserve"> </w:t>
      </w:r>
      <w:r w:rsidRPr="00435469">
        <w:rPr>
          <w:rFonts w:cs="Times New Roman"/>
          <w:sz w:val="20"/>
          <w:szCs w:val="20"/>
        </w:rPr>
        <w:fldChar w:fldCharType="begin" w:fldLock="1"/>
      </w:r>
      <w:r w:rsidRPr="00435469">
        <w:rPr>
          <w:rFonts w:cs="Times New Roman"/>
          <w:sz w:val="20"/>
          <w:szCs w:val="20"/>
        </w:rPr>
        <w:instrText>ADDIN CSL_CITATION {"citationItems":[{"id":"ITEM-1","itemData":{"DOI":"10.1017/S0950268897007917","ISBN":"0950-2688 (Print)\\r0950-2688 (Linking)","ISSN":"0950-2688","PMID":"9363017","abstract":"Many aspects of the natural history of tuberculosis are poorly understood. Though it is recognized that clinical tuberculosis may follow shortly after initial infection ('primary' disease), or many years thereafter through either endogenous reactivation or after reinfection, the relative importance of these mechanisms is often disputed. The issue is complicated by the fact that the risks of developing disease are age-dependent, and reflect infection risks which may change over time. This paper estimates the age-dependent risks of developing tuberculosis using an age-structured deterministic model of the dynamics of tuberculous infection and disease in England and Wales since 1900. The work extends the classical studies of Sutherland and colleagues. The best estimates of the risks of developing 'primary' disease (within 5 years of initial infection) were approximately 4%, 9% and 14% for individuals infected at ages 0-10, 15 years and over 20 years respectively, and a previous infection appeared to impart little protection against (further) reinfection, but 16-41% protection against disease subsequent to reinfection for adolescents and adults. We also provide evidence that reinfection made an important contribution to tuberculous morbidity in the past, as (i) exclusion of exogenous disease from the model considerably worsened the fit to observed notification rates, and (ii) the dramatic decline in the risk of tuberculous infection from 1950 in England and Wales accelerated the decline in morbidity among all individuals, even among the older age groups with a high prevalence of tuberculous infection. We conclude that the risk of infection is the single most important factor affecting the magnitude of the tuberculous morbidity in a population, as it determines both the age pattern of initial infection (and hence the risk of developing disease) and the risk of reinfection.","author":[{"dropping-particle":"","family":"Vynnycky","given":"E","non-dropping-particle":"","parse-names":false,"suffix":""},{"dropping-particle":"","family":"Fine","given":"P E","non-dropping-particle":"","parse-names":false,"suffix":""}],"container-title":"Epidemiology and infection","id":"ITEM-1","issue":"2","issued":{"date-parts":[["1997"]]},"page":"183-201","title":"The natural history of tuberculosis: the implications of age-dependent risks of disease and the role of reinfection.","type":"article-journal","volume":"119"},"uris":["http://www.mendeley.com/documents/?uuid=6728f462-5800-4a8c-a148-1551286406c6"]}],"mendeley":{"formattedCitation":"(1)","plainTextFormattedCitation":"(1)","previouslyFormattedCitation":"(1)"},"properties":{"noteIndex":0},"schema":"https://github.com/citation-style-language/schema/raw/master/csl-citation.json"}</w:instrText>
      </w:r>
      <w:r w:rsidRPr="00435469">
        <w:rPr>
          <w:rFonts w:cs="Times New Roman"/>
          <w:sz w:val="20"/>
          <w:szCs w:val="20"/>
        </w:rPr>
        <w:fldChar w:fldCharType="separate"/>
      </w:r>
      <w:r w:rsidRPr="00435469">
        <w:rPr>
          <w:rFonts w:cs="Times New Roman"/>
          <w:noProof/>
          <w:sz w:val="20"/>
          <w:szCs w:val="20"/>
        </w:rPr>
        <w:t>(1)</w:t>
      </w:r>
      <w:r w:rsidRPr="00435469">
        <w:rPr>
          <w:rFonts w:cs="Times New Roman"/>
          <w:sz w:val="20"/>
          <w:szCs w:val="20"/>
        </w:rPr>
        <w:fldChar w:fldCharType="end"/>
      </w:r>
      <w:r w:rsidRPr="00435469">
        <w:rPr>
          <w:rFonts w:cs="Times New Roman"/>
          <w:sz w:val="20"/>
          <w:szCs w:val="20"/>
        </w:rPr>
        <w:t xml:space="preserve">. </w:t>
      </w:r>
      <w:r w:rsidR="00A832F4" w:rsidRPr="00435469">
        <w:rPr>
          <w:rFonts w:cs="Times New Roman"/>
          <w:sz w:val="20"/>
          <w:szCs w:val="20"/>
        </w:rPr>
        <w:t xml:space="preserve">A </w:t>
      </w:r>
      <w:r w:rsidRPr="00435469">
        <w:rPr>
          <w:rFonts w:cs="Times New Roman"/>
          <w:sz w:val="20"/>
          <w:szCs w:val="20"/>
        </w:rPr>
        <w:t xml:space="preserve">prior distribution to represent the uncertainty around this reactivation rate parameter </w:t>
      </w:r>
      <w:r w:rsidR="00F27C8B" w:rsidRPr="00435469">
        <w:rPr>
          <w:rFonts w:cs="Times New Roman"/>
          <w:sz w:val="20"/>
          <w:szCs w:val="20"/>
        </w:rPr>
        <w:t xml:space="preserve">was previously </w:t>
      </w:r>
      <w:r w:rsidRPr="00435469">
        <w:rPr>
          <w:rFonts w:cs="Times New Roman"/>
          <w:sz w:val="20"/>
          <w:szCs w:val="20"/>
        </w:rPr>
        <w:t xml:space="preserve">specified as a Gamma (4; 1666.7) distribution. </w:t>
      </w:r>
      <w:r w:rsidR="007243A0" w:rsidRPr="00435469">
        <w:rPr>
          <w:rFonts w:cs="Times New Roman"/>
          <w:sz w:val="20"/>
          <w:szCs w:val="20"/>
        </w:rPr>
        <w:t xml:space="preserve">The </w:t>
      </w:r>
      <w:r w:rsidR="002F632D" w:rsidRPr="00435469">
        <w:rPr>
          <w:rFonts w:cs="Times New Roman"/>
          <w:sz w:val="20"/>
          <w:szCs w:val="20"/>
        </w:rPr>
        <w:t>corresponding</w:t>
      </w:r>
      <w:r w:rsidR="0092369D" w:rsidRPr="00435469">
        <w:rPr>
          <w:rFonts w:cs="Times New Roman"/>
          <w:sz w:val="20"/>
          <w:szCs w:val="20"/>
        </w:rPr>
        <w:t xml:space="preserve"> mean</w:t>
      </w:r>
      <w:r w:rsidR="00BD66A9" w:rsidRPr="00435469">
        <w:rPr>
          <w:rFonts w:cs="Times New Roman"/>
          <w:sz w:val="20"/>
          <w:szCs w:val="20"/>
        </w:rPr>
        <w:t xml:space="preserve"> </w:t>
      </w:r>
      <w:r w:rsidR="008A2C50" w:rsidRPr="00435469">
        <w:rPr>
          <w:rFonts w:cs="Times New Roman"/>
          <w:sz w:val="20"/>
          <w:szCs w:val="20"/>
        </w:rPr>
        <w:t xml:space="preserve">and standard deviation were </w:t>
      </w:r>
      <w:r w:rsidR="00BD66A9" w:rsidRPr="00435469">
        <w:rPr>
          <w:rFonts w:cs="Times New Roman"/>
          <w:sz w:val="20"/>
          <w:szCs w:val="20"/>
        </w:rPr>
        <w:t xml:space="preserve">0.0024 </w:t>
      </w:r>
      <w:r w:rsidR="0092369D" w:rsidRPr="00435469">
        <w:rPr>
          <w:rFonts w:cs="Times New Roman"/>
          <w:sz w:val="20"/>
          <w:szCs w:val="20"/>
        </w:rPr>
        <w:t>and</w:t>
      </w:r>
      <w:r w:rsidR="00C110EF" w:rsidRPr="00435469">
        <w:rPr>
          <w:rFonts w:cs="Times New Roman"/>
          <w:sz w:val="20"/>
          <w:szCs w:val="20"/>
        </w:rPr>
        <w:t xml:space="preserve"> </w:t>
      </w:r>
      <w:r w:rsidR="00C41A82" w:rsidRPr="00435469">
        <w:rPr>
          <w:rFonts w:cs="Times New Roman"/>
          <w:sz w:val="20"/>
          <w:szCs w:val="20"/>
        </w:rPr>
        <w:t>0</w:t>
      </w:r>
      <w:r w:rsidR="00C110EF" w:rsidRPr="00435469">
        <w:rPr>
          <w:rFonts w:cs="Times New Roman"/>
          <w:sz w:val="20"/>
          <w:szCs w:val="20"/>
        </w:rPr>
        <w:t>.</w:t>
      </w:r>
      <w:r w:rsidR="00C41A82" w:rsidRPr="00435469">
        <w:rPr>
          <w:rFonts w:cs="Times New Roman"/>
          <w:sz w:val="20"/>
          <w:szCs w:val="20"/>
        </w:rPr>
        <w:t>001</w:t>
      </w:r>
      <w:r w:rsidR="00C110EF" w:rsidRPr="00435469">
        <w:rPr>
          <w:rFonts w:cs="Times New Roman"/>
          <w:sz w:val="20"/>
          <w:szCs w:val="20"/>
        </w:rPr>
        <w:t>2</w:t>
      </w:r>
      <w:r w:rsidR="008A2C50" w:rsidRPr="00435469">
        <w:rPr>
          <w:rFonts w:cs="Times New Roman"/>
          <w:sz w:val="20"/>
          <w:szCs w:val="20"/>
        </w:rPr>
        <w:t xml:space="preserve"> respectively. </w:t>
      </w:r>
      <w:r w:rsidR="00EC1E8E" w:rsidRPr="00435469">
        <w:rPr>
          <w:rFonts w:cs="Times New Roman"/>
          <w:sz w:val="20"/>
          <w:szCs w:val="20"/>
        </w:rPr>
        <w:t>In a previous calibration analysis, we estimated</w:t>
      </w:r>
      <w:r w:rsidR="00F27C8B" w:rsidRPr="00435469">
        <w:rPr>
          <w:rFonts w:cs="Times New Roman"/>
          <w:sz w:val="20"/>
          <w:szCs w:val="20"/>
        </w:rPr>
        <w:t xml:space="preserve"> the</w:t>
      </w:r>
      <w:r w:rsidR="00EC1E8E" w:rsidRPr="00435469">
        <w:rPr>
          <w:rFonts w:cs="Times New Roman"/>
          <w:sz w:val="20"/>
          <w:szCs w:val="20"/>
        </w:rPr>
        <w:t xml:space="preserve"> posterior mean and 95% confidence interval at 0.00148 (</w:t>
      </w:r>
      <w:r w:rsidR="00F94A50" w:rsidRPr="00435469">
        <w:rPr>
          <w:rFonts w:cs="Times New Roman"/>
          <w:sz w:val="20"/>
          <w:szCs w:val="20"/>
        </w:rPr>
        <w:t xml:space="preserve">95% CI </w:t>
      </w:r>
      <w:r w:rsidR="00EC1E8E" w:rsidRPr="00435469">
        <w:rPr>
          <w:rFonts w:cs="Times New Roman"/>
          <w:sz w:val="20"/>
          <w:szCs w:val="20"/>
        </w:rPr>
        <w:t>0.0014 – 0.00155). In this analysis, we fixed this parameter at this mean of 0.00148.</w:t>
      </w:r>
    </w:p>
    <w:p w14:paraId="6691E6C3" w14:textId="518A1D83" w:rsidR="009D7A05" w:rsidRPr="00435469" w:rsidRDefault="005A6946" w:rsidP="00955FFB">
      <w:pPr>
        <w:spacing w:line="240" w:lineRule="auto"/>
        <w:rPr>
          <w:rFonts w:eastAsia="Calibri" w:cs="Times New Roman"/>
          <w:sz w:val="20"/>
          <w:szCs w:val="20"/>
        </w:rPr>
      </w:pPr>
      <w:r w:rsidRPr="00435469">
        <w:rPr>
          <w:rFonts w:eastAsia="Calibri" w:cs="Times New Roman"/>
          <w:sz w:val="20"/>
          <w:szCs w:val="20"/>
        </w:rPr>
        <w:t>To model the effect of HIV on progression to TB disease, we consider</w:t>
      </w:r>
      <w:r w:rsidR="00A95843" w:rsidRPr="00435469">
        <w:rPr>
          <w:rFonts w:eastAsia="Calibri" w:cs="Times New Roman"/>
          <w:sz w:val="20"/>
          <w:szCs w:val="20"/>
        </w:rPr>
        <w:t>ed</w:t>
      </w:r>
      <w:r w:rsidRPr="00435469">
        <w:rPr>
          <w:rFonts w:eastAsia="Calibri" w:cs="Times New Roman"/>
          <w:sz w:val="20"/>
          <w:szCs w:val="20"/>
        </w:rPr>
        <w:t xml:space="preserve"> the following parameters: 1) </w:t>
      </w:r>
      <m:oMath>
        <m:r>
          <w:rPr>
            <w:rFonts w:ascii="Cambria Math" w:eastAsia="Calibri" w:hAnsi="Cambria Math" w:cs="Times New Roman"/>
            <w:sz w:val="20"/>
            <w:szCs w:val="20"/>
          </w:rPr>
          <m:t xml:space="preserve">θ, </m:t>
        </m:r>
      </m:oMath>
      <w:r w:rsidRPr="00435469">
        <w:rPr>
          <w:rFonts w:eastAsia="Calibri" w:cs="Times New Roman"/>
          <w:sz w:val="20"/>
          <w:szCs w:val="20"/>
        </w:rPr>
        <w:t xml:space="preserve">the relative rate of TB incidence per 100 cells/μl increase in CD4 count; and 2) </w:t>
      </w:r>
      <m:oMath>
        <m:r>
          <w:rPr>
            <w:rFonts w:ascii="Cambria Math" w:eastAsia="Calibri" w:hAnsi="Cambria Math" w:cs="Times New Roman"/>
            <w:sz w:val="20"/>
            <w:szCs w:val="20"/>
          </w:rPr>
          <m:t>π</m:t>
        </m:r>
      </m:oMath>
      <w:r w:rsidRPr="00435469">
        <w:rPr>
          <w:rFonts w:eastAsia="Calibri" w:cs="Times New Roman"/>
          <w:sz w:val="20"/>
          <w:szCs w:val="20"/>
        </w:rPr>
        <w:t xml:space="preserve"> relative rate of TB incidence on ART after controlling for CD4 count. </w:t>
      </w:r>
    </w:p>
    <w:p w14:paraId="6910D7A9" w14:textId="581CB9D6" w:rsidR="003B7B11" w:rsidRPr="00435469" w:rsidRDefault="005A6946" w:rsidP="00955FFB">
      <w:pPr>
        <w:spacing w:line="240" w:lineRule="auto"/>
        <w:rPr>
          <w:rFonts w:eastAsia="Calibri" w:cs="Times New Roman"/>
          <w:sz w:val="20"/>
          <w:szCs w:val="20"/>
        </w:rPr>
      </w:pPr>
      <w:r w:rsidRPr="00435469">
        <w:rPr>
          <w:rFonts w:eastAsia="Calibri" w:cs="Times New Roman"/>
          <w:sz w:val="20"/>
          <w:szCs w:val="20"/>
        </w:rPr>
        <w:lastRenderedPageBreak/>
        <w:t>To set the effect of CD4 count on TB disease risk (</w:t>
      </w:r>
      <m:oMath>
        <m:r>
          <w:rPr>
            <w:rFonts w:ascii="Cambria Math" w:eastAsia="Calibri" w:hAnsi="Cambria Math" w:cs="Times New Roman"/>
            <w:sz w:val="20"/>
            <w:szCs w:val="20"/>
          </w:rPr>
          <m:t>θ</m:t>
        </m:r>
      </m:oMath>
      <w:r w:rsidRPr="00435469">
        <w:rPr>
          <w:rFonts w:eastAsia="Calibri" w:cs="Times New Roman"/>
          <w:sz w:val="20"/>
          <w:szCs w:val="20"/>
        </w:rPr>
        <w:t>), we use</w:t>
      </w:r>
      <w:r w:rsidR="000F5BE7" w:rsidRPr="00435469">
        <w:rPr>
          <w:rFonts w:eastAsia="Calibri" w:cs="Times New Roman"/>
          <w:sz w:val="20"/>
          <w:szCs w:val="20"/>
        </w:rPr>
        <w:t>d</w:t>
      </w:r>
      <w:r w:rsidRPr="00435469">
        <w:rPr>
          <w:rFonts w:eastAsia="Calibri" w:cs="Times New Roman"/>
          <w:sz w:val="20"/>
          <w:szCs w:val="20"/>
        </w:rPr>
        <w:t xml:space="preserve"> the meta-analysis by Ellis </w:t>
      </w:r>
      <w:r w:rsidRPr="00435469">
        <w:rPr>
          <w:rFonts w:eastAsia="Calibri" w:cs="Times New Roman"/>
          <w:i/>
          <w:iCs/>
          <w:sz w:val="20"/>
          <w:szCs w:val="20"/>
        </w:rPr>
        <w:t>et al</w:t>
      </w:r>
      <w:r w:rsidRPr="00435469">
        <w:rPr>
          <w:rFonts w:eastAsia="Calibri" w:cs="Times New Roman"/>
          <w:sz w:val="20"/>
          <w:szCs w:val="20"/>
        </w:rPr>
        <w:t>., which estimated that an increase in 100</w:t>
      </w:r>
      <w:r w:rsidR="00A832F4" w:rsidRPr="00435469">
        <w:rPr>
          <w:rFonts w:eastAsia="Calibri" w:cs="Times New Roman"/>
          <w:sz w:val="20"/>
          <w:szCs w:val="20"/>
        </w:rPr>
        <w:t xml:space="preserve"> CD4</w:t>
      </w:r>
      <w:r w:rsidRPr="00435469">
        <w:rPr>
          <w:rFonts w:eastAsia="Calibri" w:cs="Times New Roman"/>
          <w:sz w:val="20"/>
          <w:szCs w:val="20"/>
        </w:rPr>
        <w:t xml:space="preserve"> cells/</w:t>
      </w:r>
      <w:proofErr w:type="spellStart"/>
      <w:r w:rsidRPr="00435469">
        <w:rPr>
          <w:rFonts w:eastAsia="Calibri" w:cs="Times New Roman"/>
          <w:sz w:val="20"/>
          <w:szCs w:val="20"/>
        </w:rPr>
        <w:t>μl</w:t>
      </w:r>
      <w:proofErr w:type="spellEnd"/>
      <w:r w:rsidRPr="00435469">
        <w:rPr>
          <w:rFonts w:eastAsia="Calibri" w:cs="Times New Roman"/>
          <w:sz w:val="20"/>
          <w:szCs w:val="20"/>
        </w:rPr>
        <w:t xml:space="preserve"> was associated with a 30% reduction in TB risk (IRR 0.70, 95% CI 0.53 – 0.86) </w:t>
      </w:r>
      <w:r w:rsidRPr="00435469">
        <w:rPr>
          <w:rFonts w:eastAsia="Calibri" w:cs="Times New Roman"/>
          <w:sz w:val="20"/>
          <w:szCs w:val="20"/>
        </w:rPr>
        <w:fldChar w:fldCharType="begin" w:fldLock="1"/>
      </w:r>
      <w:r w:rsidR="002F049E" w:rsidRPr="00435469">
        <w:rPr>
          <w:rFonts w:eastAsia="Calibri" w:cs="Times New Roman"/>
          <w:sz w:val="20"/>
          <w:szCs w:val="20"/>
        </w:rPr>
        <w:instrText>ADDIN CSL_CITATION {"citationItems":[{"id":"ITEM-1","itemData":{"DOI":"10.7717/peerj.4165","ISBN":"4201604888","abstract":"Background CD4 cell count in adults with human immunodeficiency virus (HIV) infection (PLHIV) not receiving antiretroviral therapy (ART) influences tuberculosis (TB) risk. Despite widespread use in models informing resource allocation, this relationship has not been systematically reviewed. Methods We systematically searched MEDLINE, Aidsinfo, Cochrane review database and Google Scholar for reports in English describing TB incidence stratified by updated CD4 cell count in cohorts of HIV-positive adults (age ≥15 years) not on ART (PROSPERO protocol no: CRD42016048888). Among inclusion criteria were: reporting precision for TB incidence, repeated CD4 measurements, and TB incidence reported for those not on ART or monotherapy. Study quality was assessed via the Newcastle-Ottawa tool for cohort studies. A Bayesian hierarchical model was fitted to estimate the pooled factor increase in TB incidence with respect to CD4 cell count decrement. Results A total of 1,555 distinct records were identified from which 164 full text articles were obtained. Common reasons for exclusion of full texts were: no valid TB incidence, no repeat CD4 measurements, and not reporting TB incidence by ART status. The seven studies included reported on 1,206 TB cases among 41,271 individuals, with a typical median follow-up of four years. Studies were generally rated as moderate or high quality. Our meta-analysis estimated a 1.43 (95% credible interval: 1.16-1.88)-fold increase in TB incidence per 100 cells per mm3 decrease in CD4 cell count. Discussion Our analysis confirms previous estimates of exponential increase in TB incidence with declining CD4 cell count in adults, emphasizing the importance of early ART initiation to reduce TB risk in PLHIV.","author":[{"dropping-particle":"","family":"Ellis","given":"Penelope K.","non-dropping-particle":"","parse-names":false,"suffix":""},{"dropping-particle":"","family":"Martin","given":"Willam J.","non-dropping-particle":"","parse-names":false,"suffix":""},{"dropping-particle":"","family":"Dodd","given":"Peter J.","non-dropping-particle":"","parse-names":false,"suffix":""}],"container-title":"PeerJ","id":"ITEM-1","issued":{"date-parts":[["2017"]]},"page":"e4165","title":"CD4 count and tuberculosis risk in HIV-positive adults not on ART: a systematic review and meta-analysis","type":"article-journal","volume":"5"},"uris":["http://www.mendeley.com/documents/?uuid=f82f0012-489f-43f9-8e85-8e85dab5305f"]}],"mendeley":{"formattedCitation":"(37)","plainTextFormattedCitation":"(37)","previouslyFormattedCitation":"(37)"},"properties":{"noteIndex":0},"schema":"https://github.com/citation-style-language/schema/raw/master/csl-citation.json"}</w:instrText>
      </w:r>
      <w:r w:rsidRPr="00435469">
        <w:rPr>
          <w:rFonts w:eastAsia="Calibri" w:cs="Times New Roman"/>
          <w:sz w:val="20"/>
          <w:szCs w:val="20"/>
        </w:rPr>
        <w:fldChar w:fldCharType="separate"/>
      </w:r>
      <w:r w:rsidR="0063047A" w:rsidRPr="00435469">
        <w:rPr>
          <w:rFonts w:eastAsia="Calibri" w:cs="Times New Roman"/>
          <w:noProof/>
          <w:sz w:val="20"/>
          <w:szCs w:val="20"/>
        </w:rPr>
        <w:t>(37)</w:t>
      </w:r>
      <w:r w:rsidRPr="00435469">
        <w:rPr>
          <w:rFonts w:eastAsia="Calibri" w:cs="Times New Roman"/>
          <w:sz w:val="20"/>
          <w:szCs w:val="20"/>
        </w:rPr>
        <w:fldChar w:fldCharType="end"/>
      </w:r>
      <w:r w:rsidRPr="00435469">
        <w:rPr>
          <w:rFonts w:eastAsia="Calibri" w:cs="Times New Roman"/>
          <w:sz w:val="20"/>
          <w:szCs w:val="20"/>
        </w:rPr>
        <w:t xml:space="preserve">. </w:t>
      </w:r>
      <w:r w:rsidR="00095B83" w:rsidRPr="00435469">
        <w:rPr>
          <w:rFonts w:eastAsia="Calibri" w:cs="Times New Roman"/>
          <w:sz w:val="20"/>
          <w:szCs w:val="20"/>
        </w:rPr>
        <w:t xml:space="preserve">As such, we </w:t>
      </w:r>
      <w:r w:rsidR="00174812" w:rsidRPr="00435469">
        <w:rPr>
          <w:rFonts w:eastAsia="Calibri" w:cs="Times New Roman"/>
          <w:sz w:val="20"/>
          <w:szCs w:val="20"/>
        </w:rPr>
        <w:t>specified a</w:t>
      </w:r>
      <w:r w:rsidR="00095B83" w:rsidRPr="00435469">
        <w:rPr>
          <w:rFonts w:eastAsia="Calibri" w:cs="Times New Roman"/>
          <w:sz w:val="20"/>
          <w:szCs w:val="20"/>
        </w:rPr>
        <w:t xml:space="preserve"> Beta (19.52; 7.97) prior distribution to represent the uncertainty around this </w:t>
      </w:r>
      <m:oMath>
        <m:r>
          <w:rPr>
            <w:rFonts w:ascii="Cambria Math" w:eastAsia="Calibri" w:hAnsi="Cambria Math" w:cs="Times New Roman"/>
            <w:sz w:val="20"/>
            <w:szCs w:val="20"/>
          </w:rPr>
          <m:t>θ</m:t>
        </m:r>
      </m:oMath>
      <w:r w:rsidR="00095B83" w:rsidRPr="00435469">
        <w:rPr>
          <w:rFonts w:eastAsia="Calibri" w:cs="Times New Roman"/>
          <w:sz w:val="20"/>
          <w:szCs w:val="20"/>
        </w:rPr>
        <w:t xml:space="preserve"> parameter</w:t>
      </w:r>
      <w:r w:rsidR="0005737F" w:rsidRPr="00435469">
        <w:rPr>
          <w:rFonts w:eastAsia="Calibri" w:cs="Times New Roman"/>
          <w:sz w:val="20"/>
          <w:szCs w:val="20"/>
        </w:rPr>
        <w:t xml:space="preserve">, </w:t>
      </w:r>
      <w:r w:rsidR="000415CB" w:rsidRPr="00435469">
        <w:rPr>
          <w:rFonts w:eastAsia="Calibri" w:cs="Times New Roman"/>
          <w:sz w:val="20"/>
          <w:szCs w:val="20"/>
        </w:rPr>
        <w:t>with</w:t>
      </w:r>
      <w:r w:rsidR="0005737F" w:rsidRPr="00435469">
        <w:rPr>
          <w:rFonts w:eastAsia="Calibri" w:cs="Times New Roman"/>
          <w:sz w:val="20"/>
          <w:szCs w:val="20"/>
        </w:rPr>
        <w:t xml:space="preserve"> the mean at 0.71 and standard deviation at 0.085, based on the Ellis </w:t>
      </w:r>
      <w:r w:rsidR="0005737F" w:rsidRPr="00435469">
        <w:rPr>
          <w:rFonts w:eastAsia="Calibri" w:cs="Times New Roman"/>
          <w:i/>
          <w:iCs/>
          <w:sz w:val="20"/>
          <w:szCs w:val="20"/>
        </w:rPr>
        <w:t>et al</w:t>
      </w:r>
      <w:r w:rsidR="0005737F" w:rsidRPr="00435469">
        <w:rPr>
          <w:rFonts w:eastAsia="Calibri" w:cs="Times New Roman"/>
          <w:sz w:val="20"/>
          <w:szCs w:val="20"/>
        </w:rPr>
        <w:t xml:space="preserve"> study</w:t>
      </w:r>
      <w:r w:rsidR="00095B83" w:rsidRPr="00435469">
        <w:rPr>
          <w:rFonts w:eastAsia="Calibri" w:cs="Times New Roman"/>
          <w:sz w:val="20"/>
          <w:szCs w:val="20"/>
        </w:rPr>
        <w:t xml:space="preserve">. </w:t>
      </w:r>
    </w:p>
    <w:p w14:paraId="531FDA53" w14:textId="63FD357F" w:rsidR="005A6946" w:rsidRPr="00435469" w:rsidRDefault="003B7B11" w:rsidP="00955FFB">
      <w:pPr>
        <w:spacing w:line="240" w:lineRule="auto"/>
        <w:rPr>
          <w:rFonts w:eastAsia="Calibri" w:cs="Times New Roman"/>
          <w:sz w:val="20"/>
          <w:szCs w:val="20"/>
        </w:rPr>
      </w:pPr>
      <w:r w:rsidRPr="00435469">
        <w:rPr>
          <w:rFonts w:eastAsia="Calibri" w:cs="Times New Roman"/>
          <w:sz w:val="20"/>
          <w:szCs w:val="20"/>
        </w:rPr>
        <w:t xml:space="preserve">Secondly, we use assume HIV viraemia </w:t>
      </w:r>
      <w:proofErr w:type="gramStart"/>
      <w:r w:rsidRPr="00435469">
        <w:rPr>
          <w:rFonts w:eastAsia="Calibri" w:cs="Times New Roman"/>
          <w:sz w:val="20"/>
          <w:szCs w:val="20"/>
        </w:rPr>
        <w:t>has an effect on</w:t>
      </w:r>
      <w:proofErr w:type="gramEnd"/>
      <w:r w:rsidRPr="00435469">
        <w:rPr>
          <w:rFonts w:eastAsia="Calibri" w:cs="Times New Roman"/>
          <w:sz w:val="20"/>
          <w:szCs w:val="20"/>
        </w:rPr>
        <w:t xml:space="preserve"> developing TB disease, independent of CD4 count. That is, a person with untreated HIV might be at increased risk of TB disease when compared to an HIV-negative person with the same CD4. Because we cannot measure this parameter directly, we use, as a proxy, the effect of ART on TB disease (independent of CD4) since ART generally suppresses viraemia</w:t>
      </w:r>
      <w:r w:rsidR="00BE711F" w:rsidRPr="00435469">
        <w:rPr>
          <w:rFonts w:eastAsia="Calibri" w:cs="Times New Roman"/>
          <w:sz w:val="20"/>
          <w:szCs w:val="20"/>
        </w:rPr>
        <w:t xml:space="preserve"> </w:t>
      </w:r>
      <w:r w:rsidR="001B4945" w:rsidRPr="00435469">
        <w:rPr>
          <w:rFonts w:eastAsia="Calibri" w:cs="Times New Roman"/>
          <w:sz w:val="20"/>
          <w:szCs w:val="20"/>
        </w:rPr>
        <w:fldChar w:fldCharType="begin" w:fldLock="1"/>
      </w:r>
      <w:r w:rsidR="002F049E" w:rsidRPr="00435469">
        <w:rPr>
          <w:rFonts w:eastAsia="Calibri" w:cs="Times New Roman"/>
          <w:sz w:val="20"/>
          <w:szCs w:val="20"/>
        </w:rPr>
        <w:instrText>ADDIN CSL_CITATION {"citationItems":[{"id":"ITEM-1","itemData":{"DOI":"10.1097/QAI.0b013e3181f9fb39","ISSN":"15254135","PMID":"20926954","abstract":"Objective: To determine tuberculosis (TB) incidence rates and risk factors among individuals receiving antiretroviral treatment (ART). Design: Observational cohort in Johannesburg, South Africa. Methods: Incident TB was classified as early (less than 6 months of ART) or late (greater than 6 months of ART) incident TB. CD4 cell counts, viral load, body mass index, and hemoglobin were measured 6-monthly. Hazard ratios for factors associated with early and late incident TB were assessed using Cox proportional hazards regression. Results: During 13,416 person-years of follow-up, 501 TB cases occurred among 7536 individuals, corresponding to a 10% risk in the first 4 years of ART and an overall incidence rate of 4.2 cases/100 person-years. The highest incidence rate (21.7 per 100 person-years) was observed in the first 3 months of ART among people with CD4 count below 50 cells/mm. Low baseline CD4 count, anemia, and low body mass index were the strongest risk factors for early incident TB. Low updated CD4 count, low updated body mass index, anemia, and high viral load on ART were strong risk factors for late incident TB. Conclusions: Severity of HIV disease and unfavorable response to ART are associated with early and late incident TB, respectively. Early ART initiation and intensified TB screening at ART initiation are crucial to reduce incident TB. © 2011 Lippincott Williams &amp; Wilkins.","author":[{"dropping-particle":"","family":"Rie","given":"Annelies","non-dropping-particle":"Van","parse-names":false,"suffix":""},{"dropping-particle":"","family":"Westreich","given":"Daniel","non-dropping-particle":"","parse-names":false,"suffix":""},{"dropping-particle":"","family":"Sanne","given":"Ian","non-dropping-particle":"","parse-names":false,"suffix":""}],"container-title":"Journal of Acquired Immune Deficiency Syndromes","id":"ITEM-1","issue":"4","issued":{"date-parts":[["2011"]]},"page":"349-355","title":"Tuberculosis in patients receiving antiretroviral treatment: Incidence, risk factors, and prevention strategies","type":"article-journal","volume":"56"},"uris":["http://www.mendeley.com/documents/?uuid=88a024cf-ece5-4a3a-9800-5f051a04cbc8"]},{"id":"ITEM-2","itemData":{"DOI":"10.7448/ias.20.1.21327","author":[{"dropping-particle":"","family":"Fenner","given":"Lukas","non-dropping-particle":"","parse-names":false,"suffix":""},{"dropping-particle":"","family":"Atkinson","given":"Andrew","non-dropping-particle":"","parse-names":false,"suffix":""},{"dropping-particle":"","family":"Boulle","given":"Andrew","non-dropping-particle":"","parse-names":false,"suffix":""},{"dropping-particle":"","family":"Fox","given":"Matthew P.","non-dropping-particle":"","parse-names":false,"suffix":""},{"dropping-particle":"","family":"Prozesky","given":"Hans","non-dropping-particle":"","parse-names":false,"suffix":""},{"dropping-particle":"","family":"Zürcher","given":"Kathrin","non-dropping-particle":"","parse-names":false,"suffix":""},{"dropping-particle":"","family":"Ballif","given":"Marie","non-dropping-particle":"","parse-names":false,"suffix":""},{"dropping-particle":"","family":"Furrer","given":"Hansjakob","non-dropping-particle":"","parse-names":false,"suffix":""},{"dropping-particle":"","family":"Zwahlen","given":"Marcel","non-dropping-particle":"","parse-names":false,"suffix":""},{"dropping-particle":"","family":"Davies","given":"Mary-Ann","non-dropping-particle":"","parse-names":false,"suffix":""},{"dropping-particle":"","family":"Egger","given":"Matthias","non-dropping-particle":"","parse-names":false,"suffix":""}],"container-title":"Journal of the International AIDS Society","id":"ITEM-2","issue":"1","issued":{"date-parts":[["2017"]]},"page":"21327","publisher":"Taylor &amp; Francis","title":"HIV viral load as an independent risk factor for tuberculosis in South Africa: collaborative analysis of cohort studies","type":"article-journal","volume":"20"},"uris":["http://www.mendeley.com/documents/?uuid=59dd0d07-3f86-4205-a4da-4b24b32a9508"]}],"mendeley":{"formattedCitation":"(38,39)","plainTextFormattedCitation":"(38,39)","previouslyFormattedCitation":"(38,39)"},"properties":{"noteIndex":0},"schema":"https://github.com/citation-style-language/schema/raw/master/csl-citation.json"}</w:instrText>
      </w:r>
      <w:r w:rsidR="001B4945" w:rsidRPr="00435469">
        <w:rPr>
          <w:rFonts w:eastAsia="Calibri" w:cs="Times New Roman"/>
          <w:sz w:val="20"/>
          <w:szCs w:val="20"/>
        </w:rPr>
        <w:fldChar w:fldCharType="separate"/>
      </w:r>
      <w:r w:rsidR="0063047A" w:rsidRPr="00435469">
        <w:rPr>
          <w:rFonts w:eastAsia="Calibri" w:cs="Times New Roman"/>
          <w:noProof/>
          <w:sz w:val="20"/>
          <w:szCs w:val="20"/>
        </w:rPr>
        <w:t>(38,39)</w:t>
      </w:r>
      <w:r w:rsidR="001B4945" w:rsidRPr="00435469">
        <w:rPr>
          <w:rFonts w:eastAsia="Calibri" w:cs="Times New Roman"/>
          <w:sz w:val="20"/>
          <w:szCs w:val="20"/>
        </w:rPr>
        <w:fldChar w:fldCharType="end"/>
      </w:r>
      <w:r w:rsidR="001B4945" w:rsidRPr="00435469">
        <w:rPr>
          <w:rFonts w:eastAsia="Calibri" w:cs="Times New Roman"/>
          <w:sz w:val="20"/>
          <w:szCs w:val="20"/>
        </w:rPr>
        <w:t xml:space="preserve">. </w:t>
      </w:r>
      <w:r w:rsidRPr="00435469">
        <w:rPr>
          <w:rFonts w:eastAsia="Calibri" w:cs="Times New Roman"/>
          <w:sz w:val="20"/>
          <w:szCs w:val="20"/>
        </w:rPr>
        <w:t>W</w:t>
      </w:r>
      <w:r w:rsidR="005A6946" w:rsidRPr="00435469">
        <w:rPr>
          <w:rFonts w:eastAsia="Calibri" w:cs="Times New Roman"/>
          <w:sz w:val="20"/>
          <w:szCs w:val="20"/>
        </w:rPr>
        <w:t>e set the relative rate of TB incidence while on ART, controlling for CD4 count (</w:t>
      </w:r>
      <m:oMath>
        <m:r>
          <w:rPr>
            <w:rFonts w:ascii="Cambria Math" w:eastAsia="Calibri" w:hAnsi="Cambria Math" w:cs="Times New Roman"/>
            <w:sz w:val="20"/>
            <w:szCs w:val="20"/>
          </w:rPr>
          <m:t>π</m:t>
        </m:r>
      </m:oMath>
      <w:r w:rsidR="005A6946" w:rsidRPr="00435469">
        <w:rPr>
          <w:rFonts w:eastAsia="Calibri" w:cs="Times New Roman"/>
          <w:sz w:val="20"/>
          <w:szCs w:val="20"/>
        </w:rPr>
        <w:t xml:space="preserve">), based on Fenner </w:t>
      </w:r>
      <w:r w:rsidR="005A6946" w:rsidRPr="00435469">
        <w:rPr>
          <w:rFonts w:eastAsia="Calibri" w:cs="Times New Roman"/>
          <w:i/>
          <w:iCs/>
          <w:sz w:val="20"/>
          <w:szCs w:val="20"/>
        </w:rPr>
        <w:t>et al</w:t>
      </w:r>
      <w:r w:rsidR="005A6946" w:rsidRPr="00435469">
        <w:rPr>
          <w:rFonts w:eastAsia="Calibri" w:cs="Times New Roman"/>
          <w:sz w:val="20"/>
          <w:szCs w:val="20"/>
        </w:rPr>
        <w:t>.’s study which estimated that unsuppressed viral load (</w:t>
      </w:r>
      <w:r w:rsidR="005A6946" w:rsidRPr="00435469">
        <w:rPr>
          <w:sz w:val="20"/>
          <w:szCs w:val="20"/>
        </w:rPr>
        <w:t>1000-9999 compared to &lt;1000</w:t>
      </w:r>
      <w:r w:rsidR="005A6946" w:rsidRPr="00435469">
        <w:rPr>
          <w:rFonts w:eastAsia="Calibri" w:cs="Times New Roman"/>
          <w:sz w:val="20"/>
          <w:szCs w:val="20"/>
        </w:rPr>
        <w:t xml:space="preserve">) was associated with an increased risk of TB disease </w:t>
      </w:r>
      <w:r w:rsidR="00B525FA" w:rsidRPr="00435469">
        <w:rPr>
          <w:rFonts w:eastAsia="Calibri" w:cs="Times New Roman"/>
          <w:sz w:val="20"/>
          <w:szCs w:val="20"/>
        </w:rPr>
        <w:t>(</w:t>
      </w:r>
      <w:r w:rsidR="00555827" w:rsidRPr="00435469">
        <w:rPr>
          <w:rFonts w:eastAsia="Calibri" w:cs="Times New Roman"/>
          <w:sz w:val="20"/>
          <w:szCs w:val="20"/>
        </w:rPr>
        <w:t xml:space="preserve">adjusted </w:t>
      </w:r>
      <w:r w:rsidR="00B525FA" w:rsidRPr="00435469">
        <w:rPr>
          <w:rFonts w:eastAsia="Calibri" w:cs="Times New Roman"/>
          <w:sz w:val="20"/>
          <w:szCs w:val="20"/>
        </w:rPr>
        <w:t xml:space="preserve">RR </w:t>
      </w:r>
      <w:r w:rsidR="005A6946" w:rsidRPr="00435469">
        <w:rPr>
          <w:rFonts w:eastAsia="Calibri" w:cs="Times New Roman"/>
          <w:sz w:val="20"/>
          <w:szCs w:val="20"/>
        </w:rPr>
        <w:t>1.23</w:t>
      </w:r>
      <w:r w:rsidR="00B525FA" w:rsidRPr="00435469">
        <w:rPr>
          <w:rFonts w:eastAsia="Calibri" w:cs="Times New Roman"/>
          <w:sz w:val="20"/>
          <w:szCs w:val="20"/>
        </w:rPr>
        <w:t>,</w:t>
      </w:r>
      <w:r w:rsidR="005A6946" w:rsidRPr="00435469">
        <w:rPr>
          <w:rFonts w:eastAsia="Calibri" w:cs="Times New Roman"/>
          <w:sz w:val="20"/>
          <w:szCs w:val="20"/>
        </w:rPr>
        <w:t xml:space="preserve"> 95% CI 1.08 – 1.41) </w:t>
      </w:r>
      <w:r w:rsidR="005A6946" w:rsidRPr="00435469">
        <w:rPr>
          <w:rFonts w:eastAsia="Calibri" w:cs="Times New Roman"/>
          <w:sz w:val="20"/>
          <w:szCs w:val="20"/>
        </w:rPr>
        <w:fldChar w:fldCharType="begin" w:fldLock="1"/>
      </w:r>
      <w:r w:rsidR="002F049E" w:rsidRPr="00435469">
        <w:rPr>
          <w:rFonts w:eastAsia="Calibri" w:cs="Times New Roman"/>
          <w:sz w:val="20"/>
          <w:szCs w:val="20"/>
        </w:rPr>
        <w:instrText>ADDIN CSL_CITATION {"citationItems":[{"id":"ITEM-1","itemData":{"DOI":"10.7448/ias.20.1.21327","author":[{"dropping-particle":"","family":"Fenner","given":"Lukas","non-dropping-particle":"","parse-names":false,"suffix":""},{"dropping-particle":"","family":"Atkinson","given":"Andrew","non-dropping-particle":"","parse-names":false,"suffix":""},{"dropping-particle":"","family":"Boulle","given":"Andrew","non-dropping-particle":"","parse-names":false,"suffix":""},{"dropping-particle":"","family":"Fox","given":"Matthew P.","non-dropping-particle":"","parse-names":false,"suffix":""},{"dropping-particle":"","family":"Prozesky","given":"Hans","non-dropping-particle":"","parse-names":false,"suffix":""},{"dropping-particle":"","family":"Zürcher","given":"Kathrin","non-dropping-particle":"","parse-names":false,"suffix":""},{"dropping-particle":"","family":"Ballif","given":"Marie","non-dropping-particle":"","parse-names":false,"suffix":""},{"dropping-particle":"","family":"Furrer","given":"Hansjakob","non-dropping-particle":"","parse-names":false,"suffix":""},{"dropping-particle":"","family":"Zwahlen","given":"Marcel","non-dropping-particle":"","parse-names":false,"suffix":""},{"dropping-particle":"","family":"Davies","given":"Mary-Ann","non-dropping-particle":"","parse-names":false,"suffix":""},{"dropping-particle":"","family":"Egger","given":"Matthias","non-dropping-particle":"","parse-names":false,"suffix":""}],"container-title":"Journal of the International AIDS Society","id":"ITEM-1","issue":"1","issued":{"date-parts":[["2017"]]},"page":"21327","publisher":"Taylor &amp; Francis","title":"HIV viral load as an independent risk factor for tuberculosis in South Africa: collaborative analysis of cohort studies","type":"article-journal","volume":"20"},"uris":["http://www.mendeley.com/documents/?uuid=59dd0d07-3f86-4205-a4da-4b24b32a9508"]}],"mendeley":{"formattedCitation":"(39)","plainTextFormattedCitation":"(39)","previouslyFormattedCitation":"(39)"},"properties":{"noteIndex":0},"schema":"https://github.com/citation-style-language/schema/raw/master/csl-citation.json"}</w:instrText>
      </w:r>
      <w:r w:rsidR="005A6946" w:rsidRPr="00435469">
        <w:rPr>
          <w:rFonts w:eastAsia="Calibri" w:cs="Times New Roman"/>
          <w:sz w:val="20"/>
          <w:szCs w:val="20"/>
        </w:rPr>
        <w:fldChar w:fldCharType="separate"/>
      </w:r>
      <w:r w:rsidR="0063047A" w:rsidRPr="00435469">
        <w:rPr>
          <w:rFonts w:eastAsia="Calibri" w:cs="Times New Roman"/>
          <w:noProof/>
          <w:sz w:val="20"/>
          <w:szCs w:val="20"/>
        </w:rPr>
        <w:t>(39)</w:t>
      </w:r>
      <w:r w:rsidR="005A6946" w:rsidRPr="00435469">
        <w:rPr>
          <w:rFonts w:eastAsia="Calibri" w:cs="Times New Roman"/>
          <w:sz w:val="20"/>
          <w:szCs w:val="20"/>
        </w:rPr>
        <w:fldChar w:fldCharType="end"/>
      </w:r>
      <w:r w:rsidR="005A6946" w:rsidRPr="00435469">
        <w:rPr>
          <w:rFonts w:eastAsia="Calibri" w:cs="Times New Roman"/>
          <w:sz w:val="20"/>
          <w:szCs w:val="20"/>
        </w:rPr>
        <w:t>. Using this study (</w:t>
      </w:r>
      <w:proofErr w:type="spellStart"/>
      <w:r w:rsidR="005A6946" w:rsidRPr="00435469">
        <w:rPr>
          <w:rFonts w:eastAsia="Calibri" w:cs="Times New Roman"/>
          <w:sz w:val="20"/>
          <w:szCs w:val="20"/>
        </w:rPr>
        <w:t>Fenner</w:t>
      </w:r>
      <w:proofErr w:type="spellEnd"/>
      <w:r w:rsidR="005A6946" w:rsidRPr="00435469">
        <w:rPr>
          <w:rFonts w:eastAsia="Calibri" w:cs="Times New Roman"/>
          <w:sz w:val="20"/>
          <w:szCs w:val="20"/>
        </w:rPr>
        <w:t xml:space="preserve"> </w:t>
      </w:r>
      <w:r w:rsidR="005A6946" w:rsidRPr="00435469">
        <w:rPr>
          <w:rFonts w:eastAsia="Calibri" w:cs="Times New Roman"/>
          <w:i/>
          <w:iCs/>
          <w:sz w:val="20"/>
          <w:szCs w:val="20"/>
        </w:rPr>
        <w:t>et al</w:t>
      </w:r>
      <w:r w:rsidR="005A6946" w:rsidRPr="00435469">
        <w:rPr>
          <w:rFonts w:eastAsia="Calibri" w:cs="Times New Roman"/>
          <w:sz w:val="20"/>
          <w:szCs w:val="20"/>
        </w:rPr>
        <w:t xml:space="preserve">.), the assumed protective effect of ART is </w:t>
      </w:r>
      <m:oMath>
        <m:r>
          <w:rPr>
            <w:rFonts w:ascii="Cambria Math" w:eastAsia="Calibri" w:hAnsi="Cambria Math" w:cs="Times New Roman"/>
            <w:sz w:val="20"/>
            <w:szCs w:val="20"/>
          </w:rPr>
          <m:t>π=1/1.23=0.81</m:t>
        </m:r>
      </m:oMath>
      <w:r w:rsidR="00174812" w:rsidRPr="00435469">
        <w:rPr>
          <w:rFonts w:eastAsia="Calibri" w:cs="Times New Roman"/>
          <w:sz w:val="20"/>
          <w:szCs w:val="20"/>
        </w:rPr>
        <w:t xml:space="preserve">. We therefore assigned a </w:t>
      </w:r>
      <w:r w:rsidR="005A6946" w:rsidRPr="00435469">
        <w:rPr>
          <w:rFonts w:cs="Times New Roman"/>
          <w:sz w:val="20"/>
          <w:szCs w:val="20"/>
        </w:rPr>
        <w:t>Beta (49.05; 11.51) prior</w:t>
      </w:r>
      <w:r w:rsidR="005A6946" w:rsidRPr="00435469">
        <w:rPr>
          <w:rFonts w:eastAsia="Calibri" w:cs="Times New Roman"/>
          <w:sz w:val="20"/>
          <w:szCs w:val="20"/>
        </w:rPr>
        <w:t xml:space="preserve"> distributio</w:t>
      </w:r>
      <w:r w:rsidR="00174812" w:rsidRPr="00435469">
        <w:rPr>
          <w:rFonts w:eastAsia="Calibri" w:cs="Times New Roman"/>
          <w:sz w:val="20"/>
          <w:szCs w:val="20"/>
        </w:rPr>
        <w:t>n</w:t>
      </w:r>
      <w:r w:rsidR="005A6946" w:rsidRPr="00435469">
        <w:rPr>
          <w:rFonts w:eastAsia="Calibri" w:cs="Times New Roman"/>
          <w:sz w:val="20"/>
          <w:szCs w:val="20"/>
        </w:rPr>
        <w:t xml:space="preserve"> for the uncertainty around this parameter</w:t>
      </w:r>
      <w:r w:rsidR="00C27BA6" w:rsidRPr="00435469">
        <w:rPr>
          <w:rFonts w:eastAsia="Calibri" w:cs="Times New Roman"/>
          <w:sz w:val="20"/>
          <w:szCs w:val="20"/>
        </w:rPr>
        <w:t xml:space="preserve"> </w:t>
      </w:r>
      <w:r w:rsidR="00F44B92" w:rsidRPr="00435469">
        <w:rPr>
          <w:rFonts w:eastAsia="Calibri" w:cs="Times New Roman"/>
          <w:sz w:val="20"/>
          <w:szCs w:val="20"/>
        </w:rPr>
        <w:t xml:space="preserve">and set the </w:t>
      </w:r>
      <w:r w:rsidR="00C27BA6" w:rsidRPr="00435469">
        <w:rPr>
          <w:rFonts w:eastAsia="Calibri" w:cs="Times New Roman"/>
          <w:sz w:val="20"/>
          <w:szCs w:val="20"/>
        </w:rPr>
        <w:t>mean</w:t>
      </w:r>
      <w:r w:rsidR="00F44B92" w:rsidRPr="00435469">
        <w:rPr>
          <w:rFonts w:eastAsia="Calibri" w:cs="Times New Roman"/>
          <w:sz w:val="20"/>
          <w:szCs w:val="20"/>
        </w:rPr>
        <w:t xml:space="preserve"> at </w:t>
      </w:r>
      <w:r w:rsidR="008F2873" w:rsidRPr="00435469">
        <w:rPr>
          <w:rFonts w:eastAsia="Calibri" w:cs="Times New Roman"/>
          <w:sz w:val="20"/>
          <w:szCs w:val="20"/>
        </w:rPr>
        <w:t xml:space="preserve">0.81 and </w:t>
      </w:r>
      <w:r w:rsidR="00F44B92" w:rsidRPr="00435469">
        <w:rPr>
          <w:rFonts w:eastAsia="Calibri" w:cs="Times New Roman"/>
          <w:sz w:val="20"/>
          <w:szCs w:val="20"/>
        </w:rPr>
        <w:t xml:space="preserve">the </w:t>
      </w:r>
      <w:r w:rsidR="008F2873" w:rsidRPr="00435469">
        <w:rPr>
          <w:rFonts w:eastAsia="Calibri" w:cs="Times New Roman"/>
          <w:sz w:val="20"/>
          <w:szCs w:val="20"/>
        </w:rPr>
        <w:t>standard deviation</w:t>
      </w:r>
      <w:r w:rsidR="00F44B92" w:rsidRPr="00435469">
        <w:rPr>
          <w:rFonts w:eastAsia="Calibri" w:cs="Times New Roman"/>
          <w:sz w:val="20"/>
          <w:szCs w:val="20"/>
        </w:rPr>
        <w:t xml:space="preserve"> at </w:t>
      </w:r>
      <w:r w:rsidR="008F2873" w:rsidRPr="00435469">
        <w:rPr>
          <w:rFonts w:eastAsia="Calibri" w:cs="Times New Roman"/>
          <w:sz w:val="20"/>
          <w:szCs w:val="20"/>
        </w:rPr>
        <w:t>0.05</w:t>
      </w:r>
      <w:r w:rsidR="005A6946" w:rsidRPr="00435469">
        <w:rPr>
          <w:rFonts w:eastAsia="Calibri" w:cs="Times New Roman"/>
          <w:sz w:val="20"/>
          <w:szCs w:val="20"/>
        </w:rPr>
        <w:t xml:space="preserve">. </w:t>
      </w:r>
    </w:p>
    <w:p w14:paraId="08077A6C" w14:textId="77777777" w:rsidR="005A6946" w:rsidRPr="00435469" w:rsidRDefault="005A6946" w:rsidP="00955FFB">
      <w:pPr>
        <w:spacing w:before="240" w:line="240" w:lineRule="auto"/>
        <w:rPr>
          <w:rFonts w:eastAsia="Calibri" w:cs="Times New Roman"/>
          <w:sz w:val="20"/>
          <w:szCs w:val="20"/>
        </w:rPr>
      </w:pPr>
      <w:r w:rsidRPr="00435469">
        <w:rPr>
          <w:rFonts w:eastAsia="Calibri" w:cs="Times New Roman"/>
          <w:sz w:val="20"/>
          <w:szCs w:val="20"/>
        </w:rPr>
        <w:t xml:space="preserve">In the model, the relative effect of HIV on TB incidence in HIV-positive individuals who are not on ART is represented by: </w:t>
      </w:r>
    </w:p>
    <w:p w14:paraId="21F033AA" w14:textId="77777777" w:rsidR="005A6946" w:rsidRPr="00435469" w:rsidRDefault="005A6946" w:rsidP="00955FFB">
      <w:pPr>
        <w:spacing w:before="240" w:line="240" w:lineRule="auto"/>
        <w:jc w:val="center"/>
        <w:rPr>
          <w:rFonts w:eastAsia="Calibri" w:cs="Times New Roman"/>
          <w:sz w:val="20"/>
          <w:szCs w:val="20"/>
        </w:rPr>
      </w:pPr>
      <m:oMath>
        <m:r>
          <w:rPr>
            <w:rFonts w:ascii="Cambria Math" w:eastAsia="Calibri" w:hAnsi="Cambria Math" w:cs="Times New Roman"/>
            <w:sz w:val="20"/>
            <w:szCs w:val="20"/>
          </w:rPr>
          <m:t>H</m:t>
        </m:r>
        <m:d>
          <m:dPr>
            <m:ctrlPr>
              <w:rPr>
                <w:rFonts w:ascii="Cambria Math" w:eastAsia="Calibri" w:hAnsi="Cambria Math" w:cs="Times New Roman"/>
                <w:i/>
                <w:sz w:val="20"/>
                <w:szCs w:val="20"/>
              </w:rPr>
            </m:ctrlPr>
          </m:dPr>
          <m:e>
            <m:r>
              <w:rPr>
                <w:rFonts w:ascii="Cambria Math" w:eastAsia="Calibri" w:hAnsi="Cambria Math" w:cs="Times New Roman"/>
                <w:sz w:val="20"/>
                <w:szCs w:val="20"/>
              </w:rPr>
              <m:t>s</m:t>
            </m:r>
          </m:e>
        </m:d>
        <m:r>
          <w:rPr>
            <w:rFonts w:ascii="Cambria Math" w:eastAsia="Calibri" w:hAnsi="Cambria Math" w:cs="Times New Roman"/>
            <w:sz w:val="20"/>
            <w:szCs w:val="20"/>
          </w:rPr>
          <m:t>=</m:t>
        </m:r>
        <m:sSup>
          <m:sSupPr>
            <m:ctrlPr>
              <w:rPr>
                <w:rFonts w:ascii="Cambria Math" w:eastAsia="Calibri" w:hAnsi="Cambria Math" w:cs="Times New Roman"/>
                <w:i/>
                <w:sz w:val="20"/>
                <w:szCs w:val="20"/>
              </w:rPr>
            </m:ctrlPr>
          </m:sSupPr>
          <m:e>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π</m:t>
                </m:r>
              </m:e>
              <m:sup>
                <m:r>
                  <w:rPr>
                    <w:rFonts w:ascii="Cambria Math" w:eastAsia="Calibri" w:hAnsi="Cambria Math" w:cs="Times New Roman"/>
                    <w:sz w:val="20"/>
                    <w:szCs w:val="20"/>
                  </w:rPr>
                  <m:t>-1</m:t>
                </m:r>
              </m:sup>
            </m:sSup>
            <m:r>
              <w:rPr>
                <w:rFonts w:ascii="Cambria Math" w:eastAsia="Calibri" w:hAnsi="Cambria Math" w:cs="Times New Roman"/>
                <w:sz w:val="20"/>
                <w:szCs w:val="20"/>
              </w:rPr>
              <m:t>θ</m:t>
            </m:r>
          </m:e>
          <m:sup>
            <m:r>
              <w:rPr>
                <w:rFonts w:ascii="Cambria Math" w:eastAsia="Calibri" w:hAnsi="Cambria Math" w:cs="Times New Roman"/>
                <w:sz w:val="20"/>
                <w:szCs w:val="20"/>
              </w:rPr>
              <m:t>(a-s)/100</m:t>
            </m:r>
          </m:sup>
        </m:sSup>
      </m:oMath>
      <w:r w:rsidRPr="00435469">
        <w:rPr>
          <w:rFonts w:eastAsia="Calibri" w:cs="Times New Roman"/>
          <w:sz w:val="20"/>
          <w:szCs w:val="20"/>
        </w:rPr>
        <w:t xml:space="preserve">, </w:t>
      </w:r>
    </w:p>
    <w:p w14:paraId="16FABD9A" w14:textId="77777777" w:rsidR="005A6946" w:rsidRPr="00435469" w:rsidRDefault="005A6946" w:rsidP="00955FFB">
      <w:pPr>
        <w:spacing w:before="240" w:line="240" w:lineRule="auto"/>
        <w:rPr>
          <w:rFonts w:eastAsia="Calibri" w:cs="Times New Roman"/>
          <w:sz w:val="20"/>
          <w:szCs w:val="20"/>
        </w:rPr>
      </w:pPr>
      <w:r w:rsidRPr="00435469">
        <w:rPr>
          <w:rFonts w:eastAsia="Calibri" w:cs="Times New Roman"/>
          <w:sz w:val="20"/>
          <w:szCs w:val="20"/>
        </w:rPr>
        <w:t>and the relative effect of HIV on TB incidence in HIV-positive individuals on ART is represented by:</w:t>
      </w:r>
      <w:r w:rsidRPr="00435469">
        <w:rPr>
          <w:rFonts w:cs="Times New Roman"/>
          <w:sz w:val="20"/>
          <w:szCs w:val="20"/>
        </w:rPr>
        <w:t xml:space="preserve"> </w:t>
      </w:r>
    </w:p>
    <w:p w14:paraId="2C48834E" w14:textId="1E16EC5D" w:rsidR="005A6946" w:rsidRPr="00435469" w:rsidRDefault="005A6946" w:rsidP="00955FFB">
      <w:pPr>
        <w:spacing w:before="240" w:line="240" w:lineRule="auto"/>
        <w:jc w:val="center"/>
        <w:rPr>
          <w:rFonts w:eastAsia="Calibri" w:cs="Times New Roman"/>
          <w:sz w:val="20"/>
          <w:szCs w:val="20"/>
        </w:rPr>
      </w:pPr>
      <m:oMath>
        <m:r>
          <w:rPr>
            <w:rFonts w:ascii="Cambria Math" w:eastAsia="Calibri" w:hAnsi="Cambria Math" w:cs="Times New Roman"/>
            <w:sz w:val="20"/>
            <w:szCs w:val="20"/>
          </w:rPr>
          <m:t>A</m:t>
        </m:r>
        <m:d>
          <m:dPr>
            <m:ctrlPr>
              <w:rPr>
                <w:rFonts w:ascii="Cambria Math" w:eastAsia="Calibri" w:hAnsi="Cambria Math" w:cs="Times New Roman"/>
                <w:i/>
                <w:sz w:val="20"/>
                <w:szCs w:val="20"/>
              </w:rPr>
            </m:ctrlPr>
          </m:dPr>
          <m:e>
            <m:r>
              <w:rPr>
                <w:rFonts w:ascii="Cambria Math" w:eastAsia="Calibri" w:hAnsi="Cambria Math" w:cs="Times New Roman"/>
                <w:sz w:val="20"/>
                <w:szCs w:val="20"/>
              </w:rPr>
              <m:t>s,d</m:t>
            </m:r>
          </m:e>
        </m:d>
        <m:r>
          <w:rPr>
            <w:rFonts w:ascii="Cambria Math" w:eastAsia="Calibri" w:hAnsi="Cambria Math" w:cs="Times New Roman"/>
            <w:sz w:val="20"/>
            <w:szCs w:val="20"/>
          </w:rPr>
          <m:t>=</m:t>
        </m:r>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θ</m:t>
            </m:r>
          </m:e>
          <m:sup>
            <m:d>
              <m:dPr>
                <m:ctrlPr>
                  <w:rPr>
                    <w:rFonts w:ascii="Cambria Math" w:eastAsia="Calibri" w:hAnsi="Cambria Math" w:cs="Times New Roman"/>
                    <w:i/>
                    <w:sz w:val="20"/>
                    <w:szCs w:val="20"/>
                  </w:rPr>
                </m:ctrlPr>
              </m:dPr>
              <m:e>
                <m:r>
                  <w:rPr>
                    <w:rFonts w:ascii="Cambria Math" w:eastAsia="Calibri" w:hAnsi="Cambria Math" w:cs="Times New Roman"/>
                    <w:sz w:val="20"/>
                    <w:szCs w:val="20"/>
                  </w:rPr>
                  <m:t xml:space="preserve">a - </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s</m:t>
                    </m:r>
                  </m:e>
                  <m:sub>
                    <m:r>
                      <w:rPr>
                        <w:rFonts w:ascii="Cambria Math" w:eastAsia="Calibri" w:hAnsi="Cambria Math" w:cs="Times New Roman"/>
                        <w:sz w:val="20"/>
                        <w:szCs w:val="20"/>
                      </w:rPr>
                      <m:t>d</m:t>
                    </m:r>
                  </m:sub>
                </m:sSub>
              </m:e>
            </m:d>
            <m:r>
              <m:rPr>
                <m:lit/>
              </m:rPr>
              <w:rPr>
                <w:rFonts w:ascii="Cambria Math" w:eastAsia="Calibri" w:hAnsi="Cambria Math" w:cs="Times New Roman"/>
                <w:sz w:val="20"/>
                <w:szCs w:val="20"/>
              </w:rPr>
              <m:t>/</m:t>
            </m:r>
            <m:r>
              <w:rPr>
                <w:rFonts w:ascii="Cambria Math" w:eastAsia="Calibri" w:hAnsi="Cambria Math" w:cs="Times New Roman"/>
                <w:sz w:val="20"/>
                <w:szCs w:val="20"/>
              </w:rPr>
              <m:t>100</m:t>
            </m:r>
          </m:sup>
        </m:sSup>
      </m:oMath>
      <w:r w:rsidRPr="00435469">
        <w:rPr>
          <w:rFonts w:eastAsia="Calibri" w:cs="Times New Roman"/>
          <w:sz w:val="20"/>
          <w:szCs w:val="20"/>
        </w:rPr>
        <w:t>,</w:t>
      </w:r>
    </w:p>
    <w:p w14:paraId="74E21050" w14:textId="77777777" w:rsidR="005A6946" w:rsidRPr="00435469" w:rsidRDefault="005A6946" w:rsidP="00955FFB">
      <w:pPr>
        <w:spacing w:before="240" w:line="240" w:lineRule="auto"/>
        <w:rPr>
          <w:rFonts w:eastAsia="Calibri" w:cs="Times New Roman"/>
          <w:sz w:val="20"/>
          <w:szCs w:val="20"/>
        </w:rPr>
      </w:pPr>
      <w:proofErr w:type="gramStart"/>
      <w:r w:rsidRPr="00435469">
        <w:rPr>
          <w:rFonts w:eastAsia="Calibri" w:cs="Times New Roman"/>
          <w:sz w:val="20"/>
          <w:szCs w:val="20"/>
        </w:rPr>
        <w:t>where</w:t>
      </w:r>
      <w:proofErr w:type="gramEnd"/>
    </w:p>
    <w:p w14:paraId="1F98CA1F" w14:textId="77777777" w:rsidR="005A6946" w:rsidRPr="00435469" w:rsidRDefault="005A6946" w:rsidP="00955FFB">
      <w:pPr>
        <w:spacing w:before="240" w:line="240" w:lineRule="auto"/>
        <w:ind w:left="720"/>
        <w:rPr>
          <w:rFonts w:eastAsia="Calibri" w:cs="Times New Roman"/>
          <w:sz w:val="20"/>
          <w:szCs w:val="20"/>
        </w:rPr>
      </w:pPr>
      <m:oMath>
        <m:r>
          <w:rPr>
            <w:rFonts w:ascii="Cambria Math" w:eastAsia="Calibri" w:hAnsi="Cambria Math" w:cs="Times New Roman"/>
            <w:sz w:val="20"/>
            <w:szCs w:val="20"/>
          </w:rPr>
          <m:t>a</m:t>
        </m:r>
      </m:oMath>
      <w:r w:rsidRPr="00435469">
        <w:rPr>
          <w:rFonts w:eastAsia="Calibri" w:cs="Times New Roman"/>
          <w:sz w:val="20"/>
          <w:szCs w:val="20"/>
        </w:rPr>
        <w:t xml:space="preserve">: average CD4 count in HIV-negative individuals </w:t>
      </w:r>
    </w:p>
    <w:p w14:paraId="438EC0E2" w14:textId="63704FA3" w:rsidR="005A6946" w:rsidRPr="00435469" w:rsidRDefault="005A6946" w:rsidP="00955FFB">
      <w:pPr>
        <w:spacing w:before="240" w:line="240" w:lineRule="auto"/>
        <w:ind w:left="720"/>
        <w:rPr>
          <w:rFonts w:eastAsia="Calibri" w:cs="Times New Roman"/>
          <w:sz w:val="20"/>
          <w:szCs w:val="20"/>
        </w:rPr>
      </w:pPr>
      <m:oMath>
        <m:r>
          <w:rPr>
            <w:rFonts w:ascii="Cambria Math" w:eastAsia="Calibri" w:hAnsi="Cambria Math" w:cs="Times New Roman"/>
            <w:sz w:val="20"/>
            <w:szCs w:val="20"/>
          </w:rPr>
          <m:t>s</m:t>
        </m:r>
      </m:oMath>
      <w:r w:rsidRPr="00435469">
        <w:rPr>
          <w:rFonts w:eastAsia="Calibri" w:cs="Times New Roman"/>
          <w:sz w:val="20"/>
          <w:szCs w:val="20"/>
        </w:rPr>
        <w:t>: average CD4 count in HIV-positive individuals not on ART</w:t>
      </w:r>
      <w:r w:rsidR="00B525FA" w:rsidRPr="00435469">
        <w:rPr>
          <w:rFonts w:eastAsia="Calibri" w:cs="Times New Roman"/>
          <w:sz w:val="20"/>
          <w:szCs w:val="20"/>
        </w:rPr>
        <w:t xml:space="preserve"> (for a given CD4 compartment)</w:t>
      </w:r>
    </w:p>
    <w:p w14:paraId="568A6BBA" w14:textId="77777777" w:rsidR="005A6946" w:rsidRPr="00435469" w:rsidRDefault="00000000" w:rsidP="00955FFB">
      <w:pPr>
        <w:spacing w:before="240" w:line="240" w:lineRule="auto"/>
        <w:ind w:left="720"/>
        <w:rPr>
          <w:rFonts w:eastAsia="Calibri" w:cs="Times New Roman"/>
          <w:sz w:val="20"/>
          <w:szCs w:val="20"/>
        </w:rPr>
      </w:pP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s</m:t>
            </m:r>
          </m:e>
          <m:sub>
            <m:r>
              <w:rPr>
                <w:rFonts w:ascii="Cambria Math" w:eastAsia="Calibri" w:hAnsi="Cambria Math" w:cs="Times New Roman"/>
                <w:sz w:val="20"/>
                <w:szCs w:val="20"/>
              </w:rPr>
              <m:t>d</m:t>
            </m:r>
          </m:sub>
        </m:sSub>
      </m:oMath>
      <w:r w:rsidR="005A6946" w:rsidRPr="00435469">
        <w:rPr>
          <w:rFonts w:eastAsia="Calibri" w:cs="Times New Roman"/>
          <w:sz w:val="20"/>
          <w:szCs w:val="20"/>
        </w:rPr>
        <w:t xml:space="preserve">: CD4 count for those on ART at the treatment duration </w:t>
      </w:r>
      <m:oMath>
        <m:r>
          <w:rPr>
            <w:rFonts w:ascii="Cambria Math" w:eastAsia="Calibri" w:hAnsi="Cambria Math" w:cs="Times New Roman"/>
            <w:sz w:val="20"/>
            <w:szCs w:val="20"/>
          </w:rPr>
          <m:t>d</m:t>
        </m:r>
      </m:oMath>
      <w:r w:rsidR="005A6946" w:rsidRPr="00435469">
        <w:rPr>
          <w:rFonts w:eastAsia="Calibri" w:cs="Times New Roman"/>
          <w:sz w:val="20"/>
          <w:szCs w:val="20"/>
        </w:rPr>
        <w:t xml:space="preserve"> </w:t>
      </w:r>
    </w:p>
    <w:p w14:paraId="17539F4E" w14:textId="7E236A03" w:rsidR="005A6946" w:rsidRPr="00435469" w:rsidRDefault="005A6946" w:rsidP="00955FFB">
      <w:pPr>
        <w:spacing w:before="240" w:line="240" w:lineRule="auto"/>
        <w:ind w:left="720"/>
        <w:rPr>
          <w:rFonts w:cs="Times New Roman"/>
          <w:sz w:val="20"/>
          <w:szCs w:val="20"/>
        </w:rPr>
      </w:pPr>
      <m:oMath>
        <m:r>
          <m:rPr>
            <m:sty m:val="p"/>
          </m:rPr>
          <w:rPr>
            <w:rFonts w:ascii="Cambria Math" w:eastAsia="Calibri" w:hAnsi="Cambria Math" w:cs="Times New Roman"/>
            <w:sz w:val="20"/>
            <w:szCs w:val="20"/>
          </w:rPr>
          <m:t xml:space="preserve">θ: </m:t>
        </m:r>
      </m:oMath>
      <w:r w:rsidRPr="00435469">
        <w:rPr>
          <w:rFonts w:eastAsia="Calibri" w:cs="Times New Roman"/>
          <w:sz w:val="20"/>
          <w:szCs w:val="20"/>
        </w:rPr>
        <w:t xml:space="preserve">relative rate of TB incidence per 100-cell </w:t>
      </w:r>
      <w:proofErr w:type="gramStart"/>
      <w:r w:rsidRPr="00435469">
        <w:rPr>
          <w:rFonts w:eastAsia="Calibri" w:cs="Times New Roman"/>
          <w:sz w:val="20"/>
          <w:szCs w:val="20"/>
        </w:rPr>
        <w:t>increase</w:t>
      </w:r>
      <w:proofErr w:type="gramEnd"/>
      <w:r w:rsidRPr="00435469">
        <w:rPr>
          <w:rFonts w:eastAsia="Calibri" w:cs="Times New Roman"/>
          <w:sz w:val="20"/>
          <w:szCs w:val="20"/>
        </w:rPr>
        <w:t xml:space="preserve"> in CD4 count</w:t>
      </w:r>
    </w:p>
    <w:p w14:paraId="7E1339EA" w14:textId="77777777" w:rsidR="005A6946" w:rsidRPr="00435469" w:rsidRDefault="005A6946" w:rsidP="00955FFB">
      <w:pPr>
        <w:spacing w:before="240" w:line="240" w:lineRule="auto"/>
        <w:ind w:left="720"/>
        <w:rPr>
          <w:rFonts w:eastAsia="Calibri" w:cs="Times New Roman"/>
          <w:sz w:val="20"/>
          <w:szCs w:val="20"/>
        </w:rPr>
      </w:pPr>
      <m:oMath>
        <m:r>
          <w:rPr>
            <w:rFonts w:ascii="Cambria Math" w:eastAsia="Calibri" w:hAnsi="Cambria Math" w:cs="Times New Roman"/>
            <w:sz w:val="20"/>
            <w:szCs w:val="20"/>
          </w:rPr>
          <m:t>π</m:t>
        </m:r>
      </m:oMath>
      <w:r w:rsidRPr="00435469">
        <w:rPr>
          <w:rFonts w:eastAsia="Calibri" w:cs="Times New Roman"/>
          <w:sz w:val="20"/>
          <w:szCs w:val="20"/>
        </w:rPr>
        <w:t>: Relative rate of TB incidence on ART (controlling for CD4).</w:t>
      </w:r>
    </w:p>
    <w:p w14:paraId="42A1CA42" w14:textId="77777777" w:rsidR="005A6946" w:rsidRPr="00435469" w:rsidRDefault="005A6946" w:rsidP="00955FFB">
      <w:pPr>
        <w:pStyle w:val="Heading3"/>
        <w:rPr>
          <w:rFonts w:cs="Times New Roman"/>
          <w:color w:val="auto"/>
          <w:sz w:val="20"/>
          <w:szCs w:val="20"/>
        </w:rPr>
      </w:pPr>
      <w:bookmarkStart w:id="70" w:name="_Toc79099809"/>
      <w:bookmarkStart w:id="71" w:name="_Ref80351032"/>
      <w:bookmarkStart w:id="72" w:name="_Ref80351109"/>
      <w:bookmarkStart w:id="73" w:name="_Ref80351116"/>
      <w:bookmarkStart w:id="74" w:name="_Toc80352132"/>
      <w:bookmarkStart w:id="75" w:name="_Toc87863321"/>
      <w:bookmarkStart w:id="76" w:name="_Toc88488560"/>
      <w:bookmarkStart w:id="77" w:name="_Toc103252928"/>
      <w:r w:rsidRPr="00435469">
        <w:rPr>
          <w:rFonts w:cs="Times New Roman"/>
          <w:color w:val="auto"/>
          <w:sz w:val="20"/>
          <w:szCs w:val="20"/>
        </w:rPr>
        <w:t>Partial immunity</w:t>
      </w:r>
      <w:bookmarkEnd w:id="70"/>
      <w:bookmarkEnd w:id="71"/>
      <w:bookmarkEnd w:id="72"/>
      <w:bookmarkEnd w:id="73"/>
      <w:bookmarkEnd w:id="74"/>
      <w:bookmarkEnd w:id="75"/>
      <w:bookmarkEnd w:id="76"/>
      <w:bookmarkEnd w:id="77"/>
    </w:p>
    <w:p w14:paraId="53D91061" w14:textId="683CE867" w:rsidR="005A6946" w:rsidRPr="00435469" w:rsidRDefault="005A6946" w:rsidP="00955FFB">
      <w:pPr>
        <w:spacing w:line="240" w:lineRule="auto"/>
        <w:rPr>
          <w:rFonts w:cs="Times New Roman"/>
          <w:sz w:val="20"/>
          <w:szCs w:val="20"/>
        </w:rPr>
      </w:pPr>
      <w:r w:rsidRPr="00435469">
        <w:rPr>
          <w:rFonts w:cs="Times New Roman"/>
          <w:sz w:val="20"/>
          <w:szCs w:val="20"/>
        </w:rPr>
        <w:t>In the model, we assume that individuals with LTBI have partial immunity and that the relative risk of developing TB is 0.21</w:t>
      </w:r>
      <w:r w:rsidR="00C214B1" w:rsidRPr="00435469">
        <w:rPr>
          <w:rFonts w:cs="Times New Roman"/>
          <w:sz w:val="20"/>
          <w:szCs w:val="20"/>
        </w:rPr>
        <w:t xml:space="preserve"> if they are re-infected</w:t>
      </w:r>
      <w:r w:rsidRPr="00435469">
        <w:rPr>
          <w:rFonts w:cs="Times New Roman"/>
          <w:sz w:val="20"/>
          <w:szCs w:val="20"/>
        </w:rPr>
        <w:t xml:space="preserve">. This relative risk of developing TB is based on Andrews </w:t>
      </w:r>
      <w:r w:rsidRPr="00435469">
        <w:rPr>
          <w:rFonts w:cs="Times New Roman"/>
          <w:i/>
          <w:iCs/>
          <w:sz w:val="20"/>
          <w:szCs w:val="20"/>
        </w:rPr>
        <w:t>et al</w:t>
      </w:r>
      <w:r w:rsidRPr="00435469">
        <w:rPr>
          <w:rFonts w:cs="Times New Roman"/>
          <w:sz w:val="20"/>
          <w:szCs w:val="20"/>
        </w:rPr>
        <w:t xml:space="preserve">., who showed that individuals with LTBI had a 79% reduced risk of developing TB disease (95% CI 70-86%)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{"citationItems":[{"id":"ITEM-1","itemData":{"DOI":"10.1093/cid/cir951","ISBN":"1537-6591 (Electronic)\\r1058-4838 (Linking)","ISSN":"10584838","PMID":"22267721","abstract":"BACKGROUND: The risk of progression to active tuberculosis is greatest in the several years following initial infection. The extent to which latent tuberculosis infection reduces the risk of progressive disease following reexposure and reinfection is not known. Indirect estimates from population models have been highly variable.\\n\\nMETHODS: We reviewed prospective cohort studies of persons exposed to individuals with infectious tuberculosis that were published prior to the widespread treatment of latent tuberculosis to estimate the incidence of tuberculosis among individuals with latent tuberculosis infection (LTBI group) and without latent tuberculosis (uninfected; UI group). We calculated the incidence rate ratio (IRR) of tuberculosis disease following infection between these 2 groups. We then adjusted incidence for expected reactivation, proportion of each group that was infected, and median time of observation following infection during the study.\\n\\nRESULTS: We identified 18 publications reporting tuberculosis incidence among 23 paired cohorts of individuals with and without latent infection (total N = 19 886). The weighted mean adjusted incidence rate of tuberculosis in the LTBI and UI groups attributable to reinfection was 13.5 per 1000 person-years (95% confidence interval [CI]: 5.0-26.2 per 1000 person-years) and that attributable to primary infection was 60.1 per 1000 person-years (95% CI: 38.6-87.4 per 1000 person-years). The adjusted IRR for tuberculosis in the LTBI group compared with the UI group was 0.21 (95% CI: .14-.30).\\n\\nCONCLUSIONS: Individuals with latent tuberculosis had 79% lower risk of progressive tuberculosis after reinfection than uninfected individuals. The risk reduction estimated in this study is greater than most previous estimates made through population models.","author":[{"dropping-particle":"","family":"Andrews","given":"Jason R.","non-dropping-particle":"","parse-names":false,"suffix":""},{"dropping-particle":"","family":"Noubary","given":"Farzad","non-dropping-particle":"","parse-names":false,"suffix":""},{"dropping-particle":"","family":"Walensky","given":"Rochelle P.","non-dropping-particle":"","parse-names":false,"suffix":""},{"dropping-particle":"","family":"Cerda","given":"Rodrigo","non-dropping-particle":"","parse-names":false,"suffix":""},{"dropping-particle":"","family":"Losina","given":"Elena","non-dropping-particle":"","parse-names":false,"suffix":""},{"dropping-particle":"","family":"Horsburgh","given":"C. Robert","non-dropping-particle":"","parse-names":false,"suffix":""}],"container-title":"Clinical Infectious Diseases","id":"ITEM-1","issue":"6","issued":{"date-parts":[["2012"]]},"page":"784-791","title":"Risk of progression to active tuberculosis following reinfection with Mycobacterium tuberculosis","type":"article-journal","volume":"54"},"uris":["http://www.mendeley.com/documents/?uuid=5fec02bb-efa6-4b66-905c-707d52586249"]}],"mendeley":{"formattedCitation":"(40)","plainTextFormattedCitation":"(40)","previouslyFormattedCitation":"(40)"},"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(40)</w:t>
      </w:r>
      <w:r w:rsidRPr="00435469">
        <w:rPr>
          <w:rFonts w:cs="Times New Roman"/>
          <w:sz w:val="20"/>
          <w:szCs w:val="20"/>
        </w:rPr>
        <w:fldChar w:fldCharType="end"/>
      </w:r>
      <w:r w:rsidRPr="00435469">
        <w:rPr>
          <w:rFonts w:cs="Times New Roman"/>
          <w:sz w:val="20"/>
          <w:szCs w:val="20"/>
        </w:rPr>
        <w:t xml:space="preserve">. </w:t>
      </w:r>
      <w:r w:rsidR="00F24116" w:rsidRPr="00435469">
        <w:rPr>
          <w:rFonts w:cs="Times New Roman"/>
          <w:sz w:val="20"/>
          <w:szCs w:val="20"/>
        </w:rPr>
        <w:t xml:space="preserve">Therefore, we fixed this parameter for partial immunity in HIV-negative individuals (represented by parameter </w:t>
      </w:r>
      <m:oMath>
        <m:r>
          <w:rPr>
            <w:rFonts w:ascii="Cambria Math" w:eastAsia="Calibri" w:hAnsi="Cambria Math" w:cs="Times New Roman"/>
            <w:sz w:val="20"/>
            <w:szCs w:val="20"/>
          </w:rPr>
          <m:t>y</m:t>
        </m:r>
      </m:oMath>
      <w:r w:rsidR="00F24116" w:rsidRPr="00435469">
        <w:rPr>
          <w:rFonts w:eastAsia="Calibri" w:cs="Times New Roman"/>
          <w:sz w:val="20"/>
          <w:szCs w:val="20"/>
        </w:rPr>
        <w:t>)</w:t>
      </w:r>
      <w:r w:rsidR="00F24116" w:rsidRPr="00435469">
        <w:rPr>
          <w:rFonts w:cs="Times New Roman"/>
          <w:sz w:val="20"/>
          <w:szCs w:val="20"/>
        </w:rPr>
        <w:t xml:space="preserve"> at a mean of 0.79. </w:t>
      </w:r>
    </w:p>
    <w:p w14:paraId="51AA27AF" w14:textId="02A4EA6B" w:rsidR="000B5ADE" w:rsidRPr="00435469" w:rsidRDefault="005A6946" w:rsidP="00955FFB">
      <w:pPr>
        <w:spacing w:line="240" w:lineRule="auto"/>
        <w:rPr>
          <w:rFonts w:eastAsia="Calibri" w:cs="Times New Roman"/>
          <w:sz w:val="20"/>
          <w:szCs w:val="20"/>
        </w:rPr>
      </w:pPr>
      <w:r w:rsidRPr="00435469">
        <w:rPr>
          <w:rFonts w:cs="Times New Roman"/>
          <w:sz w:val="20"/>
          <w:szCs w:val="20"/>
        </w:rPr>
        <w:t xml:space="preserve">There is a lack of data regarding partial immunity in HIV-positive individuals and the effect of ART. We extrapolate from assumptions made in the modelling study by Menzies </w:t>
      </w:r>
      <w:r w:rsidRPr="00435469">
        <w:rPr>
          <w:rFonts w:cs="Times New Roman"/>
          <w:i/>
          <w:iCs/>
          <w:sz w:val="20"/>
          <w:szCs w:val="20"/>
        </w:rPr>
        <w:t>et al</w:t>
      </w:r>
      <w:r w:rsidRPr="00435469">
        <w:rPr>
          <w:rFonts w:cs="Times New Roman"/>
          <w:sz w:val="20"/>
          <w:szCs w:val="20"/>
        </w:rPr>
        <w:t xml:space="preserve">. who assumed </w:t>
      </w:r>
      <w:r w:rsidR="00C214B1" w:rsidRPr="00435469">
        <w:rPr>
          <w:rFonts w:cs="Times New Roman"/>
          <w:sz w:val="20"/>
          <w:szCs w:val="20"/>
        </w:rPr>
        <w:t>a</w:t>
      </w:r>
      <w:r w:rsidRPr="00435469">
        <w:rPr>
          <w:rFonts w:cs="Times New Roman"/>
          <w:sz w:val="20"/>
          <w:szCs w:val="20"/>
        </w:rPr>
        <w:t xml:space="preserve"> 0.25 (range: 0.14 – 0.39) reduction in the risk of developing TB disease among HIV-positive individuals with CD4 counts &gt;</w:t>
      </w:r>
      <w:r w:rsidRPr="00435469">
        <w:rPr>
          <w:rFonts w:eastAsia="Calibri" w:cs="Times New Roman"/>
          <w:sz w:val="20"/>
          <w:szCs w:val="20"/>
        </w:rPr>
        <w:t xml:space="preserve"> 350 cells/</w:t>
      </w:r>
      <w:proofErr w:type="spellStart"/>
      <w:r w:rsidRPr="00435469">
        <w:rPr>
          <w:rFonts w:eastAsia="Calibri" w:cs="Times New Roman"/>
          <w:sz w:val="20"/>
          <w:szCs w:val="20"/>
        </w:rPr>
        <w:t>μl</w:t>
      </w:r>
      <w:proofErr w:type="spellEnd"/>
      <w:r w:rsidR="00C214B1" w:rsidRPr="00435469">
        <w:rPr>
          <w:rFonts w:eastAsia="Calibri" w:cs="Times New Roman"/>
          <w:sz w:val="20"/>
          <w:szCs w:val="20"/>
        </w:rPr>
        <w:t xml:space="preserve">, </w:t>
      </w:r>
      <w:r w:rsidRPr="00435469">
        <w:rPr>
          <w:rFonts w:eastAsia="Calibri" w:cs="Times New Roman"/>
          <w:sz w:val="20"/>
          <w:szCs w:val="20"/>
        </w:rPr>
        <w:t>and no partial immunity for the those with CD4 count &lt; 350 cells/</w:t>
      </w:r>
      <w:proofErr w:type="spellStart"/>
      <w:r w:rsidRPr="00435469">
        <w:rPr>
          <w:rFonts w:eastAsia="Calibri" w:cs="Times New Roman"/>
          <w:sz w:val="20"/>
          <w:szCs w:val="20"/>
        </w:rPr>
        <w:t>μl</w:t>
      </w:r>
      <w:proofErr w:type="spellEnd"/>
      <w:r w:rsidRPr="00435469">
        <w:rPr>
          <w:rFonts w:eastAsia="Calibri" w:cs="Times New Roman"/>
          <w:sz w:val="20"/>
          <w:szCs w:val="20"/>
        </w:rPr>
        <w:t xml:space="preserve">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{"citationItems":[{"id":"ITEM-1","itemData":{"DOI":"10.1371/journal.pmed.1001347","ISBN":"1549-1676","ISSN":"15491277","PMID":"23185139","abstract":"BACKGROUND: The Xpert MTB/RIF test enables rapid detection of tuberculosis (TB) and rifampicin resistance. The World Health Organization recommends Xpert for initial diagnosis in individuals suspected of having multidrug-resistant TB (MDR-TB) or HIV-associated TB, and many countries are moving quickly toward adopting Xpert. As roll-out proceeds, it is essential to understand the potential health impact and cost-effectiveness of diagnostic strategies based on Xpert.\\n\\nMETHODS AND FINDINGS: We evaluated potential health and economic consequences of implementing Xpert in five southern African countries--Botswana, Lesotho, Namibia, South Africa, and Swaziland--where drug resistance and TB-HIV coinfection are prevalent. Using a calibrated, dynamic mathematical model, we compared the status quo diagnostic algorithm, emphasizing sputum smear, against an algorithm incorporating Xpert for initial diagnosis. Results were projected over 10- and 20-y time periods starting from 2012. Compared to status quo, implementation of Xpert would avert 132,000 (95% CI: 55,000-284,000) TB cases and 182,000 (97,000-302,000) TB deaths in southern Africa over the 10 y following introduction, and would reduce prevalence by 28% (14%-40%) by 2022, with more modest reductions in incidence. Health system costs are projected to increase substantially with Xpert, by US$460 million (294-699 million) over 10 y. Antiretroviral therapy for HIV represents a substantial fraction of these additional costs, because of improved survival in TB/HIV-infected populations through better TB case-finding and treatment. Costs for treating MDR-TB are also expected to rise significantly with Xpert scale-up. Relative to status quo, Xpert has an estimated cost-effectiveness of US$959 (633-1,485) per disability-adjusted life-year averted over 10 y. Across countries, cost-effectiveness ratios ranged from US$792 (482-1,785) in Swaziland to US$1,257 (767-2,276) in Botswana. Assessing outcomes over a 10-y period focuses on the near-term consequences of Xpert adoption, but the cost-effectiveness results are conservative, with cost-effectiveness ratios assessed over a 20-y time horizon approximately 20% lower than the 10-y values.\\n\\nCONCLUSIONS: Introduction of Xpert could substantially change TB morbidity and mortality through improved case-finding and treatment, with more limited impact on long-term transmission dynamics. Despite extant uncertainty about TB natural history and intervention impact in southern A…","author":[{"dropping-particle":"","family":"Menzies","given":"Nicolas A.","non-dropping-particle":"","parse-names":false,"suffix":""},{"dropping-particle":"","family":"Cohen","given":"Ted","non-dropping-particle":"","parse-names":false,"suffix":""},{"dropping-particle":"","family":"Lin","given":"Hsien Ho","non-dropping-particle":"","parse-names":false,"suffix":""},{"dropping-particle":"","family":"Murray","given":"Megan","non-dropping-particle":"","parse-names":false,"suffix":""},{"dropping-particle":"","family":"Salomon","given":"Joshua A.","non-dropping-particle":"","parse-names":false,"suffix":""}],"container-title":"PLoS Medicine","id":"ITEM-1","issue":"11","issued":{"date-parts":[["2012"]]},"title":"Population Health Impact and Cost-Effectiveness of Tuberculosis Diagnosis with Xpert MTB/RIF: A Dynamic Simulation and Economic Evaluation","type":"article-journal","volume":"9"},"uris":["http://www.mendeley.com/documents/?uuid=ad6267ad-d3cc-4dfe-894c-84851b812426"]}],"mendeley":{"formattedCitation":"(36)","plainTextFormattedCitation":"(36)","previouslyFormattedCitation":"(36)"},"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(36)</w:t>
      </w:r>
      <w:r w:rsidRPr="00435469">
        <w:rPr>
          <w:rFonts w:cs="Times New Roman"/>
          <w:sz w:val="20"/>
          <w:szCs w:val="20"/>
        </w:rPr>
        <w:fldChar w:fldCharType="end"/>
      </w:r>
      <w:r w:rsidRPr="00435469">
        <w:rPr>
          <w:rFonts w:eastAsia="Calibri" w:cs="Times New Roman"/>
          <w:sz w:val="20"/>
          <w:szCs w:val="20"/>
        </w:rPr>
        <w:t xml:space="preserve">. In </w:t>
      </w:r>
      <w:r w:rsidR="00C214B1" w:rsidRPr="00435469">
        <w:rPr>
          <w:rFonts w:eastAsia="Calibri" w:cs="Times New Roman"/>
          <w:sz w:val="20"/>
          <w:szCs w:val="20"/>
        </w:rPr>
        <w:t xml:space="preserve">our </w:t>
      </w:r>
      <w:r w:rsidRPr="00435469">
        <w:rPr>
          <w:rFonts w:eastAsia="Calibri" w:cs="Times New Roman"/>
          <w:sz w:val="20"/>
          <w:szCs w:val="20"/>
        </w:rPr>
        <w:t xml:space="preserve">model, the effect of HIV on partial immunity is modelled as a function of CD4 count. We set </w:t>
      </w:r>
      <m:oMath>
        <m:r>
          <w:rPr>
            <w:rFonts w:ascii="Cambria Math" w:eastAsia="Calibri" w:hAnsi="Cambria Math" w:cs="Times New Roman"/>
            <w:sz w:val="20"/>
            <w:szCs w:val="20"/>
          </w:rPr>
          <m:t>p</m:t>
        </m:r>
      </m:oMath>
      <w:r w:rsidRPr="00435469">
        <w:rPr>
          <w:rFonts w:eastAsia="Calibri" w:cs="Times New Roman"/>
          <w:sz w:val="20"/>
          <w:szCs w:val="20"/>
        </w:rPr>
        <w:t>, the relative rate of partial immunity against TB disease per 100-cell increase in CD4 for HIV-positive individuals at 1.1. This relative rate is applied to the parameter (</w:t>
      </w:r>
      <m:oMath>
        <m:r>
          <w:rPr>
            <w:rFonts w:ascii="Cambria Math" w:eastAsia="Calibri" w:hAnsi="Cambria Math" w:cs="Times New Roman"/>
            <w:sz w:val="20"/>
            <w:szCs w:val="20"/>
          </w:rPr>
          <m:t>y</m:t>
        </m:r>
      </m:oMath>
      <w:r w:rsidRPr="00435469">
        <w:rPr>
          <w:rFonts w:eastAsia="Calibri" w:cs="Times New Roman"/>
          <w:sz w:val="20"/>
          <w:szCs w:val="20"/>
        </w:rPr>
        <w:t xml:space="preserve">) representing the reduction in TB incidence in </w:t>
      </w:r>
      <w:r w:rsidR="004C1B96" w:rsidRPr="00435469">
        <w:rPr>
          <w:rFonts w:eastAsia="Calibri" w:cs="Times New Roman"/>
          <w:sz w:val="20"/>
          <w:szCs w:val="20"/>
        </w:rPr>
        <w:t>previously infected</w:t>
      </w:r>
      <w:r w:rsidRPr="00435469">
        <w:rPr>
          <w:rFonts w:eastAsia="Calibri" w:cs="Times New Roman"/>
          <w:sz w:val="20"/>
          <w:szCs w:val="20"/>
        </w:rPr>
        <w:t xml:space="preserve"> HIV-negative individuals in the model.</w:t>
      </w:r>
    </w:p>
    <w:p w14:paraId="0D119F80" w14:textId="5C2D51DB" w:rsidR="005A6946" w:rsidRPr="00435469" w:rsidRDefault="005A6946" w:rsidP="00955FFB">
      <w:pPr>
        <w:spacing w:line="240" w:lineRule="auto"/>
        <w:rPr>
          <w:rFonts w:eastAsia="Calibri" w:cs="Times New Roman"/>
          <w:sz w:val="20"/>
          <w:szCs w:val="20"/>
        </w:rPr>
      </w:pPr>
      <w:r w:rsidRPr="00435469">
        <w:rPr>
          <w:rFonts w:eastAsia="Calibri" w:cs="Times New Roman"/>
          <w:sz w:val="20"/>
          <w:szCs w:val="20"/>
        </w:rPr>
        <w:t xml:space="preserve">This partial immunity effect for HIV-positive individuals </w:t>
      </w:r>
      <w:r w:rsidR="004803F4" w:rsidRPr="00435469">
        <w:rPr>
          <w:rFonts w:eastAsia="Calibri" w:cs="Times New Roman"/>
          <w:sz w:val="20"/>
          <w:szCs w:val="20"/>
        </w:rPr>
        <w:t>is</w:t>
      </w:r>
    </w:p>
    <w:p w14:paraId="782098E9" w14:textId="0E4B21FF" w:rsidR="005A6946" w:rsidRPr="00435469" w:rsidRDefault="005A6946" w:rsidP="00955FFB">
      <w:pPr>
        <w:spacing w:line="240" w:lineRule="auto"/>
        <w:jc w:val="center"/>
        <w:rPr>
          <w:rFonts w:eastAsia="Calibri" w:cs="Times New Roman"/>
          <w:sz w:val="20"/>
          <w:szCs w:val="20"/>
        </w:rPr>
      </w:pPr>
      <m:oMath>
        <m:r>
          <w:rPr>
            <w:rFonts w:ascii="Cambria Math" w:eastAsia="Calibri" w:hAnsi="Cambria Math" w:cs="Times New Roman"/>
            <w:sz w:val="20"/>
            <w:szCs w:val="20"/>
          </w:rPr>
          <m:t>I</m:t>
        </m:r>
        <m:d>
          <m:dPr>
            <m:ctrlPr>
              <w:rPr>
                <w:rFonts w:ascii="Cambria Math" w:eastAsia="Calibri" w:hAnsi="Cambria Math" w:cs="Times New Roman"/>
                <w:i/>
                <w:sz w:val="20"/>
                <w:szCs w:val="20"/>
              </w:rPr>
            </m:ctrlPr>
          </m:dPr>
          <m:e>
            <m:r>
              <w:rPr>
                <w:rFonts w:ascii="Cambria Math" w:eastAsia="Calibri" w:hAnsi="Cambria Math" w:cs="Times New Roman"/>
                <w:sz w:val="20"/>
                <w:szCs w:val="20"/>
              </w:rPr>
              <m:t>s</m:t>
            </m:r>
          </m:e>
        </m:d>
        <m:r>
          <w:rPr>
            <w:rFonts w:ascii="Cambria Math" w:eastAsia="Calibri" w:hAnsi="Cambria Math" w:cs="Times New Roman"/>
            <w:sz w:val="20"/>
            <w:szCs w:val="20"/>
          </w:rPr>
          <m:t>=</m:t>
        </m:r>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yp</m:t>
            </m:r>
          </m:e>
          <m:sup>
            <m:d>
              <m:dPr>
                <m:ctrlPr>
                  <w:rPr>
                    <w:rFonts w:ascii="Cambria Math" w:eastAsia="Calibri" w:hAnsi="Cambria Math" w:cs="Times New Roman"/>
                    <w:i/>
                    <w:sz w:val="20"/>
                    <w:szCs w:val="20"/>
                  </w:rPr>
                </m:ctrlPr>
              </m:dPr>
              <m:e>
                <m:r>
                  <w:rPr>
                    <w:rFonts w:ascii="Cambria Math" w:eastAsia="Calibri" w:hAnsi="Cambria Math" w:cs="Times New Roman"/>
                    <w:sz w:val="20"/>
                    <w:szCs w:val="20"/>
                  </w:rPr>
                  <m:t>s- a</m:t>
                </m:r>
              </m:e>
            </m:d>
            <m:r>
              <m:rPr>
                <m:lit/>
              </m:rPr>
              <w:rPr>
                <w:rFonts w:ascii="Cambria Math" w:eastAsia="Calibri" w:hAnsi="Cambria Math" w:cs="Times New Roman"/>
                <w:sz w:val="20"/>
                <w:szCs w:val="20"/>
              </w:rPr>
              <m:t>/</m:t>
            </m:r>
            <m:r>
              <w:rPr>
                <w:rFonts w:ascii="Cambria Math" w:eastAsia="Calibri" w:hAnsi="Cambria Math" w:cs="Times New Roman"/>
                <w:sz w:val="20"/>
                <w:szCs w:val="20"/>
              </w:rPr>
              <m:t>100</m:t>
            </m:r>
          </m:sup>
        </m:sSup>
        <m:r>
          <w:rPr>
            <w:rFonts w:ascii="Cambria Math" w:eastAsia="Calibri" w:hAnsi="Cambria Math" w:cs="Times New Roman"/>
            <w:sz w:val="20"/>
            <w:szCs w:val="20"/>
          </w:rPr>
          <m:t xml:space="preserve"> </m:t>
        </m:r>
      </m:oMath>
      <w:r w:rsidRPr="00435469">
        <w:rPr>
          <w:rFonts w:eastAsia="Calibri" w:cs="Times New Roman"/>
          <w:sz w:val="20"/>
          <w:szCs w:val="20"/>
        </w:rPr>
        <w:t>,</w:t>
      </w:r>
    </w:p>
    <w:p w14:paraId="4EC633B5" w14:textId="77777777" w:rsidR="005A6946" w:rsidRPr="00435469" w:rsidRDefault="005A6946" w:rsidP="00955FFB">
      <w:pPr>
        <w:spacing w:line="240" w:lineRule="auto"/>
        <w:rPr>
          <w:rFonts w:eastAsia="Calibri" w:cs="Times New Roman"/>
          <w:sz w:val="20"/>
          <w:szCs w:val="20"/>
        </w:rPr>
      </w:pPr>
      <w:proofErr w:type="gramStart"/>
      <w:r w:rsidRPr="00435469">
        <w:rPr>
          <w:rFonts w:eastAsia="Calibri" w:cs="Times New Roman"/>
          <w:sz w:val="20"/>
          <w:szCs w:val="20"/>
        </w:rPr>
        <w:t>where</w:t>
      </w:r>
      <w:proofErr w:type="gramEnd"/>
      <w:r w:rsidRPr="00435469">
        <w:rPr>
          <w:rFonts w:eastAsia="Calibri" w:cs="Times New Roman"/>
          <w:sz w:val="20"/>
          <w:szCs w:val="20"/>
        </w:rPr>
        <w:t xml:space="preserve"> </w:t>
      </w:r>
    </w:p>
    <w:p w14:paraId="24BA8C49" w14:textId="77777777" w:rsidR="005A6946" w:rsidRPr="00435469" w:rsidRDefault="005A6946" w:rsidP="00955FFB">
      <w:pPr>
        <w:spacing w:line="240" w:lineRule="auto"/>
        <w:ind w:left="720"/>
        <w:rPr>
          <w:rFonts w:eastAsia="Calibri" w:cs="Times New Roman"/>
          <w:sz w:val="20"/>
          <w:szCs w:val="20"/>
        </w:rPr>
      </w:pPr>
      <m:oMath>
        <m:r>
          <w:rPr>
            <w:rFonts w:ascii="Cambria Math" w:eastAsia="Calibri" w:hAnsi="Cambria Math" w:cs="Times New Roman"/>
            <w:sz w:val="20"/>
            <w:szCs w:val="20"/>
          </w:rPr>
          <w:lastRenderedPageBreak/>
          <m:t>a:</m:t>
        </m:r>
      </m:oMath>
      <w:r w:rsidRPr="00435469">
        <w:rPr>
          <w:rFonts w:eastAsia="Calibri" w:cs="Times New Roman"/>
          <w:sz w:val="20"/>
          <w:szCs w:val="20"/>
        </w:rPr>
        <w:t xml:space="preserve"> average CD4 count in HIV-negative individuals.</w:t>
      </w:r>
    </w:p>
    <w:p w14:paraId="23A484B8" w14:textId="769D09E2" w:rsidR="005A6946" w:rsidRPr="00435469" w:rsidRDefault="005A6946" w:rsidP="00955FFB">
      <w:pPr>
        <w:spacing w:line="240" w:lineRule="auto"/>
        <w:ind w:left="720"/>
        <w:rPr>
          <w:rFonts w:eastAsia="Calibri" w:cs="Times New Roman"/>
          <w:sz w:val="20"/>
          <w:szCs w:val="20"/>
        </w:rPr>
      </w:pPr>
      <m:oMath>
        <m:r>
          <w:rPr>
            <w:rFonts w:ascii="Cambria Math" w:eastAsia="Calibri" w:hAnsi="Cambria Math" w:cs="Times New Roman"/>
            <w:sz w:val="20"/>
            <w:szCs w:val="20"/>
          </w:rPr>
          <m:t>s:</m:t>
        </m:r>
      </m:oMath>
      <w:r w:rsidRPr="00435469">
        <w:rPr>
          <w:rFonts w:eastAsia="Calibri" w:cs="Times New Roman"/>
          <w:sz w:val="20"/>
          <w:szCs w:val="20"/>
        </w:rPr>
        <w:t xml:space="preserve"> </w:t>
      </w:r>
      <w:r w:rsidR="007B4C43" w:rsidRPr="00435469">
        <w:rPr>
          <w:sz w:val="20"/>
          <w:szCs w:val="20"/>
        </w:rPr>
        <w:t>the current CD4 count</w:t>
      </w:r>
      <w:r w:rsidR="006250E6" w:rsidRPr="00435469">
        <w:rPr>
          <w:sz w:val="20"/>
          <w:szCs w:val="20"/>
        </w:rPr>
        <w:t xml:space="preserve"> in HIV-positive individuals</w:t>
      </w:r>
    </w:p>
    <w:p w14:paraId="4F57B05B" w14:textId="7283C634" w:rsidR="005A6946" w:rsidRPr="00435469" w:rsidRDefault="005A6946" w:rsidP="00955FFB">
      <w:pPr>
        <w:spacing w:line="240" w:lineRule="auto"/>
        <w:ind w:left="720"/>
        <w:rPr>
          <w:rFonts w:eastAsia="Calibri" w:cs="Times New Roman"/>
          <w:sz w:val="20"/>
          <w:szCs w:val="20"/>
        </w:rPr>
      </w:pPr>
      <m:oMath>
        <m:r>
          <w:rPr>
            <w:rFonts w:ascii="Cambria Math" w:eastAsia="Calibri" w:hAnsi="Cambria Math" w:cs="Times New Roman"/>
            <w:sz w:val="20"/>
            <w:szCs w:val="20"/>
          </w:rPr>
          <m:t>p</m:t>
        </m:r>
      </m:oMath>
      <w:r w:rsidRPr="00435469">
        <w:rPr>
          <w:rFonts w:eastAsia="Calibri" w:cs="Times New Roman"/>
          <w:sz w:val="20"/>
          <w:szCs w:val="20"/>
        </w:rPr>
        <w:t>: relative rate of partial immunity against TB per 100-cell increase in CD4</w:t>
      </w:r>
      <w:r w:rsidR="00282338" w:rsidRPr="00435469">
        <w:rPr>
          <w:rFonts w:eastAsia="Calibri" w:cs="Times New Roman"/>
          <w:sz w:val="20"/>
          <w:szCs w:val="20"/>
        </w:rPr>
        <w:t xml:space="preserve"> count,</w:t>
      </w:r>
      <w:r w:rsidRPr="00435469">
        <w:rPr>
          <w:rFonts w:eastAsia="Calibri" w:cs="Times New Roman"/>
          <w:sz w:val="20"/>
          <w:szCs w:val="20"/>
        </w:rPr>
        <w:t xml:space="preserve"> for HIV-positive individuals</w:t>
      </w:r>
    </w:p>
    <w:p w14:paraId="72156720" w14:textId="767071BF" w:rsidR="005A6946" w:rsidRPr="00435469" w:rsidRDefault="005A6946" w:rsidP="00955FFB">
      <w:pPr>
        <w:spacing w:line="240" w:lineRule="auto"/>
        <w:ind w:left="720"/>
        <w:rPr>
          <w:rFonts w:eastAsia="Calibri" w:cs="Times New Roman"/>
          <w:sz w:val="20"/>
          <w:szCs w:val="20"/>
        </w:rPr>
      </w:pPr>
      <m:oMath>
        <m:r>
          <w:rPr>
            <w:rFonts w:ascii="Cambria Math" w:eastAsia="Calibri" w:hAnsi="Cambria Math" w:cs="Times New Roman"/>
            <w:sz w:val="20"/>
            <w:szCs w:val="20"/>
          </w:rPr>
          <m:t>y</m:t>
        </m:r>
      </m:oMath>
      <w:r w:rsidRPr="00435469">
        <w:rPr>
          <w:rFonts w:eastAsia="Calibri" w:cs="Times New Roman"/>
          <w:sz w:val="20"/>
          <w:szCs w:val="20"/>
        </w:rPr>
        <w:t>: the reduction in TB incidence in latently infected individuals who are HIV-negative.</w:t>
      </w:r>
    </w:p>
    <w:p w14:paraId="3A222F2F" w14:textId="77777777" w:rsidR="005A6946" w:rsidRPr="00435469" w:rsidRDefault="005A6946" w:rsidP="00955FFB">
      <w:pPr>
        <w:pStyle w:val="Heading3"/>
        <w:rPr>
          <w:rFonts w:cs="Times New Roman"/>
          <w:color w:val="auto"/>
          <w:sz w:val="20"/>
          <w:szCs w:val="20"/>
        </w:rPr>
      </w:pPr>
      <w:bookmarkStart w:id="78" w:name="_Ref79067765"/>
      <w:bookmarkStart w:id="79" w:name="_Toc79099810"/>
      <w:bookmarkStart w:id="80" w:name="_Ref80351001"/>
      <w:bookmarkStart w:id="81" w:name="_Ref80351009"/>
      <w:bookmarkStart w:id="82" w:name="_Ref80351188"/>
      <w:bookmarkStart w:id="83" w:name="_Toc80352133"/>
      <w:bookmarkStart w:id="84" w:name="_Toc87863322"/>
      <w:bookmarkStart w:id="85" w:name="_Toc88488561"/>
      <w:bookmarkStart w:id="86" w:name="_Toc103252929"/>
      <w:r w:rsidRPr="00435469">
        <w:rPr>
          <w:rFonts w:cs="Times New Roman"/>
          <w:color w:val="auto"/>
          <w:sz w:val="20"/>
          <w:szCs w:val="20"/>
        </w:rPr>
        <w:t>Natural recovery</w:t>
      </w:r>
      <w:bookmarkEnd w:id="78"/>
      <w:bookmarkEnd w:id="79"/>
      <w:r w:rsidRPr="00435469">
        <w:rPr>
          <w:rFonts w:cs="Times New Roman"/>
          <w:color w:val="auto"/>
          <w:sz w:val="20"/>
          <w:szCs w:val="20"/>
        </w:rPr>
        <w:t xml:space="preserve"> (untreated tuberculosis)</w:t>
      </w:r>
      <w:bookmarkEnd w:id="80"/>
      <w:bookmarkEnd w:id="81"/>
      <w:bookmarkEnd w:id="82"/>
      <w:bookmarkEnd w:id="83"/>
      <w:bookmarkEnd w:id="84"/>
      <w:bookmarkEnd w:id="85"/>
      <w:bookmarkEnd w:id="86"/>
      <w:r w:rsidRPr="00435469">
        <w:rPr>
          <w:rFonts w:cs="Times New Roman"/>
          <w:color w:val="auto"/>
          <w:sz w:val="20"/>
          <w:szCs w:val="20"/>
        </w:rPr>
        <w:t xml:space="preserve">  </w:t>
      </w:r>
    </w:p>
    <w:p w14:paraId="4C7901F4" w14:textId="647A08A9" w:rsidR="005A6946" w:rsidRPr="00435469" w:rsidRDefault="005A6946" w:rsidP="00955FFB">
      <w:pPr>
        <w:spacing w:line="240" w:lineRule="auto"/>
        <w:rPr>
          <w:rFonts w:eastAsia="Yu Mincho" w:cs="Times New Roman"/>
          <w:sz w:val="20"/>
          <w:szCs w:val="20"/>
        </w:rPr>
      </w:pPr>
      <w:r w:rsidRPr="00435469">
        <w:rPr>
          <w:rFonts w:eastAsia="Yu Mincho"/>
          <w:sz w:val="20"/>
          <w:szCs w:val="20"/>
        </w:rPr>
        <w:t xml:space="preserve">Studies from the pre-antibiotic era have shown that a certain proportion of patients do not die in the absence of treatment and presumably recover naturally without treatment </w:t>
      </w:r>
      <w:r w:rsidRPr="00435469">
        <w:rPr>
          <w:rFonts w:eastAsia="Yu Mincho"/>
          <w:sz w:val="20"/>
          <w:szCs w:val="20"/>
        </w:rPr>
        <w:fldChar w:fldCharType="begin" w:fldLock="1"/>
      </w:r>
      <w:r w:rsidR="002F049E" w:rsidRPr="00435469">
        <w:rPr>
          <w:rFonts w:eastAsia="Yu Mincho"/>
          <w:sz w:val="20"/>
          <w:szCs w:val="20"/>
        </w:rPr>
        <w:instrText>ADDIN CSL_CITATION {"citationItems":[{"id":"ITEM-1","itemData":{"DOI":"10.1371/journal.pone.0017601","ISBN":"10.1371/journal.pone.0017601","ISSN":"19326203","PMID":"21483732","abstract":"BACKGROUND: The prognosis, specifically the case fatality and duration, of untreated tuberculosis is important as many patients are not correctly diagnosed and therefore receive inadequate or no treatment. Furthermore, duration and case fatality of tuberculosis are key parameters in interpreting epidemiological data.\\n\\nMETHODOLOGY AND PRINCIPAL FINDINGS: To estimate the duration and case fatality of untreated pulmonary tuberculosis in HIV negative patients we reviewed studies from the pre-chemotherapy era. Untreated smear-positive tuberculosis among HIV negative individuals has a 10-year case fatality variously reported between 53% and 86%, with a weighted mean of 70%. Ten-year case fatality of culture-positive smear-negative tuberculosis was nowhere reported directly but can be indirectly estimated to be approximately 20%. The duration of tuberculosis from onset to cure or death is approximately 3 years and appears to be similar for smear-positive and smear-negative tuberculosis.\\n\\nCONCLUSIONS: Current models of untreated tuberculosis that assume a total duration of 2 years until self-cure or death underestimate the duration of disease by about one year, but their case fatality estimates of 70% for smear-positive and 20% for culture-positive smear-negative tuberculosis appear to be satisfactory.","author":[{"dropping-particle":"","family":"Tiemersma","given":"Edine W.","non-dropping-particle":"","parse-names":false,"suffix":""},{"dropping-particle":"","family":"Werf","given":"Marieke J.","non-dropping-particle":"van der","parse-names":false,"suffix":""},{"dropping-particle":"","family":"Borgdorff","given":"Martien W.","non-dropping-particle":"","parse-names":false,"suffix":""},{"dropping-particle":"","family":"Williams","given":"Brian G.","non-dropping-particle":"","parse-names":false,"suffix":""},{"dropping-particle":"","family":"Nagelkerke","given":"Nico J D","non-dropping-particle":"","parse-names":false,"suffix":""}],"container-title":"PLoS ONE","id":"ITEM-1","issue":"4","issued":{"date-parts":[["2011"]]},"title":"Natural history of tuberculosis: Duration and fatality of untreated pulmonary tuberculosis in HIV negative patients: A systematic review","type":"article-journal","volume":"6"},"uris":["http://www.mendeley.com/documents/?uuid=f8d98cfa-0795-40bf-9f2f-56a2ddd332ec"]}],"mendeley":{"formattedCitation":"(41)","plainTextFormattedCitation":"(41)","previouslyFormattedCitation":"(41)"},"properties":{"noteIndex":0},"schema":"https://github.com/citation-style-language/schema/raw/master/csl-citation.json"}</w:instrText>
      </w:r>
      <w:r w:rsidRPr="00435469">
        <w:rPr>
          <w:rFonts w:eastAsia="Yu Mincho"/>
          <w:sz w:val="20"/>
          <w:szCs w:val="20"/>
        </w:rPr>
        <w:fldChar w:fldCharType="separate"/>
      </w:r>
      <w:r w:rsidR="0063047A" w:rsidRPr="00435469">
        <w:rPr>
          <w:rFonts w:eastAsia="Yu Mincho"/>
          <w:noProof/>
          <w:sz w:val="20"/>
          <w:szCs w:val="20"/>
        </w:rPr>
        <w:t>(41)</w:t>
      </w:r>
      <w:r w:rsidRPr="00435469">
        <w:rPr>
          <w:rFonts w:eastAsia="Yu Mincho"/>
          <w:sz w:val="20"/>
          <w:szCs w:val="20"/>
        </w:rPr>
        <w:fldChar w:fldCharType="end"/>
      </w:r>
      <w:r w:rsidRPr="00435469">
        <w:rPr>
          <w:rFonts w:eastAsia="Yu Mincho"/>
          <w:sz w:val="20"/>
          <w:szCs w:val="20"/>
        </w:rPr>
        <w:t xml:space="preserve">. Based on </w:t>
      </w:r>
      <w:proofErr w:type="spellStart"/>
      <w:r w:rsidRPr="00435469">
        <w:rPr>
          <w:rFonts w:eastAsia="Yu Mincho"/>
          <w:sz w:val="20"/>
          <w:szCs w:val="20"/>
        </w:rPr>
        <w:t>Tiemersma</w:t>
      </w:r>
      <w:proofErr w:type="spellEnd"/>
      <w:r w:rsidRPr="00435469">
        <w:rPr>
          <w:rFonts w:eastAsia="Yu Mincho"/>
          <w:sz w:val="20"/>
          <w:szCs w:val="20"/>
        </w:rPr>
        <w:t xml:space="preserve"> </w:t>
      </w:r>
      <w:r w:rsidRPr="00435469">
        <w:rPr>
          <w:rFonts w:eastAsia="Yu Mincho"/>
          <w:i/>
          <w:iCs/>
          <w:sz w:val="20"/>
          <w:szCs w:val="20"/>
        </w:rPr>
        <w:t>et al.'</w:t>
      </w:r>
      <w:r w:rsidRPr="00435469">
        <w:rPr>
          <w:rFonts w:eastAsia="Yu Mincho"/>
          <w:sz w:val="20"/>
          <w:szCs w:val="20"/>
        </w:rPr>
        <w:t>s review of studies conducted during the pre-chemotherapy era, case fatality rates among untreated TB cases were estimated to be 0.7 among smear-positive and 0.2 among smear</w:t>
      </w:r>
      <w:r w:rsidR="00D71758" w:rsidRPr="00435469">
        <w:rPr>
          <w:rFonts w:eastAsia="Yu Mincho"/>
          <w:sz w:val="20"/>
          <w:szCs w:val="20"/>
        </w:rPr>
        <w:t>-</w:t>
      </w:r>
      <w:r w:rsidRPr="00435469">
        <w:rPr>
          <w:rFonts w:eastAsia="Yu Mincho"/>
          <w:sz w:val="20"/>
          <w:szCs w:val="20"/>
        </w:rPr>
        <w:t>negative</w:t>
      </w:r>
      <w:r w:rsidR="00D71758" w:rsidRPr="00435469">
        <w:rPr>
          <w:rFonts w:eastAsia="Yu Mincho"/>
          <w:sz w:val="20"/>
          <w:szCs w:val="20"/>
        </w:rPr>
        <w:t xml:space="preserve"> individuals</w:t>
      </w:r>
      <w:r w:rsidRPr="00435469">
        <w:rPr>
          <w:rFonts w:eastAsia="Yu Mincho"/>
          <w:sz w:val="20"/>
          <w:szCs w:val="20"/>
        </w:rPr>
        <w:t xml:space="preserve">; </w:t>
      </w:r>
      <w:r w:rsidRPr="00435469">
        <w:rPr>
          <w:rFonts w:eastAsia="Yu Mincho" w:cs="Times New Roman"/>
          <w:sz w:val="20"/>
          <w:szCs w:val="20"/>
        </w:rPr>
        <w:t xml:space="preserve">the duration of active TB disease was estimated at </w:t>
      </w:r>
      <m:oMath>
        <m:r>
          <w:rPr>
            <w:rFonts w:ascii="Cambria Math" w:eastAsia="Yu Mincho" w:hAnsi="Cambria Math" w:cs="Times New Roman"/>
            <w:sz w:val="20"/>
            <w:szCs w:val="20"/>
          </w:rPr>
          <m:t>3.3</m:t>
        </m:r>
      </m:oMath>
      <w:r w:rsidRPr="00435469">
        <w:rPr>
          <w:rFonts w:eastAsia="Yu Mincho" w:cs="Times New Roman"/>
          <w:sz w:val="20"/>
          <w:szCs w:val="20"/>
        </w:rPr>
        <w:t xml:space="preserve"> years</w:t>
      </w:r>
      <w:r w:rsidRPr="00435469">
        <w:rPr>
          <w:rFonts w:eastAsia="Yu Mincho"/>
          <w:sz w:val="20"/>
          <w:szCs w:val="20"/>
        </w:rPr>
        <w:t xml:space="preserve"> </w:t>
      </w:r>
      <w:r w:rsidRPr="00435469">
        <w:rPr>
          <w:rFonts w:eastAsia="Yu Mincho"/>
          <w:sz w:val="20"/>
          <w:szCs w:val="20"/>
        </w:rPr>
        <w:fldChar w:fldCharType="begin" w:fldLock="1"/>
      </w:r>
      <w:r w:rsidR="002F049E" w:rsidRPr="00435469">
        <w:rPr>
          <w:rFonts w:eastAsia="Yu Mincho"/>
          <w:sz w:val="20"/>
          <w:szCs w:val="20"/>
        </w:rPr>
        <w:instrText>ADDIN CSL_CITATION {"citationItems":[{"id":"ITEM-1","itemData":{"DOI":"10.1371/journal.pone.0017601","ISBN":"10.1371/journal.pone.0017601","ISSN":"19326203","PMID":"21483732","abstract":"BACKGROUND: The prognosis, specifically the case fatality and duration, of untreated tuberculosis is important as many patients are not correctly diagnosed and therefore receive inadequate or no treatment. Furthermore, duration and case fatality of tuberculosis are key parameters in interpreting epidemiological data.\\n\\nMETHODOLOGY AND PRINCIPAL FINDINGS: To estimate the duration and case fatality of untreated pulmonary tuberculosis in HIV negative patients we reviewed studies from the pre-chemotherapy era. Untreated smear-positive tuberculosis among HIV negative individuals has a 10-year case fatality variously reported between 53% and 86%, with a weighted mean of 70%. Ten-year case fatality of culture-positive smear-negative tuberculosis was nowhere reported directly but can be indirectly estimated to be approximately 20%. The duration of tuberculosis from onset to cure or death is approximately 3 years and appears to be similar for smear-positive and smear-negative tuberculosis.\\n\\nCONCLUSIONS: Current models of untreated tuberculosis that assume a total duration of 2 years until self-cure or death underestimate the duration of disease by about one year, but their case fatality estimates of 70% for smear-positive and 20% for culture-positive smear-negative tuberculosis appear to be satisfactory.","author":[{"dropping-particle":"","family":"Tiemersma","given":"Edine W.","non-dropping-particle":"","parse-names":false,"suffix":""},{"dropping-particle":"","family":"Werf","given":"Marieke J.","non-dropping-particle":"van der","parse-names":false,"suffix":""},{"dropping-particle":"","family":"Borgdorff","given":"Martien W.","non-dropping-particle":"","parse-names":false,"suffix":""},{"dropping-particle":"","family":"Williams","given":"Brian G.","non-dropping-particle":"","parse-names":false,"suffix":""},{"dropping-particle":"","family":"Nagelkerke","given":"Nico J D","non-dropping-particle":"","parse-names":false,"suffix":""}],"container-title":"PLoS ONE","id":"ITEM-1","issue":"4","issued":{"date-parts":[["2011"]]},"title":"Natural history of tuberculosis: Duration and fatality of untreated pulmonary tuberculosis in HIV negative patients: A systematic review","type":"article-journal","volume":"6"},"uris":["http://www.mendeley.com/documents/?uuid=f8d98cfa-0795-40bf-9f2f-56a2ddd332ec"]}],"mendeley":{"formattedCitation":"(41)","plainTextFormattedCitation":"(41)","previouslyFormattedCitation":"(41)"},"properties":{"noteIndex":0},"schema":"https://github.com/citation-style-language/schema/raw/master/csl-citation.json"}</w:instrText>
      </w:r>
      <w:r w:rsidRPr="00435469">
        <w:rPr>
          <w:rFonts w:eastAsia="Yu Mincho"/>
          <w:sz w:val="20"/>
          <w:szCs w:val="20"/>
        </w:rPr>
        <w:fldChar w:fldCharType="separate"/>
      </w:r>
      <w:r w:rsidR="0063047A" w:rsidRPr="00435469">
        <w:rPr>
          <w:rFonts w:eastAsia="Yu Mincho"/>
          <w:noProof/>
          <w:sz w:val="20"/>
          <w:szCs w:val="20"/>
        </w:rPr>
        <w:t>(41)</w:t>
      </w:r>
      <w:r w:rsidRPr="00435469">
        <w:rPr>
          <w:rFonts w:eastAsia="Yu Mincho"/>
          <w:sz w:val="20"/>
          <w:szCs w:val="20"/>
        </w:rPr>
        <w:fldChar w:fldCharType="end"/>
      </w:r>
      <w:r w:rsidRPr="00435469">
        <w:rPr>
          <w:rFonts w:eastAsia="Yu Mincho"/>
          <w:sz w:val="20"/>
          <w:szCs w:val="20"/>
        </w:rPr>
        <w:t xml:space="preserve">. As these case fatality rates represent </w:t>
      </w:r>
      <w:r w:rsidR="00282338" w:rsidRPr="00435469">
        <w:rPr>
          <w:rFonts w:eastAsia="Yu Mincho"/>
          <w:sz w:val="20"/>
          <w:szCs w:val="20"/>
        </w:rPr>
        <w:t xml:space="preserve">cumulative mortality </w:t>
      </w:r>
      <w:r w:rsidRPr="00435469">
        <w:rPr>
          <w:rFonts w:eastAsia="Yu Mincho"/>
          <w:sz w:val="20"/>
          <w:szCs w:val="20"/>
        </w:rPr>
        <w:t xml:space="preserve">risks, we convert them into annual mortality rates in the model. </w:t>
      </w:r>
      <w:r w:rsidR="00EC55F7" w:rsidRPr="00435469">
        <w:rPr>
          <w:rFonts w:eastAsia="Yu Mincho" w:cs="Times New Roman"/>
          <w:sz w:val="20"/>
          <w:szCs w:val="20"/>
        </w:rPr>
        <w:t>F</w:t>
      </w:r>
      <w:r w:rsidRPr="00435469">
        <w:rPr>
          <w:rFonts w:eastAsia="Yu Mincho" w:cs="Times New Roman"/>
          <w:sz w:val="20"/>
          <w:szCs w:val="20"/>
        </w:rPr>
        <w:t xml:space="preserve">or </w:t>
      </w:r>
      <w:r w:rsidR="00EC55F7" w:rsidRPr="00435469">
        <w:rPr>
          <w:rFonts w:eastAsia="Yu Mincho" w:cs="Times New Roman"/>
          <w:sz w:val="20"/>
          <w:szCs w:val="20"/>
        </w:rPr>
        <w:t xml:space="preserve">the </w:t>
      </w:r>
      <w:r w:rsidRPr="00435469">
        <w:rPr>
          <w:rFonts w:eastAsia="Yu Mincho" w:cs="Times New Roman"/>
          <w:sz w:val="20"/>
          <w:szCs w:val="20"/>
        </w:rPr>
        <w:t xml:space="preserve">annual mortality rate in smear-negative </w:t>
      </w:r>
      <m:oMath>
        <m:r>
          <w:rPr>
            <w:rFonts w:ascii="Cambria Math" w:eastAsia="Yu Mincho" w:hAnsi="Cambria Math" w:cs="Times New Roman"/>
            <w:sz w:val="20"/>
            <w:szCs w:val="20"/>
          </w:rPr>
          <m:t>(</m:t>
        </m:r>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smn</m:t>
            </m:r>
          </m:sub>
        </m:sSub>
        <m:r>
          <w:rPr>
            <w:rFonts w:ascii="Cambria Math" w:eastAsia="Yu Mincho" w:hAnsi="Cambria Math" w:cs="Times New Roman"/>
            <w:sz w:val="20"/>
            <w:szCs w:val="20"/>
          </w:rPr>
          <m:t>)</m:t>
        </m:r>
      </m:oMath>
      <w:r w:rsidRPr="00435469">
        <w:rPr>
          <w:rFonts w:eastAsia="Yu Mincho" w:cs="Times New Roman"/>
          <w:sz w:val="20"/>
          <w:szCs w:val="20"/>
        </w:rPr>
        <w:t xml:space="preserve"> and smear-positive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smp</m:t>
            </m:r>
          </m:sub>
        </m:sSub>
      </m:oMath>
      <w:r w:rsidRPr="00435469">
        <w:rPr>
          <w:rFonts w:eastAsia="Yu Mincho" w:cs="Times New Roman"/>
          <w:sz w:val="20"/>
          <w:szCs w:val="20"/>
        </w:rPr>
        <w:t>) individuals</w:t>
      </w:r>
      <w:r w:rsidR="00EC55F7" w:rsidRPr="00435469">
        <w:rPr>
          <w:rFonts w:eastAsia="Yu Mincho" w:cs="Times New Roman"/>
          <w:sz w:val="20"/>
          <w:szCs w:val="20"/>
        </w:rPr>
        <w:t xml:space="preserve">, </w:t>
      </w:r>
      <w:r w:rsidRPr="00435469">
        <w:rPr>
          <w:rFonts w:eastAsia="Yu Mincho" w:cs="Times New Roman"/>
          <w:sz w:val="20"/>
          <w:szCs w:val="20"/>
        </w:rPr>
        <w:t>and for</w:t>
      </w:r>
      <w:r w:rsidR="00EC55F7" w:rsidRPr="00435469">
        <w:rPr>
          <w:rFonts w:eastAsia="Yu Mincho" w:cs="Times New Roman"/>
          <w:sz w:val="20"/>
          <w:szCs w:val="20"/>
        </w:rPr>
        <w:t xml:space="preserve"> the</w:t>
      </w:r>
      <w:r w:rsidRPr="00435469">
        <w:rPr>
          <w:rFonts w:eastAsia="Yu Mincho" w:cs="Times New Roman"/>
          <w:sz w:val="20"/>
          <w:szCs w:val="20"/>
        </w:rPr>
        <w:t xml:space="preserve"> annual natural recovery rate in smear-negative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smn</m:t>
            </m:r>
          </m:sub>
        </m:sSub>
      </m:oMath>
      <w:r w:rsidRPr="00435469">
        <w:rPr>
          <w:rFonts w:eastAsia="Yu Mincho" w:cs="Times New Roman"/>
          <w:sz w:val="20"/>
          <w:szCs w:val="20"/>
        </w:rPr>
        <w:t>) and smear-positive individuals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smp</m:t>
            </m:r>
          </m:sub>
        </m:sSub>
      </m:oMath>
      <w:r w:rsidRPr="00435469">
        <w:rPr>
          <w:rFonts w:eastAsia="Yu Mincho" w:cs="Times New Roman"/>
          <w:sz w:val="20"/>
          <w:szCs w:val="20"/>
        </w:rPr>
        <w:t xml:space="preserve">), we have the following relationships: duration of </w:t>
      </w:r>
      <w:r w:rsidR="00EC55F7" w:rsidRPr="00435469">
        <w:rPr>
          <w:rFonts w:eastAsia="Yu Mincho" w:cs="Times New Roman"/>
          <w:sz w:val="20"/>
          <w:szCs w:val="20"/>
        </w:rPr>
        <w:t xml:space="preserve">smear-positive </w:t>
      </w:r>
      <w:r w:rsidRPr="00435469">
        <w:rPr>
          <w:rFonts w:eastAsia="Yu Mincho" w:cs="Times New Roman"/>
          <w:sz w:val="20"/>
          <w:szCs w:val="20"/>
        </w:rPr>
        <w:t xml:space="preserve">TB disease is </w:t>
      </w:r>
      <m:oMath>
        <m:r>
          <w:rPr>
            <w:rFonts w:ascii="Cambria Math" w:eastAsia="Yu Mincho" w:hAnsi="Cambria Math" w:cs="Times New Roman"/>
            <w:sz w:val="20"/>
            <w:szCs w:val="20"/>
          </w:rPr>
          <m:t xml:space="preserve">1/( </m:t>
        </m:r>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 xml:space="preserve">smp </m:t>
            </m:r>
          </m:sub>
        </m:sSub>
        <m:r>
          <w:rPr>
            <w:rFonts w:ascii="Cambria Math" w:eastAsia="Yu Mincho" w:hAnsi="Cambria Math" w:cs="Times New Roman"/>
            <w:sz w:val="20"/>
            <w:szCs w:val="20"/>
          </w:rPr>
          <m:t xml:space="preserve">+ </m:t>
        </m:r>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smp</m:t>
            </m:r>
          </m:sub>
        </m:sSub>
        <m:r>
          <w:rPr>
            <w:rFonts w:ascii="Cambria Math" w:eastAsia="Yu Mincho" w:hAnsi="Cambria Math" w:cs="Times New Roman"/>
            <w:sz w:val="20"/>
            <w:szCs w:val="20"/>
          </w:rPr>
          <m:t>)=3.3</m:t>
        </m:r>
      </m:oMath>
      <w:r w:rsidR="00EC55F7" w:rsidRPr="00435469">
        <w:rPr>
          <w:rFonts w:eastAsia="Yu Mincho" w:cs="Times New Roman"/>
          <w:sz w:val="20"/>
          <w:szCs w:val="20"/>
        </w:rPr>
        <w:t xml:space="preserve">, </w:t>
      </w:r>
      <w:r w:rsidRPr="00435469">
        <w:rPr>
          <w:rFonts w:eastAsia="Yu Mincho" w:cs="Times New Roman"/>
          <w:sz w:val="20"/>
          <w:szCs w:val="20"/>
        </w:rPr>
        <w:t>and</w:t>
      </w:r>
      <w:r w:rsidR="00144996" w:rsidRPr="00435469">
        <w:rPr>
          <w:rFonts w:eastAsia="Yu Mincho" w:cs="Times New Roman"/>
          <w:sz w:val="20"/>
          <w:szCs w:val="20"/>
        </w:rPr>
        <w:t xml:space="preserve"> </w:t>
      </w:r>
      <w:r w:rsidR="00EC55F7" w:rsidRPr="00435469">
        <w:rPr>
          <w:rFonts w:eastAsia="Yu Mincho" w:cs="Times New Roman"/>
          <w:sz w:val="20"/>
          <w:szCs w:val="20"/>
        </w:rPr>
        <w:t>the same duration is assumed for smear-negative TB</w:t>
      </w:r>
      <w:r w:rsidR="0023153A" w:rsidRPr="00435469">
        <w:rPr>
          <w:rFonts w:eastAsia="Yu Mincho" w:cs="Times New Roman"/>
          <w:sz w:val="20"/>
          <w:szCs w:val="20"/>
        </w:rPr>
        <w:t xml:space="preserve"> as the </w:t>
      </w:r>
      <w:proofErr w:type="spellStart"/>
      <w:r w:rsidR="0023153A" w:rsidRPr="00435469">
        <w:rPr>
          <w:rFonts w:eastAsia="Yu Mincho" w:cs="Times New Roman"/>
          <w:sz w:val="20"/>
          <w:szCs w:val="20"/>
        </w:rPr>
        <w:t>Tiemersma</w:t>
      </w:r>
      <w:proofErr w:type="spellEnd"/>
      <w:r w:rsidR="0023153A" w:rsidRPr="00435469">
        <w:rPr>
          <w:rFonts w:eastAsia="Yu Mincho" w:cs="Times New Roman"/>
          <w:sz w:val="20"/>
          <w:szCs w:val="20"/>
        </w:rPr>
        <w:t xml:space="preserve"> </w:t>
      </w:r>
      <w:r w:rsidR="0023153A" w:rsidRPr="00435469">
        <w:rPr>
          <w:rFonts w:eastAsia="Yu Mincho" w:cs="Times New Roman"/>
          <w:i/>
          <w:iCs/>
          <w:sz w:val="20"/>
          <w:szCs w:val="20"/>
        </w:rPr>
        <w:t xml:space="preserve">et al </w:t>
      </w:r>
      <w:r w:rsidR="00464CC8" w:rsidRPr="00435469">
        <w:rPr>
          <w:rFonts w:eastAsia="Yu Mincho" w:cs="Times New Roman"/>
          <w:i/>
          <w:iCs/>
          <w:sz w:val="20"/>
          <w:szCs w:val="20"/>
        </w:rPr>
        <w:t xml:space="preserve">study </w:t>
      </w:r>
      <w:r w:rsidR="00120754" w:rsidRPr="00435469">
        <w:rPr>
          <w:rFonts w:eastAsia="Yu Mincho" w:cs="Times New Roman"/>
          <w:i/>
          <w:iCs/>
          <w:sz w:val="20"/>
          <w:szCs w:val="20"/>
        </w:rPr>
        <w:t xml:space="preserve">suggested that the duration of </w:t>
      </w:r>
      <w:r w:rsidR="00F9566E" w:rsidRPr="00435469">
        <w:rPr>
          <w:rFonts w:eastAsia="Yu Mincho" w:cs="Times New Roman"/>
          <w:sz w:val="20"/>
          <w:szCs w:val="20"/>
        </w:rPr>
        <w:t xml:space="preserve"> </w:t>
      </w:r>
      <w:r w:rsidR="00464CC8" w:rsidRPr="00435469">
        <w:rPr>
          <w:rFonts w:eastAsia="Yu Mincho" w:cs="Times New Roman"/>
          <w:sz w:val="20"/>
          <w:szCs w:val="20"/>
        </w:rPr>
        <w:t xml:space="preserve">TB disease was approximately the same </w:t>
      </w:r>
      <w:r w:rsidR="00120754" w:rsidRPr="00435469">
        <w:rPr>
          <w:rFonts w:eastAsia="Yu Mincho" w:cs="Times New Roman"/>
          <w:i/>
          <w:iCs/>
          <w:sz w:val="20"/>
          <w:szCs w:val="20"/>
        </w:rPr>
        <w:t>form smear-</w:t>
      </w:r>
      <w:proofErr w:type="spellStart"/>
      <w:r w:rsidR="00120754" w:rsidRPr="00435469">
        <w:rPr>
          <w:rFonts w:eastAsia="Yu Mincho" w:cs="Times New Roman"/>
          <w:i/>
          <w:iCs/>
          <w:sz w:val="20"/>
          <w:szCs w:val="20"/>
        </w:rPr>
        <w:t>p</w:t>
      </w:r>
      <w:r w:rsidR="00C550BE" w:rsidRPr="00435469">
        <w:rPr>
          <w:rFonts w:eastAsia="Yu Mincho" w:cs="Times New Roman"/>
          <w:i/>
          <w:iCs/>
          <w:sz w:val="20"/>
          <w:szCs w:val="20"/>
        </w:rPr>
        <w:t>ostive</w:t>
      </w:r>
      <w:proofErr w:type="spellEnd"/>
      <w:r w:rsidR="00C550BE" w:rsidRPr="00435469">
        <w:rPr>
          <w:rFonts w:eastAsia="Yu Mincho" w:cs="Times New Roman"/>
          <w:i/>
          <w:iCs/>
          <w:sz w:val="20"/>
          <w:szCs w:val="20"/>
        </w:rPr>
        <w:t xml:space="preserve"> and smear-negative</w:t>
      </w:r>
      <w:r w:rsidR="0023153A" w:rsidRPr="00435469">
        <w:rPr>
          <w:rFonts w:eastAsia="Yu Mincho" w:cs="Times New Roman"/>
          <w:sz w:val="20"/>
          <w:szCs w:val="20"/>
        </w:rPr>
        <w:t xml:space="preserve"> </w:t>
      </w:r>
      <w:r w:rsidR="00C550BE" w:rsidRPr="00435469">
        <w:rPr>
          <w:rFonts w:eastAsia="Yu Mincho"/>
          <w:sz w:val="20"/>
          <w:szCs w:val="20"/>
        </w:rPr>
        <w:fldChar w:fldCharType="begin" w:fldLock="1"/>
      </w:r>
      <w:r w:rsidR="002F049E" w:rsidRPr="00435469">
        <w:rPr>
          <w:rFonts w:eastAsia="Yu Mincho"/>
          <w:sz w:val="20"/>
          <w:szCs w:val="20"/>
        </w:rPr>
        <w:instrText>ADDIN CSL_CITATION {"citationItems":[{"id":"ITEM-1","itemData":{"DOI":"10.1371/journal.pone.0017601","ISBN":"10.1371/journal.pone.0017601","ISSN":"19326203","PMID":"21483732","abstract":"BACKGROUND: The prognosis, specifically the case fatality and duration, of untreated tuberculosis is important as many patients are not correctly diagnosed and therefore receive inadequate or no treatment. Furthermore, duration and case fatality of tuberculosis are key parameters in interpreting epidemiological data.\\n\\nMETHODOLOGY AND PRINCIPAL FINDINGS: To estimate the duration and case fatality of untreated pulmonary tuberculosis in HIV negative patients we reviewed studies from the pre-chemotherapy era. Untreated smear-positive tuberculosis among HIV negative individuals has a 10-year case fatality variously reported between 53% and 86%, with a weighted mean of 70%. Ten-year case fatality of culture-positive smear-negative tuberculosis was nowhere reported directly but can be indirectly estimated to be approximately 20%. The duration of tuberculosis from onset to cure or death is approximately 3 years and appears to be similar for smear-positive and smear-negative tuberculosis.\\n\\nCONCLUSIONS: Current models of untreated tuberculosis that assume a total duration of 2 years until self-cure or death underestimate the duration of disease by about one year, but their case fatality estimates of 70% for smear-positive and 20% for culture-positive smear-negative tuberculosis appear to be satisfactory.","author":[{"dropping-particle":"","family":"Tiemersma","given":"Edine W.","non-dropping-particle":"","parse-names":false,"suffix":""},{"dropping-particle":"","family":"Werf","given":"Marieke J.","non-dropping-particle":"van der","parse-names":false,"suffix":""},{"dropping-particle":"","family":"Borgdorff","given":"Martien W.","non-dropping-particle":"","parse-names":false,"suffix":""},{"dropping-particle":"","family":"Williams","given":"Brian G.","non-dropping-particle":"","parse-names":false,"suffix":""},{"dropping-particle":"","family":"Nagelkerke","given":"Nico J D","non-dropping-particle":"","parse-names":false,"suffix":""}],"container-title":"PLoS ONE","id":"ITEM-1","issue":"4","issued":{"date-parts":[["2011"]]},"title":"Natural history of tuberculosis: Duration and fatality of untreated pulmonary tuberculosis in HIV negative patients: A systematic review","type":"article-journal","volume":"6"},"uris":["http://www.mendeley.com/documents/?uuid=f8d98cfa-0795-40bf-9f2f-56a2ddd332ec"]}],"mendeley":{"formattedCitation":"(41)","plainTextFormattedCitation":"(41)","previouslyFormattedCitation":"(41)"},"properties":{"noteIndex":0},"schema":"https://github.com/citation-style-language/schema/raw/master/csl-citation.json"}</w:instrText>
      </w:r>
      <w:r w:rsidR="00C550BE" w:rsidRPr="00435469">
        <w:rPr>
          <w:rFonts w:eastAsia="Yu Mincho"/>
          <w:sz w:val="20"/>
          <w:szCs w:val="20"/>
        </w:rPr>
        <w:fldChar w:fldCharType="separate"/>
      </w:r>
      <w:r w:rsidR="0063047A" w:rsidRPr="00435469">
        <w:rPr>
          <w:rFonts w:eastAsia="Yu Mincho"/>
          <w:noProof/>
          <w:sz w:val="20"/>
          <w:szCs w:val="20"/>
        </w:rPr>
        <w:t>(41)</w:t>
      </w:r>
      <w:r w:rsidR="00C550BE" w:rsidRPr="00435469">
        <w:rPr>
          <w:rFonts w:eastAsia="Yu Mincho"/>
          <w:sz w:val="20"/>
          <w:szCs w:val="20"/>
        </w:rPr>
        <w:fldChar w:fldCharType="end"/>
      </w:r>
      <w:r w:rsidR="00EC55F7" w:rsidRPr="00435469">
        <w:rPr>
          <w:rFonts w:eastAsia="Yu Mincho" w:cs="Times New Roman"/>
          <w:sz w:val="20"/>
          <w:szCs w:val="20"/>
        </w:rPr>
        <w:t xml:space="preserve">. Similarly the </w:t>
      </w:r>
      <w:r w:rsidRPr="00435469">
        <w:rPr>
          <w:rFonts w:eastAsia="Yu Mincho" w:cs="Times New Roman"/>
          <w:sz w:val="20"/>
          <w:szCs w:val="20"/>
        </w:rPr>
        <w:t>case fatality ratio</w:t>
      </w:r>
      <w:r w:rsidR="00EC55F7" w:rsidRPr="00435469">
        <w:rPr>
          <w:rFonts w:eastAsia="Yu Mincho" w:cs="Times New Roman"/>
          <w:sz w:val="20"/>
          <w:szCs w:val="20"/>
        </w:rPr>
        <w:t xml:space="preserve"> for smear-positive TB</w:t>
      </w:r>
      <w:r w:rsidRPr="00435469">
        <w:rPr>
          <w:rFonts w:eastAsia="Yu Mincho" w:cs="Times New Roman"/>
          <w:sz w:val="20"/>
          <w:szCs w:val="20"/>
        </w:rPr>
        <w:t xml:space="preserve"> is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 xml:space="preserve">smp </m:t>
            </m:r>
          </m:sub>
        </m:sSub>
        <m:r>
          <w:rPr>
            <w:rFonts w:ascii="Cambria Math" w:eastAsia="Yu Mincho" w:hAnsi="Cambria Math" w:cs="Times New Roman"/>
            <w:sz w:val="20"/>
            <w:szCs w:val="20"/>
          </w:rPr>
          <m:t>/ (</m:t>
        </m:r>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 xml:space="preserve">smp </m:t>
            </m:r>
          </m:sub>
        </m:sSub>
        <m:r>
          <w:rPr>
            <w:rFonts w:ascii="Cambria Math" w:eastAsia="Yu Mincho" w:hAnsi="Cambria Math" w:cs="Times New Roman"/>
            <w:sz w:val="20"/>
            <w:szCs w:val="20"/>
          </w:rPr>
          <m:t xml:space="preserve">+ </m:t>
        </m:r>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smp</m:t>
            </m:r>
          </m:sub>
        </m:sSub>
        <m:r>
          <w:rPr>
            <w:rFonts w:ascii="Cambria Math" w:eastAsia="Yu Mincho" w:hAnsi="Cambria Math" w:cs="Times New Roman"/>
            <w:sz w:val="20"/>
            <w:szCs w:val="20"/>
          </w:rPr>
          <m:t>)=0.7</m:t>
        </m:r>
      </m:oMath>
      <w:r w:rsidR="00E1154C" w:rsidRPr="00435469">
        <w:rPr>
          <w:rFonts w:eastAsia="Yu Mincho" w:cs="Times New Roman"/>
          <w:sz w:val="20"/>
          <w:szCs w:val="20"/>
        </w:rPr>
        <w:t xml:space="preserve">  </w:t>
      </w:r>
      <w:r w:rsidR="00901022" w:rsidRPr="00435469">
        <w:rPr>
          <w:rFonts w:eastAsia="Yu Mincho" w:cs="Times New Roman"/>
          <w:sz w:val="20"/>
          <w:szCs w:val="20"/>
        </w:rPr>
        <w:t xml:space="preserve">and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 xml:space="preserve">smn </m:t>
            </m:r>
          </m:sub>
        </m:sSub>
        <m:r>
          <w:rPr>
            <w:rFonts w:ascii="Cambria Math" w:eastAsia="Yu Mincho" w:hAnsi="Cambria Math" w:cs="Times New Roman"/>
            <w:sz w:val="20"/>
            <w:szCs w:val="20"/>
          </w:rPr>
          <m:t>/ (</m:t>
        </m:r>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 xml:space="preserve">smn </m:t>
            </m:r>
          </m:sub>
        </m:sSub>
        <m:r>
          <w:rPr>
            <w:rFonts w:ascii="Cambria Math" w:eastAsia="Yu Mincho" w:hAnsi="Cambria Math" w:cs="Times New Roman"/>
            <w:sz w:val="20"/>
            <w:szCs w:val="20"/>
          </w:rPr>
          <m:t xml:space="preserve">+ </m:t>
        </m:r>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smn</m:t>
            </m:r>
          </m:sub>
        </m:sSub>
        <m:r>
          <w:rPr>
            <w:rFonts w:ascii="Cambria Math" w:eastAsia="Yu Mincho" w:hAnsi="Cambria Math" w:cs="Times New Roman"/>
            <w:sz w:val="20"/>
            <w:szCs w:val="20"/>
          </w:rPr>
          <m:t xml:space="preserve">)=0.2. </m:t>
        </m:r>
      </m:oMath>
      <w:r w:rsidRPr="00435469">
        <w:rPr>
          <w:rFonts w:eastAsia="Yu Mincho" w:cs="Times New Roman"/>
          <w:sz w:val="20"/>
          <w:szCs w:val="20"/>
        </w:rPr>
        <w:t xml:space="preserve">Given these expressions, for smear-positive individuals, we get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smp</m:t>
            </m:r>
          </m:sub>
        </m:sSub>
        <m:r>
          <w:rPr>
            <w:rFonts w:ascii="Cambria Math" w:eastAsia="Yu Mincho" w:hAnsi="Cambria Math" w:cs="Times New Roman"/>
            <w:sz w:val="20"/>
            <w:szCs w:val="20"/>
          </w:rPr>
          <m:t>=0.212</m:t>
        </m:r>
        <m:r>
          <m:rPr>
            <m:sty m:val="p"/>
          </m:rPr>
          <w:rPr>
            <w:rFonts w:ascii="Cambria Math" w:eastAsia="Yu Mincho" w:hAnsi="Cambria Math" w:cs="Times New Roman"/>
            <w:sz w:val="20"/>
            <w:szCs w:val="20"/>
          </w:rPr>
          <m:t xml:space="preserve"> and</m:t>
        </m:r>
        <m:r>
          <w:rPr>
            <w:rFonts w:ascii="Cambria Math" w:eastAsia="Yu Mincho" w:hAnsi="Cambria Math" w:cs="Times New Roman"/>
            <w:sz w:val="20"/>
            <w:szCs w:val="20"/>
          </w:rPr>
          <m:t xml:space="preserve"> </m:t>
        </m:r>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smp</m:t>
            </m:r>
          </m:sub>
        </m:sSub>
        <m:r>
          <w:rPr>
            <w:rFonts w:ascii="Cambria Math" w:eastAsia="Yu Mincho" w:hAnsi="Cambria Math" w:cs="Times New Roman"/>
            <w:sz w:val="20"/>
            <w:szCs w:val="20"/>
          </w:rPr>
          <m:t>=0.091</m:t>
        </m:r>
      </m:oMath>
      <w:r w:rsidRPr="00435469">
        <w:rPr>
          <w:rFonts w:eastAsia="Yu Mincho" w:cs="Times New Roman"/>
          <w:sz w:val="20"/>
          <w:szCs w:val="20"/>
        </w:rPr>
        <w:t xml:space="preserve">; for smear-negative individuals, we have </w:t>
      </w:r>
      <m:oMath>
        <m:r>
          <w:rPr>
            <w:rFonts w:ascii="Cambria Math" w:eastAsia="Yu Mincho" w:hAnsi="Cambria Math" w:cs="Times New Roman"/>
            <w:sz w:val="20"/>
            <w:szCs w:val="20"/>
          </w:rPr>
          <m:t xml:space="preserve"> </m:t>
        </m:r>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smn</m:t>
            </m:r>
          </m:sub>
        </m:sSub>
        <m:r>
          <w:rPr>
            <w:rFonts w:ascii="Cambria Math" w:eastAsia="Yu Mincho" w:hAnsi="Cambria Math" w:cs="Times New Roman"/>
            <w:sz w:val="20"/>
            <w:szCs w:val="20"/>
          </w:rPr>
          <m:t>=0.061</m:t>
        </m:r>
      </m:oMath>
      <w:r w:rsidRPr="00435469">
        <w:rPr>
          <w:rFonts w:eastAsia="Yu Mincho" w:cs="Times New Roman"/>
          <w:sz w:val="20"/>
          <w:szCs w:val="20"/>
        </w:rPr>
        <w:t xml:space="preserve"> and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smn</m:t>
            </m:r>
          </m:sub>
        </m:sSub>
        <m:r>
          <w:rPr>
            <w:rFonts w:ascii="Cambria Math" w:eastAsia="Yu Mincho" w:hAnsi="Cambria Math" w:cs="Times New Roman"/>
            <w:sz w:val="20"/>
            <w:szCs w:val="20"/>
          </w:rPr>
          <m:t>=0.242</m:t>
        </m:r>
      </m:oMath>
      <w:r w:rsidRPr="00435469">
        <w:rPr>
          <w:rFonts w:eastAsia="Yu Mincho" w:cs="Times New Roman"/>
          <w:sz w:val="20"/>
          <w:szCs w:val="20"/>
        </w:rPr>
        <w:t xml:space="preserve"> </w:t>
      </w:r>
      <w:r w:rsidRPr="00435469">
        <w:rPr>
          <w:rFonts w:eastAsia="Yu Mincho" w:cs="Times New Roman"/>
          <w:sz w:val="20"/>
          <w:szCs w:val="20"/>
        </w:rPr>
        <w:fldChar w:fldCharType="begin" w:fldLock="1"/>
      </w:r>
      <w:r w:rsidR="002F049E" w:rsidRPr="00435469">
        <w:rPr>
          <w:rFonts w:eastAsia="Yu Mincho" w:cs="Times New Roman"/>
          <w:sz w:val="20"/>
          <w:szCs w:val="20"/>
        </w:rPr>
        <w:instrText>ADDIN CSL_CITATION {"citationItems":[{"id":"ITEM-1","itemData":{"DOI":"10.1371/journal.pone.0017601","ISBN":"10.1371/journal.pone.0017601","ISSN":"19326203","PMID":"21483732","abstract":"BACKGROUND: The prognosis, specifically the case fatality and duration, of untreated tuberculosis is important as many patients are not correctly diagnosed and therefore receive inadequate or no treatment. Furthermore, duration and case fatality of tuberculosis are key parameters in interpreting epidemiological data.\\n\\nMETHODOLOGY AND PRINCIPAL FINDINGS: To estimate the duration and case fatality of untreated pulmonary tuberculosis in HIV negative patients we reviewed studies from the pre-chemotherapy era. Untreated smear-positive tuberculosis among HIV negative individuals has a 10-year case fatality variously reported between 53% and 86%, with a weighted mean of 70%. Ten-year case fatality of culture-positive smear-negative tuberculosis was nowhere reported directly but can be indirectly estimated to be approximately 20%. The duration of tuberculosis from onset to cure or death is approximately 3 years and appears to be similar for smear-positive and smear-negative tuberculosis.\\n\\nCONCLUSIONS: Current models of untreated tuberculosis that assume a total duration of 2 years until self-cure or death underestimate the duration of disease by about one year, but their case fatality estimates of 70% for smear-positive and 20% for culture-positive smear-negative tuberculosis appear to be satisfactory.","author":[{"dropping-particle":"","family":"Tiemersma","given":"Edine W.","non-dropping-particle":"","parse-names":false,"suffix":""},{"dropping-particle":"","family":"Werf","given":"Marieke J.","non-dropping-particle":"van der","parse-names":false,"suffix":""},{"dropping-particle":"","family":"Borgdorff","given":"Martien W.","non-dropping-particle":"","parse-names":false,"suffix":""},{"dropping-particle":"","family":"Williams","given":"Brian G.","non-dropping-particle":"","parse-names":false,"suffix":""},{"dropping-particle":"","family":"Nagelkerke","given":"Nico J D","non-dropping-particle":"","parse-names":false,"suffix":""}],"container-title":"PLoS ONE","id":"ITEM-1","issue":"4","issued":{"date-parts":[["2011"]]},"title":"Natural history of tuberculosis: Duration and fatality of untreated pulmonary tuberculosis in HIV negative patients: A systematic review","type":"article-journal","volume":"6"},"uris":["http://www.mendeley.com/documents/?uuid=f8d98cfa-0795-40bf-9f2f-56a2ddd332ec"]}],"mendeley":{"formattedCitation":"(41)","plainTextFormattedCitation":"(41)","previouslyFormattedCitation":"(41)"},"properties":{"noteIndex":0},"schema":"https://github.com/citation-style-language/schema/raw/master/csl-citation.json"}</w:instrText>
      </w:r>
      <w:r w:rsidRPr="00435469">
        <w:rPr>
          <w:rFonts w:eastAsia="Yu Mincho" w:cs="Times New Roman"/>
          <w:sz w:val="20"/>
          <w:szCs w:val="20"/>
        </w:rPr>
        <w:fldChar w:fldCharType="separate"/>
      </w:r>
      <w:r w:rsidR="0063047A" w:rsidRPr="00435469">
        <w:rPr>
          <w:rFonts w:eastAsia="Yu Mincho" w:cs="Times New Roman"/>
          <w:noProof/>
          <w:sz w:val="20"/>
          <w:szCs w:val="20"/>
        </w:rPr>
        <w:t>(41)</w:t>
      </w:r>
      <w:r w:rsidRPr="00435469">
        <w:rPr>
          <w:rFonts w:eastAsia="Yu Mincho" w:cs="Times New Roman"/>
          <w:sz w:val="20"/>
          <w:szCs w:val="20"/>
        </w:rPr>
        <w:fldChar w:fldCharType="end"/>
      </w:r>
      <w:r w:rsidRPr="00435469">
        <w:rPr>
          <w:rFonts w:eastAsia="Yu Mincho" w:cs="Times New Roman"/>
          <w:sz w:val="20"/>
          <w:szCs w:val="20"/>
        </w:rPr>
        <w:t>.</w:t>
      </w:r>
    </w:p>
    <w:p w14:paraId="594CCC59" w14:textId="6145BB33" w:rsidR="005A6946" w:rsidRPr="00435469" w:rsidRDefault="005A6946" w:rsidP="00955FFB">
      <w:pPr>
        <w:spacing w:line="240" w:lineRule="auto"/>
        <w:rPr>
          <w:rFonts w:eastAsia="Yu Mincho" w:cs="Times New Roman"/>
          <w:sz w:val="20"/>
          <w:szCs w:val="20"/>
        </w:rPr>
      </w:pPr>
      <w:r w:rsidRPr="00435469">
        <w:rPr>
          <w:rFonts w:eastAsia="Yu Mincho" w:cs="Times New Roman"/>
          <w:sz w:val="20"/>
          <w:szCs w:val="20"/>
        </w:rPr>
        <w:t xml:space="preserve">For HIV-negative individuals, we </w:t>
      </w:r>
      <w:r w:rsidR="003A0253" w:rsidRPr="00435469">
        <w:rPr>
          <w:rFonts w:eastAsia="Yu Mincho" w:cs="Times New Roman"/>
          <w:sz w:val="20"/>
          <w:szCs w:val="20"/>
        </w:rPr>
        <w:t xml:space="preserve">previously specified </w:t>
      </w:r>
      <w:r w:rsidR="00D71758" w:rsidRPr="00435469">
        <w:rPr>
          <w:rFonts w:eastAsia="Yu Mincho" w:cs="Times New Roman"/>
          <w:sz w:val="20"/>
          <w:szCs w:val="20"/>
        </w:rPr>
        <w:t>a</w:t>
      </w:r>
      <w:r w:rsidR="00134990" w:rsidRPr="00435469">
        <w:rPr>
          <w:rFonts w:eastAsia="Yu Mincho" w:cs="Times New Roman"/>
          <w:sz w:val="20"/>
          <w:szCs w:val="20"/>
        </w:rPr>
        <w:t xml:space="preserve"> </w:t>
      </w:r>
      <w:r w:rsidR="00720ECE" w:rsidRPr="00435469">
        <w:rPr>
          <w:rFonts w:eastAsia="Yu Mincho" w:cs="Times New Roman"/>
          <w:sz w:val="20"/>
          <w:szCs w:val="20"/>
        </w:rPr>
        <w:t>Gamma (</w:t>
      </w:r>
      <w:r w:rsidR="00134990" w:rsidRPr="00435469">
        <w:rPr>
          <w:rFonts w:eastAsia="Yu Mincho" w:cs="Times New Roman"/>
          <w:sz w:val="20"/>
          <w:szCs w:val="20"/>
        </w:rPr>
        <w:t>20.25; 225)</w:t>
      </w:r>
      <w:r w:rsidR="001C1CAF" w:rsidRPr="00435469">
        <w:rPr>
          <w:rFonts w:eastAsia="Yu Mincho" w:cs="Times New Roman"/>
          <w:sz w:val="20"/>
          <w:szCs w:val="20"/>
        </w:rPr>
        <w:t xml:space="preserve"> </w:t>
      </w:r>
      <w:r w:rsidR="00E807D1" w:rsidRPr="00435469">
        <w:rPr>
          <w:rFonts w:eastAsia="Yu Mincho" w:cs="Times New Roman"/>
          <w:sz w:val="20"/>
          <w:szCs w:val="20"/>
        </w:rPr>
        <w:t xml:space="preserve">prior distribution </w:t>
      </w:r>
      <w:r w:rsidR="001C1CAF" w:rsidRPr="00435469">
        <w:rPr>
          <w:rFonts w:eastAsia="Yu Mincho" w:cs="Times New Roman"/>
          <w:sz w:val="20"/>
          <w:szCs w:val="20"/>
        </w:rPr>
        <w:t xml:space="preserve">with mean </w:t>
      </w:r>
      <w:r w:rsidR="0030430B" w:rsidRPr="00435469">
        <w:rPr>
          <w:rFonts w:eastAsia="Yu Mincho" w:cs="Times New Roman"/>
          <w:sz w:val="20"/>
          <w:szCs w:val="20"/>
        </w:rPr>
        <w:t>of 0.09</w:t>
      </w:r>
      <w:r w:rsidR="001C1CAF" w:rsidRPr="00435469">
        <w:rPr>
          <w:rFonts w:eastAsia="Yu Mincho" w:cs="Times New Roman"/>
          <w:sz w:val="20"/>
          <w:szCs w:val="20"/>
        </w:rPr>
        <w:t xml:space="preserve"> and standard deviation </w:t>
      </w:r>
      <w:r w:rsidR="0030430B" w:rsidRPr="00435469">
        <w:rPr>
          <w:rFonts w:eastAsia="Yu Mincho" w:cs="Times New Roman"/>
          <w:sz w:val="20"/>
          <w:szCs w:val="20"/>
        </w:rPr>
        <w:t>of 0.02</w:t>
      </w:r>
      <w:r w:rsidR="00275A0F" w:rsidRPr="00435469">
        <w:rPr>
          <w:rFonts w:eastAsia="Yu Mincho" w:cs="Times New Roman"/>
          <w:sz w:val="20"/>
          <w:szCs w:val="20"/>
        </w:rPr>
        <w:t xml:space="preserve"> for the uncertainty around the rates of natural recovery among smear-positive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smp</m:t>
            </m:r>
          </m:sub>
        </m:sSub>
      </m:oMath>
      <w:r w:rsidR="00275A0F" w:rsidRPr="00435469">
        <w:rPr>
          <w:rFonts w:eastAsia="Yu Mincho" w:cs="Times New Roman"/>
          <w:sz w:val="20"/>
          <w:szCs w:val="20"/>
        </w:rPr>
        <w:t>)</w:t>
      </w:r>
      <w:r w:rsidR="000B73E2" w:rsidRPr="00435469">
        <w:rPr>
          <w:rFonts w:eastAsia="Yu Mincho" w:cs="Times New Roman"/>
          <w:sz w:val="20"/>
          <w:szCs w:val="20"/>
        </w:rPr>
        <w:t xml:space="preserve"> </w:t>
      </w:r>
      <w:r w:rsidR="000B73E2" w:rsidRPr="00435469">
        <w:rPr>
          <w:rFonts w:eastAsia="Yu Mincho" w:cs="Times New Roman"/>
          <w:sz w:val="20"/>
          <w:szCs w:val="20"/>
        </w:rPr>
        <w:fldChar w:fldCharType="begin" w:fldLock="1"/>
      </w:r>
      <w:r w:rsidR="0057162F"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0B73E2" w:rsidRPr="00435469">
        <w:rPr>
          <w:rFonts w:eastAsia="Yu Mincho" w:cs="Times New Roman"/>
          <w:sz w:val="20"/>
          <w:szCs w:val="20"/>
        </w:rPr>
        <w:fldChar w:fldCharType="separate"/>
      </w:r>
      <w:r w:rsidR="000B73E2" w:rsidRPr="00435469">
        <w:rPr>
          <w:rFonts w:eastAsia="Yu Mincho" w:cs="Times New Roman"/>
          <w:noProof/>
          <w:sz w:val="20"/>
          <w:szCs w:val="20"/>
        </w:rPr>
        <w:t>(6)</w:t>
      </w:r>
      <w:r w:rsidR="000B73E2" w:rsidRPr="00435469">
        <w:rPr>
          <w:rFonts w:eastAsia="Yu Mincho" w:cs="Times New Roman"/>
          <w:sz w:val="20"/>
          <w:szCs w:val="20"/>
        </w:rPr>
        <w:fldChar w:fldCharType="end"/>
      </w:r>
      <w:r w:rsidR="00275A0F" w:rsidRPr="00435469">
        <w:rPr>
          <w:rFonts w:eastAsia="Yu Mincho" w:cs="Times New Roman"/>
          <w:sz w:val="20"/>
          <w:szCs w:val="20"/>
        </w:rPr>
        <w:t xml:space="preserve">. For </w:t>
      </w:r>
      <w:r w:rsidR="0071711F" w:rsidRPr="00435469">
        <w:rPr>
          <w:rFonts w:eastAsia="Yu Mincho" w:cs="Times New Roman"/>
          <w:sz w:val="20"/>
          <w:szCs w:val="20"/>
        </w:rPr>
        <w:t>natural recovery among smear-negative, we specif</w:t>
      </w:r>
      <w:r w:rsidR="003A0253" w:rsidRPr="00435469">
        <w:rPr>
          <w:rFonts w:eastAsia="Yu Mincho" w:cs="Times New Roman"/>
          <w:sz w:val="20"/>
          <w:szCs w:val="20"/>
        </w:rPr>
        <w:t>ied</w:t>
      </w:r>
      <w:r w:rsidR="00D71758" w:rsidRPr="00435469">
        <w:rPr>
          <w:rFonts w:eastAsia="Yu Mincho" w:cs="Times New Roman"/>
          <w:sz w:val="20"/>
          <w:szCs w:val="20"/>
        </w:rPr>
        <w:t xml:space="preserve"> a</w:t>
      </w:r>
      <w:r w:rsidR="0071711F" w:rsidRPr="00435469">
        <w:rPr>
          <w:rFonts w:eastAsia="Yu Mincho" w:cs="Times New Roman"/>
          <w:sz w:val="20"/>
          <w:szCs w:val="20"/>
        </w:rPr>
        <w:t xml:space="preserve"> </w:t>
      </w:r>
      <w:r w:rsidR="00720ECE" w:rsidRPr="00435469">
        <w:rPr>
          <w:rFonts w:cs="Times New Roman"/>
          <w:sz w:val="20"/>
          <w:szCs w:val="20"/>
        </w:rPr>
        <w:t>Gamma (</w:t>
      </w:r>
      <w:r w:rsidR="007502D5" w:rsidRPr="00435469">
        <w:rPr>
          <w:rFonts w:cs="Times New Roman"/>
          <w:sz w:val="20"/>
          <w:szCs w:val="20"/>
        </w:rPr>
        <w:t>23.04; 96)</w:t>
      </w:r>
      <w:r w:rsidR="001C1CAF" w:rsidRPr="00435469">
        <w:rPr>
          <w:rFonts w:cs="Times New Roman"/>
          <w:sz w:val="20"/>
          <w:szCs w:val="20"/>
        </w:rPr>
        <w:t xml:space="preserve"> </w:t>
      </w:r>
      <w:r w:rsidRPr="00435469">
        <w:rPr>
          <w:rFonts w:eastAsia="Yu Mincho" w:cs="Times New Roman"/>
          <w:sz w:val="20"/>
          <w:szCs w:val="20"/>
        </w:rPr>
        <w:t>prior distribution</w:t>
      </w:r>
      <w:r w:rsidR="00B64265" w:rsidRPr="00435469">
        <w:rPr>
          <w:rFonts w:eastAsia="Yu Mincho" w:cs="Times New Roman"/>
          <w:sz w:val="20"/>
          <w:szCs w:val="20"/>
        </w:rPr>
        <w:t xml:space="preserve"> with mean 0.24 and standard deviation of 0.05</w:t>
      </w:r>
      <w:r w:rsidR="00245F01" w:rsidRPr="00435469">
        <w:rPr>
          <w:rFonts w:eastAsia="Yu Mincho" w:cs="Times New Roman"/>
          <w:sz w:val="20"/>
          <w:szCs w:val="20"/>
        </w:rPr>
        <w:t xml:space="preserve">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smn</m:t>
            </m:r>
          </m:sub>
        </m:sSub>
      </m:oMath>
      <w:r w:rsidR="00245F01" w:rsidRPr="00435469">
        <w:rPr>
          <w:rFonts w:eastAsia="Yu Mincho" w:cs="Times New Roman"/>
          <w:sz w:val="20"/>
          <w:szCs w:val="20"/>
        </w:rPr>
        <w:t>)</w:t>
      </w:r>
      <w:r w:rsidR="00B64265" w:rsidRPr="00435469">
        <w:rPr>
          <w:rFonts w:eastAsia="Yu Mincho" w:cs="Times New Roman"/>
          <w:sz w:val="20"/>
          <w:szCs w:val="20"/>
        </w:rPr>
        <w:t>.</w:t>
      </w:r>
      <w:r w:rsidR="00DE5934" w:rsidRPr="00435469">
        <w:rPr>
          <w:rFonts w:eastAsia="Yu Mincho" w:cs="Times New Roman"/>
          <w:sz w:val="20"/>
          <w:szCs w:val="20"/>
        </w:rPr>
        <w:t xml:space="preserve"> In a previous </w:t>
      </w:r>
      <w:r w:rsidR="00762499" w:rsidRPr="00435469">
        <w:rPr>
          <w:rFonts w:eastAsia="Yu Mincho" w:cs="Times New Roman"/>
          <w:sz w:val="20"/>
          <w:szCs w:val="20"/>
        </w:rPr>
        <w:t>calibration</w:t>
      </w:r>
      <w:r w:rsidR="00DE5934" w:rsidRPr="00435469">
        <w:rPr>
          <w:rFonts w:eastAsia="Yu Mincho" w:cs="Times New Roman"/>
          <w:sz w:val="20"/>
          <w:szCs w:val="20"/>
        </w:rPr>
        <w:t xml:space="preserve"> </w:t>
      </w:r>
      <w:r w:rsidR="00B923CA" w:rsidRPr="00435469">
        <w:rPr>
          <w:rFonts w:eastAsia="Yu Mincho" w:cs="Times New Roman"/>
          <w:sz w:val="20"/>
          <w:szCs w:val="20"/>
        </w:rPr>
        <w:t>analysis, we estimated the</w:t>
      </w:r>
      <w:r w:rsidR="00762499" w:rsidRPr="00435469">
        <w:rPr>
          <w:rFonts w:eastAsia="Yu Mincho" w:cs="Times New Roman"/>
          <w:sz w:val="20"/>
          <w:szCs w:val="20"/>
        </w:rPr>
        <w:t xml:space="preserve"> posterior means and 95</w:t>
      </w:r>
      <w:r w:rsidR="00B923CA" w:rsidRPr="00435469">
        <w:rPr>
          <w:rFonts w:eastAsia="Yu Mincho" w:cs="Times New Roman"/>
          <w:sz w:val="20"/>
          <w:szCs w:val="20"/>
        </w:rPr>
        <w:t>%</w:t>
      </w:r>
      <w:r w:rsidR="00762499" w:rsidRPr="00435469">
        <w:rPr>
          <w:rFonts w:eastAsia="Yu Mincho" w:cs="Times New Roman"/>
          <w:sz w:val="20"/>
          <w:szCs w:val="20"/>
        </w:rPr>
        <w:t xml:space="preserve"> confidence intervals </w:t>
      </w:r>
      <w:r w:rsidR="00574C58" w:rsidRPr="00435469">
        <w:rPr>
          <w:rFonts w:eastAsia="Yu Mincho" w:cs="Times New Roman"/>
          <w:sz w:val="20"/>
          <w:szCs w:val="20"/>
        </w:rPr>
        <w:t xml:space="preserve">for the </w:t>
      </w:r>
      <w:r w:rsidR="00DE5934" w:rsidRPr="00435469">
        <w:rPr>
          <w:rFonts w:eastAsia="Yu Mincho" w:cs="Times New Roman"/>
          <w:sz w:val="20"/>
          <w:szCs w:val="20"/>
        </w:rPr>
        <w:t xml:space="preserve">parameters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smp</m:t>
            </m:r>
          </m:sub>
        </m:sSub>
      </m:oMath>
      <w:r w:rsidR="00DE5934" w:rsidRPr="00435469">
        <w:rPr>
          <w:rFonts w:eastAsia="Yu Mincho" w:cs="Times New Roman"/>
          <w:sz w:val="20"/>
          <w:szCs w:val="20"/>
        </w:rPr>
        <w:t xml:space="preserve"> and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smn</m:t>
            </m:r>
          </m:sub>
        </m:sSub>
      </m:oMath>
      <w:r w:rsidR="00DE5934" w:rsidRPr="00435469">
        <w:rPr>
          <w:rFonts w:eastAsia="Yu Mincho" w:cs="Times New Roman"/>
          <w:sz w:val="20"/>
          <w:szCs w:val="20"/>
        </w:rPr>
        <w:t xml:space="preserve"> </w:t>
      </w:r>
      <w:r w:rsidR="00B923CA" w:rsidRPr="00435469">
        <w:rPr>
          <w:rFonts w:eastAsia="Yu Mincho" w:cs="Times New Roman"/>
          <w:sz w:val="20"/>
          <w:szCs w:val="20"/>
        </w:rPr>
        <w:t>at</w:t>
      </w:r>
      <w:r w:rsidR="00DE5934" w:rsidRPr="00435469">
        <w:rPr>
          <w:rFonts w:eastAsia="Yu Mincho" w:cs="Times New Roman"/>
          <w:sz w:val="20"/>
          <w:szCs w:val="20"/>
        </w:rPr>
        <w:t xml:space="preserve"> 0.075 (95% CI 0.067 – 0.081) and 0.224 (95% CI 0.198 – 0.247)</w:t>
      </w:r>
      <w:r w:rsidR="00574C58" w:rsidRPr="00435469">
        <w:rPr>
          <w:rFonts w:eastAsia="Yu Mincho" w:cs="Times New Roman"/>
          <w:sz w:val="20"/>
          <w:szCs w:val="20"/>
        </w:rPr>
        <w:t>, respectively</w:t>
      </w:r>
      <w:r w:rsidR="00B60AB4" w:rsidRPr="00435469">
        <w:rPr>
          <w:rFonts w:eastAsia="Yu Mincho" w:cs="Times New Roman"/>
          <w:sz w:val="20"/>
          <w:szCs w:val="20"/>
        </w:rPr>
        <w:t xml:space="preserve"> </w:t>
      </w:r>
      <w:r w:rsidR="00B60AB4" w:rsidRPr="00435469">
        <w:rPr>
          <w:rFonts w:eastAsia="Yu Mincho" w:cs="Times New Roman"/>
          <w:sz w:val="20"/>
          <w:szCs w:val="20"/>
        </w:rPr>
        <w:fldChar w:fldCharType="begin" w:fldLock="1"/>
      </w:r>
      <w:r w:rsidR="0057162F"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B60AB4" w:rsidRPr="00435469">
        <w:rPr>
          <w:rFonts w:eastAsia="Yu Mincho" w:cs="Times New Roman"/>
          <w:sz w:val="20"/>
          <w:szCs w:val="20"/>
        </w:rPr>
        <w:fldChar w:fldCharType="separate"/>
      </w:r>
      <w:r w:rsidR="00B60AB4" w:rsidRPr="00435469">
        <w:rPr>
          <w:rFonts w:eastAsia="Yu Mincho" w:cs="Times New Roman"/>
          <w:noProof/>
          <w:sz w:val="20"/>
          <w:szCs w:val="20"/>
        </w:rPr>
        <w:t>(6)</w:t>
      </w:r>
      <w:r w:rsidR="00B60AB4" w:rsidRPr="00435469">
        <w:rPr>
          <w:rFonts w:eastAsia="Yu Mincho" w:cs="Times New Roman"/>
          <w:sz w:val="20"/>
          <w:szCs w:val="20"/>
        </w:rPr>
        <w:fldChar w:fldCharType="end"/>
      </w:r>
      <w:r w:rsidR="00574C58" w:rsidRPr="00435469">
        <w:rPr>
          <w:rFonts w:eastAsia="Yu Mincho" w:cs="Times New Roman"/>
          <w:sz w:val="20"/>
          <w:szCs w:val="20"/>
        </w:rPr>
        <w:t xml:space="preserve">. In this analysis, we fixed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smp</m:t>
            </m:r>
          </m:sub>
        </m:sSub>
      </m:oMath>
      <w:r w:rsidR="00574C58" w:rsidRPr="00435469">
        <w:rPr>
          <w:rFonts w:eastAsia="Yu Mincho" w:cs="Times New Roman"/>
          <w:sz w:val="20"/>
          <w:szCs w:val="20"/>
        </w:rPr>
        <w:t xml:space="preserve"> and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smn</m:t>
            </m:r>
          </m:sub>
        </m:sSub>
      </m:oMath>
      <w:r w:rsidR="00574C58" w:rsidRPr="00435469">
        <w:rPr>
          <w:rFonts w:eastAsia="Yu Mincho" w:cs="Times New Roman"/>
          <w:sz w:val="20"/>
          <w:szCs w:val="20"/>
        </w:rPr>
        <w:t xml:space="preserve"> </w:t>
      </w:r>
      <w:r w:rsidR="0056224D" w:rsidRPr="00435469">
        <w:rPr>
          <w:rFonts w:eastAsia="Yu Mincho" w:cs="Times New Roman"/>
          <w:sz w:val="20"/>
          <w:szCs w:val="20"/>
        </w:rPr>
        <w:t>at these posterior means of 0.075 and 0.224 respectively.</w:t>
      </w:r>
    </w:p>
    <w:p w14:paraId="724862F2" w14:textId="2F8941A9" w:rsidR="005A6946" w:rsidRPr="00435469" w:rsidRDefault="005A6946" w:rsidP="00955FFB">
      <w:pPr>
        <w:spacing w:line="240" w:lineRule="auto"/>
        <w:rPr>
          <w:rFonts w:eastAsia="Calibri" w:cs="Times New Roman"/>
          <w:sz w:val="20"/>
          <w:szCs w:val="20"/>
        </w:rPr>
      </w:pPr>
      <w:r w:rsidRPr="00435469">
        <w:rPr>
          <w:rFonts w:eastAsia="Calibri" w:cs="Times New Roman"/>
          <w:sz w:val="20"/>
          <w:szCs w:val="20"/>
        </w:rPr>
        <w:t xml:space="preserve">There is limited evidence on how HIV and ART affect natural recovery. </w:t>
      </w:r>
      <w:r w:rsidR="00C60AE9" w:rsidRPr="00435469">
        <w:rPr>
          <w:rFonts w:eastAsia="Calibri" w:cs="Times New Roman"/>
          <w:sz w:val="20"/>
          <w:szCs w:val="20"/>
        </w:rPr>
        <w:t>A</w:t>
      </w:r>
      <w:r w:rsidRPr="00435469">
        <w:rPr>
          <w:rFonts w:eastAsia="Yu Mincho" w:cs="Times New Roman"/>
          <w:sz w:val="20"/>
          <w:szCs w:val="20"/>
        </w:rPr>
        <w:t xml:space="preserve">s with partial immunity, </w:t>
      </w:r>
      <w:r w:rsidR="00C60AE9" w:rsidRPr="00435469">
        <w:rPr>
          <w:rFonts w:eastAsia="Yu Mincho" w:cs="Times New Roman"/>
          <w:sz w:val="20"/>
          <w:szCs w:val="20"/>
        </w:rPr>
        <w:t xml:space="preserve">we </w:t>
      </w:r>
      <w:r w:rsidRPr="00435469">
        <w:rPr>
          <w:rFonts w:eastAsia="Yu Mincho" w:cs="Times New Roman"/>
          <w:sz w:val="20"/>
          <w:szCs w:val="20"/>
        </w:rPr>
        <w:t>specified the r</w:t>
      </w:r>
      <w:r w:rsidRPr="00435469">
        <w:rPr>
          <w:rFonts w:eastAsia="Calibri" w:cs="Times New Roman"/>
          <w:sz w:val="20"/>
          <w:szCs w:val="20"/>
        </w:rPr>
        <w:t xml:space="preserve">elative rate of natural recovery dependent </w:t>
      </w:r>
      <w:r w:rsidR="00661063" w:rsidRPr="00435469">
        <w:rPr>
          <w:rFonts w:eastAsia="Calibri" w:cs="Times New Roman"/>
          <w:sz w:val="20"/>
          <w:szCs w:val="20"/>
        </w:rPr>
        <w:t xml:space="preserve">on </w:t>
      </w:r>
      <w:r w:rsidRPr="00435469">
        <w:rPr>
          <w:rFonts w:eastAsia="Calibri" w:cs="Times New Roman"/>
          <w:sz w:val="20"/>
          <w:szCs w:val="20"/>
        </w:rPr>
        <w:t>CD4 count</w:t>
      </w:r>
      <w:r w:rsidR="00661063" w:rsidRPr="00435469">
        <w:rPr>
          <w:rFonts w:eastAsia="Calibri" w:cs="Times New Roman"/>
          <w:sz w:val="20"/>
          <w:szCs w:val="20"/>
        </w:rPr>
        <w:t>,</w:t>
      </w:r>
      <w:r w:rsidRPr="00435469">
        <w:rPr>
          <w:rFonts w:eastAsia="Calibri" w:cs="Times New Roman"/>
          <w:sz w:val="20"/>
          <w:szCs w:val="20"/>
        </w:rPr>
        <w:t xml:space="preserve"> extrapolating from a previous modelling study </w:t>
      </w:r>
      <w:r w:rsidR="00661063" w:rsidRPr="00435469">
        <w:rPr>
          <w:rFonts w:eastAsia="Calibri" w:cs="Times New Roman"/>
          <w:sz w:val="20"/>
          <w:szCs w:val="20"/>
        </w:rPr>
        <w:t xml:space="preserve">by </w:t>
      </w:r>
      <w:r w:rsidRPr="00435469">
        <w:rPr>
          <w:rFonts w:eastAsia="Calibri" w:cs="Times New Roman"/>
          <w:sz w:val="20"/>
          <w:szCs w:val="20"/>
        </w:rPr>
        <w:t>Menzies et al. who assumed an annual rate of recovery of 0.2 (range: 0.15 – 0.025) in those who were HIV-negative</w:t>
      </w:r>
      <w:r w:rsidR="00661063" w:rsidRPr="00435469">
        <w:rPr>
          <w:rFonts w:eastAsia="Calibri" w:cs="Times New Roman"/>
          <w:sz w:val="20"/>
          <w:szCs w:val="20"/>
        </w:rPr>
        <w:t>,</w:t>
      </w:r>
      <w:r w:rsidRPr="00435469">
        <w:rPr>
          <w:rFonts w:eastAsia="Calibri" w:cs="Times New Roman"/>
          <w:sz w:val="20"/>
          <w:szCs w:val="20"/>
        </w:rPr>
        <w:t xml:space="preserve"> 0.1 (range: 0.06 – 0.16) in those with CD4 counts &gt; 350 </w:t>
      </w:r>
      <w:r w:rsidR="00661063" w:rsidRPr="00435469">
        <w:rPr>
          <w:rFonts w:eastAsia="Calibri" w:cs="Times New Roman"/>
          <w:sz w:val="20"/>
          <w:szCs w:val="20"/>
        </w:rPr>
        <w:fldChar w:fldCharType="begin" w:fldLock="1"/>
      </w:r>
      <w:r w:rsidR="002F049E" w:rsidRPr="00435469">
        <w:rPr>
          <w:rFonts w:eastAsia="Calibri" w:cs="Times New Roman"/>
          <w:sz w:val="20"/>
          <w:szCs w:val="20"/>
        </w:rPr>
        <w:instrText>ADDIN CSL_CITATION {"citationItems":[{"id":"ITEM-1","itemData":{"DOI":"10.1371/journal.pmed.1001347","ISBN":"1549-1676","ISSN":"15491277","PMID":"23185139","abstract":"BACKGROUND: The Xpert MTB/RIF test enables rapid detection of tuberculosis (TB) and rifampicin resistance. The World Health Organization recommends Xpert for initial diagnosis in individuals suspected of having multidrug-resistant TB (MDR-TB) or HIV-associated TB, and many countries are moving quickly toward adopting Xpert. As roll-out proceeds, it is essential to understand the potential health impact and cost-effectiveness of diagnostic strategies based on Xpert.\\n\\nMETHODS AND FINDINGS: We evaluated potential health and economic consequences of implementing Xpert in five southern African countries--Botswana, Lesotho, Namibia, South Africa, and Swaziland--where drug resistance and TB-HIV coinfection are prevalent. Using a calibrated, dynamic mathematical model, we compared the status quo diagnostic algorithm, emphasizing sputum smear, against an algorithm incorporating Xpert for initial diagnosis. Results were projected over 10- and 20-y time periods starting from 2012. Compared to status quo, implementation of Xpert would avert 132,000 (95% CI: 55,000-284,000) TB cases and 182,000 (97,000-302,000) TB deaths in southern Africa over the 10 y following introduction, and would reduce prevalence by 28% (14%-40%) by 2022, with more modest reductions in incidence. Health system costs are projected to increase substantially with Xpert, by US$460 million (294-699 million) over 10 y. Antiretroviral therapy for HIV represents a substantial fraction of these additional costs, because of improved survival in TB/HIV-infected populations through better TB case-finding and treatment. Costs for treating MDR-TB are also expected to rise significantly with Xpert scale-up. Relative to status quo, Xpert has an estimated cost-effectiveness of US$959 (633-1,485) per disability-adjusted life-year averted over 10 y. Across countries, cost-effectiveness ratios ranged from US$792 (482-1,785) in Swaziland to US$1,257 (767-2,276) in Botswana. Assessing outcomes over a 10-y period focuses on the near-term consequences of Xpert adoption, but the cost-effectiveness results are conservative, with cost-effectiveness ratios assessed over a 20-y time horizon approximately 20% lower than the 10-y values.\\n\\nCONCLUSIONS: Introduction of Xpert could substantially change TB morbidity and mortality through improved case-finding and treatment, with more limited impact on long-term transmission dynamics. Despite extant uncertainty about TB natural history and intervention impact in southern A…","author":[{"dropping-particle":"","family":"Menzies","given":"Nicolas A.","non-dropping-particle":"","parse-names":false,"suffix":""},{"dropping-particle":"","family":"Cohen","given":"Ted","non-dropping-particle":"","parse-names":false,"suffix":""},{"dropping-particle":"","family":"Lin","given":"Hsien Ho","non-dropping-particle":"","parse-names":false,"suffix":""},{"dropping-particle":"","family":"Murray","given":"Megan","non-dropping-particle":"","parse-names":false,"suffix":""},{"dropping-particle":"","family":"Salomon","given":"Joshua A.","non-dropping-particle":"","parse-names":false,"suffix":""}],"container-title":"PLoS Medicine","id":"ITEM-1","issue":"11","issued":{"date-parts":[["2012"]]},"title":"Population Health Impact and Cost-Effectiveness of Tuberculosis Diagnosis with Xpert MTB/RIF: A Dynamic Simulation and Economic Evaluation","type":"article-journal","volume":"9"},"uris":["http://www.mendeley.com/documents/?uuid=ad6267ad-d3cc-4dfe-894c-84851b812426"]}],"mendeley":{"formattedCitation":"(36)","plainTextFormattedCitation":"(36)","previouslyFormattedCitation":"(36)"},"properties":{"noteIndex":0},"schema":"https://github.com/citation-style-language/schema/raw/master/csl-citation.json"}</w:instrText>
      </w:r>
      <w:r w:rsidR="00661063" w:rsidRPr="00435469">
        <w:rPr>
          <w:rFonts w:eastAsia="Calibri" w:cs="Times New Roman"/>
          <w:sz w:val="20"/>
          <w:szCs w:val="20"/>
        </w:rPr>
        <w:fldChar w:fldCharType="separate"/>
      </w:r>
      <w:r w:rsidR="0063047A" w:rsidRPr="00435469">
        <w:rPr>
          <w:rFonts w:eastAsia="Calibri" w:cs="Times New Roman"/>
          <w:noProof/>
          <w:sz w:val="20"/>
          <w:szCs w:val="20"/>
        </w:rPr>
        <w:t>(36)</w:t>
      </w:r>
      <w:r w:rsidR="00661063" w:rsidRPr="00435469">
        <w:rPr>
          <w:rFonts w:eastAsia="Calibri" w:cs="Times New Roman"/>
          <w:sz w:val="20"/>
          <w:szCs w:val="20"/>
        </w:rPr>
        <w:fldChar w:fldCharType="end"/>
      </w:r>
      <w:r w:rsidR="00661063" w:rsidRPr="00435469">
        <w:rPr>
          <w:rFonts w:eastAsia="Calibri" w:cs="Times New Roman"/>
          <w:sz w:val="20"/>
          <w:szCs w:val="20"/>
        </w:rPr>
        <w:t xml:space="preserve">, </w:t>
      </w:r>
      <w:r w:rsidRPr="00435469">
        <w:rPr>
          <w:rFonts w:eastAsia="Calibri" w:cs="Times New Roman"/>
          <w:sz w:val="20"/>
          <w:szCs w:val="20"/>
        </w:rPr>
        <w:t xml:space="preserve">and </w:t>
      </w:r>
      <w:r w:rsidR="00661063" w:rsidRPr="00435469">
        <w:rPr>
          <w:rFonts w:eastAsia="Calibri" w:cs="Times New Roman"/>
          <w:sz w:val="20"/>
          <w:szCs w:val="20"/>
        </w:rPr>
        <w:t>zero</w:t>
      </w:r>
      <w:r w:rsidRPr="00435469">
        <w:rPr>
          <w:rFonts w:eastAsia="Calibri" w:cs="Times New Roman"/>
          <w:sz w:val="20"/>
          <w:szCs w:val="20"/>
        </w:rPr>
        <w:t xml:space="preserve"> in those with a CD4 count of 350 and less. </w:t>
      </w:r>
    </w:p>
    <w:p w14:paraId="5E08DE57" w14:textId="5010BE64" w:rsidR="005A6946" w:rsidRPr="00435469" w:rsidRDefault="005A6946" w:rsidP="00955FFB">
      <w:pPr>
        <w:spacing w:line="240" w:lineRule="auto"/>
        <w:rPr>
          <w:rFonts w:eastAsia="Calibri" w:cs="Times New Roman"/>
          <w:sz w:val="20"/>
          <w:szCs w:val="20"/>
        </w:rPr>
      </w:pPr>
      <w:r w:rsidRPr="00435469">
        <w:rPr>
          <w:rFonts w:eastAsia="Calibri" w:cs="Times New Roman"/>
          <w:sz w:val="20"/>
          <w:szCs w:val="20"/>
        </w:rPr>
        <w:t xml:space="preserve">In the model, the </w:t>
      </w:r>
      <w:r w:rsidR="00661063" w:rsidRPr="00435469">
        <w:rPr>
          <w:rFonts w:eastAsia="Calibri" w:cs="Times New Roman"/>
          <w:sz w:val="20"/>
          <w:szCs w:val="20"/>
        </w:rPr>
        <w:t>rate of</w:t>
      </w:r>
      <w:r w:rsidRPr="00435469">
        <w:rPr>
          <w:rFonts w:eastAsia="Calibri" w:cs="Times New Roman"/>
          <w:sz w:val="20"/>
          <w:szCs w:val="20"/>
        </w:rPr>
        <w:t xml:space="preserve"> natural recovery</w:t>
      </w:r>
      <w:r w:rsidR="001E4D7F" w:rsidRPr="00435469">
        <w:rPr>
          <w:rFonts w:eastAsia="Calibri" w:cs="Times New Roman"/>
          <w:sz w:val="20"/>
          <w:szCs w:val="20"/>
        </w:rPr>
        <w:t xml:space="preserve"> is modelled</w:t>
      </w:r>
      <w:r w:rsidRPr="00435469">
        <w:rPr>
          <w:rFonts w:eastAsia="Calibri" w:cs="Times New Roman"/>
          <w:sz w:val="20"/>
          <w:szCs w:val="20"/>
        </w:rPr>
        <w:t xml:space="preserve"> as follow</w:t>
      </w:r>
      <w:r w:rsidR="00C60AE9" w:rsidRPr="00435469">
        <w:rPr>
          <w:rFonts w:eastAsia="Calibri" w:cs="Times New Roman"/>
          <w:sz w:val="20"/>
          <w:szCs w:val="20"/>
        </w:rPr>
        <w:t>s</w:t>
      </w:r>
      <w:r w:rsidRPr="00435469">
        <w:rPr>
          <w:rFonts w:eastAsia="Calibri" w:cs="Times New Roman"/>
          <w:sz w:val="20"/>
          <w:szCs w:val="20"/>
        </w:rPr>
        <w:t>:</w:t>
      </w:r>
    </w:p>
    <w:p w14:paraId="15469656" w14:textId="77777777" w:rsidR="005A6946" w:rsidRPr="00435469" w:rsidRDefault="005A6946" w:rsidP="00955FFB">
      <w:pPr>
        <w:autoSpaceDE w:val="0"/>
        <w:autoSpaceDN w:val="0"/>
        <w:adjustRightInd w:val="0"/>
        <w:spacing w:after="0" w:line="240" w:lineRule="auto"/>
        <w:rPr>
          <w:rFonts w:ascii="Consolas" w:hAnsi="Consolas" w:cs="Consolas"/>
          <w:sz w:val="20"/>
          <w:szCs w:val="20"/>
        </w:rPr>
      </w:pPr>
    </w:p>
    <w:p w14:paraId="500215D7" w14:textId="0313F71D" w:rsidR="005A6946" w:rsidRPr="00435469" w:rsidRDefault="005A6946" w:rsidP="00955FFB">
      <w:pPr>
        <w:spacing w:line="240" w:lineRule="auto"/>
        <w:rPr>
          <w:rFonts w:eastAsia="Calibri" w:cs="Times New Roman"/>
          <w:sz w:val="20"/>
          <w:szCs w:val="20"/>
        </w:rPr>
      </w:pPr>
      <m:oMathPara>
        <m:oMath>
          <m:r>
            <w:rPr>
              <w:rFonts w:ascii="Cambria Math" w:eastAsia="Calibri" w:hAnsi="Cambria Math" w:cs="Times New Roman"/>
              <w:sz w:val="20"/>
              <w:szCs w:val="20"/>
            </w:rPr>
            <m:t>R(s)=</m:t>
          </m:r>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nv</m:t>
              </m:r>
            </m:e>
            <m:sup>
              <m:d>
                <m:dPr>
                  <m:ctrlPr>
                    <w:rPr>
                      <w:rFonts w:ascii="Cambria Math" w:eastAsia="Calibri" w:hAnsi="Cambria Math" w:cs="Times New Roman"/>
                      <w:i/>
                      <w:sz w:val="20"/>
                      <w:szCs w:val="20"/>
                    </w:rPr>
                  </m:ctrlPr>
                </m:dPr>
                <m:e>
                  <m:r>
                    <w:rPr>
                      <w:rFonts w:ascii="Cambria Math" w:eastAsia="Calibri" w:hAnsi="Cambria Math" w:cs="Times New Roman"/>
                      <w:sz w:val="20"/>
                      <w:szCs w:val="20"/>
                    </w:rPr>
                    <m:t>s- a</m:t>
                  </m:r>
                </m:e>
              </m:d>
              <m:r>
                <m:rPr>
                  <m:lit/>
                </m:rPr>
                <w:rPr>
                  <w:rFonts w:ascii="Cambria Math" w:eastAsia="Calibri" w:hAnsi="Cambria Math" w:cs="Times New Roman"/>
                  <w:sz w:val="20"/>
                  <w:szCs w:val="20"/>
                </w:rPr>
                <m:t>/</m:t>
              </m:r>
              <m:r>
                <w:rPr>
                  <w:rFonts w:ascii="Cambria Math" w:eastAsia="Calibri" w:hAnsi="Cambria Math" w:cs="Times New Roman"/>
                  <w:sz w:val="20"/>
                  <w:szCs w:val="20"/>
                </w:rPr>
                <m:t>100</m:t>
              </m:r>
            </m:sup>
          </m:sSup>
        </m:oMath>
      </m:oMathPara>
    </w:p>
    <w:p w14:paraId="6B88163C" w14:textId="7908CEFE" w:rsidR="005A6946" w:rsidRPr="00435469" w:rsidRDefault="005A6946" w:rsidP="00955FFB">
      <w:pPr>
        <w:spacing w:line="240" w:lineRule="auto"/>
        <w:rPr>
          <w:rFonts w:eastAsia="Calibri" w:cs="Times New Roman"/>
          <w:sz w:val="20"/>
          <w:szCs w:val="20"/>
        </w:rPr>
      </w:pPr>
      <m:oMath>
        <m:r>
          <w:rPr>
            <w:rFonts w:ascii="Cambria Math" w:eastAsia="Calibri" w:hAnsi="Cambria Math" w:cs="Times New Roman"/>
            <w:sz w:val="20"/>
            <w:szCs w:val="20"/>
          </w:rPr>
          <m:t>v</m:t>
        </m:r>
        <m:r>
          <m:rPr>
            <m:sty m:val="p"/>
          </m:rPr>
          <w:rPr>
            <w:rFonts w:ascii="Cambria Math" w:eastAsia="Calibri" w:hAnsi="Cambria Math" w:cs="Times New Roman"/>
            <w:sz w:val="20"/>
            <w:szCs w:val="20"/>
          </w:rPr>
          <m:t>:</m:t>
        </m:r>
      </m:oMath>
      <w:r w:rsidRPr="00435469">
        <w:rPr>
          <w:rFonts w:eastAsia="Calibri" w:cs="Times New Roman"/>
          <w:sz w:val="20"/>
          <w:szCs w:val="20"/>
        </w:rPr>
        <w:t xml:space="preserve"> relative rate of natural recovery per 100-cell </w:t>
      </w:r>
      <w:proofErr w:type="gramStart"/>
      <w:r w:rsidRPr="00435469">
        <w:rPr>
          <w:rFonts w:eastAsia="Calibri" w:cs="Times New Roman"/>
          <w:sz w:val="20"/>
          <w:szCs w:val="20"/>
        </w:rPr>
        <w:t>increase</w:t>
      </w:r>
      <w:proofErr w:type="gramEnd"/>
      <w:r w:rsidRPr="00435469">
        <w:rPr>
          <w:rFonts w:eastAsia="Calibri" w:cs="Times New Roman"/>
          <w:sz w:val="20"/>
          <w:szCs w:val="20"/>
        </w:rPr>
        <w:t xml:space="preserve"> in CD4 for HIV-positive individuals</w:t>
      </w:r>
      <w:r w:rsidR="00117E3B" w:rsidRPr="00435469">
        <w:rPr>
          <w:rFonts w:eastAsia="Calibri" w:cs="Times New Roman"/>
          <w:sz w:val="20"/>
          <w:szCs w:val="20"/>
        </w:rPr>
        <w:t xml:space="preserve">. We set </w:t>
      </w:r>
      <m:oMath>
        <m:r>
          <w:rPr>
            <w:rFonts w:ascii="Cambria Math" w:eastAsia="Calibri" w:hAnsi="Cambria Math" w:cs="Times New Roman"/>
            <w:sz w:val="20"/>
            <w:szCs w:val="20"/>
          </w:rPr>
          <m:t>v=</m:t>
        </m:r>
        <m:r>
          <m:rPr>
            <m:sty m:val="p"/>
          </m:rPr>
          <w:rPr>
            <w:rFonts w:ascii="Cambria Math" w:eastAsia="Yu Mincho" w:hAnsi="Cambria Math" w:cs="Times New Roman"/>
            <w:sz w:val="20"/>
            <w:szCs w:val="20"/>
          </w:rPr>
          <m:t>1.2</m:t>
        </m:r>
      </m:oMath>
      <w:r w:rsidR="00117E3B" w:rsidRPr="00435469">
        <w:rPr>
          <w:rFonts w:eastAsia="Calibri" w:cs="Times New Roman"/>
          <w:sz w:val="20"/>
          <w:szCs w:val="20"/>
        </w:rPr>
        <w:t xml:space="preserve"> to be roughly consistent with Menzies </w:t>
      </w:r>
      <w:r w:rsidR="00117E3B" w:rsidRPr="00435469">
        <w:rPr>
          <w:rFonts w:eastAsia="Calibri" w:cs="Times New Roman"/>
          <w:i/>
          <w:iCs/>
          <w:sz w:val="20"/>
          <w:szCs w:val="20"/>
        </w:rPr>
        <w:t>et al</w:t>
      </w:r>
      <w:r w:rsidR="00117E3B" w:rsidRPr="00435469">
        <w:rPr>
          <w:rFonts w:eastAsia="Calibri" w:cs="Times New Roman"/>
          <w:sz w:val="20"/>
          <w:szCs w:val="20"/>
        </w:rPr>
        <w:t xml:space="preserve"> </w:t>
      </w:r>
      <w:r w:rsidR="00117E3B" w:rsidRPr="00435469">
        <w:rPr>
          <w:rFonts w:eastAsia="Calibri" w:cs="Times New Roman"/>
          <w:sz w:val="20"/>
          <w:szCs w:val="20"/>
        </w:rPr>
        <w:fldChar w:fldCharType="begin" w:fldLock="1"/>
      </w:r>
      <w:r w:rsidR="002F049E" w:rsidRPr="00435469">
        <w:rPr>
          <w:rFonts w:eastAsia="Calibri" w:cs="Times New Roman"/>
          <w:sz w:val="20"/>
          <w:szCs w:val="20"/>
        </w:rPr>
        <w:instrText>ADDIN CSL_CITATION {"citationItems":[{"id":"ITEM-1","itemData":{"DOI":"10.1371/journal.pmed.1001347","ISBN":"1549-1676","ISSN":"15491277","PMID":"23185139","abstract":"BACKGROUND: The Xpert MTB/RIF test enables rapid detection of tuberculosis (TB) and rifampicin resistance. The World Health Organization recommends Xpert for initial diagnosis in individuals suspected of having multidrug-resistant TB (MDR-TB) or HIV-associated TB, and many countries are moving quickly toward adopting Xpert. As roll-out proceeds, it is essential to understand the potential health impact and cost-effectiveness of diagnostic strategies based on Xpert.\\n\\nMETHODS AND FINDINGS: We evaluated potential health and economic consequences of implementing Xpert in five southern African countries--Botswana, Lesotho, Namibia, South Africa, and Swaziland--where drug resistance and TB-HIV coinfection are prevalent. Using a calibrated, dynamic mathematical model, we compared the status quo diagnostic algorithm, emphasizing sputum smear, against an algorithm incorporating Xpert for initial diagnosis. Results were projected over 10- and 20-y time periods starting from 2012. Compared to status quo, implementation of Xpert would avert 132,000 (95% CI: 55,000-284,000) TB cases and 182,000 (97,000-302,000) TB deaths in southern Africa over the 10 y following introduction, and would reduce prevalence by 28% (14%-40%) by 2022, with more modest reductions in incidence. Health system costs are projected to increase substantially with Xpert, by US$460 million (294-699 million) over 10 y. Antiretroviral therapy for HIV represents a substantial fraction of these additional costs, because of improved survival in TB/HIV-infected populations through better TB case-finding and treatment. Costs for treating MDR-TB are also expected to rise significantly with Xpert scale-up. Relative to status quo, Xpert has an estimated cost-effectiveness of US$959 (633-1,485) per disability-adjusted life-year averted over 10 y. Across countries, cost-effectiveness ratios ranged from US$792 (482-1,785) in Swaziland to US$1,257 (767-2,276) in Botswana. Assessing outcomes over a 10-y period focuses on the near-term consequences of Xpert adoption, but the cost-effectiveness results are conservative, with cost-effectiveness ratios assessed over a 20-y time horizon approximately 20% lower than the 10-y values.\\n\\nCONCLUSIONS: Introduction of Xpert could substantially change TB morbidity and mortality through improved case-finding and treatment, with more limited impact on long-term transmission dynamics. Despite extant uncertainty about TB natural history and intervention impact in southern A…","author":[{"dropping-particle":"","family":"Menzies","given":"Nicolas A.","non-dropping-particle":"","parse-names":false,"suffix":""},{"dropping-particle":"","family":"Cohen","given":"Ted","non-dropping-particle":"","parse-names":false,"suffix":""},{"dropping-particle":"","family":"Lin","given":"Hsien Ho","non-dropping-particle":"","parse-names":false,"suffix":""},{"dropping-particle":"","family":"Murray","given":"Megan","non-dropping-particle":"","parse-names":false,"suffix":""},{"dropping-particle":"","family":"Salomon","given":"Joshua A.","non-dropping-particle":"","parse-names":false,"suffix":""}],"container-title":"PLoS Medicine","id":"ITEM-1","issue":"11","issued":{"date-parts":[["2012"]]},"title":"Population Health Impact and Cost-Effectiveness of Tuberculosis Diagnosis with Xpert MTB/RIF: A Dynamic Simulation and Economic Evaluation","type":"article-journal","volume":"9"},"uris":["http://www.mendeley.com/documents/?uuid=ad6267ad-d3cc-4dfe-894c-84851b812426"]}],"mendeley":{"formattedCitation":"(36)","plainTextFormattedCitation":"(36)","previouslyFormattedCitation":"(36)"},"properties":{"noteIndex":0},"schema":"https://github.com/citation-style-language/schema/raw/master/csl-citation.json"}</w:instrText>
      </w:r>
      <w:r w:rsidR="00117E3B" w:rsidRPr="00435469">
        <w:rPr>
          <w:rFonts w:eastAsia="Calibri" w:cs="Times New Roman"/>
          <w:sz w:val="20"/>
          <w:szCs w:val="20"/>
        </w:rPr>
        <w:fldChar w:fldCharType="separate"/>
      </w:r>
      <w:r w:rsidR="0063047A" w:rsidRPr="00435469">
        <w:rPr>
          <w:rFonts w:eastAsia="Calibri" w:cs="Times New Roman"/>
          <w:noProof/>
          <w:sz w:val="20"/>
          <w:szCs w:val="20"/>
        </w:rPr>
        <w:t>(36)</w:t>
      </w:r>
      <w:r w:rsidR="00117E3B" w:rsidRPr="00435469">
        <w:rPr>
          <w:rFonts w:eastAsia="Calibri" w:cs="Times New Roman"/>
          <w:sz w:val="20"/>
          <w:szCs w:val="20"/>
        </w:rPr>
        <w:fldChar w:fldCharType="end"/>
      </w:r>
      <w:r w:rsidR="00117E3B" w:rsidRPr="00435469">
        <w:rPr>
          <w:rFonts w:eastAsia="Calibri" w:cs="Times New Roman"/>
          <w:sz w:val="20"/>
          <w:szCs w:val="20"/>
        </w:rPr>
        <w:t>.</w:t>
      </w:r>
    </w:p>
    <w:p w14:paraId="5EC9DF73" w14:textId="77777777" w:rsidR="005A6946" w:rsidRPr="00435469" w:rsidRDefault="005A6946" w:rsidP="00955FFB">
      <w:pPr>
        <w:spacing w:line="240" w:lineRule="auto"/>
        <w:rPr>
          <w:rFonts w:eastAsia="Calibri" w:cs="Times New Roman"/>
          <w:sz w:val="20"/>
          <w:szCs w:val="20"/>
        </w:rPr>
      </w:pPr>
      <m:oMath>
        <m:r>
          <w:rPr>
            <w:rFonts w:ascii="Cambria Math" w:eastAsia="Calibri" w:hAnsi="Cambria Math" w:cs="Times New Roman"/>
            <w:sz w:val="20"/>
            <w:szCs w:val="20"/>
          </w:rPr>
          <m:t>n:</m:t>
        </m:r>
      </m:oMath>
      <w:r w:rsidRPr="00435469">
        <w:rPr>
          <w:rFonts w:eastAsia="Calibri" w:cs="Times New Roman"/>
          <w:sz w:val="20"/>
          <w:szCs w:val="20"/>
        </w:rPr>
        <w:t xml:space="preserve"> natural recovery rates in smear-positive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smp</m:t>
            </m:r>
          </m:sub>
        </m:sSub>
        <m:r>
          <w:rPr>
            <w:rFonts w:ascii="Cambria Math" w:eastAsia="Yu Mincho" w:hAnsi="Cambria Math" w:cs="Times New Roman"/>
            <w:sz w:val="20"/>
            <w:szCs w:val="20"/>
          </w:rPr>
          <m:t xml:space="preserve">) </m:t>
        </m:r>
      </m:oMath>
      <w:r w:rsidRPr="00435469">
        <w:rPr>
          <w:rFonts w:eastAsia="Calibri" w:cs="Times New Roman"/>
          <w:sz w:val="20"/>
          <w:szCs w:val="20"/>
        </w:rPr>
        <w:t>or smear-negative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n</m:t>
            </m:r>
          </m:e>
          <m:sub>
            <m:r>
              <w:rPr>
                <w:rFonts w:ascii="Cambria Math" w:eastAsia="Yu Mincho" w:hAnsi="Cambria Math" w:cs="Times New Roman"/>
                <w:sz w:val="20"/>
                <w:szCs w:val="20"/>
              </w:rPr>
              <m:t>smn</m:t>
            </m:r>
          </m:sub>
        </m:sSub>
      </m:oMath>
      <w:r w:rsidRPr="00435469">
        <w:rPr>
          <w:rFonts w:eastAsia="Calibri" w:cs="Times New Roman"/>
          <w:sz w:val="20"/>
          <w:szCs w:val="20"/>
        </w:rPr>
        <w:t>) individuals who are HIV-negative.</w:t>
      </w:r>
    </w:p>
    <w:p w14:paraId="70D72EFA" w14:textId="1CD3D4B0" w:rsidR="005A6946" w:rsidRPr="00435469" w:rsidRDefault="005A6946" w:rsidP="00955FFB">
      <w:pPr>
        <w:spacing w:line="240" w:lineRule="auto"/>
        <w:rPr>
          <w:rFonts w:eastAsia="Calibri" w:cs="Times New Roman"/>
          <w:sz w:val="20"/>
          <w:szCs w:val="20"/>
        </w:rPr>
      </w:pPr>
      <m:oMath>
        <m:r>
          <w:rPr>
            <w:rFonts w:ascii="Cambria Math" w:eastAsia="Calibri" w:hAnsi="Cambria Math" w:cs="Times New Roman"/>
            <w:sz w:val="20"/>
            <w:szCs w:val="20"/>
          </w:rPr>
          <m:t>s:</m:t>
        </m:r>
      </m:oMath>
      <w:r w:rsidRPr="00435469">
        <w:rPr>
          <w:rFonts w:eastAsia="Calibri" w:cs="Times New Roman"/>
          <w:sz w:val="20"/>
          <w:szCs w:val="20"/>
        </w:rPr>
        <w:t xml:space="preserve"> </w:t>
      </w:r>
      <w:r w:rsidR="00BF2553" w:rsidRPr="00435469">
        <w:rPr>
          <w:sz w:val="20"/>
          <w:szCs w:val="20"/>
        </w:rPr>
        <w:t>the current CD4 count in HIV-positive individuals</w:t>
      </w:r>
      <w:r w:rsidR="0005304D" w:rsidRPr="00435469">
        <w:rPr>
          <w:sz w:val="20"/>
          <w:szCs w:val="20"/>
        </w:rPr>
        <w:t>.</w:t>
      </w:r>
    </w:p>
    <w:p w14:paraId="414C787B" w14:textId="16126911" w:rsidR="005A6946" w:rsidRPr="00435469" w:rsidRDefault="00B40DC0" w:rsidP="00955FFB">
      <w:pPr>
        <w:pStyle w:val="Heading3"/>
        <w:rPr>
          <w:rFonts w:cs="Times New Roman"/>
          <w:color w:val="auto"/>
          <w:sz w:val="20"/>
          <w:szCs w:val="20"/>
        </w:rPr>
      </w:pPr>
      <w:bookmarkStart w:id="87" w:name="_Toc79099815"/>
      <w:bookmarkStart w:id="88" w:name="_Toc87863324"/>
      <w:bookmarkStart w:id="89" w:name="_Toc103252930"/>
      <w:r w:rsidRPr="00435469">
        <w:rPr>
          <w:color w:val="auto"/>
          <w:sz w:val="20"/>
          <w:szCs w:val="20"/>
        </w:rPr>
        <w:t>U</w:t>
      </w:r>
      <w:r w:rsidR="005A6946" w:rsidRPr="00435469">
        <w:rPr>
          <w:color w:val="auto"/>
          <w:sz w:val="20"/>
          <w:szCs w:val="20"/>
        </w:rPr>
        <w:t>ntreated active tuberculosis mortality</w:t>
      </w:r>
      <w:bookmarkEnd w:id="87"/>
      <w:bookmarkEnd w:id="88"/>
      <w:bookmarkEnd w:id="89"/>
      <w:r w:rsidR="005A6946" w:rsidRPr="00435469">
        <w:rPr>
          <w:color w:val="auto"/>
          <w:sz w:val="20"/>
          <w:szCs w:val="20"/>
        </w:rPr>
        <w:t xml:space="preserve"> </w:t>
      </w:r>
    </w:p>
    <w:p w14:paraId="08FE5373" w14:textId="63DFC25F" w:rsidR="005D74C8" w:rsidRPr="00435469" w:rsidRDefault="005A6946" w:rsidP="00955FFB">
      <w:pPr>
        <w:spacing w:line="240" w:lineRule="auto"/>
        <w:rPr>
          <w:rFonts w:eastAsia="Yu Mincho" w:cs="Times New Roman"/>
          <w:sz w:val="20"/>
          <w:szCs w:val="20"/>
        </w:rPr>
      </w:pPr>
      <w:r w:rsidRPr="00435469">
        <w:rPr>
          <w:rFonts w:eastAsia="Yu Mincho" w:cs="Times New Roman"/>
          <w:sz w:val="20"/>
          <w:szCs w:val="20"/>
        </w:rPr>
        <w:t xml:space="preserve">As described in the section on </w:t>
      </w:r>
      <w:r w:rsidRPr="00435469">
        <w:rPr>
          <w:rFonts w:eastAsia="Yu Mincho" w:cs="Times New Roman"/>
          <w:sz w:val="20"/>
          <w:szCs w:val="20"/>
        </w:rPr>
        <w:fldChar w:fldCharType="begin"/>
      </w:r>
      <w:r w:rsidRPr="00435469">
        <w:rPr>
          <w:rFonts w:eastAsia="Yu Mincho" w:cs="Times New Roman"/>
          <w:sz w:val="20"/>
          <w:szCs w:val="20"/>
        </w:rPr>
        <w:instrText xml:space="preserve"> REF _Ref79067765 \h  \* MERGEFORMAT </w:instrText>
      </w:r>
      <w:r w:rsidRPr="00435469">
        <w:rPr>
          <w:rFonts w:eastAsia="Yu Mincho" w:cs="Times New Roman"/>
          <w:sz w:val="20"/>
          <w:szCs w:val="20"/>
        </w:rPr>
      </w:r>
      <w:r w:rsidRPr="00435469">
        <w:rPr>
          <w:rFonts w:eastAsia="Yu Mincho" w:cs="Times New Roman"/>
          <w:sz w:val="20"/>
          <w:szCs w:val="20"/>
        </w:rPr>
        <w:fldChar w:fldCharType="separate"/>
      </w:r>
      <w:r w:rsidR="00186C2F" w:rsidRPr="00435469">
        <w:rPr>
          <w:rFonts w:cs="Times New Roman"/>
          <w:sz w:val="20"/>
          <w:szCs w:val="20"/>
        </w:rPr>
        <w:t>Natural recovery</w:t>
      </w:r>
      <w:r w:rsidRPr="00435469">
        <w:rPr>
          <w:rFonts w:eastAsia="Yu Mincho" w:cs="Times New Roman"/>
          <w:sz w:val="20"/>
          <w:szCs w:val="20"/>
        </w:rPr>
        <w:fldChar w:fldCharType="end"/>
      </w:r>
      <w:r w:rsidRPr="00435469">
        <w:rPr>
          <w:rFonts w:eastAsia="Yu Mincho" w:cs="Times New Roman"/>
          <w:sz w:val="20"/>
          <w:szCs w:val="20"/>
        </w:rPr>
        <w:t xml:space="preserve">, the untreated annual mortality rates in HIV-negative individuals with </w:t>
      </w:r>
      <w:r w:rsidR="00CD3973" w:rsidRPr="00435469">
        <w:rPr>
          <w:rFonts w:eastAsia="Yu Mincho" w:cs="Times New Roman"/>
          <w:sz w:val="20"/>
          <w:szCs w:val="20"/>
        </w:rPr>
        <w:t>TB</w:t>
      </w:r>
      <w:r w:rsidRPr="00435469">
        <w:rPr>
          <w:rFonts w:eastAsia="Yu Mincho" w:cs="Times New Roman"/>
          <w:sz w:val="20"/>
          <w:szCs w:val="20"/>
        </w:rPr>
        <w:t xml:space="preserve"> </w:t>
      </w:r>
      <w:r w:rsidR="003A0253" w:rsidRPr="00435469">
        <w:rPr>
          <w:rFonts w:eastAsia="Yu Mincho" w:cs="Times New Roman"/>
          <w:sz w:val="20"/>
          <w:szCs w:val="20"/>
        </w:rPr>
        <w:t xml:space="preserve">can be estimated as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smp</m:t>
            </m:r>
          </m:sub>
        </m:sSub>
        <m:r>
          <w:rPr>
            <w:rFonts w:ascii="Cambria Math" w:eastAsia="Yu Mincho" w:hAnsi="Cambria Math" w:cs="Times New Roman"/>
            <w:sz w:val="20"/>
            <w:szCs w:val="20"/>
          </w:rPr>
          <m:t>=0.212</m:t>
        </m:r>
      </m:oMath>
      <w:r w:rsidRPr="00435469">
        <w:rPr>
          <w:rFonts w:eastAsia="Yu Mincho" w:cs="Times New Roman"/>
          <w:sz w:val="20"/>
          <w:szCs w:val="20"/>
        </w:rPr>
        <w:t xml:space="preserve"> and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smn</m:t>
            </m:r>
          </m:sub>
        </m:sSub>
        <m:r>
          <w:rPr>
            <w:rFonts w:ascii="Cambria Math" w:eastAsia="Yu Mincho" w:hAnsi="Cambria Math" w:cs="Times New Roman"/>
            <w:sz w:val="20"/>
            <w:szCs w:val="20"/>
          </w:rPr>
          <m:t>=0.061</m:t>
        </m:r>
      </m:oMath>
      <w:r w:rsidRPr="00435469">
        <w:rPr>
          <w:rFonts w:eastAsia="Yu Mincho" w:cs="Times New Roman"/>
          <w:sz w:val="20"/>
          <w:szCs w:val="20"/>
        </w:rPr>
        <w:t xml:space="preserve"> for </w:t>
      </w:r>
      <w:r w:rsidR="00CD3973" w:rsidRPr="00435469">
        <w:rPr>
          <w:rFonts w:eastAsia="Yu Mincho" w:cs="Times New Roman"/>
          <w:sz w:val="20"/>
          <w:szCs w:val="20"/>
        </w:rPr>
        <w:t xml:space="preserve">smear-positive and </w:t>
      </w:r>
      <w:r w:rsidRPr="00435469">
        <w:rPr>
          <w:rFonts w:eastAsia="Yu Mincho" w:cs="Times New Roman"/>
          <w:sz w:val="20"/>
          <w:szCs w:val="20"/>
        </w:rPr>
        <w:t>smear-negative</w:t>
      </w:r>
      <w:r w:rsidR="00CD3973" w:rsidRPr="00435469">
        <w:rPr>
          <w:rFonts w:eastAsia="Yu Mincho" w:cs="Times New Roman"/>
          <w:sz w:val="20"/>
          <w:szCs w:val="20"/>
        </w:rPr>
        <w:t xml:space="preserve"> TB respectively</w:t>
      </w:r>
      <w:r w:rsidRPr="00435469">
        <w:rPr>
          <w:rFonts w:eastAsia="Yu Mincho" w:cs="Times New Roman"/>
          <w:sz w:val="20"/>
          <w:szCs w:val="20"/>
        </w:rPr>
        <w:t xml:space="preserve"> </w:t>
      </w:r>
      <w:r w:rsidRPr="00435469">
        <w:rPr>
          <w:rFonts w:eastAsia="Yu Mincho" w:cs="Times New Roman"/>
          <w:sz w:val="20"/>
          <w:szCs w:val="20"/>
        </w:rPr>
        <w:fldChar w:fldCharType="begin" w:fldLock="1"/>
      </w:r>
      <w:r w:rsidR="002F049E" w:rsidRPr="00435469">
        <w:rPr>
          <w:rFonts w:eastAsia="Yu Mincho" w:cs="Times New Roman"/>
          <w:sz w:val="20"/>
          <w:szCs w:val="20"/>
        </w:rPr>
        <w:instrText>ADDIN CSL_CITATION {"citationItems":[{"id":"ITEM-1","itemData":{"DOI":"10.1371/journal.pone.0017601","ISBN":"10.1371/journal.pone.0017601","ISSN":"19326203","PMID":"21483732","abstract":"BACKGROUND: The prognosis, specifically the case fatality and duration, of untreated tuberculosis is important as many patients are not correctly diagnosed and therefore receive inadequate or no treatment. Furthermore, duration and case fatality of tuberculosis are key parameters in interpreting epidemiological data.\\n\\nMETHODOLOGY AND PRINCIPAL FINDINGS: To estimate the duration and case fatality of untreated pulmonary tuberculosis in HIV negative patients we reviewed studies from the pre-chemotherapy era. Untreated smear-positive tuberculosis among HIV negative individuals has a 10-year case fatality variously reported between 53% and 86%, with a weighted mean of 70%. Ten-year case fatality of culture-positive smear-negative tuberculosis was nowhere reported directly but can be indirectly estimated to be approximately 20%. The duration of tuberculosis from onset to cure or death is approximately 3 years and appears to be similar for smear-positive and smear-negative tuberculosis.\\n\\nCONCLUSIONS: Current models of untreated tuberculosis that assume a total duration of 2 years until self-cure or death underestimate the duration of disease by about one year, but their case fatality estimates of 70% for smear-positive and 20% for culture-positive smear-negative tuberculosis appear to be satisfactory.","author":[{"dropping-particle":"","family":"Tiemersma","given":"Edine W.","non-dropping-particle":"","parse-names":false,"suffix":""},{"dropping-particle":"","family":"Werf","given":"Marieke J.","non-dropping-particle":"van der","parse-names":false,"suffix":""},{"dropping-particle":"","family":"Borgdorff","given":"Martien W.","non-dropping-particle":"","parse-names":false,"suffix":""},{"dropping-particle":"","family":"Williams","given":"Brian G.","non-dropping-particle":"","parse-names":false,"suffix":""},{"dropping-particle":"","family":"Nagelkerke","given":"Nico J D","non-dropping-particle":"","parse-names":false,"suffix":""}],"container-title":"PLoS ONE","id":"ITEM-1","issue":"4","issued":{"date-parts":[["2011"]]},"title":"Natural history of tuberculosis: Duration and fatality of untreated pulmonary tuberculosis in HIV negative patients: A systematic review","type":"article-journal","volume":"6"},"uris":["http://www.mendeley.com/documents/?uuid=3e8e07dc-657a-477e-a9e6-bb1e8a12569d"]}],"mendeley":{"formattedCitation":"(41)","plainTextFormattedCitation":"(41)","previouslyFormattedCitation":"(41)"},"properties":{"noteIndex":0},"schema":"https://github.com/citation-style-language/schema/raw/master/csl-citation.json"}</w:instrText>
      </w:r>
      <w:r w:rsidRPr="00435469">
        <w:rPr>
          <w:rFonts w:eastAsia="Yu Mincho" w:cs="Times New Roman"/>
          <w:sz w:val="20"/>
          <w:szCs w:val="20"/>
        </w:rPr>
        <w:fldChar w:fldCharType="separate"/>
      </w:r>
      <w:r w:rsidR="0063047A" w:rsidRPr="00435469">
        <w:rPr>
          <w:rFonts w:eastAsia="Yu Mincho" w:cs="Times New Roman"/>
          <w:noProof/>
          <w:sz w:val="20"/>
          <w:szCs w:val="20"/>
        </w:rPr>
        <w:t>(41)</w:t>
      </w:r>
      <w:r w:rsidRPr="00435469">
        <w:rPr>
          <w:rFonts w:eastAsia="Yu Mincho" w:cs="Times New Roman"/>
          <w:sz w:val="20"/>
          <w:szCs w:val="20"/>
        </w:rPr>
        <w:fldChar w:fldCharType="end"/>
      </w:r>
      <w:r w:rsidRPr="00435469">
        <w:rPr>
          <w:rFonts w:eastAsia="Yu Mincho" w:cs="Times New Roman"/>
          <w:sz w:val="20"/>
          <w:szCs w:val="20"/>
        </w:rPr>
        <w:t xml:space="preserve">. </w:t>
      </w:r>
      <w:r w:rsidR="003A0253" w:rsidRPr="00435469">
        <w:rPr>
          <w:rFonts w:eastAsia="Yu Mincho" w:cs="Times New Roman"/>
          <w:sz w:val="20"/>
          <w:szCs w:val="20"/>
        </w:rPr>
        <w:t>We previously specified a</w:t>
      </w:r>
      <w:r w:rsidRPr="00435469">
        <w:rPr>
          <w:rFonts w:eastAsia="Yu Mincho" w:cs="Times New Roman"/>
          <w:sz w:val="20"/>
          <w:szCs w:val="20"/>
        </w:rPr>
        <w:t xml:space="preserve"> prior distribution for smear-positive mortality </w:t>
      </w:r>
      <w:r w:rsidR="003A0253" w:rsidRPr="00435469">
        <w:rPr>
          <w:rFonts w:eastAsia="Yu Mincho" w:cs="Times New Roman"/>
          <w:sz w:val="20"/>
          <w:szCs w:val="20"/>
        </w:rPr>
        <w:t xml:space="preserve">that was </w:t>
      </w:r>
      <w:r w:rsidRPr="00435469">
        <w:rPr>
          <w:rFonts w:eastAsia="Yu Mincho" w:cs="Times New Roman"/>
          <w:sz w:val="20"/>
          <w:szCs w:val="20"/>
        </w:rPr>
        <w:lastRenderedPageBreak/>
        <w:t>Gamma (25; 117.9)</w:t>
      </w:r>
      <w:r w:rsidRPr="00435469">
        <w:rPr>
          <w:rFonts w:cs="Times New Roman"/>
          <w:sz w:val="20"/>
          <w:szCs w:val="20"/>
        </w:rPr>
        <w:t xml:space="preserve"> </w:t>
      </w:r>
      <w:r w:rsidR="00CD3973" w:rsidRPr="00435469">
        <w:rPr>
          <w:rFonts w:cs="Times New Roman"/>
          <w:sz w:val="20"/>
          <w:szCs w:val="20"/>
        </w:rPr>
        <w:t xml:space="preserve">with </w:t>
      </w:r>
      <w:r w:rsidRPr="00435469">
        <w:rPr>
          <w:rFonts w:cs="Times New Roman"/>
          <w:sz w:val="20"/>
          <w:szCs w:val="20"/>
        </w:rPr>
        <w:t xml:space="preserve">mean </w:t>
      </w:r>
      <m:oMath>
        <m:r>
          <w:rPr>
            <w:rFonts w:ascii="Cambria Math" w:eastAsia="Yu Mincho" w:hAnsi="Cambria Math" w:cs="Times New Roman"/>
            <w:sz w:val="20"/>
            <w:szCs w:val="20"/>
          </w:rPr>
          <m:t>0.212</m:t>
        </m:r>
      </m:oMath>
      <w:r w:rsidRPr="00435469">
        <w:rPr>
          <w:rFonts w:eastAsiaTheme="minorEastAsia" w:cs="Times New Roman"/>
          <w:sz w:val="20"/>
          <w:szCs w:val="20"/>
        </w:rPr>
        <w:t xml:space="preserve"> and standard deviation of </w:t>
      </w:r>
      <w:r w:rsidRPr="00435469">
        <w:rPr>
          <w:rFonts w:eastAsiaTheme="minorEastAsia" w:cs="Times New Roman"/>
          <w:sz w:val="20"/>
          <w:szCs w:val="20"/>
          <w:lang w:val="en-ZA"/>
        </w:rPr>
        <w:t>0.042</w:t>
      </w:r>
      <w:r w:rsidR="00845283" w:rsidRPr="00435469">
        <w:rPr>
          <w:rFonts w:eastAsiaTheme="minorEastAsia" w:cs="Times New Roman"/>
          <w:sz w:val="20"/>
          <w:szCs w:val="20"/>
          <w:lang w:val="en-ZA"/>
        </w:rPr>
        <w:t xml:space="preserve"> </w:t>
      </w:r>
      <w:r w:rsidR="00845283" w:rsidRPr="00435469">
        <w:rPr>
          <w:rFonts w:eastAsia="Yu Mincho" w:cs="Times New Roman"/>
          <w:sz w:val="20"/>
          <w:szCs w:val="20"/>
        </w:rPr>
        <w:fldChar w:fldCharType="begin" w:fldLock="1"/>
      </w:r>
      <w:r w:rsidR="0057162F"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845283" w:rsidRPr="00435469">
        <w:rPr>
          <w:rFonts w:eastAsia="Yu Mincho" w:cs="Times New Roman"/>
          <w:sz w:val="20"/>
          <w:szCs w:val="20"/>
        </w:rPr>
        <w:fldChar w:fldCharType="separate"/>
      </w:r>
      <w:r w:rsidR="00845283" w:rsidRPr="00435469">
        <w:rPr>
          <w:rFonts w:eastAsia="Yu Mincho" w:cs="Times New Roman"/>
          <w:noProof/>
          <w:sz w:val="20"/>
          <w:szCs w:val="20"/>
        </w:rPr>
        <w:t>(6)</w:t>
      </w:r>
      <w:r w:rsidR="00845283" w:rsidRPr="00435469">
        <w:rPr>
          <w:rFonts w:eastAsia="Yu Mincho" w:cs="Times New Roman"/>
          <w:sz w:val="20"/>
          <w:szCs w:val="20"/>
        </w:rPr>
        <w:fldChar w:fldCharType="end"/>
      </w:r>
      <w:r w:rsidRPr="00435469">
        <w:rPr>
          <w:rFonts w:eastAsiaTheme="minorEastAsia" w:cs="Times New Roman"/>
          <w:sz w:val="20"/>
          <w:szCs w:val="20"/>
        </w:rPr>
        <w:t xml:space="preserve">. For </w:t>
      </w:r>
      <w:r w:rsidRPr="00435469">
        <w:rPr>
          <w:rFonts w:eastAsia="Yu Mincho" w:cs="Times New Roman"/>
          <w:sz w:val="20"/>
          <w:szCs w:val="20"/>
        </w:rPr>
        <w:t xml:space="preserve">smear-negative mortality, </w:t>
      </w:r>
      <w:r w:rsidR="003A0253" w:rsidRPr="00435469">
        <w:rPr>
          <w:rFonts w:eastAsia="Yu Mincho" w:cs="Times New Roman"/>
          <w:sz w:val="20"/>
          <w:szCs w:val="20"/>
        </w:rPr>
        <w:t xml:space="preserve">we similarly specified a </w:t>
      </w:r>
      <w:r w:rsidRPr="00435469">
        <w:rPr>
          <w:rFonts w:eastAsia="Yu Mincho" w:cs="Times New Roman"/>
          <w:sz w:val="20"/>
          <w:szCs w:val="20"/>
        </w:rPr>
        <w:t xml:space="preserve">prior distribution </w:t>
      </w:r>
      <w:r w:rsidR="003A0253" w:rsidRPr="00435469">
        <w:rPr>
          <w:rFonts w:eastAsia="Yu Mincho" w:cs="Times New Roman"/>
          <w:sz w:val="20"/>
          <w:szCs w:val="20"/>
        </w:rPr>
        <w:t xml:space="preserve">that was </w:t>
      </w:r>
      <w:r w:rsidRPr="00435469">
        <w:rPr>
          <w:rFonts w:eastAsia="Yu Mincho" w:cs="Times New Roman"/>
          <w:sz w:val="20"/>
          <w:szCs w:val="20"/>
        </w:rPr>
        <w:t xml:space="preserve">Gamma (25; 409.8), with a mean of </w:t>
      </w:r>
      <m:oMath>
        <m:r>
          <w:rPr>
            <w:rFonts w:ascii="Cambria Math" w:eastAsia="Yu Mincho" w:hAnsi="Cambria Math" w:cs="Times New Roman"/>
            <w:sz w:val="20"/>
            <w:szCs w:val="20"/>
          </w:rPr>
          <m:t>0.061</m:t>
        </m:r>
      </m:oMath>
      <w:r w:rsidRPr="00435469">
        <w:rPr>
          <w:rFonts w:eastAsia="Yu Mincho" w:cs="Times New Roman"/>
          <w:sz w:val="20"/>
          <w:szCs w:val="20"/>
        </w:rPr>
        <w:t xml:space="preserve"> and standard deviation of </w:t>
      </w:r>
      <m:oMath>
        <m:r>
          <w:rPr>
            <w:rFonts w:ascii="Cambria Math" w:eastAsia="Yu Mincho" w:hAnsi="Cambria Math" w:cs="Times New Roman"/>
            <w:sz w:val="20"/>
            <w:szCs w:val="20"/>
          </w:rPr>
          <m:t>0.012</m:t>
        </m:r>
      </m:oMath>
      <w:r w:rsidRPr="00435469">
        <w:rPr>
          <w:rFonts w:eastAsia="Yu Mincho" w:cs="Times New Roman"/>
          <w:sz w:val="20"/>
          <w:szCs w:val="20"/>
        </w:rPr>
        <w:t>.</w:t>
      </w:r>
      <w:r w:rsidR="00CA76A9" w:rsidRPr="00435469">
        <w:rPr>
          <w:rFonts w:eastAsia="Yu Mincho" w:cs="Times New Roman"/>
          <w:sz w:val="20"/>
          <w:szCs w:val="20"/>
        </w:rPr>
        <w:t xml:space="preserve"> </w:t>
      </w:r>
    </w:p>
    <w:p w14:paraId="5B19F27F" w14:textId="7074C668" w:rsidR="004A12EF" w:rsidRPr="00435469" w:rsidRDefault="00C8742B" w:rsidP="00955FFB">
      <w:pPr>
        <w:spacing w:line="240" w:lineRule="auto"/>
        <w:rPr>
          <w:rFonts w:eastAsia="Yu Mincho" w:cs="Times New Roman"/>
          <w:sz w:val="20"/>
          <w:szCs w:val="20"/>
        </w:rPr>
      </w:pPr>
      <w:r w:rsidRPr="00435469">
        <w:rPr>
          <w:rFonts w:eastAsia="Yu Mincho" w:cs="Times New Roman"/>
          <w:sz w:val="20"/>
          <w:szCs w:val="20"/>
        </w:rPr>
        <w:t>Based on</w:t>
      </w:r>
      <w:r w:rsidR="007A50DE" w:rsidRPr="00435469">
        <w:rPr>
          <w:rFonts w:eastAsia="Yu Mincho" w:cs="Times New Roman"/>
          <w:sz w:val="20"/>
          <w:szCs w:val="20"/>
        </w:rPr>
        <w:t xml:space="preserve"> a previous calibration analysis, the resulting posterior means and 95</w:t>
      </w:r>
      <w:r w:rsidR="00323FA3" w:rsidRPr="00435469">
        <w:rPr>
          <w:rFonts w:eastAsia="Yu Mincho" w:cs="Times New Roman"/>
          <w:sz w:val="20"/>
          <w:szCs w:val="20"/>
        </w:rPr>
        <w:t>%</w:t>
      </w:r>
      <w:r w:rsidR="007A50DE" w:rsidRPr="00435469">
        <w:rPr>
          <w:rFonts w:eastAsia="Yu Mincho" w:cs="Times New Roman"/>
          <w:sz w:val="20"/>
          <w:szCs w:val="20"/>
        </w:rPr>
        <w:t xml:space="preserve"> confidence intervals for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smp</m:t>
            </m:r>
          </m:sub>
        </m:sSub>
      </m:oMath>
      <w:r w:rsidR="001C3FE8" w:rsidRPr="00435469">
        <w:rPr>
          <w:rFonts w:eastAsia="Yu Mincho" w:cs="Times New Roman"/>
          <w:sz w:val="20"/>
          <w:szCs w:val="20"/>
        </w:rPr>
        <w:t xml:space="preserve"> and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smn</m:t>
            </m:r>
          </m:sub>
        </m:sSub>
      </m:oMath>
      <w:r w:rsidR="001C3FE8" w:rsidRPr="00435469">
        <w:rPr>
          <w:rFonts w:eastAsia="Yu Mincho" w:cs="Times New Roman"/>
          <w:sz w:val="20"/>
          <w:szCs w:val="20"/>
        </w:rPr>
        <w:t xml:space="preserve"> </w:t>
      </w:r>
      <w:r w:rsidR="007A50DE" w:rsidRPr="00435469">
        <w:rPr>
          <w:rFonts w:eastAsia="Yu Mincho" w:cs="Times New Roman"/>
          <w:sz w:val="20"/>
          <w:szCs w:val="20"/>
        </w:rPr>
        <w:t xml:space="preserve">were </w:t>
      </w:r>
      <w:r w:rsidR="00447FD4" w:rsidRPr="00435469">
        <w:rPr>
          <w:rFonts w:eastAsia="Yu Mincho" w:cs="Times New Roman"/>
          <w:sz w:val="20"/>
          <w:szCs w:val="20"/>
        </w:rPr>
        <w:t xml:space="preserve">0.196 (95% CI 0.174 – 0.221) and 0.049 (95% CI 0.046 – 0.052), </w:t>
      </w:r>
      <w:r w:rsidR="007A50DE" w:rsidRPr="00435469">
        <w:rPr>
          <w:rFonts w:eastAsia="Yu Mincho" w:cs="Times New Roman"/>
          <w:sz w:val="20"/>
          <w:szCs w:val="20"/>
        </w:rPr>
        <w:t xml:space="preserve">respectively. In this </w:t>
      </w:r>
      <w:r w:rsidR="00606C7C" w:rsidRPr="00435469">
        <w:rPr>
          <w:rFonts w:eastAsia="Yu Mincho" w:cs="Times New Roman"/>
          <w:sz w:val="20"/>
          <w:szCs w:val="20"/>
        </w:rPr>
        <w:t xml:space="preserve">current </w:t>
      </w:r>
      <w:r w:rsidR="007A50DE" w:rsidRPr="00435469">
        <w:rPr>
          <w:rFonts w:eastAsia="Yu Mincho" w:cs="Times New Roman"/>
          <w:sz w:val="20"/>
          <w:szCs w:val="20"/>
        </w:rPr>
        <w:t>analysis, we fixed</w:t>
      </w:r>
      <w:r w:rsidR="000E3197" w:rsidRPr="00435469">
        <w:rPr>
          <w:rFonts w:eastAsia="Yu Mincho" w:cs="Times New Roman"/>
          <w:sz w:val="20"/>
          <w:szCs w:val="20"/>
        </w:rPr>
        <w:t xml:space="preserve">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smp</m:t>
            </m:r>
          </m:sub>
        </m:sSub>
      </m:oMath>
      <w:r w:rsidR="00313445" w:rsidRPr="00435469">
        <w:rPr>
          <w:rFonts w:eastAsia="Yu Mincho" w:cs="Times New Roman"/>
          <w:sz w:val="20"/>
          <w:szCs w:val="20"/>
        </w:rPr>
        <w:t xml:space="preserve"> and </w:t>
      </w:r>
      <m:oMath>
        <m:sSub>
          <m:sSubPr>
            <m:ctrlPr>
              <w:rPr>
                <w:rFonts w:ascii="Cambria Math" w:eastAsia="Yu Mincho" w:hAnsi="Cambria Math" w:cs="Times New Roman"/>
                <w:i/>
                <w:sz w:val="20"/>
                <w:szCs w:val="20"/>
              </w:rPr>
            </m:ctrlPr>
          </m:sSubPr>
          <m:e>
            <m:r>
              <w:rPr>
                <w:rFonts w:ascii="Cambria Math" w:eastAsia="Yu Mincho" w:hAnsi="Cambria Math" w:cs="Times New Roman"/>
                <w:sz w:val="20"/>
                <w:szCs w:val="20"/>
              </w:rPr>
              <m:t>μ</m:t>
            </m:r>
          </m:e>
          <m:sub>
            <m:r>
              <w:rPr>
                <w:rFonts w:ascii="Cambria Math" w:eastAsia="Yu Mincho" w:hAnsi="Cambria Math" w:cs="Times New Roman"/>
                <w:sz w:val="20"/>
                <w:szCs w:val="20"/>
              </w:rPr>
              <m:t>smn</m:t>
            </m:r>
          </m:sub>
        </m:sSub>
      </m:oMath>
      <w:r w:rsidR="00313445" w:rsidRPr="00435469">
        <w:rPr>
          <w:rFonts w:eastAsia="Yu Mincho" w:cs="Times New Roman"/>
          <w:sz w:val="20"/>
          <w:szCs w:val="20"/>
        </w:rPr>
        <w:t xml:space="preserve"> </w:t>
      </w:r>
      <w:r w:rsidR="007A50DE" w:rsidRPr="00435469">
        <w:rPr>
          <w:rFonts w:eastAsia="Yu Mincho" w:cs="Times New Roman"/>
          <w:sz w:val="20"/>
          <w:szCs w:val="20"/>
        </w:rPr>
        <w:t xml:space="preserve">at these posterior means of </w:t>
      </w:r>
      <w:r w:rsidR="000E3197" w:rsidRPr="00435469">
        <w:rPr>
          <w:rFonts w:eastAsia="Yu Mincho" w:cs="Times New Roman"/>
          <w:sz w:val="20"/>
          <w:szCs w:val="20"/>
        </w:rPr>
        <w:t xml:space="preserve">0.196 </w:t>
      </w:r>
      <w:r w:rsidR="007A50DE" w:rsidRPr="00435469">
        <w:rPr>
          <w:rFonts w:eastAsia="Yu Mincho" w:cs="Times New Roman"/>
          <w:sz w:val="20"/>
          <w:szCs w:val="20"/>
        </w:rPr>
        <w:t xml:space="preserve">and </w:t>
      </w:r>
      <w:r w:rsidR="007F48F0" w:rsidRPr="00435469">
        <w:rPr>
          <w:rFonts w:eastAsia="Yu Mincho" w:cs="Times New Roman"/>
          <w:sz w:val="20"/>
          <w:szCs w:val="20"/>
        </w:rPr>
        <w:t>0.049</w:t>
      </w:r>
      <w:r w:rsidR="00DF2031" w:rsidRPr="00435469">
        <w:rPr>
          <w:rFonts w:eastAsia="Yu Mincho" w:cs="Times New Roman"/>
          <w:sz w:val="20"/>
          <w:szCs w:val="20"/>
        </w:rPr>
        <w:t>,</w:t>
      </w:r>
      <w:r w:rsidR="007F48F0" w:rsidRPr="00435469">
        <w:rPr>
          <w:rFonts w:eastAsia="Yu Mincho" w:cs="Times New Roman"/>
          <w:sz w:val="20"/>
          <w:szCs w:val="20"/>
        </w:rPr>
        <w:t xml:space="preserve"> </w:t>
      </w:r>
      <w:r w:rsidR="007A50DE" w:rsidRPr="00435469">
        <w:rPr>
          <w:rFonts w:eastAsia="Yu Mincho" w:cs="Times New Roman"/>
          <w:sz w:val="20"/>
          <w:szCs w:val="20"/>
        </w:rPr>
        <w:t>respectively</w:t>
      </w:r>
      <w:r w:rsidR="002B18A7" w:rsidRPr="00435469">
        <w:rPr>
          <w:rFonts w:eastAsia="Yu Mincho" w:cs="Times New Roman"/>
          <w:sz w:val="20"/>
          <w:szCs w:val="20"/>
        </w:rPr>
        <w:t xml:space="preserve"> </w:t>
      </w:r>
      <w:r w:rsidR="002B18A7" w:rsidRPr="00435469">
        <w:rPr>
          <w:rFonts w:eastAsia="Yu Mincho" w:cs="Times New Roman"/>
          <w:sz w:val="20"/>
          <w:szCs w:val="20"/>
        </w:rPr>
        <w:fldChar w:fldCharType="begin" w:fldLock="1"/>
      </w:r>
      <w:r w:rsidR="0057162F"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2B18A7" w:rsidRPr="00435469">
        <w:rPr>
          <w:rFonts w:eastAsia="Yu Mincho" w:cs="Times New Roman"/>
          <w:sz w:val="20"/>
          <w:szCs w:val="20"/>
        </w:rPr>
        <w:fldChar w:fldCharType="separate"/>
      </w:r>
      <w:r w:rsidR="002B18A7" w:rsidRPr="00435469">
        <w:rPr>
          <w:rFonts w:eastAsia="Yu Mincho" w:cs="Times New Roman"/>
          <w:noProof/>
          <w:sz w:val="20"/>
          <w:szCs w:val="20"/>
        </w:rPr>
        <w:t>(6)</w:t>
      </w:r>
      <w:r w:rsidR="002B18A7" w:rsidRPr="00435469">
        <w:rPr>
          <w:rFonts w:eastAsia="Yu Mincho" w:cs="Times New Roman"/>
          <w:sz w:val="20"/>
          <w:szCs w:val="20"/>
        </w:rPr>
        <w:fldChar w:fldCharType="end"/>
      </w:r>
      <w:r w:rsidR="007A50DE" w:rsidRPr="00435469">
        <w:rPr>
          <w:rFonts w:eastAsia="Yu Mincho" w:cs="Times New Roman"/>
          <w:sz w:val="20"/>
          <w:szCs w:val="20"/>
        </w:rPr>
        <w:t>.</w:t>
      </w:r>
      <w:r w:rsidR="00F6326A" w:rsidRPr="00435469">
        <w:rPr>
          <w:rFonts w:eastAsia="Yu Mincho" w:cs="Times New Roman"/>
          <w:sz w:val="20"/>
          <w:szCs w:val="20"/>
        </w:rPr>
        <w:t xml:space="preserve"> </w:t>
      </w:r>
      <w:r w:rsidR="00931965" w:rsidRPr="00435469">
        <w:rPr>
          <w:rFonts w:eastAsia="Yu Mincho" w:cs="Times New Roman"/>
          <w:sz w:val="20"/>
          <w:szCs w:val="20"/>
        </w:rPr>
        <w:t>These rates relate to HIV-negative individuals aged 55</w:t>
      </w:r>
      <w:r w:rsidR="004D4A4C" w:rsidRPr="00435469">
        <w:rPr>
          <w:rFonts w:eastAsia="Yu Mincho" w:cs="Times New Roman"/>
          <w:sz w:val="20"/>
          <w:szCs w:val="20"/>
        </w:rPr>
        <w:t xml:space="preserve"> years</w:t>
      </w:r>
      <w:r w:rsidR="00931965" w:rsidRPr="00435469">
        <w:rPr>
          <w:rFonts w:eastAsia="Yu Mincho" w:cs="Times New Roman"/>
          <w:sz w:val="20"/>
          <w:szCs w:val="20"/>
        </w:rPr>
        <w:t xml:space="preserve">. </w:t>
      </w:r>
      <w:r w:rsidR="00CA76A9" w:rsidRPr="00435469">
        <w:rPr>
          <w:sz w:val="20"/>
          <w:szCs w:val="20"/>
        </w:rPr>
        <w:t xml:space="preserve">The effects of HIV, ART, and age on </w:t>
      </w:r>
      <w:r w:rsidR="00F97F2A" w:rsidRPr="00435469">
        <w:rPr>
          <w:sz w:val="20"/>
          <w:szCs w:val="20"/>
        </w:rPr>
        <w:t xml:space="preserve">TB mortality </w:t>
      </w:r>
      <w:r w:rsidR="00CA76A9" w:rsidRPr="00435469">
        <w:rPr>
          <w:sz w:val="20"/>
          <w:szCs w:val="20"/>
        </w:rPr>
        <w:t xml:space="preserve">are explained in section </w:t>
      </w:r>
      <w:r w:rsidR="00BB5CF0" w:rsidRPr="00435469">
        <w:rPr>
          <w:sz w:val="20"/>
          <w:szCs w:val="20"/>
        </w:rPr>
        <w:fldChar w:fldCharType="begin"/>
      </w:r>
      <w:r w:rsidR="00BB5CF0" w:rsidRPr="00435469">
        <w:rPr>
          <w:sz w:val="20"/>
          <w:szCs w:val="20"/>
        </w:rPr>
        <w:instrText xml:space="preserve"> REF _Ref99881643 \r \h </w:instrText>
      </w:r>
      <w:r w:rsidR="00955FFB" w:rsidRPr="00435469">
        <w:rPr>
          <w:sz w:val="20"/>
          <w:szCs w:val="20"/>
        </w:rPr>
        <w:instrText xml:space="preserve"> \* MERGEFORMAT </w:instrText>
      </w:r>
      <w:r w:rsidR="00BB5CF0" w:rsidRPr="00435469">
        <w:rPr>
          <w:sz w:val="20"/>
          <w:szCs w:val="20"/>
        </w:rPr>
      </w:r>
      <w:r w:rsidR="00BB5CF0" w:rsidRPr="00435469">
        <w:rPr>
          <w:sz w:val="20"/>
          <w:szCs w:val="20"/>
        </w:rPr>
        <w:fldChar w:fldCharType="separate"/>
      </w:r>
      <w:r w:rsidR="00186C2F" w:rsidRPr="00435469">
        <w:rPr>
          <w:sz w:val="20"/>
          <w:szCs w:val="20"/>
        </w:rPr>
        <w:t>7.3</w:t>
      </w:r>
      <w:r w:rsidR="00BB5CF0" w:rsidRPr="00435469">
        <w:rPr>
          <w:sz w:val="20"/>
          <w:szCs w:val="20"/>
        </w:rPr>
        <w:fldChar w:fldCharType="end"/>
      </w:r>
      <w:r w:rsidR="00CA76A9" w:rsidRPr="00435469">
        <w:rPr>
          <w:sz w:val="20"/>
          <w:szCs w:val="20"/>
        </w:rPr>
        <w:t xml:space="preserve"> (due to the lack of data on the effect of </w:t>
      </w:r>
      <w:r w:rsidR="00E6798E" w:rsidRPr="00435469">
        <w:rPr>
          <w:sz w:val="20"/>
          <w:szCs w:val="20"/>
        </w:rPr>
        <w:t xml:space="preserve">these </w:t>
      </w:r>
      <w:r w:rsidR="00CA76A9" w:rsidRPr="00435469">
        <w:rPr>
          <w:sz w:val="20"/>
          <w:szCs w:val="20"/>
        </w:rPr>
        <w:t>covariates in untreated TB</w:t>
      </w:r>
      <w:r w:rsidR="00E6798E" w:rsidRPr="00435469">
        <w:rPr>
          <w:sz w:val="20"/>
          <w:szCs w:val="20"/>
        </w:rPr>
        <w:t>, we make the same assumption about these factors for treated and untreated TB mortality</w:t>
      </w:r>
      <w:r w:rsidR="00CA76A9" w:rsidRPr="00435469">
        <w:rPr>
          <w:sz w:val="20"/>
          <w:szCs w:val="20"/>
        </w:rPr>
        <w:t>).</w:t>
      </w:r>
    </w:p>
    <w:p w14:paraId="01E47805" w14:textId="4A2ECFE3" w:rsidR="002F0B80" w:rsidRPr="00435469" w:rsidRDefault="00971F36" w:rsidP="00955FFB">
      <w:pPr>
        <w:pStyle w:val="Heading2"/>
        <w:rPr>
          <w:rFonts w:cs="Times New Roman"/>
          <w:color w:val="auto"/>
          <w:sz w:val="20"/>
          <w:szCs w:val="20"/>
        </w:rPr>
      </w:pPr>
      <w:bookmarkStart w:id="90" w:name="_Toc88488563"/>
      <w:bookmarkStart w:id="91" w:name="_Toc103252931"/>
      <w:r w:rsidRPr="00435469">
        <w:rPr>
          <w:rFonts w:cs="Times New Roman"/>
          <w:color w:val="auto"/>
          <w:sz w:val="20"/>
          <w:szCs w:val="20"/>
        </w:rPr>
        <w:t>Modelling the tuberculosis diagnostic pathway</w:t>
      </w:r>
      <w:bookmarkEnd w:id="90"/>
      <w:bookmarkEnd w:id="91"/>
    </w:p>
    <w:p w14:paraId="620CF059" w14:textId="5A8D82EC" w:rsidR="00971F36" w:rsidRPr="00435469" w:rsidRDefault="00971F36" w:rsidP="00955FFB">
      <w:pPr>
        <w:spacing w:line="240" w:lineRule="auto"/>
        <w:rPr>
          <w:rFonts w:cs="Times New Roman"/>
          <w:sz w:val="20"/>
          <w:szCs w:val="20"/>
        </w:rPr>
      </w:pPr>
      <w:r w:rsidRPr="00435469">
        <w:rPr>
          <w:rFonts w:cs="Times New Roman"/>
          <w:sz w:val="20"/>
          <w:szCs w:val="20"/>
        </w:rPr>
        <w:t>The path to TB diagnosis and care involves multiple steps</w:t>
      </w:r>
      <w:r w:rsidR="00F15925" w:rsidRPr="00435469">
        <w:rPr>
          <w:rFonts w:cs="Times New Roman"/>
          <w:sz w:val="20"/>
          <w:szCs w:val="20"/>
        </w:rPr>
        <w:t>;</w:t>
      </w:r>
      <w:r w:rsidRPr="00435469">
        <w:rPr>
          <w:rFonts w:cs="Times New Roman"/>
          <w:sz w:val="20"/>
          <w:szCs w:val="20"/>
        </w:rPr>
        <w:t xml:space="preserve"> in the model, we consider the following</w:t>
      </w:r>
      <w:r w:rsidR="00CD1802" w:rsidRPr="00435469">
        <w:rPr>
          <w:rFonts w:cs="Times New Roman"/>
          <w:sz w:val="20"/>
          <w:szCs w:val="20"/>
        </w:rPr>
        <w:t>:</w:t>
      </w:r>
    </w:p>
    <w:p w14:paraId="256D8257" w14:textId="797565A2" w:rsidR="00971F36" w:rsidRPr="00435469" w:rsidRDefault="00971F36" w:rsidP="00955FFB">
      <w:pPr>
        <w:pStyle w:val="ListParagraph"/>
        <w:numPr>
          <w:ilvl w:val="0"/>
          <w:numId w:val="9"/>
        </w:numPr>
        <w:jc w:val="left"/>
        <w:rPr>
          <w:rFonts w:ascii="Times New Roman" w:eastAsiaTheme="minorEastAsia" w:hAnsi="Times New Roman" w:cs="Times New Roman"/>
          <w:sz w:val="20"/>
          <w:szCs w:val="20"/>
        </w:rPr>
      </w:pPr>
      <w:r w:rsidRPr="00435469">
        <w:rPr>
          <w:rFonts w:ascii="Times New Roman" w:hAnsi="Times New Roman" w:cs="Times New Roman"/>
          <w:sz w:val="20"/>
          <w:szCs w:val="20"/>
        </w:rPr>
        <w:t>health-seeking rates</w:t>
      </w:r>
      <w:r w:rsidR="00E84FC8" w:rsidRPr="00435469">
        <w:rPr>
          <w:rFonts w:ascii="Times New Roman" w:hAnsi="Times New Roman" w:cs="Times New Roman"/>
          <w:sz w:val="20"/>
          <w:szCs w:val="20"/>
        </w:rPr>
        <w:t>, which vary</w:t>
      </w:r>
      <w:r w:rsidRPr="00435469">
        <w:rPr>
          <w:rFonts w:ascii="Times New Roman" w:hAnsi="Times New Roman" w:cs="Times New Roman"/>
          <w:sz w:val="20"/>
          <w:szCs w:val="20"/>
        </w:rPr>
        <w:t xml:space="preserve"> by symptoms</w:t>
      </w:r>
      <w:r w:rsidR="00E84FC8" w:rsidRPr="00435469">
        <w:rPr>
          <w:rFonts w:ascii="Times New Roman" w:hAnsi="Times New Roman" w:cs="Times New Roman"/>
          <w:sz w:val="20"/>
          <w:szCs w:val="20"/>
        </w:rPr>
        <w:t>,</w:t>
      </w:r>
      <w:r w:rsidRPr="00435469">
        <w:rPr>
          <w:rFonts w:ascii="Times New Roman" w:hAnsi="Times New Roman" w:cs="Times New Roman"/>
          <w:sz w:val="20"/>
          <w:szCs w:val="20"/>
        </w:rPr>
        <w:t xml:space="preserve"> smear status, HIV status and sex</w:t>
      </w:r>
    </w:p>
    <w:p w14:paraId="752E0EAE" w14:textId="28A16743" w:rsidR="00971F36" w:rsidRPr="00435469" w:rsidRDefault="00971F36" w:rsidP="00955FFB">
      <w:pPr>
        <w:pStyle w:val="ListParagraph"/>
        <w:numPr>
          <w:ilvl w:val="0"/>
          <w:numId w:val="9"/>
        </w:numPr>
        <w:jc w:val="left"/>
        <w:rPr>
          <w:rFonts w:ascii="Times New Roman" w:eastAsiaTheme="minorEastAsia" w:hAnsi="Times New Roman" w:cs="Times New Roman"/>
          <w:sz w:val="20"/>
          <w:szCs w:val="20"/>
        </w:rPr>
      </w:pPr>
      <w:r w:rsidRPr="00435469">
        <w:rPr>
          <w:rFonts w:ascii="Times New Roman" w:hAnsi="Times New Roman" w:cs="Times New Roman"/>
          <w:sz w:val="20"/>
          <w:szCs w:val="20"/>
        </w:rPr>
        <w:t xml:space="preserve">the proportion of </w:t>
      </w:r>
      <w:r w:rsidR="00CD7E5E" w:rsidRPr="00435469">
        <w:rPr>
          <w:rFonts w:ascii="Times New Roman" w:hAnsi="Times New Roman" w:cs="Times New Roman"/>
          <w:sz w:val="20"/>
          <w:szCs w:val="20"/>
        </w:rPr>
        <w:t xml:space="preserve">TB suspects whose </w:t>
      </w:r>
      <w:r w:rsidRPr="00435469">
        <w:rPr>
          <w:rFonts w:ascii="Times New Roman" w:hAnsi="Times New Roman" w:cs="Times New Roman"/>
          <w:sz w:val="20"/>
          <w:szCs w:val="20"/>
        </w:rPr>
        <w:t xml:space="preserve">sputum samples </w:t>
      </w:r>
      <w:r w:rsidR="00CD7E5E" w:rsidRPr="00435469">
        <w:rPr>
          <w:rFonts w:ascii="Times New Roman" w:hAnsi="Times New Roman" w:cs="Times New Roman"/>
          <w:sz w:val="20"/>
          <w:szCs w:val="20"/>
        </w:rPr>
        <w:t xml:space="preserve">are </w:t>
      </w:r>
      <w:r w:rsidRPr="00435469">
        <w:rPr>
          <w:rFonts w:ascii="Times New Roman" w:hAnsi="Times New Roman" w:cs="Times New Roman"/>
          <w:sz w:val="20"/>
          <w:szCs w:val="20"/>
        </w:rPr>
        <w:t>submitted for microbiological testing</w:t>
      </w:r>
    </w:p>
    <w:p w14:paraId="02F62991" w14:textId="77777777" w:rsidR="00971F36" w:rsidRPr="00435469" w:rsidRDefault="00971F36" w:rsidP="00955FFB">
      <w:pPr>
        <w:pStyle w:val="ListParagraph"/>
        <w:numPr>
          <w:ilvl w:val="0"/>
          <w:numId w:val="9"/>
        </w:numPr>
        <w:jc w:val="left"/>
        <w:rPr>
          <w:rFonts w:ascii="Times New Roman" w:eastAsiaTheme="minorEastAsia" w:hAnsi="Times New Roman" w:cs="Times New Roman"/>
          <w:sz w:val="20"/>
          <w:szCs w:val="20"/>
        </w:rPr>
      </w:pPr>
      <w:r w:rsidRPr="00435469">
        <w:rPr>
          <w:rFonts w:ascii="Times New Roman" w:hAnsi="Times New Roman" w:cs="Times New Roman"/>
          <w:sz w:val="20"/>
          <w:szCs w:val="20"/>
        </w:rPr>
        <w:t>sensitivity and specificity of diagnostic algorithms</w:t>
      </w:r>
    </w:p>
    <w:p w14:paraId="13E3BA7E" w14:textId="5557251B" w:rsidR="00E84FC8" w:rsidRPr="00435469" w:rsidRDefault="00971F36" w:rsidP="00955FFB">
      <w:pPr>
        <w:pStyle w:val="ListParagraph"/>
        <w:numPr>
          <w:ilvl w:val="0"/>
          <w:numId w:val="9"/>
        </w:numPr>
        <w:jc w:val="left"/>
        <w:rPr>
          <w:rFonts w:ascii="Times New Roman" w:eastAsiaTheme="minorEastAsia" w:hAnsi="Times New Roman" w:cs="Times New Roman"/>
          <w:sz w:val="20"/>
          <w:szCs w:val="20"/>
        </w:rPr>
      </w:pPr>
      <w:r w:rsidRPr="00435469">
        <w:rPr>
          <w:rFonts w:ascii="Times New Roman" w:hAnsi="Times New Roman" w:cs="Times New Roman"/>
          <w:sz w:val="20"/>
          <w:szCs w:val="20"/>
        </w:rPr>
        <w:t xml:space="preserve">treatment initiation and initial loss to follow-up (before treatment initiation) following </w:t>
      </w:r>
      <w:r w:rsidR="007A1E31" w:rsidRPr="00435469">
        <w:rPr>
          <w:rFonts w:ascii="Times New Roman" w:hAnsi="Times New Roman" w:cs="Times New Roman"/>
          <w:sz w:val="20"/>
          <w:szCs w:val="20"/>
        </w:rPr>
        <w:t xml:space="preserve">a </w:t>
      </w:r>
      <w:r w:rsidRPr="00435469">
        <w:rPr>
          <w:rFonts w:ascii="Times New Roman" w:hAnsi="Times New Roman" w:cs="Times New Roman"/>
          <w:sz w:val="20"/>
          <w:szCs w:val="20"/>
        </w:rPr>
        <w:t>microbiological confirmation</w:t>
      </w:r>
    </w:p>
    <w:p w14:paraId="38A558FF" w14:textId="75135C59" w:rsidR="00971F36" w:rsidRPr="00435469" w:rsidRDefault="00E84FC8" w:rsidP="00955FFB">
      <w:pPr>
        <w:pStyle w:val="ListParagraph"/>
        <w:numPr>
          <w:ilvl w:val="0"/>
          <w:numId w:val="9"/>
        </w:numPr>
        <w:jc w:val="left"/>
        <w:rPr>
          <w:rFonts w:ascii="Times New Roman" w:eastAsiaTheme="minorEastAsia" w:hAnsi="Times New Roman" w:cs="Times New Roman"/>
          <w:sz w:val="20"/>
          <w:szCs w:val="20"/>
        </w:rPr>
      </w:pPr>
      <w:r w:rsidRPr="00435469">
        <w:rPr>
          <w:rFonts w:ascii="Times New Roman" w:hAnsi="Times New Roman" w:cs="Times New Roman"/>
          <w:sz w:val="20"/>
          <w:szCs w:val="20"/>
        </w:rPr>
        <w:t>empirical treatment</w:t>
      </w:r>
      <w:r w:rsidR="00971F36" w:rsidRPr="00435469">
        <w:rPr>
          <w:rFonts w:ascii="Times New Roman" w:hAnsi="Times New Roman" w:cs="Times New Roman"/>
          <w:sz w:val="20"/>
          <w:szCs w:val="20"/>
        </w:rPr>
        <w:t xml:space="preserve">. </w:t>
      </w:r>
    </w:p>
    <w:p w14:paraId="6F16DB5B" w14:textId="77777777" w:rsidR="00186C2F" w:rsidRPr="00435469" w:rsidRDefault="00971F36" w:rsidP="00C0447E">
      <w:pPr>
        <w:spacing w:line="240" w:lineRule="auto"/>
        <w:rPr>
          <w:rFonts w:cs="Times New Roman"/>
          <w:sz w:val="20"/>
          <w:szCs w:val="20"/>
        </w:rPr>
      </w:pPr>
      <w:r w:rsidRPr="00435469">
        <w:rPr>
          <w:rFonts w:cs="Times New Roman"/>
          <w:sz w:val="20"/>
          <w:szCs w:val="20"/>
        </w:rPr>
        <w:t>Treatment outcomes are further described in</w:t>
      </w:r>
      <w:r w:rsidR="00FA4209" w:rsidRPr="00435469">
        <w:rPr>
          <w:rFonts w:cs="Times New Roman"/>
          <w:sz w:val="20"/>
          <w:szCs w:val="20"/>
        </w:rPr>
        <w:t xml:space="preserve"> </w:t>
      </w:r>
      <w:r w:rsidRPr="00435469">
        <w:rPr>
          <w:rFonts w:cs="Times New Roman"/>
          <w:sz w:val="20"/>
          <w:szCs w:val="20"/>
        </w:rPr>
        <w:t xml:space="preserve">section </w:t>
      </w:r>
      <w:r w:rsidR="00EF58B4" w:rsidRPr="00435469">
        <w:rPr>
          <w:rFonts w:eastAsiaTheme="minorEastAsia" w:cs="Times New Roman"/>
          <w:sz w:val="20"/>
          <w:szCs w:val="20"/>
        </w:rPr>
        <w:fldChar w:fldCharType="begin"/>
      </w:r>
      <w:r w:rsidR="00EF58B4" w:rsidRPr="00435469">
        <w:rPr>
          <w:rFonts w:eastAsiaTheme="minorEastAsia" w:cs="Times New Roman"/>
          <w:sz w:val="20"/>
          <w:szCs w:val="20"/>
        </w:rPr>
        <w:instrText xml:space="preserve"> REF _Ref80343718 \r \h </w:instrText>
      </w:r>
      <w:r w:rsidR="00955FFB" w:rsidRPr="00435469">
        <w:rPr>
          <w:rFonts w:eastAsiaTheme="minorEastAsia" w:cs="Times New Roman"/>
          <w:sz w:val="20"/>
          <w:szCs w:val="20"/>
        </w:rPr>
        <w:instrText xml:space="preserve"> \* MERGEFORMAT </w:instrText>
      </w:r>
      <w:r w:rsidR="00EF58B4" w:rsidRPr="00435469">
        <w:rPr>
          <w:rFonts w:eastAsiaTheme="minorEastAsia" w:cs="Times New Roman"/>
          <w:sz w:val="20"/>
          <w:szCs w:val="20"/>
        </w:rPr>
      </w:r>
      <w:r w:rsidR="00EF58B4" w:rsidRPr="00435469">
        <w:rPr>
          <w:rFonts w:eastAsiaTheme="minorEastAsia" w:cs="Times New Roman"/>
          <w:sz w:val="20"/>
          <w:szCs w:val="20"/>
        </w:rPr>
        <w:fldChar w:fldCharType="separate"/>
      </w:r>
      <w:r w:rsidR="00186C2F" w:rsidRPr="00435469">
        <w:rPr>
          <w:rFonts w:eastAsiaTheme="minorEastAsia" w:cs="Times New Roman"/>
          <w:sz w:val="20"/>
          <w:szCs w:val="20"/>
        </w:rPr>
        <w:t>7</w:t>
      </w:r>
      <w:r w:rsidR="00EF58B4" w:rsidRPr="00435469">
        <w:rPr>
          <w:rFonts w:eastAsiaTheme="minorEastAsia" w:cs="Times New Roman"/>
          <w:sz w:val="20"/>
          <w:szCs w:val="20"/>
        </w:rPr>
        <w:fldChar w:fldCharType="end"/>
      </w:r>
      <w:r w:rsidRPr="00435469">
        <w:rPr>
          <w:rFonts w:cs="Times New Roman"/>
          <w:sz w:val="20"/>
          <w:szCs w:val="20"/>
        </w:rPr>
        <w:t xml:space="preserve">. </w:t>
      </w:r>
      <w:r w:rsidRPr="00435469">
        <w:rPr>
          <w:rFonts w:cs="Times New Roman"/>
          <w:sz w:val="20"/>
          <w:szCs w:val="20"/>
        </w:rPr>
        <w:fldChar w:fldCharType="begin"/>
      </w:r>
      <w:r w:rsidRPr="00435469">
        <w:rPr>
          <w:rFonts w:cs="Times New Roman"/>
          <w:sz w:val="20"/>
          <w:szCs w:val="20"/>
        </w:rPr>
        <w:instrText xml:space="preserve"> REF _Ref80374996 \h  \* MERGEFORMAT </w:instrText>
      </w:r>
      <w:r w:rsidRPr="00435469">
        <w:rPr>
          <w:rFonts w:cs="Times New Roman"/>
          <w:sz w:val="20"/>
          <w:szCs w:val="20"/>
        </w:rPr>
      </w:r>
      <w:r w:rsidRPr="00435469">
        <w:rPr>
          <w:rFonts w:cs="Times New Roman"/>
          <w:sz w:val="20"/>
          <w:szCs w:val="20"/>
        </w:rPr>
        <w:fldChar w:fldCharType="separate"/>
      </w:r>
    </w:p>
    <w:p w14:paraId="1AD14273" w14:textId="62D3E5E6" w:rsidR="00A913AE" w:rsidRPr="00435469" w:rsidRDefault="00186C2F" w:rsidP="00C0447E">
      <w:pPr>
        <w:spacing w:line="240" w:lineRule="auto"/>
        <w:rPr>
          <w:rFonts w:eastAsiaTheme="minorEastAsia" w:cs="Times New Roman"/>
          <w:sz w:val="20"/>
          <w:szCs w:val="20"/>
        </w:rPr>
      </w:pPr>
      <w:r w:rsidRPr="00435469">
        <w:rPr>
          <w:rFonts w:cs="Times New Roman"/>
          <w:sz w:val="20"/>
          <w:szCs w:val="20"/>
        </w:rPr>
        <w:t>Figure</w:t>
      </w:r>
      <w:r w:rsidRPr="00435469">
        <w:rPr>
          <w:rFonts w:cs="Times New Roman"/>
          <w:noProof/>
          <w:sz w:val="20"/>
          <w:szCs w:val="20"/>
        </w:rPr>
        <w:t xml:space="preserve"> </w:t>
      </w:r>
      <w:r w:rsidRPr="00435469">
        <w:rPr>
          <w:noProof/>
          <w:sz w:val="20"/>
          <w:szCs w:val="20"/>
        </w:rPr>
        <w:t>3</w:t>
      </w:r>
      <w:r w:rsidR="00971F36" w:rsidRPr="00435469">
        <w:rPr>
          <w:rFonts w:cs="Times New Roman"/>
          <w:sz w:val="20"/>
          <w:szCs w:val="20"/>
        </w:rPr>
        <w:fldChar w:fldCharType="end"/>
      </w:r>
      <w:r w:rsidR="00971F36" w:rsidRPr="00435469">
        <w:rPr>
          <w:rFonts w:cs="Times New Roman"/>
          <w:sz w:val="20"/>
          <w:szCs w:val="20"/>
        </w:rPr>
        <w:t xml:space="preserve"> </w:t>
      </w:r>
      <w:proofErr w:type="spellStart"/>
      <w:r w:rsidR="009B752C" w:rsidRPr="00435469">
        <w:rPr>
          <w:rFonts w:cs="Times New Roman"/>
          <w:sz w:val="20"/>
          <w:szCs w:val="20"/>
        </w:rPr>
        <w:t>summarises</w:t>
      </w:r>
      <w:proofErr w:type="spellEnd"/>
      <w:r w:rsidR="00971F36" w:rsidRPr="00435469">
        <w:rPr>
          <w:rFonts w:cs="Times New Roman"/>
          <w:sz w:val="20"/>
          <w:szCs w:val="20"/>
        </w:rPr>
        <w:t xml:space="preserve"> the steps</w:t>
      </w:r>
      <w:r w:rsidR="00C0447E" w:rsidRPr="00435469">
        <w:rPr>
          <w:rFonts w:cs="Times New Roman"/>
          <w:sz w:val="20"/>
          <w:szCs w:val="20"/>
        </w:rPr>
        <w:t xml:space="preserve"> listed above</w:t>
      </w:r>
      <w:r w:rsidR="00971F36" w:rsidRPr="00435469">
        <w:rPr>
          <w:rFonts w:eastAsiaTheme="minorEastAsia" w:cs="Times New Roman"/>
          <w:sz w:val="20"/>
          <w:szCs w:val="20"/>
        </w:rPr>
        <w:t xml:space="preserve">. </w:t>
      </w:r>
      <w:r w:rsidR="005C2CB5" w:rsidRPr="00435469">
        <w:rPr>
          <w:rFonts w:cs="Times New Roman"/>
          <w:sz w:val="20"/>
          <w:szCs w:val="20"/>
        </w:rPr>
        <w:t xml:space="preserve">At the entry point into the care cascade and treatment pathway, we consider health-seeking </w:t>
      </w:r>
      <w:proofErr w:type="spellStart"/>
      <w:r w:rsidR="005C2CB5" w:rsidRPr="00435469">
        <w:rPr>
          <w:rFonts w:cs="Times New Roman"/>
          <w:sz w:val="20"/>
          <w:szCs w:val="20"/>
        </w:rPr>
        <w:t>behaviours</w:t>
      </w:r>
      <w:proofErr w:type="spellEnd"/>
      <w:r w:rsidR="005C2CB5" w:rsidRPr="00435469">
        <w:rPr>
          <w:rFonts w:cs="Times New Roman"/>
          <w:sz w:val="20"/>
          <w:szCs w:val="20"/>
        </w:rPr>
        <w:t xml:space="preserve"> in </w:t>
      </w:r>
      <w:r w:rsidR="009665A0" w:rsidRPr="00435469">
        <w:rPr>
          <w:rFonts w:cs="Times New Roman"/>
          <w:sz w:val="20"/>
          <w:szCs w:val="20"/>
        </w:rPr>
        <w:t xml:space="preserve">people with </w:t>
      </w:r>
      <w:r w:rsidR="005C2CB5" w:rsidRPr="00435469">
        <w:rPr>
          <w:rFonts w:cs="Times New Roman"/>
          <w:sz w:val="20"/>
          <w:szCs w:val="20"/>
        </w:rPr>
        <w:t xml:space="preserve">active TB disease </w:t>
      </w:r>
      <w:r w:rsidR="00D2660F" w:rsidRPr="00435469">
        <w:rPr>
          <w:rFonts w:cs="Times New Roman"/>
          <w:sz w:val="20"/>
          <w:szCs w:val="20"/>
        </w:rPr>
        <w:t xml:space="preserve">as well as health seeking unrelated to TB in </w:t>
      </w:r>
      <w:r w:rsidR="005C2CB5" w:rsidRPr="00435469">
        <w:rPr>
          <w:rFonts w:cs="Times New Roman"/>
          <w:sz w:val="20"/>
          <w:szCs w:val="20"/>
        </w:rPr>
        <w:t xml:space="preserve">the general population. We define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m</m:t>
            </m:r>
          </m:sub>
        </m:sSub>
        <m:d>
          <m:dPr>
            <m:ctrlPr>
              <w:rPr>
                <w:rFonts w:ascii="Cambria Math" w:hAnsi="Cambria Math" w:cs="Times New Roman"/>
                <w:i/>
                <w:sz w:val="20"/>
                <w:szCs w:val="20"/>
              </w:rPr>
            </m:ctrlPr>
          </m:dPr>
          <m:e>
            <m:r>
              <w:rPr>
                <w:rFonts w:ascii="Cambria Math" w:hAnsi="Cambria Math" w:cs="Times New Roman"/>
                <w:sz w:val="20"/>
                <w:szCs w:val="20"/>
              </w:rPr>
              <m:t>a, g,s,t</m:t>
            </m:r>
          </m:e>
        </m:d>
      </m:oMath>
      <w:r w:rsidR="005C2CB5" w:rsidRPr="00435469">
        <w:rPr>
          <w:rFonts w:cs="Times New Roman"/>
          <w:sz w:val="20"/>
          <w:szCs w:val="20"/>
        </w:rPr>
        <w:t xml:space="preserve"> </w:t>
      </w:r>
      <w:r w:rsidR="009665A0" w:rsidRPr="00435469">
        <w:rPr>
          <w:rFonts w:cs="Times New Roman"/>
          <w:sz w:val="20"/>
          <w:szCs w:val="20"/>
        </w:rPr>
        <w:t xml:space="preserve">as </w:t>
      </w:r>
      <w:r w:rsidR="005C2CB5" w:rsidRPr="00435469">
        <w:rPr>
          <w:rFonts w:cs="Times New Roman"/>
          <w:sz w:val="20"/>
          <w:szCs w:val="20"/>
        </w:rPr>
        <w:t xml:space="preserve">the rate of health-seeking for individuals of smear status </w:t>
      </w:r>
      <m:oMath>
        <m:r>
          <w:rPr>
            <w:rFonts w:ascii="Cambria Math" w:hAnsi="Cambria Math" w:cs="Times New Roman"/>
            <w:sz w:val="20"/>
            <w:szCs w:val="20"/>
          </w:rPr>
          <m:t>a</m:t>
        </m:r>
      </m:oMath>
      <w:r w:rsidR="005C2CB5" w:rsidRPr="00435469">
        <w:rPr>
          <w:rFonts w:cs="Times New Roman"/>
          <w:sz w:val="20"/>
          <w:szCs w:val="20"/>
        </w:rPr>
        <w:t xml:space="preserve"> (0 = smear-negative, 1 = smear-positive), of sex </w:t>
      </w:r>
      <m:oMath>
        <m:r>
          <w:rPr>
            <w:rFonts w:ascii="Cambria Math" w:hAnsi="Cambria Math" w:cs="Times New Roman"/>
            <w:sz w:val="20"/>
            <w:szCs w:val="20"/>
          </w:rPr>
          <m:t>g</m:t>
        </m:r>
      </m:oMath>
      <w:r w:rsidR="005C2CB5" w:rsidRPr="00435469">
        <w:rPr>
          <w:rFonts w:eastAsiaTheme="minorEastAsia" w:cs="Times New Roman"/>
          <w:sz w:val="20"/>
          <w:szCs w:val="20"/>
        </w:rPr>
        <w:t xml:space="preserve"> (0=male, 1=female</w:t>
      </w:r>
      <w:r w:rsidR="00D2660F" w:rsidRPr="00435469">
        <w:rPr>
          <w:rFonts w:eastAsiaTheme="minorEastAsia" w:cs="Times New Roman"/>
          <w:sz w:val="20"/>
          <w:szCs w:val="20"/>
        </w:rPr>
        <w:t>)</w:t>
      </w:r>
      <w:r w:rsidR="005C2CB5" w:rsidRPr="00435469">
        <w:rPr>
          <w:rFonts w:cs="Times New Roman"/>
          <w:sz w:val="20"/>
          <w:szCs w:val="20"/>
        </w:rPr>
        <w:t xml:space="preserve"> and HIV stage </w:t>
      </w:r>
      <m:oMath>
        <m:r>
          <w:rPr>
            <w:rFonts w:ascii="Cambria Math" w:hAnsi="Cambria Math" w:cs="Times New Roman"/>
            <w:sz w:val="20"/>
            <w:szCs w:val="20"/>
          </w:rPr>
          <m:t>s</m:t>
        </m:r>
      </m:oMath>
      <w:r w:rsidR="005C2CB5" w:rsidRPr="00435469">
        <w:rPr>
          <w:rFonts w:cs="Times New Roman"/>
          <w:sz w:val="20"/>
          <w:szCs w:val="20"/>
        </w:rPr>
        <w:t xml:space="preserve"> (as defined in Thembisa 4.1) at any time </w:t>
      </w:r>
      <m:oMath>
        <m:r>
          <w:rPr>
            <w:rFonts w:ascii="Cambria Math" w:hAnsi="Cambria Math" w:cs="Times New Roman"/>
            <w:sz w:val="20"/>
            <w:szCs w:val="20"/>
          </w:rPr>
          <m:t>t</m:t>
        </m:r>
      </m:oMath>
      <w:r w:rsidR="005C2CB5" w:rsidRPr="00435469">
        <w:rPr>
          <w:rFonts w:eastAsiaTheme="minorEastAsia" w:cs="Times New Roman"/>
          <w:sz w:val="20"/>
          <w:szCs w:val="20"/>
        </w:rPr>
        <w:t>.</w:t>
      </w:r>
      <w:r w:rsidR="005C2CB5" w:rsidRPr="00435469">
        <w:rPr>
          <w:rFonts w:cs="Times New Roman"/>
          <w:sz w:val="20"/>
          <w:szCs w:val="20"/>
        </w:rPr>
        <w:t xml:space="preserve"> </w:t>
      </w:r>
      <w:r w:rsidR="009665A0" w:rsidRPr="00435469">
        <w:rPr>
          <w:rFonts w:cs="Times New Roman"/>
          <w:sz w:val="20"/>
          <w:szCs w:val="20"/>
        </w:rPr>
        <w:t xml:space="preserve">Here </w:t>
      </w:r>
      <m:oMath>
        <m:r>
          <w:rPr>
            <w:rFonts w:ascii="Cambria Math" w:hAnsi="Cambria Math" w:cs="Times New Roman"/>
            <w:sz w:val="20"/>
            <w:szCs w:val="20"/>
          </w:rPr>
          <m:t>m=1</m:t>
        </m:r>
      </m:oMath>
      <w:r w:rsidR="005C2CB5" w:rsidRPr="00435469">
        <w:rPr>
          <w:rFonts w:cs="Times New Roman"/>
          <w:sz w:val="20"/>
          <w:szCs w:val="20"/>
        </w:rPr>
        <w:t xml:space="preserve"> represents active TB individuals seeking treatment for </w:t>
      </w:r>
      <w:r w:rsidR="00D2660F" w:rsidRPr="00435469">
        <w:rPr>
          <w:rFonts w:cs="Times New Roman"/>
          <w:sz w:val="20"/>
          <w:szCs w:val="20"/>
        </w:rPr>
        <w:t xml:space="preserve">TB </w:t>
      </w:r>
      <w:r w:rsidR="005C2CB5" w:rsidRPr="00435469">
        <w:rPr>
          <w:rFonts w:cs="Times New Roman"/>
          <w:sz w:val="20"/>
          <w:szCs w:val="20"/>
        </w:rPr>
        <w:t xml:space="preserve">symptoms, </w:t>
      </w:r>
      <m:oMath>
        <m:r>
          <w:rPr>
            <w:rFonts w:ascii="Cambria Math" w:hAnsi="Cambria Math" w:cs="Times New Roman"/>
            <w:sz w:val="20"/>
            <w:szCs w:val="20"/>
          </w:rPr>
          <m:t>m=2</m:t>
        </m:r>
      </m:oMath>
      <w:r w:rsidR="005C2CB5" w:rsidRPr="00435469">
        <w:rPr>
          <w:rFonts w:cs="Times New Roman"/>
          <w:sz w:val="20"/>
          <w:szCs w:val="20"/>
        </w:rPr>
        <w:t xml:space="preserve"> represents individuals in the general population who are seeking treatment for other conditions and </w:t>
      </w:r>
      <m:oMath>
        <m:r>
          <w:rPr>
            <w:rFonts w:ascii="Cambria Math" w:hAnsi="Cambria Math" w:cs="Times New Roman"/>
            <w:sz w:val="20"/>
            <w:szCs w:val="20"/>
          </w:rPr>
          <m:t>m=3</m:t>
        </m:r>
      </m:oMath>
      <w:r w:rsidR="005C2CB5" w:rsidRPr="00435469">
        <w:rPr>
          <w:rFonts w:cs="Times New Roman"/>
          <w:sz w:val="20"/>
          <w:szCs w:val="20"/>
        </w:rPr>
        <w:t xml:space="preserve"> </w:t>
      </w:r>
      <w:r w:rsidR="00D2660F" w:rsidRPr="00435469">
        <w:rPr>
          <w:rFonts w:cs="Times New Roman"/>
          <w:sz w:val="20"/>
          <w:szCs w:val="20"/>
        </w:rPr>
        <w:t xml:space="preserve">represents </w:t>
      </w:r>
      <w:r w:rsidR="005C2CB5" w:rsidRPr="00435469">
        <w:rPr>
          <w:rFonts w:cs="Times New Roman"/>
          <w:sz w:val="20"/>
          <w:szCs w:val="20"/>
        </w:rPr>
        <w:t>individuals in the general population seeking treatment for TB- like symptoms. The health-seeking rates are defined such that for any</w:t>
      </w:r>
      <w:r w:rsidR="005C2CB5" w:rsidRPr="00435469">
        <w:rPr>
          <w:rFonts w:eastAsiaTheme="minorEastAsia" w:cs="Times New Roman"/>
          <w:sz w:val="20"/>
          <w:szCs w:val="20"/>
        </w:rPr>
        <w:t xml:space="preserve"> </w:t>
      </w:r>
      <m:oMath>
        <m:r>
          <w:rPr>
            <w:rFonts w:ascii="Cambria Math" w:hAnsi="Cambria Math" w:cs="Times New Roman"/>
            <w:sz w:val="20"/>
            <w:szCs w:val="20"/>
          </w:rPr>
          <m:t>t</m:t>
        </m:r>
      </m:oMath>
      <w:r w:rsidR="005C2CB5" w:rsidRPr="00435469">
        <w:rPr>
          <w:rFonts w:eastAsiaTheme="minorEastAsia"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a,g,s,t</m:t>
            </m:r>
          </m:e>
        </m:d>
      </m:oMath>
      <w:r w:rsidR="005C2CB5" w:rsidRPr="00435469">
        <w:rPr>
          <w:rFonts w:eastAsiaTheme="minorEastAsia"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g,s,t</m:t>
            </m:r>
          </m:e>
        </m:d>
      </m:oMath>
      <w:r w:rsidR="005C2CB5" w:rsidRPr="00435469">
        <w:rPr>
          <w:rFonts w:eastAsiaTheme="minorEastAsia"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d>
          <m:dPr>
            <m:ctrlPr>
              <w:rPr>
                <w:rFonts w:ascii="Cambria Math" w:hAnsi="Cambria Math" w:cs="Times New Roman"/>
                <w:i/>
                <w:sz w:val="20"/>
                <w:szCs w:val="20"/>
              </w:rPr>
            </m:ctrlPr>
          </m:dPr>
          <m:e>
            <m:r>
              <w:rPr>
                <w:rFonts w:ascii="Cambria Math" w:hAnsi="Cambria Math" w:cs="Times New Roman"/>
                <w:sz w:val="20"/>
                <w:szCs w:val="20"/>
              </w:rPr>
              <m:t>g,s,t</m:t>
            </m:r>
          </m:e>
        </m:d>
      </m:oMath>
      <w:r w:rsidR="005C2CB5" w:rsidRPr="00435469">
        <w:rPr>
          <w:rFonts w:eastAsiaTheme="minorEastAsia" w:cs="Times New Roman"/>
          <w:sz w:val="20"/>
          <w:szCs w:val="20"/>
        </w:rPr>
        <w:t xml:space="preserve"> depend on smear </w:t>
      </w:r>
      <w:r w:rsidR="00D2660F" w:rsidRPr="00435469">
        <w:rPr>
          <w:rFonts w:eastAsiaTheme="minorEastAsia" w:cs="Times New Roman"/>
          <w:sz w:val="20"/>
          <w:szCs w:val="20"/>
        </w:rPr>
        <w:t xml:space="preserve">status, </w:t>
      </w:r>
      <w:r w:rsidR="005C2CB5" w:rsidRPr="00435469">
        <w:rPr>
          <w:rFonts w:cs="Times New Roman"/>
          <w:sz w:val="20"/>
          <w:szCs w:val="20"/>
        </w:rPr>
        <w:t>sex, and HIV status</w:t>
      </w:r>
      <w:r w:rsidR="005C2CB5" w:rsidRPr="00435469">
        <w:rPr>
          <w:rFonts w:eastAsiaTheme="minorEastAsia" w:cs="Times New Roman"/>
          <w:sz w:val="20"/>
          <w:szCs w:val="20"/>
        </w:rPr>
        <w:t xml:space="preserve">. </w:t>
      </w:r>
      <w:bookmarkStart w:id="92" w:name="_Ref80374996"/>
      <w:bookmarkStart w:id="93" w:name="_Toc80352806"/>
      <w:bookmarkStart w:id="94" w:name="_Ref80374990"/>
      <w:bookmarkStart w:id="95" w:name="_Toc87863370"/>
    </w:p>
    <w:p w14:paraId="4493FBF8" w14:textId="68494C14" w:rsidR="00971F36" w:rsidRPr="00435469" w:rsidRDefault="00971F36" w:rsidP="00955FFB">
      <w:pPr>
        <w:pStyle w:val="3CaptionAbove"/>
        <w:rPr>
          <w:sz w:val="20"/>
          <w:szCs w:val="20"/>
        </w:rPr>
      </w:pPr>
      <w:bookmarkStart w:id="96" w:name="_Toc103253000"/>
      <w:r w:rsidRPr="00435469">
        <w:rPr>
          <w:sz w:val="20"/>
          <w:szCs w:val="20"/>
        </w:rPr>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3</w:t>
      </w:r>
      <w:r w:rsidRPr="00435469">
        <w:rPr>
          <w:sz w:val="20"/>
          <w:szCs w:val="20"/>
        </w:rPr>
        <w:fldChar w:fldCharType="end"/>
      </w:r>
      <w:bookmarkEnd w:id="92"/>
      <w:r w:rsidRPr="00435469">
        <w:rPr>
          <w:sz w:val="20"/>
          <w:szCs w:val="20"/>
        </w:rPr>
        <w:t xml:space="preserve">: Illustration of the modelled tuberculosis diagnostic </w:t>
      </w:r>
      <w:bookmarkEnd w:id="93"/>
      <w:r w:rsidRPr="00435469">
        <w:rPr>
          <w:sz w:val="20"/>
          <w:szCs w:val="20"/>
        </w:rPr>
        <w:t>pathway</w:t>
      </w:r>
      <w:bookmarkEnd w:id="94"/>
      <w:bookmarkEnd w:id="95"/>
      <w:bookmarkEnd w:id="96"/>
    </w:p>
    <w:p w14:paraId="7C363B79" w14:textId="649CD23A" w:rsidR="00971F36" w:rsidRPr="00435469" w:rsidRDefault="00D732B0" w:rsidP="00955FFB">
      <w:pPr>
        <w:spacing w:line="240" w:lineRule="auto"/>
        <w:rPr>
          <w:sz w:val="20"/>
          <w:szCs w:val="20"/>
        </w:rPr>
      </w:pPr>
      <w:r w:rsidRPr="00435469">
        <w:rPr>
          <w:noProof/>
          <w:sz w:val="20"/>
          <w:szCs w:val="20"/>
        </w:rPr>
        <w:drawing>
          <wp:inline distT="0" distB="0" distL="0" distR="0" wp14:anchorId="6B31C56E" wp14:editId="63B9316D">
            <wp:extent cx="5339751" cy="2492870"/>
            <wp:effectExtent l="0" t="0" r="0" b="317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6275" cy="2495916"/>
                    </a:xfrm>
                    <a:prstGeom prst="rect">
                      <a:avLst/>
                    </a:prstGeom>
                    <a:noFill/>
                    <a:ln>
                      <a:noFill/>
                    </a:ln>
                  </pic:spPr>
                </pic:pic>
              </a:graphicData>
            </a:graphic>
          </wp:inline>
        </w:drawing>
      </w:r>
    </w:p>
    <w:p w14:paraId="5888B61D" w14:textId="010A25B1" w:rsidR="00971F36" w:rsidRPr="00435469" w:rsidRDefault="00971F36" w:rsidP="00955FFB">
      <w:pPr>
        <w:tabs>
          <w:tab w:val="left" w:pos="2504"/>
        </w:tabs>
        <w:spacing w:before="240" w:line="240" w:lineRule="auto"/>
        <w:rPr>
          <w:rFonts w:eastAsiaTheme="minorEastAsia" w:cs="Times New Roman"/>
          <w:sz w:val="20"/>
          <w:szCs w:val="20"/>
        </w:rPr>
      </w:pPr>
      <w:r w:rsidRPr="00435469">
        <w:rPr>
          <w:rFonts w:cs="Times New Roman"/>
          <w:sz w:val="20"/>
          <w:szCs w:val="20"/>
        </w:rPr>
        <w:t xml:space="preserve">We also assume some </w:t>
      </w:r>
      <w:r w:rsidR="00CE1CDA" w:rsidRPr="00435469">
        <w:rPr>
          <w:rFonts w:cs="Times New Roman"/>
          <w:sz w:val="20"/>
          <w:szCs w:val="20"/>
        </w:rPr>
        <w:t xml:space="preserve">prevalence </w:t>
      </w:r>
      <w:r w:rsidRPr="00435469">
        <w:rPr>
          <w:rFonts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A</m:t>
            </m:r>
          </m:sub>
        </m:sSub>
        <m:r>
          <w:rPr>
            <w:rFonts w:ascii="Cambria Math" w:hAnsi="Cambria Math" w:cs="Times New Roman"/>
            <w:sz w:val="20"/>
            <w:szCs w:val="20"/>
          </w:rPr>
          <m:t>(a)</m:t>
        </m:r>
      </m:oMath>
      <w:r w:rsidRPr="00435469">
        <w:rPr>
          <w:rFonts w:cs="Times New Roman"/>
          <w:sz w:val="20"/>
          <w:szCs w:val="20"/>
        </w:rPr>
        <w:t xml:space="preserve">) of TB symptoms in the active TB population seeking care for other </w:t>
      </w:r>
      <w:r w:rsidR="009665A0" w:rsidRPr="00435469">
        <w:rPr>
          <w:rFonts w:cs="Times New Roman"/>
          <w:sz w:val="20"/>
          <w:szCs w:val="20"/>
        </w:rPr>
        <w:t>conditions</w:t>
      </w:r>
      <w:r w:rsidRPr="00435469">
        <w:rPr>
          <w:rFonts w:cs="Times New Roman"/>
          <w:sz w:val="20"/>
          <w:szCs w:val="20"/>
        </w:rPr>
        <w:t xml:space="preserve">, for smear status </w:t>
      </w:r>
      <m:oMath>
        <m:r>
          <w:rPr>
            <w:rFonts w:ascii="Cambria Math" w:hAnsi="Cambria Math" w:cs="Times New Roman"/>
            <w:sz w:val="20"/>
            <w:szCs w:val="20"/>
          </w:rPr>
          <m:t>a</m:t>
        </m:r>
      </m:oMath>
      <w:r w:rsidRPr="00435469">
        <w:rPr>
          <w:rFonts w:cs="Times New Roman"/>
          <w:sz w:val="20"/>
          <w:szCs w:val="20"/>
        </w:rPr>
        <w:t xml:space="preserve"> and</w:t>
      </w:r>
      <w:r w:rsidR="00CE1CDA" w:rsidRPr="00435469">
        <w:rPr>
          <w:rFonts w:cs="Times New Roman"/>
          <w:sz w:val="20"/>
          <w:szCs w:val="20"/>
        </w:rPr>
        <w:t xml:space="preserve"> we assume</w:t>
      </w:r>
      <w:r w:rsidRPr="00435469">
        <w:rPr>
          <w:rFonts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G</m:t>
            </m:r>
          </m:sub>
        </m:sSub>
      </m:oMath>
      <w:r w:rsidRPr="00435469">
        <w:rPr>
          <w:rFonts w:cs="Times New Roman"/>
          <w:sz w:val="20"/>
          <w:szCs w:val="20"/>
        </w:rPr>
        <w:t xml:space="preserve"> </w:t>
      </w:r>
      <w:r w:rsidR="00CE1CDA" w:rsidRPr="00435469">
        <w:rPr>
          <w:rFonts w:cs="Times New Roman"/>
          <w:sz w:val="20"/>
          <w:szCs w:val="20"/>
        </w:rPr>
        <w:t xml:space="preserve">to be </w:t>
      </w:r>
      <w:r w:rsidRPr="00435469">
        <w:rPr>
          <w:rFonts w:cs="Times New Roman"/>
          <w:sz w:val="20"/>
          <w:szCs w:val="20"/>
        </w:rPr>
        <w:t xml:space="preserve">the prevalence of respiratory symptoms in the general (non-active TB) population. </w:t>
      </w:r>
      <w:r w:rsidRPr="00435469">
        <w:rPr>
          <w:rFonts w:eastAsiaTheme="minorEastAsia" w:cs="Times New Roman"/>
          <w:sz w:val="20"/>
          <w:szCs w:val="20"/>
        </w:rPr>
        <w:t xml:space="preserve">Following interaction with health facility workers, some individuals will be requested to submit their sputum samples for testing. Thus, we let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represent the proportion of </w:t>
      </w:r>
      <w:r w:rsidRPr="00435469">
        <w:rPr>
          <w:rFonts w:cs="Times New Roman"/>
          <w:sz w:val="20"/>
          <w:szCs w:val="20"/>
        </w:rPr>
        <w:t xml:space="preserve">individuals with active TB disease, seeking treatment for their </w:t>
      </w:r>
      <w:r w:rsidRPr="00435469">
        <w:rPr>
          <w:rFonts w:eastAsiaTheme="minorEastAsia" w:cs="Times New Roman"/>
          <w:sz w:val="20"/>
          <w:szCs w:val="20"/>
        </w:rPr>
        <w:t>TB symptoms</w:t>
      </w:r>
      <w:r w:rsidR="00CE1CDA" w:rsidRPr="00435469">
        <w:rPr>
          <w:rFonts w:eastAsiaTheme="minorEastAsia" w:cs="Times New Roman"/>
          <w:sz w:val="20"/>
          <w:szCs w:val="20"/>
        </w:rPr>
        <w:t>,</w:t>
      </w:r>
      <w:r w:rsidRPr="00435469">
        <w:rPr>
          <w:rFonts w:eastAsiaTheme="minorEastAsia" w:cs="Times New Roman"/>
          <w:sz w:val="20"/>
          <w:szCs w:val="20"/>
        </w:rPr>
        <w:t xml:space="preserve"> </w:t>
      </w:r>
      <w:r w:rsidR="00CE1CDA" w:rsidRPr="00435469">
        <w:rPr>
          <w:rFonts w:eastAsiaTheme="minorEastAsia" w:cs="Times New Roman"/>
          <w:sz w:val="20"/>
          <w:szCs w:val="20"/>
        </w:rPr>
        <w:t xml:space="preserve">who </w:t>
      </w:r>
      <w:r w:rsidRPr="00435469">
        <w:rPr>
          <w:rFonts w:eastAsiaTheme="minorEastAsia" w:cs="Times New Roman"/>
          <w:sz w:val="20"/>
          <w:szCs w:val="20"/>
        </w:rPr>
        <w:t xml:space="preserve">submit their samples to be tested </w:t>
      </w:r>
      <w:r w:rsidRPr="00435469">
        <w:rPr>
          <w:rFonts w:eastAsiaTheme="minorEastAsia" w:cs="Times New Roman"/>
          <w:sz w:val="20"/>
          <w:szCs w:val="20"/>
        </w:rPr>
        <w:lastRenderedPageBreak/>
        <w:t xml:space="preserve">microbiologically; and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the proportion of individuals with TB-like respiratory symptoms,</w:t>
      </w:r>
      <w:r w:rsidRPr="00435469">
        <w:rPr>
          <w:rFonts w:cs="Times New Roman"/>
          <w:sz w:val="20"/>
          <w:szCs w:val="20"/>
        </w:rPr>
        <w:t xml:space="preserve"> seeking treatment for other conditions, </w:t>
      </w:r>
      <w:r w:rsidR="00CE1CDA" w:rsidRPr="00435469">
        <w:rPr>
          <w:rFonts w:cs="Times New Roman"/>
          <w:sz w:val="20"/>
          <w:szCs w:val="20"/>
        </w:rPr>
        <w:t>who</w:t>
      </w:r>
      <w:r w:rsidR="00CE1CDA" w:rsidRPr="00435469">
        <w:rPr>
          <w:rFonts w:eastAsiaTheme="minorEastAsia" w:cs="Times New Roman"/>
          <w:sz w:val="20"/>
          <w:szCs w:val="20"/>
        </w:rPr>
        <w:t xml:space="preserve"> </w:t>
      </w:r>
      <w:r w:rsidRPr="00435469">
        <w:rPr>
          <w:rFonts w:eastAsiaTheme="minorEastAsia" w:cs="Times New Roman"/>
          <w:sz w:val="20"/>
          <w:szCs w:val="20"/>
        </w:rPr>
        <w:t>get microbiologically tested.</w:t>
      </w:r>
    </w:p>
    <w:p w14:paraId="0FBF57DF" w14:textId="3EEAA116" w:rsidR="00971F36" w:rsidRPr="00435469" w:rsidRDefault="00971F36" w:rsidP="00955FFB">
      <w:pPr>
        <w:spacing w:line="240" w:lineRule="auto"/>
        <w:rPr>
          <w:rFonts w:cs="Times New Roman"/>
          <w:sz w:val="20"/>
          <w:szCs w:val="20"/>
        </w:rPr>
      </w:pPr>
      <w:r w:rsidRPr="00435469">
        <w:rPr>
          <w:rFonts w:eastAsiaTheme="minorEastAsia" w:cs="Times New Roman"/>
          <w:sz w:val="20"/>
          <w:szCs w:val="20"/>
        </w:rPr>
        <w:t>We allow the diagnosis of TB to depend on the sensitivity (</w:t>
      </w:r>
      <m:oMath>
        <m:r>
          <w:rPr>
            <w:rFonts w:ascii="Cambria Math" w:hAnsi="Cambria Math" w:cs="Times New Roman"/>
            <w:sz w:val="20"/>
            <w:szCs w:val="20"/>
          </w:rPr>
          <m:t>Se</m:t>
        </m:r>
        <m:d>
          <m:dPr>
            <m:ctrlPr>
              <w:rPr>
                <w:rFonts w:ascii="Cambria Math" w:hAnsi="Cambria Math" w:cs="Times New Roman"/>
                <w:i/>
                <w:sz w:val="20"/>
                <w:szCs w:val="20"/>
              </w:rPr>
            </m:ctrlPr>
          </m:dPr>
          <m:e>
            <m:r>
              <w:rPr>
                <w:rFonts w:ascii="Cambria Math" w:hAnsi="Cambria Math" w:cs="Times New Roman"/>
                <w:sz w:val="20"/>
                <w:szCs w:val="20"/>
              </w:rPr>
              <m:t>a,s,t</m:t>
            </m:r>
            <m:ctrlPr>
              <w:rPr>
                <w:rFonts w:ascii="Cambria Math" w:eastAsiaTheme="minorEastAsia" w:hAnsi="Cambria Math" w:cs="Times New Roman"/>
                <w:i/>
                <w:sz w:val="20"/>
                <w:szCs w:val="20"/>
              </w:rPr>
            </m:ctrlPr>
          </m:e>
        </m:d>
      </m:oMath>
      <w:r w:rsidRPr="00435469">
        <w:rPr>
          <w:rFonts w:eastAsiaTheme="minorEastAsia" w:cs="Times New Roman"/>
          <w:sz w:val="20"/>
          <w:szCs w:val="20"/>
        </w:rPr>
        <w:t>) and specificity (</w:t>
      </w:r>
      <m:oMath>
        <m:r>
          <w:rPr>
            <w:rFonts w:ascii="Cambria Math" w:hAnsi="Cambria Math" w:cs="Times New Roman"/>
            <w:sz w:val="20"/>
            <w:szCs w:val="20"/>
          </w:rPr>
          <m:t>Sp</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of the diagnostic algorithm for smear status </w:t>
      </w:r>
      <m:oMath>
        <m:r>
          <w:rPr>
            <w:rFonts w:ascii="Cambria Math" w:hAnsi="Cambria Math" w:cs="Times New Roman"/>
            <w:sz w:val="20"/>
            <w:szCs w:val="20"/>
          </w:rPr>
          <m:t>a</m:t>
        </m:r>
      </m:oMath>
      <w:r w:rsidRPr="00435469">
        <w:rPr>
          <w:rFonts w:eastAsiaTheme="minorEastAsia" w:cs="Times New Roman"/>
          <w:sz w:val="20"/>
          <w:szCs w:val="20"/>
        </w:rPr>
        <w:t xml:space="preserve"> and HIV state </w:t>
      </w:r>
      <m:oMath>
        <m:r>
          <w:rPr>
            <w:rFonts w:ascii="Cambria Math" w:hAnsi="Cambria Math" w:cs="Times New Roman"/>
            <w:sz w:val="20"/>
            <w:szCs w:val="20"/>
          </w:rPr>
          <m:t>s</m:t>
        </m:r>
      </m:oMath>
      <w:r w:rsidRPr="00435469">
        <w:rPr>
          <w:rFonts w:eastAsiaTheme="minorEastAsia" w:cs="Times New Roman"/>
          <w:sz w:val="20"/>
          <w:szCs w:val="20"/>
        </w:rPr>
        <w:t xml:space="preserve">, at time </w:t>
      </w:r>
      <m:oMath>
        <m:r>
          <w:rPr>
            <w:rFonts w:ascii="Cambria Math" w:hAnsi="Cambria Math" w:cs="Times New Roman"/>
            <w:sz w:val="20"/>
            <w:szCs w:val="20"/>
          </w:rPr>
          <m:t>t</m:t>
        </m:r>
      </m:oMath>
      <w:r w:rsidRPr="00435469">
        <w:rPr>
          <w:rFonts w:eastAsiaTheme="minorEastAsia" w:cs="Times New Roman"/>
          <w:sz w:val="20"/>
          <w:szCs w:val="20"/>
        </w:rPr>
        <w:t xml:space="preserve">. </w:t>
      </w:r>
      <w:r w:rsidR="006468B2" w:rsidRPr="00435469">
        <w:rPr>
          <w:rFonts w:eastAsiaTheme="minorEastAsia" w:cs="Times New Roman"/>
          <w:sz w:val="20"/>
          <w:szCs w:val="20"/>
        </w:rPr>
        <w:t>W</w:t>
      </w:r>
      <w:r w:rsidRPr="00435469">
        <w:rPr>
          <w:rFonts w:eastAsiaTheme="minorEastAsia" w:cs="Times New Roman"/>
          <w:sz w:val="20"/>
          <w:szCs w:val="20"/>
        </w:rPr>
        <w:t xml:space="preserve">e consider the sensitivity and specificity of the first line microbiological diagnostic tests – </w:t>
      </w:r>
      <w:r w:rsidR="00492884" w:rsidRPr="00435469">
        <w:rPr>
          <w:rFonts w:eastAsiaTheme="minorEastAsia" w:cs="Times New Roman"/>
          <w:sz w:val="20"/>
          <w:szCs w:val="20"/>
        </w:rPr>
        <w:t>Gene</w:t>
      </w:r>
      <w:r w:rsidR="006D46F3" w:rsidRPr="00435469">
        <w:rPr>
          <w:rFonts w:eastAsiaTheme="minorEastAsia" w:cs="Times New Roman"/>
          <w:sz w:val="20"/>
          <w:szCs w:val="20"/>
        </w:rPr>
        <w:t>Xpert MTB/RIF</w:t>
      </w:r>
      <w:r w:rsidRPr="00435469">
        <w:rPr>
          <w:rFonts w:eastAsiaTheme="minorEastAsia" w:cs="Times New Roman"/>
          <w:sz w:val="20"/>
          <w:szCs w:val="20"/>
        </w:rPr>
        <w:t xml:space="preserve"> and smear microscopy</w:t>
      </w:r>
      <w:r w:rsidR="006468B2" w:rsidRPr="00435469">
        <w:rPr>
          <w:rFonts w:eastAsiaTheme="minorEastAsia" w:cs="Times New Roman"/>
          <w:sz w:val="20"/>
          <w:szCs w:val="20"/>
        </w:rPr>
        <w:t xml:space="preserve"> – as well as culture (assumed to be 100%)</w:t>
      </w:r>
      <w:r w:rsidRPr="00435469">
        <w:rPr>
          <w:rFonts w:eastAsiaTheme="minorEastAsia" w:cs="Times New Roman"/>
          <w:sz w:val="20"/>
          <w:szCs w:val="20"/>
        </w:rPr>
        <w:t xml:space="preserve">. </w:t>
      </w:r>
      <w:r w:rsidRPr="00435469">
        <w:rPr>
          <w:rFonts w:cs="Times New Roman"/>
          <w:sz w:val="20"/>
          <w:szCs w:val="20"/>
        </w:rPr>
        <w:t xml:space="preserve">The diagnostic algorithm is given by: </w:t>
      </w:r>
    </w:p>
    <w:p w14:paraId="1CF9534E" w14:textId="43D250F5" w:rsidR="00E82DB4" w:rsidRPr="00435469" w:rsidRDefault="00E82DB4" w:rsidP="00955FFB">
      <w:pPr>
        <w:pStyle w:val="Caption"/>
        <w:rPr>
          <w:rFonts w:cs="Times New Roman"/>
          <w:color w:val="auto"/>
          <w:sz w:val="20"/>
          <w:szCs w:val="20"/>
        </w:rPr>
      </w:pPr>
      <w:r w:rsidRPr="00435469">
        <w:rPr>
          <w:color w:val="auto"/>
          <w:sz w:val="20"/>
          <w:szCs w:val="20"/>
        </w:rPr>
        <w:t xml:space="preserve">Equation </w:t>
      </w:r>
      <w:r w:rsidRPr="00435469">
        <w:rPr>
          <w:color w:val="auto"/>
          <w:sz w:val="20"/>
          <w:szCs w:val="20"/>
        </w:rPr>
        <w:fldChar w:fldCharType="begin"/>
      </w:r>
      <w:r w:rsidRPr="00435469">
        <w:rPr>
          <w:color w:val="auto"/>
          <w:sz w:val="20"/>
          <w:szCs w:val="20"/>
        </w:rPr>
        <w:instrText xml:space="preserve"> SEQ Equation \* ARABIC </w:instrText>
      </w:r>
      <w:r w:rsidRPr="00435469">
        <w:rPr>
          <w:color w:val="auto"/>
          <w:sz w:val="20"/>
          <w:szCs w:val="20"/>
        </w:rPr>
        <w:fldChar w:fldCharType="separate"/>
      </w:r>
      <w:r w:rsidR="00186C2F" w:rsidRPr="00435469">
        <w:rPr>
          <w:noProof/>
          <w:color w:val="auto"/>
          <w:sz w:val="20"/>
          <w:szCs w:val="20"/>
        </w:rPr>
        <w:t>1</w:t>
      </w:r>
      <w:r w:rsidRPr="00435469">
        <w:rPr>
          <w:color w:val="auto"/>
          <w:sz w:val="20"/>
          <w:szCs w:val="20"/>
        </w:rPr>
        <w:fldChar w:fldCharType="end"/>
      </w:r>
      <w:r w:rsidR="00D850BA" w:rsidRPr="00435469">
        <w:rPr>
          <w:color w:val="auto"/>
          <w:sz w:val="20"/>
          <w:szCs w:val="20"/>
        </w:rPr>
        <w:t xml:space="preserve">: </w:t>
      </w:r>
      <w:r w:rsidR="004E0675" w:rsidRPr="00435469">
        <w:rPr>
          <w:color w:val="auto"/>
          <w:sz w:val="20"/>
          <w:szCs w:val="20"/>
        </w:rPr>
        <w:t>D</w:t>
      </w:r>
      <w:r w:rsidR="00D850BA" w:rsidRPr="00435469">
        <w:rPr>
          <w:color w:val="auto"/>
          <w:sz w:val="20"/>
          <w:szCs w:val="20"/>
        </w:rPr>
        <w:t>iagnostic algorithm s</w:t>
      </w:r>
      <w:r w:rsidR="00D542E9" w:rsidRPr="00435469">
        <w:rPr>
          <w:color w:val="auto"/>
          <w:sz w:val="20"/>
          <w:szCs w:val="20"/>
        </w:rPr>
        <w:t xml:space="preserve">ensitivity </w:t>
      </w:r>
    </w:p>
    <w:p w14:paraId="3A9AB79D" w14:textId="77777777" w:rsidR="00971F36" w:rsidRPr="00435469" w:rsidRDefault="00971F36" w:rsidP="00955FFB">
      <w:pPr>
        <w:spacing w:line="240" w:lineRule="auto"/>
        <w:jc w:val="center"/>
        <w:rPr>
          <w:rFonts w:eastAsiaTheme="minorEastAsia" w:cs="Times New Roman"/>
          <w:sz w:val="20"/>
          <w:szCs w:val="20"/>
        </w:rPr>
      </w:pPr>
      <m:oMathPara>
        <m:oMath>
          <m:r>
            <w:rPr>
              <w:rFonts w:ascii="Cambria Math" w:hAnsi="Cambria Math" w:cs="Times New Roman"/>
              <w:sz w:val="20"/>
              <w:szCs w:val="20"/>
            </w:rPr>
            <m:t>Se</m:t>
          </m:r>
          <m:d>
            <m:dPr>
              <m:ctrlPr>
                <w:rPr>
                  <w:rFonts w:ascii="Cambria Math" w:hAnsi="Cambria Math" w:cs="Times New Roman"/>
                  <w:i/>
                  <w:sz w:val="20"/>
                  <w:szCs w:val="20"/>
                </w:rPr>
              </m:ctrlPr>
            </m:dPr>
            <m:e>
              <m:r>
                <w:rPr>
                  <w:rFonts w:ascii="Cambria Math" w:hAnsi="Cambria Math" w:cs="Times New Roman"/>
                  <w:sz w:val="20"/>
                  <w:szCs w:val="20"/>
                </w:rPr>
                <m:t>a,t,s</m:t>
              </m:r>
              <m:ctrlPr>
                <w:rPr>
                  <w:rFonts w:ascii="Cambria Math" w:eastAsiaTheme="minorEastAsia" w:hAnsi="Cambria Math" w:cs="Times New Roman"/>
                  <w:i/>
                  <w:sz w:val="20"/>
                  <w:szCs w:val="20"/>
                </w:rPr>
              </m:ctrlPr>
            </m:e>
          </m:d>
          <m:r>
            <w:rPr>
              <w:rFonts w:ascii="Cambria Math" w:eastAsiaTheme="minorEastAsia" w:hAnsi="Cambria Math" w:cs="Times New Roman"/>
              <w:sz w:val="20"/>
              <w:szCs w:val="20"/>
            </w:rPr>
            <m:t>=M</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t</m:t>
              </m:r>
            </m:e>
          </m:d>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e>
              </m:d>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1-S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e>
                  </m:d>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M</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s,t</m:t>
                  </m:r>
                </m:e>
              </m:d>
            </m:e>
          </m:d>
        </m:oMath>
      </m:oMathPara>
    </w:p>
    <w:p w14:paraId="5C82E550" w14:textId="77777777" w:rsidR="00971F36" w:rsidRPr="00435469" w:rsidRDefault="00971F36" w:rsidP="00955FFB">
      <w:pPr>
        <w:spacing w:line="240" w:lineRule="auto"/>
        <w:jc w:val="center"/>
        <w:rPr>
          <w:rFonts w:eastAsiaTheme="minorEastAsia" w:cs="Times New Roman"/>
          <w:sz w:val="20"/>
          <w:szCs w:val="20"/>
        </w:rPr>
      </w:pPr>
      <m:oMathPara>
        <m:oMath>
          <m:r>
            <w:rPr>
              <w:rFonts w:ascii="Cambria Math" w:eastAsiaTheme="minorEastAsia" w:hAnsi="Cambria Math" w:cs="Times New Roman"/>
              <w:sz w:val="20"/>
              <w:szCs w:val="20"/>
            </w:rPr>
            <m:t xml:space="preserve">+ </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1-M</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t</m:t>
                  </m:r>
                </m:e>
              </m:d>
            </m:e>
          </m:d>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G</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e>
              </m:d>
              <m:r>
                <w:rPr>
                  <w:rFonts w:ascii="Cambria Math" w:eastAsiaTheme="minorEastAsia" w:hAnsi="Cambria Math" w:cs="Times New Roman"/>
                  <w:sz w:val="20"/>
                  <w:szCs w:val="20"/>
                </w:rPr>
                <m:t xml:space="preserve"> +</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1-S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G</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e>
                  </m:d>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G</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a,s,t</m:t>
                  </m:r>
                </m:e>
              </m:d>
            </m:e>
          </m:d>
        </m:oMath>
      </m:oMathPara>
    </w:p>
    <w:p w14:paraId="24A421C1" w14:textId="39882C31" w:rsidR="00971F36" w:rsidRPr="00435469" w:rsidRDefault="00E82DB4" w:rsidP="00955FFB">
      <w:pPr>
        <w:spacing w:line="240" w:lineRule="auto"/>
        <w:rPr>
          <w:rFonts w:eastAsiaTheme="minorEastAsia" w:cs="Times New Roman"/>
          <w:sz w:val="20"/>
          <w:szCs w:val="20"/>
        </w:rPr>
      </w:pPr>
      <w:r w:rsidRPr="00435469">
        <w:rPr>
          <w:rFonts w:eastAsiaTheme="minorEastAsia" w:cs="Times New Roman"/>
          <w:sz w:val="20"/>
          <w:szCs w:val="20"/>
        </w:rPr>
        <w:t>A</w:t>
      </w:r>
      <w:r w:rsidR="00971F36" w:rsidRPr="00435469">
        <w:rPr>
          <w:rFonts w:eastAsiaTheme="minorEastAsia" w:cs="Times New Roman"/>
          <w:sz w:val="20"/>
          <w:szCs w:val="20"/>
        </w:rPr>
        <w:t>nd</w:t>
      </w:r>
    </w:p>
    <w:p w14:paraId="30467ADC" w14:textId="0F7B067F" w:rsidR="00E82DB4" w:rsidRPr="00435469" w:rsidRDefault="00E82DB4" w:rsidP="00955FFB">
      <w:pPr>
        <w:pStyle w:val="Caption"/>
        <w:rPr>
          <w:rFonts w:eastAsiaTheme="minorEastAsia" w:cs="Times New Roman"/>
          <w:color w:val="auto"/>
          <w:sz w:val="20"/>
          <w:szCs w:val="20"/>
        </w:rPr>
      </w:pPr>
      <w:r w:rsidRPr="00435469">
        <w:rPr>
          <w:color w:val="auto"/>
          <w:sz w:val="20"/>
          <w:szCs w:val="20"/>
        </w:rPr>
        <w:t xml:space="preserve">Equation </w:t>
      </w:r>
      <w:r w:rsidRPr="00435469">
        <w:rPr>
          <w:color w:val="auto"/>
          <w:sz w:val="20"/>
          <w:szCs w:val="20"/>
        </w:rPr>
        <w:fldChar w:fldCharType="begin"/>
      </w:r>
      <w:r w:rsidRPr="00435469">
        <w:rPr>
          <w:color w:val="auto"/>
          <w:sz w:val="20"/>
          <w:szCs w:val="20"/>
        </w:rPr>
        <w:instrText xml:space="preserve"> SEQ Equation \* ARABIC </w:instrText>
      </w:r>
      <w:r w:rsidRPr="00435469">
        <w:rPr>
          <w:color w:val="auto"/>
          <w:sz w:val="20"/>
          <w:szCs w:val="20"/>
        </w:rPr>
        <w:fldChar w:fldCharType="separate"/>
      </w:r>
      <w:r w:rsidR="00186C2F" w:rsidRPr="00435469">
        <w:rPr>
          <w:noProof/>
          <w:color w:val="auto"/>
          <w:sz w:val="20"/>
          <w:szCs w:val="20"/>
        </w:rPr>
        <w:t>2</w:t>
      </w:r>
      <w:r w:rsidRPr="00435469">
        <w:rPr>
          <w:color w:val="auto"/>
          <w:sz w:val="20"/>
          <w:szCs w:val="20"/>
        </w:rPr>
        <w:fldChar w:fldCharType="end"/>
      </w:r>
      <w:r w:rsidR="00D542E9" w:rsidRPr="00435469">
        <w:rPr>
          <w:color w:val="auto"/>
          <w:sz w:val="20"/>
          <w:szCs w:val="20"/>
        </w:rPr>
        <w:t xml:space="preserve">: </w:t>
      </w:r>
      <w:r w:rsidR="004E0675" w:rsidRPr="00435469">
        <w:rPr>
          <w:color w:val="auto"/>
          <w:sz w:val="20"/>
          <w:szCs w:val="20"/>
        </w:rPr>
        <w:t>D</w:t>
      </w:r>
      <w:r w:rsidR="00D542E9" w:rsidRPr="00435469">
        <w:rPr>
          <w:color w:val="auto"/>
          <w:sz w:val="20"/>
          <w:szCs w:val="20"/>
        </w:rPr>
        <w:t xml:space="preserve">iagnostic algorithm specificity </w:t>
      </w:r>
    </w:p>
    <w:p w14:paraId="47AFADF9" w14:textId="77777777" w:rsidR="00971F36" w:rsidRPr="00435469" w:rsidRDefault="00971F36" w:rsidP="00955FFB">
      <w:pPr>
        <w:spacing w:line="240" w:lineRule="auto"/>
        <w:jc w:val="center"/>
        <w:rPr>
          <w:rFonts w:cs="Times New Roman"/>
          <w:sz w:val="20"/>
          <w:szCs w:val="20"/>
        </w:rPr>
      </w:pPr>
      <m:oMath>
        <m:r>
          <w:rPr>
            <w:rFonts w:ascii="Cambria Math" w:hAnsi="Cambria Math" w:cs="Times New Roman"/>
            <w:sz w:val="20"/>
            <w:szCs w:val="20"/>
          </w:rPr>
          <m:t>Sp</m:t>
        </m:r>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=M</m:t>
        </m:r>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S</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1-M</m:t>
            </m:r>
            <m:d>
              <m:dPr>
                <m:ctrlPr>
                  <w:rPr>
                    <w:rFonts w:ascii="Cambria Math" w:hAnsi="Cambria Math" w:cs="Times New Roman"/>
                    <w:i/>
                    <w:sz w:val="20"/>
                    <w:szCs w:val="20"/>
                  </w:rPr>
                </m:ctrlPr>
              </m:dPr>
              <m:e>
                <m:r>
                  <w:rPr>
                    <w:rFonts w:ascii="Cambria Math" w:hAnsi="Cambria Math" w:cs="Times New Roman"/>
                    <w:sz w:val="20"/>
                    <w:szCs w:val="20"/>
                  </w:rPr>
                  <m:t>t</m:t>
                </m:r>
              </m:e>
            </m:d>
          </m:e>
        </m:d>
        <m:r>
          <w:rPr>
            <w:rFonts w:ascii="Cambria Math" w:hAnsi="Cambria Math" w:cs="Times New Roman"/>
            <w:sz w:val="20"/>
            <w:szCs w:val="20"/>
          </w:rPr>
          <m:t>S</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G</m:t>
            </m:r>
          </m:sub>
        </m:sSub>
      </m:oMath>
      <w:r w:rsidRPr="00435469">
        <w:rPr>
          <w:rFonts w:cs="Times New Roman"/>
          <w:sz w:val="20"/>
          <w:szCs w:val="20"/>
        </w:rPr>
        <w:tab/>
      </w:r>
    </w:p>
    <w:p w14:paraId="39B20086" w14:textId="22E0AD7A" w:rsidR="00971F36" w:rsidRPr="00435469" w:rsidRDefault="00971F36" w:rsidP="00955FFB">
      <w:pPr>
        <w:spacing w:line="240" w:lineRule="auto"/>
        <w:rPr>
          <w:rFonts w:eastAsiaTheme="minorEastAsia" w:cs="Times New Roman"/>
          <w:sz w:val="20"/>
          <w:szCs w:val="20"/>
        </w:rPr>
      </w:pPr>
      <w:r w:rsidRPr="00435469">
        <w:rPr>
          <w:rFonts w:eastAsiaTheme="minorEastAsia" w:cs="Times New Roman"/>
          <w:sz w:val="20"/>
          <w:szCs w:val="20"/>
        </w:rPr>
        <w:t xml:space="preserve">where </w:t>
      </w:r>
      <m:oMath>
        <m:r>
          <w:rPr>
            <w:rFonts w:ascii="Cambria Math" w:eastAsiaTheme="minorEastAsia" w:hAnsi="Cambria Math" w:cs="Times New Roman"/>
            <w:sz w:val="20"/>
            <w:szCs w:val="20"/>
          </w:rPr>
          <m:t>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e>
        </m:d>
      </m:oMath>
      <w:r w:rsidRPr="00435469">
        <w:rPr>
          <w:rFonts w:cs="Times New Roman"/>
          <w:sz w:val="20"/>
          <w:szCs w:val="20"/>
        </w:rPr>
        <w:t xml:space="preserve"> and </w:t>
      </w:r>
      <m:oMath>
        <m:r>
          <w:rPr>
            <w:rFonts w:ascii="Cambria Math" w:eastAsiaTheme="minorEastAsia" w:hAnsi="Cambria Math" w:cs="Times New Roman"/>
            <w:sz w:val="20"/>
            <w:szCs w:val="20"/>
          </w:rPr>
          <m:t>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G</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e>
        </m:d>
      </m:oMath>
      <w:r w:rsidRPr="00435469">
        <w:rPr>
          <w:rFonts w:eastAsiaTheme="minorEastAsia" w:cs="Times New Roman"/>
          <w:sz w:val="20"/>
          <w:szCs w:val="20"/>
        </w:rPr>
        <w:t xml:space="preserve"> </w:t>
      </w:r>
      <w:r w:rsidRPr="00435469">
        <w:rPr>
          <w:rFonts w:cs="Times New Roman"/>
          <w:sz w:val="20"/>
          <w:szCs w:val="20"/>
        </w:rPr>
        <w:t>represent the sensitivity of smear microscopy and</w:t>
      </w:r>
      <w:r w:rsidR="00571AF7" w:rsidRPr="00435469">
        <w:rPr>
          <w:rFonts w:cs="Times New Roman"/>
          <w:sz w:val="20"/>
          <w:szCs w:val="20"/>
        </w:rPr>
        <w:t xml:space="preserve"> </w:t>
      </w:r>
      <w:r w:rsidR="009A4C4C" w:rsidRPr="00435469">
        <w:rPr>
          <w:rFonts w:cs="Times New Roman"/>
          <w:sz w:val="20"/>
          <w:szCs w:val="20"/>
        </w:rPr>
        <w:t>Gene</w:t>
      </w:r>
      <w:r w:rsidR="00571AF7" w:rsidRPr="00435469">
        <w:rPr>
          <w:rFonts w:cs="Times New Roman"/>
          <w:sz w:val="20"/>
          <w:szCs w:val="20"/>
        </w:rPr>
        <w:t>Xpert MTB/RIF</w:t>
      </w:r>
      <w:r w:rsidRPr="00435469">
        <w:rPr>
          <w:rFonts w:cs="Times New Roman"/>
          <w:sz w:val="20"/>
          <w:szCs w:val="20"/>
        </w:rPr>
        <w:t xml:space="preserve"> in active TB patients, respectively; </w:t>
      </w:r>
      <m:oMath>
        <m:r>
          <w:rPr>
            <w:rFonts w:ascii="Cambria Math" w:eastAsiaTheme="minorEastAsia" w:hAnsi="Cambria Math" w:cs="Times New Roman"/>
            <w:sz w:val="20"/>
            <w:szCs w:val="20"/>
          </w:rPr>
          <m:t>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M</m:t>
            </m:r>
          </m:sub>
        </m:sSub>
      </m:oMath>
      <w:r w:rsidRPr="00435469">
        <w:rPr>
          <w:rFonts w:eastAsiaTheme="minorEastAsia" w:cs="Times New Roman"/>
          <w:sz w:val="20"/>
          <w:szCs w:val="20"/>
        </w:rPr>
        <w:t xml:space="preserve"> </w:t>
      </w:r>
      <w:r w:rsidRPr="00435469">
        <w:rPr>
          <w:rFonts w:cs="Times New Roman"/>
          <w:sz w:val="20"/>
          <w:szCs w:val="20"/>
        </w:rPr>
        <w:t xml:space="preserve">and </w:t>
      </w:r>
      <m:oMath>
        <m:r>
          <w:rPr>
            <w:rFonts w:ascii="Cambria Math" w:eastAsiaTheme="minorEastAsia" w:hAnsi="Cambria Math" w:cs="Times New Roman"/>
            <w:sz w:val="20"/>
            <w:szCs w:val="20"/>
          </w:rPr>
          <m:t>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G</m:t>
            </m:r>
          </m:sub>
        </m:sSub>
      </m:oMath>
      <w:r w:rsidRPr="00435469">
        <w:rPr>
          <w:rFonts w:cs="Times New Roman"/>
          <w:sz w:val="20"/>
          <w:szCs w:val="20"/>
        </w:rPr>
        <w:t xml:space="preserve"> </w:t>
      </w:r>
      <w:r w:rsidR="00CE1CDA" w:rsidRPr="00435469">
        <w:rPr>
          <w:rFonts w:cs="Times New Roman"/>
          <w:sz w:val="20"/>
          <w:szCs w:val="20"/>
        </w:rPr>
        <w:t xml:space="preserve">represent </w:t>
      </w:r>
      <w:r w:rsidRPr="00435469">
        <w:rPr>
          <w:rFonts w:cs="Times New Roman"/>
          <w:sz w:val="20"/>
          <w:szCs w:val="20"/>
        </w:rPr>
        <w:t xml:space="preserve">the specificity of smear microscopy and </w:t>
      </w:r>
      <w:r w:rsidR="009A4C4C" w:rsidRPr="00435469">
        <w:rPr>
          <w:rFonts w:cs="Times New Roman"/>
          <w:sz w:val="20"/>
          <w:szCs w:val="20"/>
        </w:rPr>
        <w:t>Gene</w:t>
      </w:r>
      <w:r w:rsidR="00571AF7" w:rsidRPr="00435469">
        <w:rPr>
          <w:rFonts w:cs="Times New Roman"/>
          <w:sz w:val="20"/>
          <w:szCs w:val="20"/>
        </w:rPr>
        <w:t>Xpert MTB/RIF</w:t>
      </w:r>
      <w:r w:rsidRPr="00435469">
        <w:rPr>
          <w:rFonts w:cs="Times New Roman"/>
          <w:sz w:val="20"/>
          <w:szCs w:val="20"/>
        </w:rPr>
        <w:t xml:space="preserve">, respectively. </w:t>
      </w:r>
      <w:r w:rsidRPr="00435469">
        <w:rPr>
          <w:rFonts w:eastAsiaTheme="minorEastAsia" w:cs="Times New Roman"/>
          <w:sz w:val="20"/>
          <w:szCs w:val="20"/>
        </w:rPr>
        <w:t>Given the recommendations that negative test results after an initial test require follow-up testing</w:t>
      </w:r>
      <w:r w:rsidR="00CE1CDA" w:rsidRPr="00435469">
        <w:rPr>
          <w:rFonts w:eastAsiaTheme="minorEastAsia" w:cs="Times New Roman"/>
          <w:sz w:val="20"/>
          <w:szCs w:val="20"/>
        </w:rPr>
        <w:t xml:space="preserve"> (particularly in the case of previously treated and HIV-positive cases </w:t>
      </w:r>
      <w:r w:rsidR="008B5AB5" w:rsidRPr="00435469">
        <w:rPr>
          <w:rFonts w:eastAsiaTheme="minorEastAsia" w:cs="Times New Roman"/>
          <w:sz w:val="20"/>
          <w:szCs w:val="20"/>
        </w:rPr>
        <w:fldChar w:fldCharType="begin" w:fldLock="1"/>
      </w:r>
      <w:r w:rsidR="002F049E" w:rsidRPr="00435469">
        <w:rPr>
          <w:rFonts w:eastAsiaTheme="minorEastAsia" w:cs="Times New Roman"/>
          <w:sz w:val="20"/>
          <w:szCs w:val="20"/>
        </w:rPr>
        <w:instrText>ADDIN CSL_CITATION {"citationItems":[{"id":"ITEM-1","itemData":{"ISBN":"9781920031824","id":"ITEM-1","issued":{"date-parts":[["2014"]]},"title":"National Tuberculosis Management Guidelines 2014","type":"report"},"uris":["http://www.mendeley.com/documents/?uuid=b372627a-f61a-4fb0-8c39-102550d37921"]},{"id":"ITEM-2","itemData":{"ISBN":"9781920031824","abstract":"Tuberculosis and HIV/ AIDS are the drivers of morbidity and mortality in the country. Therefore more effort must be put into strategies that help us to: 1) reduce transmission of infection in the communities, 2) diagnose DS-TB and DR-TB early, 3) initiate treatment in all patients diagnosed with TB early, 4) retain patients in treatment and care until completion of treatment and 5) prevent TB in people lining with HIV by initiating all eligible HIV positive people on ART and Isoniazid preventive therapy. Implementing all these strategies in combination will help us as a country to attain the Millennium Development Goals. To this end, we have introduced new rapid diagnostic tests for drug susceptible and drug resistant TB, additional and new medicines for treating MDR and XDR-TB and are scaling up ward based outreach teams as part of PHC re engineering to provide care and support for patients at home and promote healthy lifestyle. Health care professionals play a pivotal role in the management of TB patients and we remain grateful for their dedication and hard work.","id":"ITEM-2","issued":{"date-parts":[["2008"]]},"publisher-place":"Department of Health. Pretoroia, South Africa","title":"National Tuberculosis Management Guidelines","type":"report"},"uris":["http://www.mendeley.com/documents/?uuid=892b6970-4d93-4875-82bc-bcca70ee8918"]}],"mendeley":{"formattedCitation":"(42,43)","plainTextFormattedCitation":"(42,43)","previouslyFormattedCitation":"(42,43)"},"properties":{"noteIndex":0},"schema":"https://github.com/citation-style-language/schema/raw/master/csl-citation.json"}</w:instrText>
      </w:r>
      <w:r w:rsidR="008B5AB5" w:rsidRPr="00435469">
        <w:rPr>
          <w:rFonts w:eastAsiaTheme="minorEastAsia" w:cs="Times New Roman"/>
          <w:sz w:val="20"/>
          <w:szCs w:val="20"/>
        </w:rPr>
        <w:fldChar w:fldCharType="separate"/>
      </w:r>
      <w:r w:rsidR="0063047A" w:rsidRPr="00435469">
        <w:rPr>
          <w:rFonts w:eastAsiaTheme="minorEastAsia" w:cs="Times New Roman"/>
          <w:noProof/>
          <w:sz w:val="20"/>
          <w:szCs w:val="20"/>
        </w:rPr>
        <w:t>(42,43)</w:t>
      </w:r>
      <w:r w:rsidR="008B5AB5" w:rsidRPr="00435469">
        <w:rPr>
          <w:rFonts w:eastAsiaTheme="minorEastAsia" w:cs="Times New Roman"/>
          <w:sz w:val="20"/>
          <w:szCs w:val="20"/>
        </w:rPr>
        <w:fldChar w:fldCharType="end"/>
      </w:r>
      <w:r w:rsidR="00AF7F32" w:rsidRPr="00435469">
        <w:rPr>
          <w:rFonts w:eastAsiaTheme="minorEastAsia" w:cs="Times New Roman"/>
          <w:sz w:val="20"/>
          <w:szCs w:val="20"/>
        </w:rPr>
        <w:t>)</w:t>
      </w:r>
      <w:r w:rsidRPr="00435469">
        <w:rPr>
          <w:rFonts w:eastAsiaTheme="minorEastAsia" w:cs="Times New Roman"/>
          <w:sz w:val="20"/>
          <w:szCs w:val="20"/>
        </w:rPr>
        <w:t xml:space="preserve">, we allow individuals to be followed up for a second test. </w:t>
      </w:r>
    </w:p>
    <w:p w14:paraId="7CCAF110" w14:textId="02586B82" w:rsidR="00971F36" w:rsidRPr="00435469" w:rsidRDefault="00971F36" w:rsidP="00955FFB">
      <w:pPr>
        <w:spacing w:line="240" w:lineRule="auto"/>
        <w:rPr>
          <w:rFonts w:cs="Times New Roman"/>
          <w:sz w:val="20"/>
          <w:szCs w:val="20"/>
        </w:rPr>
      </w:pPr>
      <w:r w:rsidRPr="00435469">
        <w:rPr>
          <w:rFonts w:cs="Times New Roman"/>
          <w:sz w:val="20"/>
          <w:szCs w:val="20"/>
        </w:rPr>
        <w:t xml:space="preserve">To represent the national-level implementation of the specific diagnostic tools, we </w:t>
      </w:r>
      <w:r w:rsidR="00CE1CDA" w:rsidRPr="00435469">
        <w:rPr>
          <w:rFonts w:cs="Times New Roman"/>
          <w:sz w:val="20"/>
          <w:szCs w:val="20"/>
        </w:rPr>
        <w:t xml:space="preserve">define </w:t>
      </w:r>
      <m:oMath>
        <m:r>
          <w:rPr>
            <w:rFonts w:ascii="Cambria Math" w:eastAsiaTheme="minorEastAsia" w:hAnsi="Cambria Math" w:cs="Times New Roman"/>
            <w:sz w:val="20"/>
            <w:szCs w:val="20"/>
          </w:rPr>
          <m:t>M</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t</m:t>
            </m:r>
          </m:e>
        </m:d>
      </m:oMath>
      <w:r w:rsidRPr="00435469">
        <w:rPr>
          <w:rFonts w:cs="Times New Roman"/>
          <w:sz w:val="20"/>
          <w:szCs w:val="20"/>
        </w:rPr>
        <w:t xml:space="preserve"> </w:t>
      </w:r>
      <w:r w:rsidR="00CE1CDA" w:rsidRPr="00435469">
        <w:rPr>
          <w:rFonts w:cs="Times New Roman"/>
          <w:sz w:val="20"/>
          <w:szCs w:val="20"/>
        </w:rPr>
        <w:t xml:space="preserve">to </w:t>
      </w:r>
      <w:r w:rsidRPr="00435469">
        <w:rPr>
          <w:rFonts w:cs="Times New Roman"/>
          <w:sz w:val="20"/>
          <w:szCs w:val="20"/>
        </w:rPr>
        <w:t>be the proportion of TB suspects who are initially tested by smear microscopy in year t and the remainder (</w:t>
      </w:r>
      <m:oMath>
        <m:r>
          <w:rPr>
            <w:rFonts w:ascii="Cambria Math" w:eastAsiaTheme="minorEastAsia" w:hAnsi="Cambria Math" w:cs="Times New Roman"/>
            <w:sz w:val="20"/>
            <w:szCs w:val="20"/>
          </w:rPr>
          <m:t>1-M</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t</m:t>
            </m:r>
          </m:e>
        </m:d>
      </m:oMath>
      <w:r w:rsidRPr="00435469">
        <w:rPr>
          <w:rFonts w:eastAsiaTheme="minorEastAsia" w:cs="Times New Roman"/>
          <w:sz w:val="20"/>
          <w:szCs w:val="20"/>
        </w:rPr>
        <w:t>)</w:t>
      </w:r>
      <w:r w:rsidRPr="00435469">
        <w:rPr>
          <w:rFonts w:cs="Times New Roman"/>
          <w:sz w:val="20"/>
          <w:szCs w:val="20"/>
        </w:rPr>
        <w:t xml:space="preserve"> </w:t>
      </w:r>
      <w:r w:rsidR="006468B2" w:rsidRPr="00435469">
        <w:rPr>
          <w:rFonts w:cs="Times New Roman"/>
          <w:sz w:val="20"/>
          <w:szCs w:val="20"/>
        </w:rPr>
        <w:t xml:space="preserve">are </w:t>
      </w:r>
      <w:r w:rsidRPr="00435469">
        <w:rPr>
          <w:rFonts w:cs="Times New Roman"/>
          <w:sz w:val="20"/>
          <w:szCs w:val="20"/>
        </w:rPr>
        <w:t xml:space="preserve">tested by </w:t>
      </w:r>
      <w:r w:rsidR="00B9165F" w:rsidRPr="00435469">
        <w:rPr>
          <w:rFonts w:cs="Times New Roman"/>
          <w:sz w:val="20"/>
          <w:szCs w:val="20"/>
        </w:rPr>
        <w:t>Gene</w:t>
      </w:r>
      <w:r w:rsidR="001102A6" w:rsidRPr="00435469">
        <w:rPr>
          <w:rFonts w:cs="Times New Roman"/>
          <w:sz w:val="20"/>
          <w:szCs w:val="20"/>
        </w:rPr>
        <w:t>Xpert MTB/RIF</w:t>
      </w:r>
      <w:r w:rsidRPr="00435469">
        <w:rPr>
          <w:rFonts w:cs="Times New Roman"/>
          <w:sz w:val="20"/>
          <w:szCs w:val="20"/>
        </w:rPr>
        <w:t xml:space="preserve"> initially. We then define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G</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a,s,t</m:t>
            </m:r>
          </m:e>
        </m:d>
      </m:oMath>
      <w:r w:rsidRPr="00435469">
        <w:rPr>
          <w:rFonts w:eastAsiaTheme="minorEastAsia" w:cs="Times New Roman"/>
          <w:sz w:val="20"/>
          <w:szCs w:val="20"/>
        </w:rPr>
        <w:t xml:space="preserve"> to represent the proportion of active TB cases followed-up for further culture testing after an initial negative </w:t>
      </w:r>
      <w:r w:rsidR="00B9165F" w:rsidRPr="00435469">
        <w:rPr>
          <w:rFonts w:eastAsiaTheme="minorEastAsia" w:cs="Times New Roman"/>
          <w:sz w:val="20"/>
          <w:szCs w:val="20"/>
        </w:rPr>
        <w:t>Gene</w:t>
      </w:r>
      <w:r w:rsidR="00D11F33" w:rsidRPr="00435469">
        <w:rPr>
          <w:rFonts w:eastAsiaTheme="minorEastAsia" w:cs="Times New Roman"/>
          <w:sz w:val="20"/>
          <w:szCs w:val="20"/>
        </w:rPr>
        <w:t>Xpert MTB/RIF</w:t>
      </w:r>
      <w:r w:rsidRPr="00435469">
        <w:rPr>
          <w:rFonts w:eastAsiaTheme="minorEastAsia" w:cs="Times New Roman"/>
          <w:sz w:val="20"/>
          <w:szCs w:val="20"/>
        </w:rPr>
        <w:t xml:space="preserve"> test;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M</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s,t</m:t>
            </m:r>
          </m:e>
        </m:d>
        <m:r>
          <w:rPr>
            <w:rFonts w:ascii="Cambria Math" w:eastAsiaTheme="minorEastAsia" w:hAnsi="Cambria Math" w:cs="Times New Roman"/>
            <w:sz w:val="20"/>
            <w:szCs w:val="20"/>
          </w:rPr>
          <m:t xml:space="preserve"> </m:t>
        </m:r>
      </m:oMath>
      <w:r w:rsidR="006468B2" w:rsidRPr="00435469">
        <w:rPr>
          <w:rFonts w:eastAsiaTheme="minorEastAsia" w:cs="Times New Roman"/>
          <w:sz w:val="20"/>
          <w:szCs w:val="20"/>
        </w:rPr>
        <w:t xml:space="preserve">is </w:t>
      </w:r>
      <w:r w:rsidRPr="00435469">
        <w:rPr>
          <w:rFonts w:eastAsiaTheme="minorEastAsia" w:cs="Times New Roman"/>
          <w:sz w:val="20"/>
          <w:szCs w:val="20"/>
        </w:rPr>
        <w:t xml:space="preserve">the proportion </w:t>
      </w:r>
      <w:r w:rsidRPr="00435469">
        <w:rPr>
          <w:rFonts w:cs="Times New Roman"/>
          <w:sz w:val="20"/>
          <w:szCs w:val="20"/>
        </w:rPr>
        <w:t>of active smear-negative TB cases who have further culture testing done after initial negative microscopy tests</w:t>
      </w:r>
      <w:r w:rsidR="00D0689E" w:rsidRPr="00435469">
        <w:rPr>
          <w:rFonts w:cs="Times New Roman"/>
          <w:sz w:val="20"/>
          <w:szCs w:val="20"/>
        </w:rPr>
        <w:t>.</w:t>
      </w:r>
    </w:p>
    <w:p w14:paraId="108EF198" w14:textId="63A51B55" w:rsidR="00971F36" w:rsidRPr="00435469" w:rsidRDefault="00971F36" w:rsidP="00955FFB">
      <w:pPr>
        <w:tabs>
          <w:tab w:val="left" w:pos="2504"/>
        </w:tabs>
        <w:spacing w:line="240" w:lineRule="auto"/>
        <w:rPr>
          <w:rFonts w:cs="Times New Roman"/>
          <w:sz w:val="20"/>
          <w:szCs w:val="20"/>
        </w:rPr>
      </w:pPr>
      <w:r w:rsidRPr="00435469">
        <w:rPr>
          <w:rFonts w:cs="Times New Roman"/>
          <w:sz w:val="20"/>
          <w:szCs w:val="20"/>
        </w:rPr>
        <w:t xml:space="preserve">The estimated number of microbiological tests performed yearly </w:t>
      </w:r>
      <m:oMath>
        <m:r>
          <w:rPr>
            <w:rFonts w:ascii="Cambria Math" w:hAnsi="Cambria Math" w:cs="Times New Roman"/>
            <w:sz w:val="20"/>
            <w:szCs w:val="20"/>
          </w:rPr>
          <m:t>T</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cs="Times New Roman"/>
          <w:sz w:val="20"/>
          <w:szCs w:val="20"/>
        </w:rPr>
        <w:t xml:space="preserve"> is given by</w:t>
      </w:r>
    </w:p>
    <w:p w14:paraId="501673F4" w14:textId="2C063E2D" w:rsidR="007361E9" w:rsidRPr="00435469" w:rsidRDefault="007361E9" w:rsidP="00955FFB">
      <w:pPr>
        <w:pStyle w:val="Caption"/>
        <w:rPr>
          <w:rFonts w:cs="Times New Roman"/>
          <w:color w:val="auto"/>
          <w:sz w:val="20"/>
          <w:szCs w:val="20"/>
        </w:rPr>
      </w:pPr>
      <w:r w:rsidRPr="00435469">
        <w:rPr>
          <w:color w:val="auto"/>
          <w:sz w:val="20"/>
          <w:szCs w:val="20"/>
        </w:rPr>
        <w:t xml:space="preserve">Equation </w:t>
      </w:r>
      <w:r w:rsidRPr="00435469">
        <w:rPr>
          <w:color w:val="auto"/>
          <w:sz w:val="20"/>
          <w:szCs w:val="20"/>
        </w:rPr>
        <w:fldChar w:fldCharType="begin"/>
      </w:r>
      <w:r w:rsidRPr="00435469">
        <w:rPr>
          <w:color w:val="auto"/>
          <w:sz w:val="20"/>
          <w:szCs w:val="20"/>
        </w:rPr>
        <w:instrText xml:space="preserve"> SEQ Equation \* ARABIC </w:instrText>
      </w:r>
      <w:r w:rsidRPr="00435469">
        <w:rPr>
          <w:color w:val="auto"/>
          <w:sz w:val="20"/>
          <w:szCs w:val="20"/>
        </w:rPr>
        <w:fldChar w:fldCharType="separate"/>
      </w:r>
      <w:r w:rsidR="00186C2F" w:rsidRPr="00435469">
        <w:rPr>
          <w:noProof/>
          <w:color w:val="auto"/>
          <w:sz w:val="20"/>
          <w:szCs w:val="20"/>
        </w:rPr>
        <w:t>3</w:t>
      </w:r>
      <w:r w:rsidRPr="00435469">
        <w:rPr>
          <w:color w:val="auto"/>
          <w:sz w:val="20"/>
          <w:szCs w:val="20"/>
        </w:rPr>
        <w:fldChar w:fldCharType="end"/>
      </w:r>
      <w:r w:rsidR="00D542E9" w:rsidRPr="00435469">
        <w:rPr>
          <w:color w:val="auto"/>
          <w:sz w:val="20"/>
          <w:szCs w:val="20"/>
        </w:rPr>
        <w:t xml:space="preserve">: Number </w:t>
      </w:r>
      <w:r w:rsidR="00D542E9" w:rsidRPr="00435469">
        <w:rPr>
          <w:rFonts w:cs="Times New Roman"/>
          <w:color w:val="auto"/>
          <w:sz w:val="20"/>
          <w:szCs w:val="20"/>
        </w:rPr>
        <w:t>of microbiological</w:t>
      </w:r>
      <w:r w:rsidR="00994EEB" w:rsidRPr="00435469">
        <w:rPr>
          <w:rFonts w:cs="Times New Roman"/>
          <w:color w:val="auto"/>
          <w:sz w:val="20"/>
          <w:szCs w:val="20"/>
        </w:rPr>
        <w:t xml:space="preserve"> test</w:t>
      </w:r>
      <w:r w:rsidR="006468B2" w:rsidRPr="00435469">
        <w:rPr>
          <w:rFonts w:cs="Times New Roman"/>
          <w:color w:val="auto"/>
          <w:sz w:val="20"/>
          <w:szCs w:val="20"/>
        </w:rPr>
        <w:t>s</w:t>
      </w:r>
    </w:p>
    <w:p w14:paraId="49882DF0" w14:textId="3188E81E" w:rsidR="004E70B8" w:rsidRPr="00435469" w:rsidRDefault="00971F36" w:rsidP="00955FFB">
      <w:pPr>
        <w:spacing w:before="240" w:line="240" w:lineRule="auto"/>
        <w:jc w:val="center"/>
        <w:rPr>
          <w:rFonts w:eastAsiaTheme="minorEastAsia" w:cs="Times New Roman"/>
          <w:sz w:val="20"/>
          <w:szCs w:val="20"/>
        </w:rPr>
      </w:pPr>
      <m:oMath>
        <m:r>
          <w:rPr>
            <w:rFonts w:ascii="Cambria Math" w:hAnsi="Cambria Math" w:cs="Times New Roman"/>
            <w:sz w:val="20"/>
            <w:szCs w:val="20"/>
          </w:rPr>
          <m:t>T</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cs="Times New Roman"/>
          <w:sz w:val="20"/>
          <w:szCs w:val="20"/>
        </w:rPr>
        <w:t xml:space="preserve">= </w:t>
      </w:r>
      <m:oMath>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s</m:t>
                </m:r>
              </m:sub>
              <m:sup/>
              <m:e>
                <m:r>
                  <w:rPr>
                    <w:rFonts w:ascii="Cambria Math" w:hAnsi="Cambria Math" w:cs="Times New Roman"/>
                    <w:sz w:val="20"/>
                    <w:szCs w:val="20"/>
                  </w:rPr>
                  <m:t>N</m:t>
                </m:r>
                <m:d>
                  <m:dPr>
                    <m:ctrlPr>
                      <w:rPr>
                        <w:rFonts w:ascii="Cambria Math" w:hAnsi="Cambria Math" w:cs="Times New Roman"/>
                        <w:i/>
                        <w:sz w:val="20"/>
                        <w:szCs w:val="20"/>
                      </w:rPr>
                    </m:ctrlPr>
                  </m:dPr>
                  <m:e>
                    <m:r>
                      <w:rPr>
                        <w:rFonts w:ascii="Cambria Math" w:hAnsi="Cambria Math" w:cs="Times New Roman"/>
                        <w:sz w:val="20"/>
                        <w:szCs w:val="20"/>
                      </w:rPr>
                      <m:t>g,s,t</m:t>
                    </m:r>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g,s,t</m:t>
                        </m:r>
                      </m:e>
                    </m:d>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G</m:t>
                        </m:r>
                      </m:sub>
                    </m:sSub>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d>
                      <m:dPr>
                        <m:ctrlPr>
                          <w:rPr>
                            <w:rFonts w:ascii="Cambria Math" w:hAnsi="Cambria Math" w:cs="Times New Roman"/>
                            <w:i/>
                            <w:sz w:val="20"/>
                            <w:szCs w:val="20"/>
                          </w:rPr>
                        </m:ctrlPr>
                      </m:dPr>
                      <m:e>
                        <m:r>
                          <w:rPr>
                            <w:rFonts w:ascii="Cambria Math" w:hAnsi="Cambria Math" w:cs="Times New Roman"/>
                            <w:sz w:val="20"/>
                            <w:szCs w:val="20"/>
                          </w:rPr>
                          <m:t>g,s,t</m:t>
                        </m:r>
                      </m:e>
                    </m:d>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e>
                </m:d>
                <m:r>
                  <w:rPr>
                    <w:rFonts w:ascii="Cambria Math" w:hAnsi="Cambria Math" w:cs="Times New Roman"/>
                    <w:sz w:val="20"/>
                    <w:szCs w:val="20"/>
                  </w:rPr>
                  <m:t xml:space="preserve">+              </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a</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s</m:t>
                            </m:r>
                          </m:sub>
                          <m:sup/>
                          <m:e>
                            <m:r>
                              <w:rPr>
                                <w:rFonts w:ascii="Cambria Math" w:hAnsi="Cambria Math" w:cs="Times New Roman"/>
                                <w:sz w:val="20"/>
                                <w:szCs w:val="20"/>
                              </w:rPr>
                              <m:t>A(a,g,s,t)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g,s,t</m:t>
                                    </m:r>
                                  </m:e>
                                </m:d>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A</m:t>
                                    </m:r>
                                  </m:sub>
                                </m:sSub>
                                <m:d>
                                  <m:dPr>
                                    <m:ctrlPr>
                                      <w:rPr>
                                        <w:rFonts w:ascii="Cambria Math" w:hAnsi="Cambria Math" w:cs="Times New Roman"/>
                                        <w:i/>
                                        <w:sz w:val="20"/>
                                        <w:szCs w:val="20"/>
                                      </w:rPr>
                                    </m:ctrlPr>
                                  </m:dPr>
                                  <m:e>
                                    <m:r>
                                      <w:rPr>
                                        <w:rFonts w:ascii="Cambria Math" w:hAnsi="Cambria Math" w:cs="Times New Roman"/>
                                        <w:sz w:val="20"/>
                                        <w:szCs w:val="20"/>
                                      </w:rPr>
                                      <m:t>a</m:t>
                                    </m:r>
                                  </m:e>
                                </m:d>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a,g,s,t</m:t>
                                    </m:r>
                                  </m:e>
                                </m:d>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e>
                            </m:d>
                          </m:e>
                        </m:nary>
                      </m:e>
                    </m:nary>
                  </m:e>
                </m:nary>
              </m:e>
            </m:nary>
          </m:e>
        </m:nary>
      </m:oMath>
    </w:p>
    <w:p w14:paraId="143D7318" w14:textId="734EE2CC" w:rsidR="00971F36" w:rsidRPr="00435469" w:rsidRDefault="006468B2" w:rsidP="00955FFB">
      <w:pPr>
        <w:spacing w:before="240" w:line="240" w:lineRule="auto"/>
        <w:rPr>
          <w:rFonts w:cs="Times New Roman"/>
          <w:sz w:val="20"/>
          <w:szCs w:val="20"/>
        </w:rPr>
      </w:pPr>
      <w:r w:rsidRPr="00435469">
        <w:rPr>
          <w:rFonts w:eastAsiaTheme="minorEastAsia" w:cs="Times New Roman"/>
          <w:sz w:val="20"/>
          <w:szCs w:val="20"/>
        </w:rPr>
        <w:t xml:space="preserve">where </w:t>
      </w:r>
      <m:oMath>
        <m:r>
          <w:rPr>
            <w:rFonts w:ascii="Cambria Math" w:hAnsi="Cambria Math" w:cs="Times New Roman"/>
            <w:sz w:val="20"/>
            <w:szCs w:val="20"/>
          </w:rPr>
          <m:t>N</m:t>
        </m:r>
        <m:d>
          <m:dPr>
            <m:ctrlPr>
              <w:rPr>
                <w:rFonts w:ascii="Cambria Math" w:hAnsi="Cambria Math" w:cs="Times New Roman"/>
                <w:i/>
                <w:sz w:val="20"/>
                <w:szCs w:val="20"/>
              </w:rPr>
            </m:ctrlPr>
          </m:dPr>
          <m:e>
            <m:r>
              <w:rPr>
                <w:rFonts w:ascii="Cambria Math" w:hAnsi="Cambria Math" w:cs="Times New Roman"/>
                <w:sz w:val="20"/>
                <w:szCs w:val="20"/>
              </w:rPr>
              <m:t>g,s,t</m:t>
            </m:r>
          </m:e>
        </m:d>
      </m:oMath>
      <w:r w:rsidR="00971F36" w:rsidRPr="00435469">
        <w:rPr>
          <w:rFonts w:eastAsiaTheme="minorEastAsia" w:cs="Times New Roman"/>
          <w:sz w:val="20"/>
          <w:szCs w:val="20"/>
        </w:rPr>
        <w:t xml:space="preserve"> is the number of adults in the general population (</w:t>
      </w:r>
      <w:r w:rsidR="00046D5D" w:rsidRPr="00435469">
        <w:rPr>
          <w:rFonts w:eastAsiaTheme="minorEastAsia" w:cs="Times New Roman"/>
          <w:sz w:val="20"/>
          <w:szCs w:val="20"/>
        </w:rPr>
        <w:t xml:space="preserve">not having </w:t>
      </w:r>
      <w:r w:rsidR="00971F36" w:rsidRPr="00435469">
        <w:rPr>
          <w:rFonts w:eastAsiaTheme="minorEastAsia" w:cs="Times New Roman"/>
          <w:sz w:val="20"/>
          <w:szCs w:val="20"/>
        </w:rPr>
        <w:t xml:space="preserve">active TB) and </w:t>
      </w:r>
      <m:oMath>
        <m:r>
          <w:rPr>
            <w:rFonts w:ascii="Cambria Math" w:hAnsi="Cambria Math" w:cs="Times New Roman"/>
            <w:sz w:val="20"/>
            <w:szCs w:val="20"/>
          </w:rPr>
          <m:t>A(a,g,s,t)</m:t>
        </m:r>
      </m:oMath>
      <w:r w:rsidR="00971F36" w:rsidRPr="00435469">
        <w:rPr>
          <w:rFonts w:eastAsiaTheme="minorEastAsia" w:cs="Times New Roman"/>
          <w:sz w:val="20"/>
          <w:szCs w:val="20"/>
        </w:rPr>
        <w:t xml:space="preserve"> </w:t>
      </w:r>
      <w:r w:rsidRPr="00435469">
        <w:rPr>
          <w:rFonts w:eastAsiaTheme="minorEastAsia" w:cs="Times New Roman"/>
          <w:sz w:val="20"/>
          <w:szCs w:val="20"/>
        </w:rPr>
        <w:t xml:space="preserve">is </w:t>
      </w:r>
      <w:r w:rsidR="00971F36" w:rsidRPr="00435469">
        <w:rPr>
          <w:rFonts w:eastAsiaTheme="minorEastAsia" w:cs="Times New Roman"/>
          <w:sz w:val="20"/>
          <w:szCs w:val="20"/>
        </w:rPr>
        <w:t xml:space="preserve">the number of active TB cases at time </w:t>
      </w:r>
      <m:oMath>
        <m:r>
          <w:rPr>
            <w:rFonts w:ascii="Cambria Math" w:hAnsi="Cambria Math" w:cs="Times New Roman"/>
            <w:sz w:val="20"/>
            <w:szCs w:val="20"/>
          </w:rPr>
          <m:t>t</m:t>
        </m:r>
      </m:oMath>
      <w:r w:rsidR="00971F36" w:rsidRPr="00435469">
        <w:rPr>
          <w:rFonts w:eastAsiaTheme="minorEastAsia" w:cs="Times New Roman"/>
          <w:sz w:val="20"/>
          <w:szCs w:val="20"/>
        </w:rPr>
        <w:t>.</w:t>
      </w:r>
      <w:r w:rsidR="00971F36" w:rsidRPr="00435469">
        <w:rPr>
          <w:rFonts w:cs="Times New Roman"/>
          <w:sz w:val="20"/>
          <w:szCs w:val="20"/>
        </w:rPr>
        <w:t xml:space="preserve"> </w:t>
      </w:r>
    </w:p>
    <w:p w14:paraId="147526D4" w14:textId="1B474D43" w:rsidR="00971F36" w:rsidRPr="00435469" w:rsidRDefault="00971F36" w:rsidP="00955FFB">
      <w:pPr>
        <w:spacing w:before="240" w:line="240" w:lineRule="auto"/>
        <w:rPr>
          <w:rFonts w:eastAsiaTheme="minorEastAsia" w:cs="Times New Roman"/>
          <w:sz w:val="20"/>
          <w:szCs w:val="20"/>
        </w:rPr>
      </w:pPr>
      <w:r w:rsidRPr="00435469">
        <w:rPr>
          <w:rFonts w:eastAsiaTheme="minorEastAsia" w:cs="Times New Roman"/>
          <w:sz w:val="20"/>
          <w:szCs w:val="20"/>
        </w:rPr>
        <w:t xml:space="preserve">Following a positive diagnosis, some patients get lost before treatment initiation. Therefore, we let </w:t>
      </w:r>
      <m:oMath>
        <m:r>
          <w:rPr>
            <w:rFonts w:ascii="Cambria Math" w:eastAsiaTheme="minorEastAsia" w:hAnsi="Cambria Math" w:cs="Times New Roman"/>
            <w:sz w:val="20"/>
            <w:szCs w:val="20"/>
          </w:rPr>
          <m:t>L(t)</m:t>
        </m:r>
      </m:oMath>
      <w:r w:rsidRPr="00435469">
        <w:rPr>
          <w:rFonts w:eastAsiaTheme="minorEastAsia" w:cs="Times New Roman"/>
          <w:sz w:val="20"/>
          <w:szCs w:val="20"/>
        </w:rPr>
        <w:t xml:space="preserve"> </w:t>
      </w:r>
      <w:r w:rsidRPr="00435469">
        <w:rPr>
          <w:rFonts w:cs="Times New Roman"/>
          <w:sz w:val="20"/>
          <w:szCs w:val="20"/>
        </w:rPr>
        <w:t>be the proportion of individuals lost to initial follow-up.</w:t>
      </w:r>
      <w:r w:rsidR="00CF14FC" w:rsidRPr="00435469">
        <w:rPr>
          <w:rFonts w:cs="Times New Roman"/>
          <w:sz w:val="20"/>
          <w:szCs w:val="20"/>
        </w:rPr>
        <w:t xml:space="preserve"> </w:t>
      </w:r>
      <w:r w:rsidR="00D55C52" w:rsidRPr="00435469">
        <w:rPr>
          <w:rFonts w:cs="Times New Roman"/>
          <w:sz w:val="20"/>
          <w:szCs w:val="20"/>
        </w:rPr>
        <w:t>The number of people with a positive laboratory diagnosis</w:t>
      </w:r>
      <w:r w:rsidR="001F7661" w:rsidRPr="00435469">
        <w:rPr>
          <w:rFonts w:cs="Times New Roman"/>
          <w:sz w:val="20"/>
          <w:szCs w:val="20"/>
        </w:rPr>
        <w:t xml:space="preserve"> is represented by</w:t>
      </w:r>
      <w:r w:rsidR="00D55C52" w:rsidRPr="00435469">
        <w:rPr>
          <w:rFonts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oMath>
      <w:r w:rsidR="00D55C52" w:rsidRPr="00435469">
        <w:rPr>
          <w:rFonts w:eastAsiaTheme="minorEastAsia" w:cs="Times New Roman"/>
          <w:sz w:val="20"/>
          <w:szCs w:val="20"/>
        </w:rPr>
        <w:t xml:space="preserve"> </w:t>
      </w:r>
      <w:r w:rsidR="008A1560" w:rsidRPr="00435469">
        <w:rPr>
          <w:rFonts w:eastAsiaTheme="minorEastAsia" w:cs="Times New Roman"/>
          <w:sz w:val="20"/>
          <w:szCs w:val="20"/>
        </w:rPr>
        <w:t xml:space="preserve">in </w:t>
      </w:r>
      <w:r w:rsidR="006A6105" w:rsidRPr="00435469">
        <w:rPr>
          <w:rFonts w:eastAsiaTheme="minorEastAsia" w:cs="Times New Roman"/>
          <w:sz w:val="20"/>
          <w:szCs w:val="20"/>
        </w:rPr>
        <w:fldChar w:fldCharType="begin"/>
      </w:r>
      <w:r w:rsidR="006A6105" w:rsidRPr="00435469">
        <w:rPr>
          <w:rFonts w:eastAsiaTheme="minorEastAsia" w:cs="Times New Roman"/>
          <w:sz w:val="20"/>
          <w:szCs w:val="20"/>
        </w:rPr>
        <w:instrText xml:space="preserve"> REF _Ref90446547 \h </w:instrText>
      </w:r>
      <w:r w:rsidR="00606C7C" w:rsidRPr="00435469">
        <w:rPr>
          <w:rFonts w:eastAsiaTheme="minorEastAsia" w:cs="Times New Roman"/>
          <w:sz w:val="20"/>
          <w:szCs w:val="20"/>
        </w:rPr>
        <w:instrText xml:space="preserve"> \* MERGEFORMAT </w:instrText>
      </w:r>
      <w:r w:rsidR="006A6105" w:rsidRPr="00435469">
        <w:rPr>
          <w:rFonts w:eastAsiaTheme="minorEastAsia" w:cs="Times New Roman"/>
          <w:sz w:val="20"/>
          <w:szCs w:val="20"/>
        </w:rPr>
      </w:r>
      <w:r w:rsidR="006A6105" w:rsidRPr="00435469">
        <w:rPr>
          <w:rFonts w:eastAsiaTheme="minorEastAsia" w:cs="Times New Roman"/>
          <w:sz w:val="20"/>
          <w:szCs w:val="20"/>
        </w:rPr>
        <w:fldChar w:fldCharType="separate"/>
      </w:r>
      <w:r w:rsidR="00186C2F" w:rsidRPr="00435469">
        <w:rPr>
          <w:sz w:val="20"/>
          <w:szCs w:val="20"/>
        </w:rPr>
        <w:t xml:space="preserve">Equation </w:t>
      </w:r>
      <w:r w:rsidR="00186C2F" w:rsidRPr="00435469">
        <w:rPr>
          <w:noProof/>
          <w:sz w:val="20"/>
          <w:szCs w:val="20"/>
        </w:rPr>
        <w:t>4</w:t>
      </w:r>
      <w:r w:rsidR="006A6105" w:rsidRPr="00435469">
        <w:rPr>
          <w:rFonts w:eastAsiaTheme="minorEastAsia" w:cs="Times New Roman"/>
          <w:sz w:val="20"/>
          <w:szCs w:val="20"/>
        </w:rPr>
        <w:fldChar w:fldCharType="end"/>
      </w:r>
      <w:r w:rsidR="006A6105" w:rsidRPr="00435469">
        <w:rPr>
          <w:rFonts w:eastAsiaTheme="minorEastAsia" w:cs="Times New Roman"/>
          <w:sz w:val="20"/>
          <w:szCs w:val="20"/>
        </w:rPr>
        <w:t xml:space="preserve"> </w:t>
      </w:r>
      <w:r w:rsidR="00D55C52" w:rsidRPr="00435469">
        <w:rPr>
          <w:rFonts w:eastAsiaTheme="minorEastAsia" w:cs="Times New Roman"/>
          <w:sz w:val="20"/>
          <w:szCs w:val="20"/>
        </w:rPr>
        <w:t xml:space="preserve">and the number of </w:t>
      </w:r>
      <w:r w:rsidR="00263955" w:rsidRPr="00435469">
        <w:rPr>
          <w:rFonts w:eastAsiaTheme="minorEastAsia" w:cs="Times New Roman"/>
          <w:sz w:val="20"/>
          <w:szCs w:val="20"/>
        </w:rPr>
        <w:t>people with a positive diagnosis</w:t>
      </w:r>
      <w:r w:rsidR="00D55C52" w:rsidRPr="00435469">
        <w:rPr>
          <w:rFonts w:eastAsiaTheme="minorEastAsia" w:cs="Times New Roman"/>
          <w:sz w:val="20"/>
          <w:szCs w:val="20"/>
        </w:rPr>
        <w:t xml:space="preserve"> who initiate treatment </w:t>
      </w:r>
      <w:r w:rsidR="00620089" w:rsidRPr="00435469">
        <w:rPr>
          <w:rFonts w:eastAsiaTheme="minorEastAsia" w:cs="Times New Roman"/>
          <w:sz w:val="20"/>
          <w:szCs w:val="20"/>
        </w:rPr>
        <w:t xml:space="preserve">is </w:t>
      </w:r>
      <w:r w:rsidR="00D55C52" w:rsidRPr="00435469">
        <w:rPr>
          <w:rFonts w:eastAsiaTheme="minorEastAsia" w:cs="Times New Roman"/>
          <w:sz w:val="20"/>
          <w:szCs w:val="20"/>
        </w:rPr>
        <w:t xml:space="preserve">estimated as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(1-L(t))</m:t>
        </m:r>
      </m:oMath>
      <w:r w:rsidR="00D55C52" w:rsidRPr="00435469">
        <w:rPr>
          <w:rFonts w:eastAsiaTheme="minorEastAsia" w:cs="Times New Roman"/>
          <w:sz w:val="20"/>
          <w:szCs w:val="20"/>
        </w:rPr>
        <w:t xml:space="preserve">. </w:t>
      </w:r>
    </w:p>
    <w:p w14:paraId="726808E8" w14:textId="5CE1306F" w:rsidR="007361E9" w:rsidRPr="00435469" w:rsidRDefault="007361E9" w:rsidP="00955FFB">
      <w:pPr>
        <w:pStyle w:val="Caption"/>
        <w:rPr>
          <w:rFonts w:cs="Times New Roman"/>
          <w:color w:val="auto"/>
          <w:sz w:val="20"/>
          <w:szCs w:val="20"/>
        </w:rPr>
      </w:pPr>
      <w:bookmarkStart w:id="97" w:name="_Ref90446547"/>
      <w:r w:rsidRPr="00435469">
        <w:rPr>
          <w:color w:val="auto"/>
          <w:sz w:val="20"/>
          <w:szCs w:val="20"/>
        </w:rPr>
        <w:t xml:space="preserve">Equation </w:t>
      </w:r>
      <w:r w:rsidRPr="00435469">
        <w:rPr>
          <w:color w:val="auto"/>
          <w:sz w:val="20"/>
          <w:szCs w:val="20"/>
        </w:rPr>
        <w:fldChar w:fldCharType="begin"/>
      </w:r>
      <w:r w:rsidRPr="00435469">
        <w:rPr>
          <w:color w:val="auto"/>
          <w:sz w:val="20"/>
          <w:szCs w:val="20"/>
        </w:rPr>
        <w:instrText xml:space="preserve"> SEQ Equation \* ARABIC </w:instrText>
      </w:r>
      <w:r w:rsidRPr="00435469">
        <w:rPr>
          <w:color w:val="auto"/>
          <w:sz w:val="20"/>
          <w:szCs w:val="20"/>
        </w:rPr>
        <w:fldChar w:fldCharType="separate"/>
      </w:r>
      <w:r w:rsidR="00186C2F" w:rsidRPr="00435469">
        <w:rPr>
          <w:noProof/>
          <w:color w:val="auto"/>
          <w:sz w:val="20"/>
          <w:szCs w:val="20"/>
        </w:rPr>
        <w:t>4</w:t>
      </w:r>
      <w:r w:rsidRPr="00435469">
        <w:rPr>
          <w:color w:val="auto"/>
          <w:sz w:val="20"/>
          <w:szCs w:val="20"/>
        </w:rPr>
        <w:fldChar w:fldCharType="end"/>
      </w:r>
      <w:bookmarkEnd w:id="97"/>
      <w:r w:rsidR="00381B96" w:rsidRPr="00435469">
        <w:rPr>
          <w:color w:val="auto"/>
          <w:sz w:val="20"/>
          <w:szCs w:val="20"/>
        </w:rPr>
        <w:t xml:space="preserve">: </w:t>
      </w:r>
      <w:r w:rsidR="004E0675" w:rsidRPr="00435469">
        <w:rPr>
          <w:color w:val="auto"/>
          <w:sz w:val="20"/>
          <w:szCs w:val="20"/>
        </w:rPr>
        <w:t>N</w:t>
      </w:r>
      <w:r w:rsidR="00381B96" w:rsidRPr="00435469">
        <w:rPr>
          <w:color w:val="auto"/>
          <w:sz w:val="20"/>
          <w:szCs w:val="20"/>
        </w:rPr>
        <w:t xml:space="preserve">umber of positive diagnoses </w:t>
      </w:r>
    </w:p>
    <w:bookmarkStart w:id="98" w:name="_Hlk40990132"/>
    <w:p w14:paraId="7D4AE87B" w14:textId="78D20035" w:rsidR="00971F36" w:rsidRPr="00435469" w:rsidRDefault="00000000" w:rsidP="00955FFB">
      <w:pPr>
        <w:spacing w:line="240" w:lineRule="auto"/>
        <w:jc w:val="center"/>
        <w:rPr>
          <w:rFonts w:eastAsiaTheme="minorEastAsia"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w:bookmarkEnd w:id="98"/>
        <m:r>
          <w:rPr>
            <w:rFonts w:ascii="Cambria Math" w:hAnsi="Cambria Math" w:cs="Times New Roman"/>
            <w:sz w:val="20"/>
            <w:szCs w:val="20"/>
          </w:rPr>
          <m:t>=</m:t>
        </m:r>
      </m:oMath>
      <w:r w:rsidR="00EB0E80" w:rsidRPr="00435469">
        <w:rPr>
          <w:rFonts w:eastAsiaTheme="minorEastAsia" w:cs="Times New Roman"/>
          <w:sz w:val="20"/>
          <w:szCs w:val="20"/>
        </w:rPr>
        <w:t xml:space="preserve"> </w:t>
      </w:r>
      <m:oMath>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s</m:t>
                </m:r>
              </m:sub>
              <m:sup/>
              <m:e>
                <m:r>
                  <w:rPr>
                    <w:rFonts w:ascii="Cambria Math" w:hAnsi="Cambria Math" w:cs="Times New Roman"/>
                    <w:sz w:val="20"/>
                    <w:szCs w:val="20"/>
                  </w:rPr>
                  <m:t>N</m:t>
                </m:r>
                <m:d>
                  <m:dPr>
                    <m:ctrlPr>
                      <w:rPr>
                        <w:rFonts w:ascii="Cambria Math" w:hAnsi="Cambria Math" w:cs="Times New Roman"/>
                        <w:i/>
                        <w:sz w:val="20"/>
                        <w:szCs w:val="20"/>
                      </w:rPr>
                    </m:ctrlPr>
                  </m:dPr>
                  <m:e>
                    <m:r>
                      <w:rPr>
                        <w:rFonts w:ascii="Cambria Math" w:hAnsi="Cambria Math" w:cs="Times New Roman"/>
                        <w:sz w:val="20"/>
                        <w:szCs w:val="20"/>
                      </w:rPr>
                      <m:t>g,s,t</m:t>
                    </m:r>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g,s,t</m:t>
                        </m:r>
                      </m:e>
                    </m:d>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G</m:t>
                        </m:r>
                      </m:sub>
                    </m:sSub>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d>
                      <m:dPr>
                        <m:ctrlPr>
                          <w:rPr>
                            <w:rFonts w:ascii="Cambria Math" w:hAnsi="Cambria Math" w:cs="Times New Roman"/>
                            <w:i/>
                            <w:sz w:val="20"/>
                            <w:szCs w:val="20"/>
                          </w:rPr>
                        </m:ctrlPr>
                      </m:dPr>
                      <m:e>
                        <m:r>
                          <w:rPr>
                            <w:rFonts w:ascii="Cambria Math" w:hAnsi="Cambria Math" w:cs="Times New Roman"/>
                            <w:sz w:val="20"/>
                            <w:szCs w:val="20"/>
                          </w:rPr>
                          <m:t>g,s,t</m:t>
                        </m:r>
                      </m:e>
                    </m:d>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e>
                </m:d>
                <m:d>
                  <m:dPr>
                    <m:ctrlPr>
                      <w:rPr>
                        <w:rFonts w:ascii="Cambria Math" w:hAnsi="Cambria Math" w:cs="Times New Roman"/>
                        <w:i/>
                        <w:sz w:val="20"/>
                        <w:szCs w:val="20"/>
                      </w:rPr>
                    </m:ctrlPr>
                  </m:dPr>
                  <m:e>
                    <m:r>
                      <w:rPr>
                        <w:rFonts w:ascii="Cambria Math" w:hAnsi="Cambria Math" w:cs="Times New Roman"/>
                        <w:sz w:val="20"/>
                        <w:szCs w:val="20"/>
                      </w:rPr>
                      <m:t>1-Sp</m:t>
                    </m:r>
                    <m:d>
                      <m:dPr>
                        <m:ctrlPr>
                          <w:rPr>
                            <w:rFonts w:ascii="Cambria Math" w:hAnsi="Cambria Math" w:cs="Times New Roman"/>
                            <w:i/>
                            <w:sz w:val="20"/>
                            <w:szCs w:val="20"/>
                          </w:rPr>
                        </m:ctrlPr>
                      </m:dPr>
                      <m:e>
                        <m:r>
                          <w:rPr>
                            <w:rFonts w:ascii="Cambria Math" w:hAnsi="Cambria Math" w:cs="Times New Roman"/>
                            <w:sz w:val="20"/>
                            <w:szCs w:val="20"/>
                          </w:rPr>
                          <m:t>t</m:t>
                        </m:r>
                      </m:e>
                    </m:d>
                  </m:e>
                </m:d>
                <m:r>
                  <w:rPr>
                    <w:rFonts w:ascii="Cambria Math" w:hAnsi="Cambria Math" w:cs="Times New Roman"/>
                    <w:sz w:val="20"/>
                    <w:szCs w:val="20"/>
                  </w:rPr>
                  <m:t xml:space="preserve">+             </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a</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s</m:t>
                            </m:r>
                          </m:sub>
                          <m:sup/>
                          <m:e>
                            <m:r>
                              <w:rPr>
                                <w:rFonts w:ascii="Cambria Math" w:hAnsi="Cambria Math" w:cs="Times New Roman"/>
                                <w:sz w:val="20"/>
                                <w:szCs w:val="20"/>
                              </w:rPr>
                              <m:t>A</m:t>
                            </m:r>
                            <m:d>
                              <m:dPr>
                                <m:ctrlPr>
                                  <w:rPr>
                                    <w:rFonts w:ascii="Cambria Math" w:hAnsi="Cambria Math" w:cs="Times New Roman"/>
                                    <w:i/>
                                    <w:sz w:val="20"/>
                                    <w:szCs w:val="20"/>
                                  </w:rPr>
                                </m:ctrlPr>
                              </m:dPr>
                              <m:e>
                                <m:r>
                                  <w:rPr>
                                    <w:rFonts w:ascii="Cambria Math" w:hAnsi="Cambria Math" w:cs="Times New Roman"/>
                                    <w:sz w:val="20"/>
                                    <w:szCs w:val="20"/>
                                  </w:rPr>
                                  <m:t>a,g,s,t</m:t>
                                </m:r>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g,s,t</m:t>
                                    </m:r>
                                  </m:e>
                                </m:d>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A</m:t>
                                    </m:r>
                                  </m:sub>
                                </m:sSub>
                                <m:d>
                                  <m:dPr>
                                    <m:ctrlPr>
                                      <w:rPr>
                                        <w:rFonts w:ascii="Cambria Math" w:hAnsi="Cambria Math" w:cs="Times New Roman"/>
                                        <w:i/>
                                        <w:sz w:val="20"/>
                                        <w:szCs w:val="20"/>
                                      </w:rPr>
                                    </m:ctrlPr>
                                  </m:dPr>
                                  <m:e>
                                    <m:r>
                                      <w:rPr>
                                        <w:rFonts w:ascii="Cambria Math" w:hAnsi="Cambria Math" w:cs="Times New Roman"/>
                                        <w:sz w:val="20"/>
                                        <w:szCs w:val="20"/>
                                      </w:rPr>
                                      <m:t>a</m:t>
                                    </m:r>
                                  </m:e>
                                </m:d>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a,g,s,t</m:t>
                                    </m:r>
                                  </m:e>
                                </m:d>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e>
                            </m:d>
                            <m:r>
                              <w:rPr>
                                <w:rFonts w:ascii="Cambria Math" w:hAnsi="Cambria Math" w:cs="Times New Roman"/>
                                <w:sz w:val="20"/>
                                <w:szCs w:val="20"/>
                              </w:rPr>
                              <m:t>Se</m:t>
                            </m:r>
                            <m:d>
                              <m:dPr>
                                <m:ctrlPr>
                                  <w:rPr>
                                    <w:rFonts w:ascii="Cambria Math" w:hAnsi="Cambria Math" w:cs="Times New Roman"/>
                                    <w:i/>
                                    <w:sz w:val="20"/>
                                    <w:szCs w:val="20"/>
                                  </w:rPr>
                                </m:ctrlPr>
                              </m:dPr>
                              <m:e>
                                <m:r>
                                  <w:rPr>
                                    <w:rFonts w:ascii="Cambria Math" w:hAnsi="Cambria Math" w:cs="Times New Roman"/>
                                    <w:sz w:val="20"/>
                                    <w:szCs w:val="20"/>
                                  </w:rPr>
                                  <m:t>a,t,s</m:t>
                                </m:r>
                              </m:e>
                            </m:d>
                          </m:e>
                        </m:nary>
                      </m:e>
                    </m:nary>
                  </m:e>
                </m:nary>
              </m:e>
            </m:nary>
          </m:e>
        </m:nary>
      </m:oMath>
    </w:p>
    <w:p w14:paraId="4C0453D2" w14:textId="77777777" w:rsidR="00786238" w:rsidRPr="00435469" w:rsidRDefault="00786238" w:rsidP="00955FFB">
      <w:pPr>
        <w:spacing w:line="240" w:lineRule="auto"/>
        <w:jc w:val="center"/>
        <w:rPr>
          <w:rFonts w:eastAsiaTheme="minorEastAsia" w:cs="Times New Roman"/>
          <w:sz w:val="20"/>
          <w:szCs w:val="20"/>
        </w:rPr>
      </w:pPr>
    </w:p>
    <w:p w14:paraId="21908650" w14:textId="1F04399B" w:rsidR="00AB2C2A" w:rsidRPr="00435469" w:rsidRDefault="00971F36" w:rsidP="00955FFB">
      <w:pPr>
        <w:pStyle w:val="Heading3"/>
        <w:rPr>
          <w:rFonts w:cs="Times New Roman"/>
          <w:color w:val="auto"/>
          <w:sz w:val="20"/>
          <w:szCs w:val="20"/>
        </w:rPr>
      </w:pPr>
      <w:bookmarkStart w:id="99" w:name="_Toc66458473"/>
      <w:bookmarkStart w:id="100" w:name="_Toc79099820"/>
      <w:bookmarkStart w:id="101" w:name="_Ref80343679"/>
      <w:bookmarkStart w:id="102" w:name="_Ref80343683"/>
      <w:bookmarkStart w:id="103" w:name="_Ref80351477"/>
      <w:bookmarkStart w:id="104" w:name="_Ref80351486"/>
      <w:bookmarkStart w:id="105" w:name="_Ref80351489"/>
      <w:bookmarkStart w:id="106" w:name="_Ref80351595"/>
      <w:bookmarkStart w:id="107" w:name="_Ref80351618"/>
      <w:bookmarkStart w:id="108" w:name="_Ref80351624"/>
      <w:bookmarkStart w:id="109" w:name="_Ref80351677"/>
      <w:bookmarkStart w:id="110" w:name="_Toc80352141"/>
      <w:bookmarkStart w:id="111" w:name="_Toc87863329"/>
      <w:bookmarkStart w:id="112" w:name="_Toc88488564"/>
      <w:bookmarkStart w:id="113" w:name="_Toc103252932"/>
      <w:r w:rsidRPr="00435469">
        <w:rPr>
          <w:rFonts w:cs="Times New Roman"/>
          <w:color w:val="auto"/>
          <w:sz w:val="20"/>
          <w:szCs w:val="20"/>
        </w:rPr>
        <w:lastRenderedPageBreak/>
        <w:t>Modelling tuberculosis health-seeking patterns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435469">
        <w:rPr>
          <w:rFonts w:cs="Times New Roman"/>
          <w:color w:val="auto"/>
          <w:sz w:val="20"/>
          <w:szCs w:val="20"/>
        </w:rPr>
        <w:t xml:space="preserve"> </w:t>
      </w:r>
    </w:p>
    <w:p w14:paraId="4B4D5062" w14:textId="25790544" w:rsidR="00D12A72" w:rsidRPr="00435469" w:rsidRDefault="003165AC" w:rsidP="00955FFB">
      <w:pPr>
        <w:pStyle w:val="Heading4"/>
        <w:rPr>
          <w:sz w:val="20"/>
          <w:szCs w:val="20"/>
        </w:rPr>
      </w:pPr>
      <w:r w:rsidRPr="00435469">
        <w:rPr>
          <w:sz w:val="20"/>
          <w:szCs w:val="20"/>
        </w:rPr>
        <w:t>T</w:t>
      </w:r>
      <w:r w:rsidR="00C55D20" w:rsidRPr="00435469">
        <w:rPr>
          <w:sz w:val="20"/>
          <w:szCs w:val="20"/>
        </w:rPr>
        <w:t>he</w:t>
      </w:r>
      <w:r w:rsidR="00D12A72" w:rsidRPr="00435469">
        <w:rPr>
          <w:sz w:val="20"/>
          <w:szCs w:val="20"/>
        </w:rPr>
        <w:t xml:space="preserve"> prevalence of</w:t>
      </w:r>
      <w:r w:rsidR="00C55D20" w:rsidRPr="00435469">
        <w:rPr>
          <w:sz w:val="20"/>
          <w:szCs w:val="20"/>
        </w:rPr>
        <w:t xml:space="preserve"> tuberculosis</w:t>
      </w:r>
      <w:r w:rsidR="00D12A72" w:rsidRPr="00435469">
        <w:rPr>
          <w:sz w:val="20"/>
          <w:szCs w:val="20"/>
        </w:rPr>
        <w:t xml:space="preserve"> symptoms by smear status</w:t>
      </w:r>
    </w:p>
    <w:p w14:paraId="70118E80" w14:textId="048F0CE2" w:rsidR="00D12A72" w:rsidRPr="00435469" w:rsidRDefault="00D12A72" w:rsidP="00955FFB">
      <w:pPr>
        <w:spacing w:line="240" w:lineRule="auto"/>
        <w:rPr>
          <w:rFonts w:cs="Times New Roman"/>
          <w:sz w:val="20"/>
          <w:szCs w:val="20"/>
        </w:rPr>
      </w:pPr>
      <w:r w:rsidRPr="00435469">
        <w:rPr>
          <w:rFonts w:cs="Times New Roman"/>
          <w:sz w:val="20"/>
          <w:szCs w:val="20"/>
        </w:rPr>
        <w:t xml:space="preserve">We set the prevalence of TB-related respiratory symptoms based on studies that report TB symptoms for the active or non-active TB populations (where the studied populations are at least </w:t>
      </w:r>
      <w:proofErr w:type="spellStart"/>
      <w:r w:rsidRPr="00435469">
        <w:rPr>
          <w:rFonts w:cs="Times New Roman"/>
          <w:sz w:val="20"/>
          <w:szCs w:val="20"/>
        </w:rPr>
        <w:t>generalisable</w:t>
      </w:r>
      <w:proofErr w:type="spellEnd"/>
      <w:r w:rsidRPr="00435469">
        <w:rPr>
          <w:rFonts w:cs="Times New Roman"/>
          <w:sz w:val="20"/>
          <w:szCs w:val="20"/>
        </w:rPr>
        <w:t xml:space="preserve">). </w:t>
      </w:r>
      <w:r w:rsidR="00D20374" w:rsidRPr="00435469">
        <w:rPr>
          <w:rFonts w:cs="Times New Roman"/>
          <w:sz w:val="20"/>
          <w:szCs w:val="20"/>
        </w:rPr>
        <w:t>Based on the</w:t>
      </w:r>
      <w:r w:rsidRPr="00435469">
        <w:rPr>
          <w:rFonts w:cs="Times New Roman"/>
          <w:sz w:val="20"/>
          <w:szCs w:val="20"/>
        </w:rPr>
        <w:t xml:space="preserve"> </w:t>
      </w:r>
      <w:r w:rsidR="00DD1A83" w:rsidRPr="00435469">
        <w:rPr>
          <w:rFonts w:cs="Times New Roman"/>
          <w:sz w:val="20"/>
          <w:szCs w:val="20"/>
        </w:rPr>
        <w:t xml:space="preserve">review </w:t>
      </w:r>
      <w:r w:rsidRPr="00435469">
        <w:rPr>
          <w:rFonts w:cs="Times New Roman"/>
          <w:sz w:val="20"/>
          <w:szCs w:val="20"/>
        </w:rPr>
        <w:t xml:space="preserve">by </w:t>
      </w:r>
      <w:proofErr w:type="spellStart"/>
      <w:r w:rsidRPr="00435469">
        <w:rPr>
          <w:rFonts w:cs="Times New Roman"/>
          <w:sz w:val="20"/>
          <w:szCs w:val="20"/>
        </w:rPr>
        <w:t>Onozaki</w:t>
      </w:r>
      <w:proofErr w:type="spellEnd"/>
      <w:r w:rsidRPr="00435469">
        <w:rPr>
          <w:rFonts w:cs="Times New Roman"/>
          <w:sz w:val="20"/>
          <w:szCs w:val="20"/>
        </w:rPr>
        <w:t xml:space="preserve"> </w:t>
      </w:r>
      <w:r w:rsidRPr="00435469">
        <w:rPr>
          <w:rFonts w:cs="Times New Roman"/>
          <w:i/>
          <w:iCs/>
          <w:sz w:val="20"/>
          <w:szCs w:val="20"/>
        </w:rPr>
        <w:t>et al</w:t>
      </w:r>
      <w:r w:rsidRPr="00435469">
        <w:rPr>
          <w:rFonts w:cs="Times New Roman"/>
          <w:sz w:val="20"/>
          <w:szCs w:val="20"/>
        </w:rPr>
        <w:t xml:space="preserve">.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{"citationItems":[{"id":"ITEM-1","itemData":{"DOI":"10.1111/tmi.12534","ISSN":"13653156","abstract":"Objective and Methods: In many countries, national tuberculosis (TB) prevalence surveys are the only way to reliably measure the burden of TB disease and monitor trends. They can also provide evidence about the current performance of TB care and control and how this could be improved. We developed an inventory of Asian surveys from 1953 to 2012 and then compiled and analysed a standard set of data for all national surveys implemented between 1990 (the baseline year for 2015 global TB targets) and 2012. Results: There were 21 surveys in 12 countries between 1990 and 2012; published results were available for 18. The participation rate was at least 80% and often much higher except for two surveys in Thailand. The prevalence of bacteriologically-positive TB disease among adults aged ≥15 years varied widely among countries (1.2 per 1000 population in China in 2010 to 15 per 1000 population in Cambodia in 2002), but age and sex distribution patterns were consistent with a progressive increase in rates of disease by age, and men accounting for 66-75% of prevalent cases. A high proportion of cases (40-79% across all surveys) did not report TB symptoms that met screening criteria (generally cough of 2-3 weeks or more, and blood in the sputum) and were only detected due to chest X-ray screening of all survey participants; this proportion increased over time in countries with repeat survey data. The ratio of prevalent cases to cases notified to national TB programmes was typically around two, but was as high as three in Lao PDR and Pakistan even after the internationally recommended TB control strategy had been implemented nationwide for several years. Four countries (China, Cambodia, the Republic of Korea and the Philippines demonstrated declines in smear or culture-positive pulmonary TB prevalence of approximately 50% over 10 years. Conclusions: National TB prevalence surveys in Asia show that large reductions in the prevalence of TB disease can be achieved within a decade, that men bear much more of the burden than women and that the epidemic is ageing. Comparisons among countries show that more can be achieved in TB control in some countries with existing strategies and technologies. However, with many prevalent cases not reporting classic TB symptoms, all countries face the challenge of defining and implementing strategies that will result in earlier detection and treatment of cases.","author":[{"dropping-particle":"","family":"Onozaki","given":"Ikushi","non-dropping-particle":"","parse-names":false,"suffix":""},{"dropping-particle":"","family":"Law","given":"Irwin","non-dropping-particle":"","parse-names":false,"suffix":""},{"dropping-particle":"","family":"Sismanidis","given":"Charalambos","non-dropping-particle":"","parse-names":false,"suffix":""},{"dropping-particle":"","family":"Zignol","given":"Matteo","non-dropping-particle":"","parse-names":false,"suffix":""},{"dropping-particle":"","family":"Glaziou","given":"Philippe","non-dropping-particle":"","parse-names":false,"suffix":""},{"dropping-particle":"","family":"Floyd","given":"Katherine","non-dropping-particle":"","parse-names":false,"suffix":""}],"container-title":"Tropical Medicine and International Health","id":"ITEM-1","issued":{"date-parts":[["2015"]]},"title":"National tuberculosis prevalence surveys in Asia, 1990-2012: An overview of results and lessons learned","type":"article-journal"},"uris":["http://www.mendeley.com/documents/?uuid=fe8ed5c0-d3c8-4bf8-ba9b-b509012f0bab"]}],"mendeley":{"formattedCitation":"(44)","plainTextFormattedCitation":"(44)","previouslyFormattedCitation":"(44)"},"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(44)</w:t>
      </w:r>
      <w:r w:rsidRPr="00435469">
        <w:rPr>
          <w:rFonts w:cs="Times New Roman"/>
          <w:sz w:val="20"/>
          <w:szCs w:val="20"/>
        </w:rPr>
        <w:fldChar w:fldCharType="end"/>
      </w:r>
      <w:r w:rsidR="00DD1A83" w:rsidRPr="00435469">
        <w:rPr>
          <w:rFonts w:cs="Times New Roman"/>
          <w:sz w:val="20"/>
          <w:szCs w:val="20"/>
        </w:rPr>
        <w:t xml:space="preserve"> of TB prevalence surveys in Asian populations</w:t>
      </w:r>
      <w:r w:rsidRPr="00435469">
        <w:rPr>
          <w:rFonts w:cs="Times New Roman"/>
          <w:sz w:val="20"/>
          <w:szCs w:val="20"/>
        </w:rPr>
        <w:t xml:space="preserve">, the average prevalence of TB symptoms in bacteriologically confirmed TB cases was 43%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{"citationItems":[{"id":"ITEM-1","itemData":{"DOI":"10.1111/tmi.12534","ISSN":"13653156","abstract":"Objective and Methods: In many countries, national tuberculosis (TB) prevalence surveys are the only way to reliably measure the burden of TB disease and monitor trends. They can also provide evidence about the current performance of TB care and control and how this could be improved. We developed an inventory of Asian surveys from 1953 to 2012 and then compiled and analysed a standard set of data for all national surveys implemented between 1990 (the baseline year for 2015 global TB targets) and 2012. Results: There were 21 surveys in 12 countries between 1990 and 2012; published results were available for 18. The participation rate was at least 80% and often much higher except for two surveys in Thailand. The prevalence of bacteriologically-positive TB disease among adults aged ≥15 years varied widely among countries (1.2 per 1000 population in China in 2010 to 15 per 1000 population in Cambodia in 2002), but age and sex distribution patterns were consistent with a progressive increase in rates of disease by age, and men accounting for 66-75% of prevalent cases. A high proportion of cases (40-79% across all surveys) did not report TB symptoms that met screening criteria (generally cough of 2-3 weeks or more, and blood in the sputum) and were only detected due to chest X-ray screening of all survey participants; this proportion increased over time in countries with repeat survey data. The ratio of prevalent cases to cases notified to national TB programmes was typically around two, but was as high as three in Lao PDR and Pakistan even after the internationally recommended TB control strategy had been implemented nationwide for several years. Four countries (China, Cambodia, the Republic of Korea and the Philippines demonstrated declines in smear or culture-positive pulmonary TB prevalence of approximately 50% over 10 years. Conclusions: National TB prevalence surveys in Asia show that large reductions in the prevalence of TB disease can be achieved within a decade, that men bear much more of the burden than women and that the epidemic is ageing. Comparisons among countries show that more can be achieved in TB control in some countries with existing strategies and technologies. However, with many prevalent cases not reporting classic TB symptoms, all countries face the challenge of defining and implementing strategies that will result in earlier detection and treatment of cases.","author":[{"dropping-particle":"","family":"Onozaki","given":"Ikushi","non-dropping-particle":"","parse-names":false,"suffix":""},{"dropping-particle":"","family":"Law","given":"Irwin","non-dropping-particle":"","parse-names":false,"suffix":""},{"dropping-particle":"","family":"Sismanidis","given":"Charalambos","non-dropping-particle":"","parse-names":false,"suffix":""},{"dropping-particle":"","family":"Zignol","given":"Matteo","non-dropping-particle":"","parse-names":false,"suffix":""},{"dropping-particle":"","family":"Glaziou","given":"Philippe","non-dropping-particle":"","parse-names":false,"suffix":""},{"dropping-particle":"","family":"Floyd","given":"Katherine","non-dropping-particle":"","parse-names":false,"suffix":""}],"container-title":"Tropical Medicine and International Health","id":"ITEM-1","issued":{"date-parts":[["2015"]]},"title":"National tuberculosis prevalence surveys in Asia, 1990-2012: An overview of results and lessons learned","type":"article-journal"},"uris":["http://www.mendeley.com/documents/?uuid=fe8ed5c0-d3c8-4bf8-ba9b-b509012f0bab"]}],"mendeley":{"formattedCitation":"(44)","plainTextFormattedCitation":"(44)","previouslyFormattedCitation":"(44)"},"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(44)</w:t>
      </w:r>
      <w:r w:rsidRPr="00435469">
        <w:rPr>
          <w:rFonts w:cs="Times New Roman"/>
          <w:sz w:val="20"/>
          <w:szCs w:val="20"/>
        </w:rPr>
        <w:fldChar w:fldCharType="end"/>
      </w:r>
      <w:r w:rsidRPr="00435469">
        <w:rPr>
          <w:rFonts w:cs="Times New Roman"/>
          <w:sz w:val="20"/>
          <w:szCs w:val="20"/>
        </w:rPr>
        <w:t xml:space="preserve">. A positive symptom screen was defined as a cough of more than two to three weeks or blood in sputum. A Zambia/South Africa TB and AIDS Reduction (ZAMSTAR) study also surveyed respiratory symptoms </w:t>
      </w:r>
      <w:r w:rsidRPr="00435469">
        <w:rPr>
          <w:rFonts w:cs="Times New Roman"/>
          <w:sz w:val="20"/>
          <w:szCs w:val="20"/>
        </w:rPr>
        <w:fldChar w:fldCharType="begin" w:fldLock="1"/>
      </w:r>
      <w:r w:rsidR="002F049E" w:rsidRPr="00435469">
        <w:rPr>
          <w:rFonts w:cs="Times New Roman"/>
          <w:sz w:val="20"/>
          <w:szCs w:val="20"/>
        </w:rPr>
        <w:instrText xml:space="preserve">ADDIN CSL_CITATION {"citationItems":[{"id":"ITEM-1","itemData":{"DOI":"10.1371/journal.pone.0172881","ISBN":"1111111111","ISSN":"19326203","abstract":"Background: High tuberculosis (TB) burden countries should consider systematic screening among adults in the general population. We identified symptom screening rules to be used in addition to cough ≥2 weeks, in a context where X-ray screening is not feasible, aiming to increase the sensitivity of screening while achieving a specificity of ≥85%. Methods: We used 2010 Zambia South Africa Tuberculosis and HIV/AIDS Reduction (ZAMSTAR) survey data: a South African (SA) training dataset, a SA testing dataset for internal validation and a Zambian dataset for external validation. Regression analyses investigated relationships between symptoms or combinations of symptoms and active disease. Sensitivity and specificity were calculated for candidate rules. Results: Among all participants, the sensitivity of using only cough ≥2 weeks as a screening rule was less than 25% in both SA and Zambia. The addition of any three of six TB symptoms (cough &lt;2 weeks, night sweats, weight loss, fever, chest pain, shortness of breath), or 2 or more of cough &lt;2 weeks, night sweats, and weight loss, increased the sensitivity to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38%, while reducing specificity from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95% to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85% in SA and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97% to </w:instrText>
      </w:r>
      <w:r w:rsidR="002F049E" w:rsidRPr="00435469">
        <w:rPr>
          <w:rFonts w:ascii="Cambria Math" w:hAnsi="Cambria Math" w:cs="Cambria Math"/>
          <w:sz w:val="20"/>
          <w:szCs w:val="20"/>
        </w:rPr>
        <w:instrText>∼</w:instrText>
      </w:r>
      <w:r w:rsidR="002F049E" w:rsidRPr="00435469">
        <w:rPr>
          <w:rFonts w:cs="Times New Roman"/>
          <w:sz w:val="20"/>
          <w:szCs w:val="20"/>
        </w:rPr>
        <w:instrText>92% in Zambia. Among HIV-negative adults, findings were similar in SA, whereas in Zambia the increase in sensitivity was relatively small (15% to 22%). Conclusion: High TB burden countries should investigate cost-effective strategies for systematic screening: one such strategy could be to use our rule in addition to cough ≥2 weeks.","author":[{"dropping-particle":"","family":"Claassens","given":"M. M.","non-dropping-particle":"","parse-names":false,"suffix":""},{"dropping-particle":"","family":"Schalkwyk","given":"C.","non-dropping-particle":"Van","parse-names":false,"suffix":""},{"dropping-particle":"","family":"Floyd","given":"S.","non-dropping-particle":"","parse-names":false,"suffix":""},{"dropping-particle":"","family":"Ayles","given":"H.","non-dropping-particle":"","parse-names":false,"suffix":""},{"dropping-particle":"","family":"Beyers","given":"N.","non-dropping-particle":"","parse-names":false,"suffix":""}],"container-title":"PLoS ONE","id":"ITEM-1","issue":"3","issued":{"date-parts":[["2017"]]},"page":"1-12","title":"Symptom screening rules to identify active pulmonary tuberculosis: Findings from the Zambian South African Tuberculosis and HIV/AIDS Reduction (ZAMSTAR) trial prevalence surveys","type":"article-journal","volume":"12"},"uris":["http://www.mendeley.com/documents/?uuid=6dab0caf-3fde-45b2-a261-2cf8d8bc95d7"]}],"mendeley":{"formattedCitation":"(45)","plainTextFormattedCitation":"(45)","previouslyFormattedCitation":"(45)"},"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(45)</w:t>
      </w:r>
      <w:r w:rsidRPr="00435469">
        <w:rPr>
          <w:rFonts w:cs="Times New Roman"/>
          <w:sz w:val="20"/>
          <w:szCs w:val="20"/>
        </w:rPr>
        <w:fldChar w:fldCharType="end"/>
      </w:r>
      <w:r w:rsidRPr="00435469">
        <w:rPr>
          <w:rFonts w:cs="Times New Roman"/>
          <w:sz w:val="20"/>
          <w:szCs w:val="20"/>
        </w:rPr>
        <w:t xml:space="preserve">. Among individuals with TB, the proportion of people experiencing persistent cough for more than two weeks was 20.5%, compared to 5.2% among those without TB </w:t>
      </w:r>
      <w:r w:rsidRPr="00435469">
        <w:rPr>
          <w:rFonts w:cs="Times New Roman"/>
          <w:sz w:val="20"/>
          <w:szCs w:val="20"/>
        </w:rPr>
        <w:fldChar w:fldCharType="begin" w:fldLock="1"/>
      </w:r>
      <w:r w:rsidR="002F049E" w:rsidRPr="00435469">
        <w:rPr>
          <w:rFonts w:cs="Times New Roman"/>
          <w:sz w:val="20"/>
          <w:szCs w:val="20"/>
        </w:rPr>
        <w:instrText xml:space="preserve">ADDIN CSL_CITATION {"citationItems":[{"id":"ITEM-1","itemData":{"DOI":"10.1371/journal.pone.0172881","ISBN":"1111111111","ISSN":"19326203","abstract":"Background: High tuberculosis (TB) burden countries should consider systematic screening among adults in the general population. We identified symptom screening rules to be used in addition to cough ≥2 weeks, in a context where X-ray screening is not feasible, aiming to increase the sensitivity of screening while achieving a specificity of ≥85%. Methods: We used 2010 Zambia South Africa Tuberculosis and HIV/AIDS Reduction (ZAMSTAR) survey data: a South African (SA) training dataset, a SA testing dataset for internal validation and a Zambian dataset for external validation. Regression analyses investigated relationships between symptoms or combinations of symptoms and active disease. Sensitivity and specificity were calculated for candidate rules. Results: Among all participants, the sensitivity of using only cough ≥2 weeks as a screening rule was less than 25% in both SA and Zambia. The addition of any three of six TB symptoms (cough &lt;2 weeks, night sweats, weight loss, fever, chest pain, shortness of breath), or 2 or more of cough &lt;2 weeks, night sweats, and weight loss, increased the sensitivity to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38%, while reducing specificity from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95% to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85% in SA and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97% to </w:instrText>
      </w:r>
      <w:r w:rsidR="002F049E" w:rsidRPr="00435469">
        <w:rPr>
          <w:rFonts w:ascii="Cambria Math" w:hAnsi="Cambria Math" w:cs="Cambria Math"/>
          <w:sz w:val="20"/>
          <w:szCs w:val="20"/>
        </w:rPr>
        <w:instrText>∼</w:instrText>
      </w:r>
      <w:r w:rsidR="002F049E" w:rsidRPr="00435469">
        <w:rPr>
          <w:rFonts w:cs="Times New Roman"/>
          <w:sz w:val="20"/>
          <w:szCs w:val="20"/>
        </w:rPr>
        <w:instrText>92% in Zambia. Among HIV-negative adults, findings were similar in SA, whereas in Zambia the increase in sensitivity was relatively small (15% to 22%). Conclusion: High TB burden countries should investigate cost-effective strategies for systematic screening: one such strategy could be to use our rule in addition to cough ≥2 weeks.","author":[{"dropping-particle":"","family":"Claassens","given":"M. M.","non-dropping-particle":"","parse-names":false,"suffix":""},{"dropping-particle":"","family":"Schalkwyk","given":"C.","non-dropping-particle":"Van","parse-names":false,"suffix":""},{"dropping-particle":"","family":"Floyd","given":"S.","non-dropping-particle":"","parse-names":false,"suffix":""},{"dropping-particle":"","family":"Ayles","given":"H.","non-dropping-particle":"","parse-names":false,"suffix":""},{"dropping-particle":"","family":"Beyers","given":"N.","non-dropping-particle":"","parse-names":false,"suffix":""}],"container-title":"PLoS ONE","id":"ITEM-1","issue":"3","issued":{"date-parts":[["2017"]]},"page":"1-12","title":"Symptom screening rules to identify active pulmonary tuberculosis: Findings from the Zambian South African Tuberculosis and HIV/AIDS Reduction (ZAMSTAR) trial prevalence surveys","type":"article-journal","volume":"12"},"uris":["http://www.mendeley.com/documents/?uuid=6dab0caf-3fde-45b2-a261-2cf8d8bc95d7"]}],"mendeley":{"formattedCitation":"(45)","plainTextFormattedCitation":"(45)","previouslyFormattedCitation":"(45)"},"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(45)</w:t>
      </w:r>
      <w:r w:rsidRPr="00435469">
        <w:rPr>
          <w:rFonts w:cs="Times New Roman"/>
          <w:sz w:val="20"/>
          <w:szCs w:val="20"/>
        </w:rPr>
        <w:fldChar w:fldCharType="end"/>
      </w:r>
      <w:r w:rsidRPr="00435469">
        <w:rPr>
          <w:rFonts w:cs="Times New Roman"/>
          <w:sz w:val="20"/>
          <w:szCs w:val="20"/>
        </w:rPr>
        <w:t xml:space="preserve">. Den Boon </w:t>
      </w:r>
      <w:r w:rsidRPr="00435469">
        <w:rPr>
          <w:rFonts w:cs="Times New Roman"/>
          <w:i/>
          <w:iCs/>
          <w:sz w:val="20"/>
          <w:szCs w:val="20"/>
        </w:rPr>
        <w:t xml:space="preserve">et al. </w:t>
      </w:r>
      <w:r w:rsidRPr="00435469">
        <w:rPr>
          <w:rFonts w:cs="Times New Roman"/>
          <w:sz w:val="20"/>
          <w:szCs w:val="20"/>
        </w:rPr>
        <w:t>in a Cape Town based study conducted in 2002, estimated the prevalence of TB symptoms to be</w:t>
      </w:r>
      <w:r w:rsidR="00812940" w:rsidRPr="00435469">
        <w:rPr>
          <w:rFonts w:cs="Times New Roman"/>
          <w:sz w:val="20"/>
          <w:szCs w:val="20"/>
        </w:rPr>
        <w:t xml:space="preserve"> 48% in patients with active TB</w:t>
      </w:r>
      <w:r w:rsidRPr="00435469">
        <w:rPr>
          <w:rFonts w:cs="Times New Roman"/>
          <w:sz w:val="20"/>
          <w:szCs w:val="20"/>
        </w:rPr>
        <w:t xml:space="preserve"> </w:t>
      </w:r>
      <w:r w:rsidR="00812940" w:rsidRPr="00435469">
        <w:rPr>
          <w:rFonts w:cs="Times New Roman"/>
          <w:sz w:val="20"/>
          <w:szCs w:val="20"/>
        </w:rPr>
        <w:t>(</w:t>
      </w:r>
      <w:r w:rsidRPr="00435469">
        <w:rPr>
          <w:rFonts w:cs="Times New Roman"/>
          <w:sz w:val="20"/>
          <w:szCs w:val="20"/>
        </w:rPr>
        <w:t>60% among smear-positive active TB patients and 22% among smear-negative individuals</w:t>
      </w:r>
      <w:r w:rsidR="00812940" w:rsidRPr="00435469">
        <w:rPr>
          <w:rFonts w:cs="Times New Roman"/>
          <w:sz w:val="20"/>
          <w:szCs w:val="20"/>
        </w:rPr>
        <w:t>)</w:t>
      </w:r>
      <w:r w:rsidRPr="00435469">
        <w:rPr>
          <w:rFonts w:cs="Times New Roman"/>
          <w:sz w:val="20"/>
          <w:szCs w:val="20"/>
        </w:rPr>
        <w:t xml:space="preserve">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{"citationItems":[{"id":"ITEM-1","itemData":{"ISSN":"10273719","PMID":"16898372","abstract":"SETTING: A tuberculosis (TB) prevalence survey was performed in 2002 in two urban communities in Cape Town, South Africa. The population was 36334 in 2001, and the TB notification rate was 341 per 100 000 population for new smear-positive TB in 2002. OBJECTIVE: To evaluate the relative contributions of symptom and chest radiographic (CXR) screening in the detection of subjects with smear- and/or culture-positive TB in prevalence surveys. DESIGN: Information on symptoms, CXR abnormalities, sputum smear and culture was gathered from a random cluster sample of 1170 adults (aged ≥15 years). Smear and/or culture-positive TB was used as the gold standard. RESULTS: Of 1170 adults, 29 had bacteriologically positive TB (smear- and/or culture-positive). The presence of any abnormalities on CXR had the highest sensitivity for detecting subjects with bacteriologically positive TB (0.97, 95%CI 0.90-1.00). Specificity for any abnormalities on CXR was 0.67 (95%CI 0.64-0.70). The specificity of any of five TB-related symptoms was 0.68 (95%CI 0.65-0.71). Individual symptoms had low sensitivities, ranging from 0.10 for fever to 0.54 for cough of ≥2 weeks. CONCLUSION: In this TB prevalence survey, CXR screening, but not symptom screening, was a sensitive alternative to sputum examination of all participants. © 2006 The Union.","author":[{"dropping-particle":"","family":"Boon","given":"Saskia","non-dropping-particle":"Den","parse-names":false,"suffix":""},{"dropping-particle":"","family":"White","given":"N. W.","non-dropping-particle":"","parse-names":false,"suffix":""},{"dropping-particle":"","family":"Lill","given":"S. W.P.","non-dropping-particle":"Van","parse-names":false,"suffix":""},{"dropping-particle":"","family":"Borgdorff","given":"M. W.","non-dropping-particle":"","parse-names":false,"suffix":""},{"dropping-particle":"","family":"Verver","given":"S.","non-dropping-particle":"","parse-names":false,"suffix":""},{"dropping-particle":"","family":"Lombard","given":"C. J.","non-dropping-particle":"","parse-names":false,"suffix":""},{"dropping-particle":"","family":"Bateman","given":"E. D.","non-dropping-particle":"","parse-names":false,"suffix":""},{"dropping-particle":"","family":"Irusen","given":"E.","non-dropping-particle":"","parse-names":false,"suffix":""},{"dropping-particle":"","family":"Enarson","given":"D. A.","non-dropping-particle":"","parse-names":false,"suffix":""},{"dropping-particle":"","family":"Beyers","given":"N.","non-dropping-particle":"","parse-names":false,"suffix":""}],"container-title":"International Journal of Tuberculosis and Lung Disease","id":"ITEM-1","issue":"8","issued":{"date-parts":[["2006"]]},"page":"876-882","title":"An evaluation of symptom and chest radiographic screening in tuberculosis prevalence surveys","type":"article-journal","volume":"10"},"uris":["http://www.mendeley.com/documents/?uuid=ac6de4d1-63cb-4d1e-8c73-019417da1556"]}],"mendeley":{"formattedCitation":"(46)","plainTextFormattedCitation":"(46)","previouslyFormattedCitation":"(46)"},"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(46)</w:t>
      </w:r>
      <w:r w:rsidRPr="00435469">
        <w:rPr>
          <w:rFonts w:cs="Times New Roman"/>
          <w:sz w:val="20"/>
          <w:szCs w:val="20"/>
        </w:rPr>
        <w:fldChar w:fldCharType="end"/>
      </w:r>
      <w:r w:rsidRPr="00435469">
        <w:rPr>
          <w:rFonts w:cs="Times New Roman"/>
          <w:sz w:val="20"/>
          <w:szCs w:val="20"/>
        </w:rPr>
        <w:t>.</w:t>
      </w:r>
    </w:p>
    <w:p w14:paraId="5DD23049" w14:textId="1F23E404" w:rsidR="00D12A72" w:rsidRPr="00435469" w:rsidRDefault="00D12A72" w:rsidP="00955FFB">
      <w:pPr>
        <w:spacing w:line="240" w:lineRule="auto"/>
        <w:rPr>
          <w:rFonts w:cs="Times New Roman"/>
          <w:sz w:val="20"/>
          <w:szCs w:val="20"/>
          <w:lang w:val="en-ZA"/>
        </w:rPr>
      </w:pPr>
      <w:r w:rsidRPr="00435469">
        <w:rPr>
          <w:rFonts w:cs="Times New Roman"/>
          <w:sz w:val="20"/>
          <w:szCs w:val="20"/>
        </w:rPr>
        <w:t xml:space="preserve">We </w:t>
      </w:r>
      <w:r w:rsidR="00812940" w:rsidRPr="00435469">
        <w:rPr>
          <w:rFonts w:cs="Times New Roman"/>
          <w:sz w:val="20"/>
          <w:szCs w:val="20"/>
        </w:rPr>
        <w:t xml:space="preserve">consider </w:t>
      </w:r>
      <w:r w:rsidRPr="00435469">
        <w:rPr>
          <w:rFonts w:cs="Times New Roman"/>
          <w:sz w:val="20"/>
          <w:szCs w:val="20"/>
        </w:rPr>
        <w:t xml:space="preserve">the prevalence observed in the </w:t>
      </w:r>
      <w:r w:rsidR="00DD1A83" w:rsidRPr="00435469">
        <w:rPr>
          <w:rFonts w:cs="Times New Roman"/>
          <w:sz w:val="20"/>
          <w:szCs w:val="20"/>
        </w:rPr>
        <w:t xml:space="preserve">ZAMSTAR </w:t>
      </w:r>
      <w:r w:rsidRPr="00435469">
        <w:rPr>
          <w:rFonts w:cs="Times New Roman"/>
          <w:sz w:val="20"/>
          <w:szCs w:val="20"/>
        </w:rPr>
        <w:fldChar w:fldCharType="begin" w:fldLock="1"/>
      </w:r>
      <w:r w:rsidR="002F049E" w:rsidRPr="00435469">
        <w:rPr>
          <w:rFonts w:cs="Times New Roman"/>
          <w:sz w:val="20"/>
          <w:szCs w:val="20"/>
        </w:rPr>
        <w:instrText xml:space="preserve">ADDIN CSL_CITATION {"citationItems":[{"id":"ITEM-1","itemData":{"DOI":"10.1371/journal.pone.0172881","ISBN":"1111111111","ISSN":"19326203","abstract":"Background: High tuberculosis (TB) burden countries should consider systematic screening among adults in the general population. We identified symptom screening rules to be used in addition to cough ≥2 weeks, in a context where X-ray screening is not feasible, aiming to increase the sensitivity of screening while achieving a specificity of ≥85%. Methods: We used 2010 Zambia South Africa Tuberculosis and HIV/AIDS Reduction (ZAMSTAR) survey data: a South African (SA) training dataset, a SA testing dataset for internal validation and a Zambian dataset for external validation. Regression analyses investigated relationships between symptoms or combinations of symptoms and active disease. Sensitivity and specificity were calculated for candidate rules. Results: Among all participants, the sensitivity of using only cough ≥2 weeks as a screening rule was less than 25% in both SA and Zambia. The addition of any three of six TB symptoms (cough &lt;2 weeks, night sweats, weight loss, fever, chest pain, shortness of breath), or 2 or more of cough &lt;2 weeks, night sweats, and weight loss, increased the sensitivity to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38%, while reducing specificity from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95% to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85% in SA and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97% to </w:instrText>
      </w:r>
      <w:r w:rsidR="002F049E" w:rsidRPr="00435469">
        <w:rPr>
          <w:rFonts w:ascii="Cambria Math" w:hAnsi="Cambria Math" w:cs="Cambria Math"/>
          <w:sz w:val="20"/>
          <w:szCs w:val="20"/>
        </w:rPr>
        <w:instrText>∼</w:instrText>
      </w:r>
      <w:r w:rsidR="002F049E" w:rsidRPr="00435469">
        <w:rPr>
          <w:rFonts w:cs="Times New Roman"/>
          <w:sz w:val="20"/>
          <w:szCs w:val="20"/>
        </w:rPr>
        <w:instrText>92% in Zambia. Among HIV-negative adults, findings were similar in SA, whereas in Zambia the increase in sensitivity was relatively small (15% to 22%). Conclusion: High TB burden countries should investigate cost-effective strategies for systematic screening: one such strategy could be to use our rule in addition to cough ≥2 weeks.","author":[{"dropping-particle":"","family":"Claassens","given":"M. M.","non-dropping-particle":"","parse-names":false,"suffix":""},{"dropping-particle":"","family":"Schalkwyk","given":"C.","non-dropping-particle":"Van","parse-names":false,"suffix":""},{"dropping-particle":"","family":"Floyd","given":"S.","non-dropping-particle":"","parse-names":false,"suffix":""},{"dropping-particle":"","family":"Ayles","given":"H.","non-dropping-particle":"","parse-names":false,"suffix":""},{"dropping-particle":"","family":"Beyers","given":"N.","non-dropping-particle":"","parse-names":false,"suffix":""}],"container-title":"PLoS ONE","id":"ITEM-1","issue":"3","issued":{"date-parts":[["2017"]]},"page":"1-12","title":"Symptom screening rules to identify active pulmonary tuberculosis: Findings from the Zambian South African Tuberculosis and HIV/AIDS Reduction (ZAMSTAR) trial prevalence surveys","type":"article-journal","volume":"12"},"uris":["http://www.mendeley.com/documents/?uuid=6dab0caf-3fde-45b2-a261-2cf8d8bc95d7"]}],"mendeley":{"formattedCitation":"(45)","plainTextFormattedCitation":"(45)","previouslyFormattedCitation":"(45)"},"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(45)</w:t>
      </w:r>
      <w:r w:rsidRPr="00435469">
        <w:rPr>
          <w:rFonts w:cs="Times New Roman"/>
          <w:sz w:val="20"/>
          <w:szCs w:val="20"/>
        </w:rPr>
        <w:fldChar w:fldCharType="end"/>
      </w:r>
      <w:r w:rsidRPr="00435469">
        <w:rPr>
          <w:rFonts w:cs="Times New Roman"/>
          <w:sz w:val="20"/>
          <w:szCs w:val="20"/>
        </w:rPr>
        <w:t xml:space="preserve"> and the Den Boon </w:t>
      </w:r>
      <w:r w:rsidRPr="00435469">
        <w:rPr>
          <w:rFonts w:cs="Times New Roman"/>
          <w:i/>
          <w:iCs/>
          <w:sz w:val="20"/>
          <w:szCs w:val="20"/>
        </w:rPr>
        <w:t>et al.</w:t>
      </w:r>
      <w:r w:rsidRPr="00435469">
        <w:rPr>
          <w:rFonts w:cs="Times New Roman"/>
          <w:sz w:val="20"/>
          <w:szCs w:val="20"/>
        </w:rPr>
        <w:t xml:space="preserve">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{"citationItems":[{"id":"ITEM-1","itemData":{"ISSN":"10273719","PMID":"16898372","abstract":"SETTING: A tuberculosis (TB) prevalence survey was performed in 2002 in two urban communities in Cape Town, South Africa. The population was 36334 in 2001, and the TB notification rate was 341 per 100 000 population for new smear-positive TB in 2002. OBJECTIVE: To evaluate the relative contributions of symptom and chest radiographic (CXR) screening in the detection of subjects with smear- and/or culture-positive TB in prevalence surveys. DESIGN: Information on symptoms, CXR abnormalities, sputum smear and culture was gathered from a random cluster sample of 1170 adults (aged ≥15 years). Smear and/or culture-positive TB was used as the gold standard. RESULTS: Of 1170 adults, 29 had bacteriologically positive TB (smear- and/or culture-positive). The presence of any abnormalities on CXR had the highest sensitivity for detecting subjects with bacteriologically positive TB (0.97, 95%CI 0.90-1.00). Specificity for any abnormalities on CXR was 0.67 (95%CI 0.64-0.70). The specificity of any of five TB-related symptoms was 0.68 (95%CI 0.65-0.71). Individual symptoms had low sensitivities, ranging from 0.10 for fever to 0.54 for cough of ≥2 weeks. CONCLUSION: In this TB prevalence survey, CXR screening, but not symptom screening, was a sensitive alternative to sputum examination of all participants. © 2006 The Union.","author":[{"dropping-particle":"","family":"Boon","given":"Saskia","non-dropping-particle":"Den","parse-names":false,"suffix":""},{"dropping-particle":"","family":"White","given":"N. W.","non-dropping-particle":"","parse-names":false,"suffix":""},{"dropping-particle":"","family":"Lill","given":"S. W.P.","non-dropping-particle":"Van","parse-names":false,"suffix":""},{"dropping-particle":"","family":"Borgdorff","given":"M. W.","non-dropping-particle":"","parse-names":false,"suffix":""},{"dropping-particle":"","family":"Verver","given":"S.","non-dropping-particle":"","parse-names":false,"suffix":""},{"dropping-particle":"","family":"Lombard","given":"C. J.","non-dropping-particle":"","parse-names":false,"suffix":""},{"dropping-particle":"","family":"Bateman","given":"E. D.","non-dropping-particle":"","parse-names":false,"suffix":""},{"dropping-particle":"","family":"Irusen","given":"E.","non-dropping-particle":"","parse-names":false,"suffix":""},{"dropping-particle":"","family":"Enarson","given":"D. A.","non-dropping-particle":"","parse-names":false,"suffix":""},{"dropping-particle":"","family":"Beyers","given":"N.","non-dropping-particle":"","parse-names":false,"suffix":""}],"container-title":"International Journal of Tuberculosis and Lung Disease","id":"ITEM-1","issue":"8","issued":{"date-parts":[["2006"]]},"page":"876-882","title":"An evaluation of symptom and chest radiographic screening in tuberculosis prevalence surveys","type":"article-journal","volume":"10"},"uris":["http://www.mendeley.com/documents/?uuid=ac6de4d1-63cb-4d1e-8c73-019417da1556"]}],"mendeley":{"formattedCitation":"(46)","plainTextFormattedCitation":"(46)","previouslyFormattedCitation":"(46)"},"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(46)</w:t>
      </w:r>
      <w:r w:rsidRPr="00435469">
        <w:rPr>
          <w:rFonts w:cs="Times New Roman"/>
          <w:sz w:val="20"/>
          <w:szCs w:val="20"/>
        </w:rPr>
        <w:fldChar w:fldCharType="end"/>
      </w:r>
      <w:r w:rsidR="00DD1A83" w:rsidRPr="00435469">
        <w:rPr>
          <w:rFonts w:cs="Times New Roman"/>
          <w:sz w:val="20"/>
          <w:szCs w:val="20"/>
        </w:rPr>
        <w:t xml:space="preserve"> </w:t>
      </w:r>
      <w:r w:rsidRPr="00435469">
        <w:rPr>
          <w:rFonts w:cs="Times New Roman"/>
          <w:sz w:val="20"/>
          <w:szCs w:val="20"/>
        </w:rPr>
        <w:t xml:space="preserve">studies </w:t>
      </w:r>
      <w:r w:rsidR="00812940" w:rsidRPr="00435469">
        <w:rPr>
          <w:rFonts w:cs="Times New Roman"/>
          <w:sz w:val="20"/>
          <w:szCs w:val="20"/>
        </w:rPr>
        <w:t>to be likely over-estimates of</w:t>
      </w:r>
      <w:r w:rsidRPr="00435469">
        <w:rPr>
          <w:rFonts w:cs="Times New Roman"/>
          <w:sz w:val="20"/>
          <w:szCs w:val="20"/>
        </w:rPr>
        <w:t xml:space="preserve"> the prevalence of symptoms in smear-negative</w:t>
      </w:r>
      <w:r w:rsidR="00DD1A83" w:rsidRPr="00435469">
        <w:rPr>
          <w:rFonts w:cs="Times New Roman"/>
          <w:sz w:val="20"/>
          <w:szCs w:val="20"/>
        </w:rPr>
        <w:t xml:space="preserve"> TB</w:t>
      </w:r>
      <w:r w:rsidRPr="00435469">
        <w:rPr>
          <w:rFonts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A</m:t>
            </m:r>
          </m:sub>
        </m:sSub>
        <m:r>
          <w:rPr>
            <w:rFonts w:ascii="Cambria Math" w:hAnsi="Cambria Math" w:cs="Times New Roman"/>
            <w:sz w:val="20"/>
            <w:szCs w:val="20"/>
          </w:rPr>
          <m:t>(0)</m:t>
        </m:r>
      </m:oMath>
      <w:r w:rsidRPr="00435469">
        <w:rPr>
          <w:rFonts w:cs="Times New Roman"/>
          <w:sz w:val="20"/>
          <w:szCs w:val="20"/>
        </w:rPr>
        <w:t>) because smear-negative TB is less symptomatic than smear-positive TB. To represent the uncertainty around this parameter we</w:t>
      </w:r>
      <w:r w:rsidR="0006496D" w:rsidRPr="00435469">
        <w:rPr>
          <w:rFonts w:cs="Times New Roman"/>
          <w:sz w:val="20"/>
          <w:szCs w:val="20"/>
        </w:rPr>
        <w:t xml:space="preserve"> previously</w:t>
      </w:r>
      <w:r w:rsidRPr="00435469">
        <w:rPr>
          <w:rFonts w:cs="Times New Roman"/>
          <w:sz w:val="20"/>
          <w:szCs w:val="20"/>
        </w:rPr>
        <w:t xml:space="preserve"> </w:t>
      </w:r>
      <w:r w:rsidR="0006496D" w:rsidRPr="00435469">
        <w:rPr>
          <w:rFonts w:cs="Times New Roman"/>
          <w:sz w:val="20"/>
          <w:szCs w:val="20"/>
        </w:rPr>
        <w:t xml:space="preserve">specified </w:t>
      </w:r>
      <w:r w:rsidRPr="00435469">
        <w:rPr>
          <w:rFonts w:cs="Times New Roman"/>
          <w:sz w:val="20"/>
          <w:szCs w:val="20"/>
        </w:rPr>
        <w:t>a Beta</w:t>
      </w:r>
      <w:r w:rsidR="002C0F00" w:rsidRPr="00435469">
        <w:rPr>
          <w:rFonts w:cs="Times New Roman"/>
          <w:sz w:val="20"/>
          <w:szCs w:val="20"/>
        </w:rPr>
        <w:t xml:space="preserve"> </w:t>
      </w:r>
      <w:r w:rsidRPr="00435469">
        <w:rPr>
          <w:rFonts w:cs="Times New Roman"/>
          <w:sz w:val="20"/>
          <w:szCs w:val="20"/>
        </w:rPr>
        <w:t>(</w:t>
      </w:r>
      <w:r w:rsidR="004C3FF0" w:rsidRPr="00435469">
        <w:rPr>
          <w:rFonts w:cs="Times New Roman"/>
          <w:sz w:val="20"/>
          <w:szCs w:val="20"/>
        </w:rPr>
        <w:t>3;12</w:t>
      </w:r>
      <w:r w:rsidRPr="00435469">
        <w:rPr>
          <w:rFonts w:cs="Times New Roman"/>
          <w:sz w:val="20"/>
          <w:szCs w:val="20"/>
        </w:rPr>
        <w:t xml:space="preserve">) </w:t>
      </w:r>
      <w:r w:rsidR="0006496D" w:rsidRPr="00435469">
        <w:rPr>
          <w:rFonts w:cs="Times New Roman"/>
          <w:sz w:val="20"/>
          <w:szCs w:val="20"/>
        </w:rPr>
        <w:t xml:space="preserve">prior </w:t>
      </w:r>
      <w:r w:rsidRPr="00435469">
        <w:rPr>
          <w:rFonts w:cs="Times New Roman"/>
          <w:sz w:val="20"/>
          <w:szCs w:val="20"/>
        </w:rPr>
        <w:t>with mean of 0.2 and standard deviation of 0.1</w:t>
      </w:r>
      <w:r w:rsidR="00FD7CFC" w:rsidRPr="00435469">
        <w:rPr>
          <w:rFonts w:cs="Times New Roman"/>
          <w:sz w:val="20"/>
          <w:szCs w:val="20"/>
        </w:rPr>
        <w:t xml:space="preserve">. In this </w:t>
      </w:r>
      <w:r w:rsidR="00CE0D83" w:rsidRPr="00435469">
        <w:rPr>
          <w:rFonts w:cs="Times New Roman"/>
          <w:sz w:val="20"/>
          <w:szCs w:val="20"/>
        </w:rPr>
        <w:t xml:space="preserve">current </w:t>
      </w:r>
      <w:r w:rsidR="00FD7CFC" w:rsidRPr="00435469">
        <w:rPr>
          <w:rFonts w:cs="Times New Roman"/>
          <w:sz w:val="20"/>
          <w:szCs w:val="20"/>
        </w:rPr>
        <w:t>analysis, we fixed this parameter at</w:t>
      </w:r>
      <w:r w:rsidR="00153E19" w:rsidRPr="00435469">
        <w:rPr>
          <w:rFonts w:cs="Times New Roman"/>
          <w:sz w:val="20"/>
          <w:szCs w:val="20"/>
        </w:rPr>
        <w:t xml:space="preserve"> a mean of</w:t>
      </w:r>
      <w:r w:rsidR="00FD7CFC" w:rsidRPr="00435469">
        <w:rPr>
          <w:rFonts w:cs="Times New Roman"/>
          <w:sz w:val="20"/>
          <w:szCs w:val="20"/>
        </w:rPr>
        <w:t xml:space="preserve"> </w:t>
      </w:r>
      <w:r w:rsidR="00FD7CFC" w:rsidRPr="00435469">
        <w:rPr>
          <w:rFonts w:cs="Times New Roman"/>
          <w:sz w:val="20"/>
          <w:szCs w:val="20"/>
          <w:lang w:val="en-ZA"/>
        </w:rPr>
        <w:t xml:space="preserve">0.198, </w:t>
      </w:r>
      <w:r w:rsidR="00CE0D83" w:rsidRPr="00435469">
        <w:rPr>
          <w:rFonts w:cs="Times New Roman"/>
          <w:sz w:val="20"/>
          <w:szCs w:val="20"/>
          <w:lang w:val="en-ZA"/>
        </w:rPr>
        <w:t xml:space="preserve">which was </w:t>
      </w:r>
      <w:r w:rsidR="00FD7CFC" w:rsidRPr="00435469">
        <w:rPr>
          <w:rFonts w:cs="Times New Roman"/>
          <w:sz w:val="20"/>
          <w:szCs w:val="20"/>
          <w:lang w:val="en-ZA"/>
        </w:rPr>
        <w:t xml:space="preserve">estimated from a previous calibration </w:t>
      </w:r>
      <w:r w:rsidR="00BD76CA" w:rsidRPr="00435469">
        <w:rPr>
          <w:rFonts w:cs="Times New Roman"/>
          <w:sz w:val="20"/>
          <w:szCs w:val="20"/>
          <w:lang w:val="en-ZA"/>
        </w:rPr>
        <w:t>(</w:t>
      </w:r>
      <w:r w:rsidR="002A641A" w:rsidRPr="00435469">
        <w:rPr>
          <w:rFonts w:cs="Times New Roman"/>
          <w:sz w:val="20"/>
          <w:szCs w:val="20"/>
          <w:lang w:val="en-ZA"/>
        </w:rPr>
        <w:t xml:space="preserve">mean = </w:t>
      </w:r>
      <w:r w:rsidR="00BD76CA" w:rsidRPr="00435469">
        <w:rPr>
          <w:rFonts w:cs="Times New Roman"/>
          <w:sz w:val="20"/>
          <w:szCs w:val="20"/>
          <w:lang w:val="en-ZA"/>
        </w:rPr>
        <w:t>0.198</w:t>
      </w:r>
      <w:r w:rsidR="0024762C" w:rsidRPr="00435469">
        <w:rPr>
          <w:rFonts w:cs="Times New Roman"/>
          <w:sz w:val="20"/>
          <w:szCs w:val="20"/>
          <w:lang w:val="en-ZA"/>
        </w:rPr>
        <w:t xml:space="preserve">, </w:t>
      </w:r>
      <w:r w:rsidR="00BD76CA" w:rsidRPr="00435469">
        <w:rPr>
          <w:rFonts w:cs="Times New Roman"/>
          <w:sz w:val="20"/>
          <w:szCs w:val="20"/>
          <w:lang w:val="en-ZA"/>
        </w:rPr>
        <w:t>95% CI 0.149 – 0.263)</w:t>
      </w:r>
      <w:r w:rsidR="001B7A5C" w:rsidRPr="00435469">
        <w:rPr>
          <w:rFonts w:cs="Times New Roman"/>
          <w:sz w:val="20"/>
          <w:szCs w:val="20"/>
          <w:lang w:val="en-ZA"/>
        </w:rPr>
        <w:t xml:space="preserve"> </w:t>
      </w:r>
      <w:r w:rsidR="001B7A5C" w:rsidRPr="00435469">
        <w:rPr>
          <w:rFonts w:eastAsia="Yu Mincho" w:cs="Times New Roman"/>
          <w:sz w:val="20"/>
          <w:szCs w:val="20"/>
        </w:rPr>
        <w:fldChar w:fldCharType="begin" w:fldLock="1"/>
      </w:r>
      <w:r w:rsidR="0057162F"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1B7A5C" w:rsidRPr="00435469">
        <w:rPr>
          <w:rFonts w:eastAsia="Yu Mincho" w:cs="Times New Roman"/>
          <w:sz w:val="20"/>
          <w:szCs w:val="20"/>
        </w:rPr>
        <w:fldChar w:fldCharType="separate"/>
      </w:r>
      <w:r w:rsidR="001B7A5C" w:rsidRPr="00435469">
        <w:rPr>
          <w:rFonts w:eastAsia="Yu Mincho" w:cs="Times New Roman"/>
          <w:noProof/>
          <w:sz w:val="20"/>
          <w:szCs w:val="20"/>
        </w:rPr>
        <w:t>(6)</w:t>
      </w:r>
      <w:r w:rsidR="001B7A5C" w:rsidRPr="00435469">
        <w:rPr>
          <w:rFonts w:eastAsia="Yu Mincho" w:cs="Times New Roman"/>
          <w:sz w:val="20"/>
          <w:szCs w:val="20"/>
        </w:rPr>
        <w:fldChar w:fldCharType="end"/>
      </w:r>
      <w:r w:rsidRPr="00435469">
        <w:rPr>
          <w:rFonts w:cs="Times New Roman"/>
          <w:sz w:val="20"/>
          <w:szCs w:val="20"/>
        </w:rPr>
        <w:t xml:space="preserve">. </w:t>
      </w:r>
      <w:r w:rsidR="00854013" w:rsidRPr="00435469">
        <w:rPr>
          <w:rFonts w:cs="Times New Roman"/>
          <w:sz w:val="20"/>
          <w:szCs w:val="20"/>
        </w:rPr>
        <w:t>Then</w:t>
      </w:r>
      <w:r w:rsidRPr="00435469">
        <w:rPr>
          <w:rFonts w:cs="Times New Roman"/>
          <w:sz w:val="20"/>
          <w:szCs w:val="20"/>
        </w:rPr>
        <w:t xml:space="preserve"> we set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v</m:t>
            </m:r>
          </m:e>
          <m:sub>
            <m:r>
              <w:rPr>
                <w:rFonts w:ascii="Cambria Math" w:eastAsiaTheme="minorEastAsia" w:hAnsi="Cambria Math" w:cs="Times New Roman"/>
                <w:sz w:val="20"/>
                <w:szCs w:val="20"/>
              </w:rPr>
              <m:t>G</m:t>
            </m:r>
          </m:sub>
        </m:sSub>
      </m:oMath>
      <w:r w:rsidRPr="00435469">
        <w:rPr>
          <w:rFonts w:cs="Times New Roman"/>
          <w:sz w:val="20"/>
          <w:szCs w:val="20"/>
        </w:rPr>
        <w:t xml:space="preserve"> </w:t>
      </w:r>
      <w:r w:rsidRPr="00435469">
        <w:rPr>
          <w:rFonts w:eastAsiaTheme="minorEastAsia" w:cs="Times New Roman"/>
          <w:sz w:val="20"/>
          <w:szCs w:val="20"/>
        </w:rPr>
        <w:t xml:space="preserve">the prevalence of respiratory symptoms in the general non-active TB population at 5.2% based on the ZAMSTAR study </w:t>
      </w:r>
      <w:r w:rsidRPr="00435469">
        <w:rPr>
          <w:rFonts w:cs="Times New Roman"/>
          <w:sz w:val="20"/>
          <w:szCs w:val="20"/>
        </w:rPr>
        <w:fldChar w:fldCharType="begin" w:fldLock="1"/>
      </w:r>
      <w:r w:rsidR="002F049E" w:rsidRPr="00435469">
        <w:rPr>
          <w:rFonts w:cs="Times New Roman"/>
          <w:sz w:val="20"/>
          <w:szCs w:val="20"/>
        </w:rPr>
        <w:instrText xml:space="preserve">ADDIN CSL_CITATION {"citationItems":[{"id":"ITEM-1","itemData":{"DOI":"10.1371/journal.pone.0172881","ISBN":"1111111111","ISSN":"19326203","abstract":"Background: High tuberculosis (TB) burden countries should consider systematic screening among adults in the general population. We identified symptom screening rules to be used in addition to cough ≥2 weeks, in a context where X-ray screening is not feasible, aiming to increase the sensitivity of screening while achieving a specificity of ≥85%. Methods: We used 2010 Zambia South Africa Tuberculosis and HIV/AIDS Reduction (ZAMSTAR) survey data: a South African (SA) training dataset, a SA testing dataset for internal validation and a Zambian dataset for external validation. Regression analyses investigated relationships between symptoms or combinations of symptoms and active disease. Sensitivity and specificity were calculated for candidate rules. Results: Among all participants, the sensitivity of using only cough ≥2 weeks as a screening rule was less than 25% in both SA and Zambia. The addition of any three of six TB symptoms (cough &lt;2 weeks, night sweats, weight loss, fever, chest pain, shortness of breath), or 2 or more of cough &lt;2 weeks, night sweats, and weight loss, increased the sensitivity to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38%, while reducing specificity from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95% to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85% in SA and </w:instrText>
      </w:r>
      <w:r w:rsidR="002F049E" w:rsidRPr="00435469">
        <w:rPr>
          <w:rFonts w:ascii="Cambria Math" w:hAnsi="Cambria Math" w:cs="Cambria Math"/>
          <w:sz w:val="20"/>
          <w:szCs w:val="20"/>
        </w:rPr>
        <w:instrText>∼</w:instrText>
      </w:r>
      <w:r w:rsidR="002F049E" w:rsidRPr="00435469">
        <w:rPr>
          <w:rFonts w:cs="Times New Roman"/>
          <w:sz w:val="20"/>
          <w:szCs w:val="20"/>
        </w:rPr>
        <w:instrText xml:space="preserve">97% to </w:instrText>
      </w:r>
      <w:r w:rsidR="002F049E" w:rsidRPr="00435469">
        <w:rPr>
          <w:rFonts w:ascii="Cambria Math" w:hAnsi="Cambria Math" w:cs="Cambria Math"/>
          <w:sz w:val="20"/>
          <w:szCs w:val="20"/>
        </w:rPr>
        <w:instrText>∼</w:instrText>
      </w:r>
      <w:r w:rsidR="002F049E" w:rsidRPr="00435469">
        <w:rPr>
          <w:rFonts w:cs="Times New Roman"/>
          <w:sz w:val="20"/>
          <w:szCs w:val="20"/>
        </w:rPr>
        <w:instrText>92% in Zambia. Among HIV-negative adults, findings were similar in SA, whereas in Zambia the increase in sensitivity was relatively small (15% to 22%). Conclusion: High TB burden countries should investigate cost-effective strategies for systematic screening: one such strategy could be to use our rule in addition to cough ≥2 weeks.","author":[{"dropping-particle":"","family":"Claassens","given":"M. M.","non-dropping-particle":"","parse-names":false,"suffix":""},{"dropping-particle":"","family":"Schalkwyk","given":"C.","non-dropping-particle":"Van","parse-names":false,"suffix":""},{"dropping-particle":"","family":"Floyd","given":"S.","non-dropping-particle":"","parse-names":false,"suffix":""},{"dropping-particle":"","family":"Ayles","given":"H.","non-dropping-particle":"","parse-names":false,"suffix":""},{"dropping-particle":"","family":"Beyers","given":"N.","non-dropping-particle":"","parse-names":false,"suffix":""}],"container-title":"PLoS ONE","id":"ITEM-1","issue":"3","issued":{"date-parts":[["2017"]]},"page":"1-12","title":"Symptom screening rules to identify active pulmonary tuberculosis: Findings from the Zambian South African Tuberculosis and HIV/AIDS Reduction (ZAMSTAR) trial prevalence surveys","type":"article-journal","volume":"12"},"uris":["http://www.mendeley.com/documents/?uuid=6dab0caf-3fde-45b2-a261-2cf8d8bc95d7"]}],"mendeley":{"formattedCitation":"(45)","plainTextFormattedCitation":"(45)","previouslyFormattedCitation":"(45)"},"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(45)</w:t>
      </w:r>
      <w:r w:rsidRPr="00435469">
        <w:rPr>
          <w:rFonts w:cs="Times New Roman"/>
          <w:sz w:val="20"/>
          <w:szCs w:val="20"/>
        </w:rPr>
        <w:fldChar w:fldCharType="end"/>
      </w:r>
      <w:r w:rsidRPr="00435469">
        <w:rPr>
          <w:rFonts w:cs="Times New Roman"/>
          <w:sz w:val="20"/>
          <w:szCs w:val="20"/>
        </w:rPr>
        <w:t>.</w:t>
      </w:r>
    </w:p>
    <w:p w14:paraId="22B9C704" w14:textId="0045A8C1" w:rsidR="00D12A72" w:rsidRPr="00435469" w:rsidRDefault="00D12A72" w:rsidP="00955FFB">
      <w:pPr>
        <w:spacing w:line="240" w:lineRule="auto"/>
        <w:rPr>
          <w:rFonts w:cs="Times New Roman"/>
          <w:sz w:val="20"/>
          <w:szCs w:val="20"/>
        </w:rPr>
      </w:pPr>
      <w:r w:rsidRPr="00435469">
        <w:rPr>
          <w:rFonts w:cs="Times New Roman"/>
          <w:sz w:val="20"/>
          <w:szCs w:val="20"/>
        </w:rPr>
        <w:t xml:space="preserve">We use </w:t>
      </w:r>
      <w:r w:rsidR="009B5974" w:rsidRPr="00435469">
        <w:rPr>
          <w:rFonts w:cs="Times New Roman"/>
          <w:sz w:val="20"/>
          <w:szCs w:val="20"/>
        </w:rPr>
        <w:t>the</w:t>
      </w:r>
      <w:r w:rsidRPr="00435469">
        <w:rPr>
          <w:rFonts w:cs="Times New Roman"/>
          <w:sz w:val="20"/>
          <w:szCs w:val="20"/>
        </w:rPr>
        <w:t xml:space="preserve"> review of prevalence surveys conducted in Asia between 1990–2012 by </w:t>
      </w:r>
      <w:proofErr w:type="spellStart"/>
      <w:r w:rsidRPr="00435469">
        <w:rPr>
          <w:rFonts w:cs="Times New Roman"/>
          <w:sz w:val="20"/>
          <w:szCs w:val="20"/>
        </w:rPr>
        <w:t>Onozaki</w:t>
      </w:r>
      <w:proofErr w:type="spellEnd"/>
      <w:r w:rsidRPr="00435469">
        <w:rPr>
          <w:rFonts w:cs="Times New Roman"/>
          <w:sz w:val="20"/>
          <w:szCs w:val="20"/>
        </w:rPr>
        <w:t xml:space="preserve"> </w:t>
      </w:r>
      <w:r w:rsidRPr="00435469">
        <w:rPr>
          <w:rFonts w:cs="Times New Roman"/>
          <w:i/>
          <w:iCs/>
          <w:sz w:val="20"/>
          <w:szCs w:val="20"/>
        </w:rPr>
        <w:t>et al</w:t>
      </w:r>
      <w:r w:rsidRPr="00435469">
        <w:rPr>
          <w:rFonts w:cs="Times New Roman"/>
          <w:sz w:val="20"/>
          <w:szCs w:val="20"/>
        </w:rPr>
        <w:t xml:space="preserve">., to estimate the </w:t>
      </w:r>
      <w:r w:rsidR="00AE4779" w:rsidRPr="00435469">
        <w:rPr>
          <w:rFonts w:cs="Times New Roman"/>
          <w:sz w:val="20"/>
          <w:szCs w:val="20"/>
        </w:rPr>
        <w:t xml:space="preserve">ratio of </w:t>
      </w:r>
      <w:r w:rsidR="002C0F00" w:rsidRPr="00435469">
        <w:rPr>
          <w:rFonts w:cs="Times New Roman"/>
          <w:sz w:val="20"/>
          <w:szCs w:val="20"/>
        </w:rPr>
        <w:t xml:space="preserve">the </w:t>
      </w:r>
      <w:r w:rsidRPr="00435469">
        <w:rPr>
          <w:rFonts w:cs="Times New Roman"/>
          <w:sz w:val="20"/>
          <w:szCs w:val="20"/>
        </w:rPr>
        <w:t xml:space="preserve">prevalence of TB symptoms in smear-positive individuals compared to smear-negative individuals with TB </w:t>
      </w:r>
      <w:r w:rsidRPr="00435469">
        <w:rPr>
          <w:rFonts w:cs="Times New Roman"/>
          <w:i/>
          <w:iCs/>
          <w:sz w:val="20"/>
          <w:szCs w:val="20"/>
        </w:rPr>
        <w:t xml:space="preserve"> </w:t>
      </w:r>
      <w:r w:rsidRPr="00435469">
        <w:rPr>
          <w:rFonts w:cs="Times New Roman"/>
          <w:i/>
          <w:iCs/>
          <w:sz w:val="20"/>
          <w:szCs w:val="20"/>
        </w:rPr>
        <w:fldChar w:fldCharType="begin" w:fldLock="1"/>
      </w:r>
      <w:r w:rsidR="002F049E" w:rsidRPr="00435469">
        <w:rPr>
          <w:rFonts w:cs="Times New Roman"/>
          <w:i/>
          <w:iCs/>
          <w:sz w:val="20"/>
          <w:szCs w:val="20"/>
        </w:rPr>
        <w:instrText>ADDIN CSL_CITATION {"citationItems":[{"id":"ITEM-1","itemData":{"DOI":"10.1111/tmi.12534","ISSN":"13653156","abstract":"Objective and Methods: In many countries, national tuberculosis (TB) prevalence surveys are the only way to reliably measure the burden of TB disease and monitor trends. They can also provide evidence about the current performance of TB care and control and how this could be improved. We developed an inventory of Asian surveys from 1953 to 2012 and then compiled and analysed a standard set of data for all national surveys implemented between 1990 (the baseline year for 2015 global TB targets) and 2012. Results: There were 21 surveys in 12 countries between 1990 and 2012; published results were available for 18. The participation rate was at least 80% and often much higher except for two surveys in Thailand. The prevalence of bacteriologically-positive TB disease among adults aged ≥15 years varied widely among countries (1.2 per 1000 population in China in 2010 to 15 per 1000 population in Cambodia in 2002), but age and sex distribution patterns were consistent with a progressive increase in rates of disease by age, and men accounting for 66-75% of prevalent cases. A high proportion of cases (40-79% across all surveys) did not report TB symptoms that met screening criteria (generally cough of 2-3 weeks or more, and blood in the sputum) and were only detected due to chest X-ray screening of all survey participants; this proportion increased over time in countries with repeat survey data. The ratio of prevalent cases to cases notified to national TB programmes was typically around two, but was as high as three in Lao PDR and Pakistan even after the internationally recommended TB control strategy had been implemented nationwide for several years. Four countries (China, Cambodia, the Republic of Korea and the Philippines demonstrated declines in smear or culture-positive pulmonary TB prevalence of approximately 50% over 10 years. Conclusions: National TB prevalence surveys in Asia show that large reductions in the prevalence of TB disease can be achieved within a decade, that men bear much more of the burden than women and that the epidemic is ageing. Comparisons among countries show that more can be achieved in TB control in some countries with existing strategies and technologies. However, with many prevalent cases not reporting classic TB symptoms, all countries face the challenge of defining and implementing strategies that will result in earlier detection and treatment of cases.","author":[{"dropping-particle":"","family":"Onozaki","given":"Ikushi","non-dropping-particle":"","parse-names":false,"suffix":""},{"dropping-particle":"","family":"Law","given":"Irwin","non-dropping-particle":"","parse-names":false,"suffix":""},{"dropping-particle":"","family":"Sismanidis","given":"Charalambos","non-dropping-particle":"","parse-names":false,"suffix":""},{"dropping-particle":"","family":"Zignol","given":"Matteo","non-dropping-particle":"","parse-names":false,"suffix":""},{"dropping-particle":"","family":"Glaziou","given":"Philippe","non-dropping-particle":"","parse-names":false,"suffix":""},{"dropping-particle":"","family":"Floyd","given":"Katherine","non-dropping-particle":"","parse-names":false,"suffix":""}],"container-title":"Tropical Medicine and International Health","id":"ITEM-1","issued":{"date-parts":[["2015"]]},"title":"National tuberculosis prevalence surveys in Asia, 1990-2012: An overview of results and lessons learned","type":"article-journal"},"uris":["http://www.mendeley.com/documents/?uuid=fe8ed5c0-d3c8-4bf8-ba9b-b509012f0bab"]}],"mendeley":{"formattedCitation":"(44)","plainTextFormattedCitation":"(44)","previouslyFormattedCitation":"(44)"},"properties":{"noteIndex":0},"schema":"https://github.com/citation-style-language/schema/raw/master/csl-citation.json"}</w:instrText>
      </w:r>
      <w:r w:rsidRPr="00435469">
        <w:rPr>
          <w:rFonts w:cs="Times New Roman"/>
          <w:i/>
          <w:iCs/>
          <w:sz w:val="20"/>
          <w:szCs w:val="20"/>
        </w:rPr>
        <w:fldChar w:fldCharType="separate"/>
      </w:r>
      <w:r w:rsidR="0063047A" w:rsidRPr="00435469">
        <w:rPr>
          <w:rFonts w:cs="Times New Roman"/>
          <w:iCs/>
          <w:noProof/>
          <w:sz w:val="20"/>
          <w:szCs w:val="20"/>
        </w:rPr>
        <w:t>(44)</w:t>
      </w:r>
      <w:r w:rsidRPr="00435469">
        <w:rPr>
          <w:rFonts w:cs="Times New Roman"/>
          <w:i/>
          <w:iCs/>
          <w:sz w:val="20"/>
          <w:szCs w:val="20"/>
        </w:rPr>
        <w:fldChar w:fldCharType="end"/>
      </w:r>
      <w:r w:rsidRPr="00435469">
        <w:rPr>
          <w:rFonts w:cs="Times New Roman"/>
          <w:sz w:val="20"/>
          <w:szCs w:val="20"/>
        </w:rPr>
        <w:t xml:space="preserve">. From this review, the prevalence ratio of TB symptoms in smear-positive individuals compared to smear-negative individuals differed </w:t>
      </w:r>
      <w:r w:rsidR="009B5974" w:rsidRPr="00435469">
        <w:rPr>
          <w:rFonts w:cs="Times New Roman"/>
          <w:sz w:val="20"/>
          <w:szCs w:val="20"/>
        </w:rPr>
        <w:t xml:space="preserve">between </w:t>
      </w:r>
      <w:r w:rsidRPr="00435469">
        <w:rPr>
          <w:rFonts w:cs="Times New Roman"/>
          <w:sz w:val="20"/>
          <w:szCs w:val="20"/>
        </w:rPr>
        <w:t>countries and ranged between 1.0 and 2.72</w:t>
      </w:r>
      <w:r w:rsidR="0019418B" w:rsidRPr="00435469">
        <w:rPr>
          <w:rFonts w:cs="Times New Roman"/>
          <w:sz w:val="20"/>
          <w:szCs w:val="20"/>
        </w:rPr>
        <w:t xml:space="preserve">; </w:t>
      </w:r>
      <w:r w:rsidRPr="00435469">
        <w:rPr>
          <w:rFonts w:cs="Times New Roman"/>
          <w:sz w:val="20"/>
          <w:szCs w:val="20"/>
        </w:rPr>
        <w:t xml:space="preserve">the average was 1.62 </w:t>
      </w:r>
      <w:r w:rsidRPr="00435469">
        <w:rPr>
          <w:rFonts w:cs="Times New Roman"/>
          <w:i/>
          <w:iCs/>
          <w:sz w:val="20"/>
          <w:szCs w:val="20"/>
        </w:rPr>
        <w:fldChar w:fldCharType="begin" w:fldLock="1"/>
      </w:r>
      <w:r w:rsidR="002F049E" w:rsidRPr="00435469">
        <w:rPr>
          <w:rFonts w:cs="Times New Roman"/>
          <w:i/>
          <w:iCs/>
          <w:sz w:val="20"/>
          <w:szCs w:val="20"/>
        </w:rPr>
        <w:instrText>ADDIN CSL_CITATION {"citationItems":[{"id":"ITEM-1","itemData":{"DOI":"10.1111/tmi.12534","ISSN":"13653156","abstract":"Objective and Methods: In many countries, national tuberculosis (TB) prevalence surveys are the only way to reliably measure the burden of TB disease and monitor trends. They can also provide evidence about the current performance of TB care and control and how this could be improved. We developed an inventory of Asian surveys from 1953 to 2012 and then compiled and analysed a standard set of data for all national surveys implemented between 1990 (the baseline year for 2015 global TB targets) and 2012. Results: There were 21 surveys in 12 countries between 1990 and 2012; published results were available for 18. The participation rate was at least 80% and often much higher except for two surveys in Thailand. The prevalence of bacteriologically-positive TB disease among adults aged ≥15 years varied widely among countries (1.2 per 1000 population in China in 2010 to 15 per 1000 population in Cambodia in 2002), but age and sex distribution patterns were consistent with a progressive increase in rates of disease by age, and men accounting for 66-75% of prevalent cases. A high proportion of cases (40-79% across all surveys) did not report TB symptoms that met screening criteria (generally cough of 2-3 weeks or more, and blood in the sputum) and were only detected due to chest X-ray screening of all survey participants; this proportion increased over time in countries with repeat survey data. The ratio of prevalent cases to cases notified to national TB programmes was typically around two, but was as high as three in Lao PDR and Pakistan even after the internationally recommended TB control strategy had been implemented nationwide for several years. Four countries (China, Cambodia, the Republic of Korea and the Philippines demonstrated declines in smear or culture-positive pulmonary TB prevalence of approximately 50% over 10 years. Conclusions: National TB prevalence surveys in Asia show that large reductions in the prevalence of TB disease can be achieved within a decade, that men bear much more of the burden than women and that the epidemic is ageing. Comparisons among countries show that more can be achieved in TB control in some countries with existing strategies and technologies. However, with many prevalent cases not reporting classic TB symptoms, all countries face the challenge of defining and implementing strategies that will result in earlier detection and treatment of cases.","author":[{"dropping-particle":"","family":"Onozaki","given":"Ikushi","non-dropping-particle":"","parse-names":false,"suffix":""},{"dropping-particle":"","family":"Law","given":"Irwin","non-dropping-particle":"","parse-names":false,"suffix":""},{"dropping-particle":"","family":"Sismanidis","given":"Charalambos","non-dropping-particle":"","parse-names":false,"suffix":""},{"dropping-particle":"","family":"Zignol","given":"Matteo","non-dropping-particle":"","parse-names":false,"suffix":""},{"dropping-particle":"","family":"Glaziou","given":"Philippe","non-dropping-particle":"","parse-names":false,"suffix":""},{"dropping-particle":"","family":"Floyd","given":"Katherine","non-dropping-particle":"","parse-names":false,"suffix":""}],"container-title":"Tropical Medicine and International Health","id":"ITEM-1","issued":{"date-parts":[["2015"]]},"title":"National tuberculosis prevalence surveys in Asia, 1990-2012: An overview of results and lessons learned","type":"article-journal"},"uris":["http://www.mendeley.com/documents/?uuid=fe8ed5c0-d3c8-4bf8-ba9b-b509012f0bab"]}],"mendeley":{"formattedCitation":"(44)","plainTextFormattedCitation":"(44)","previouslyFormattedCitation":"(44)"},"properties":{"noteIndex":0},"schema":"https://github.com/citation-style-language/schema/raw/master/csl-citation.json"}</w:instrText>
      </w:r>
      <w:r w:rsidRPr="00435469">
        <w:rPr>
          <w:rFonts w:cs="Times New Roman"/>
          <w:i/>
          <w:iCs/>
          <w:sz w:val="20"/>
          <w:szCs w:val="20"/>
        </w:rPr>
        <w:fldChar w:fldCharType="separate"/>
      </w:r>
      <w:r w:rsidR="0063047A" w:rsidRPr="00435469">
        <w:rPr>
          <w:rFonts w:cs="Times New Roman"/>
          <w:iCs/>
          <w:noProof/>
          <w:sz w:val="20"/>
          <w:szCs w:val="20"/>
        </w:rPr>
        <w:t>(44)</w:t>
      </w:r>
      <w:r w:rsidRPr="00435469">
        <w:rPr>
          <w:rFonts w:cs="Times New Roman"/>
          <w:i/>
          <w:iCs/>
          <w:sz w:val="20"/>
          <w:szCs w:val="20"/>
        </w:rPr>
        <w:fldChar w:fldCharType="end"/>
      </w:r>
      <w:r w:rsidRPr="00435469">
        <w:rPr>
          <w:rFonts w:cs="Times New Roman"/>
          <w:sz w:val="20"/>
          <w:szCs w:val="20"/>
        </w:rPr>
        <w:t xml:space="preserve">.  From the countries </w:t>
      </w:r>
      <w:r w:rsidR="009B5974" w:rsidRPr="00435469">
        <w:rPr>
          <w:rFonts w:cs="Times New Roman"/>
          <w:sz w:val="20"/>
          <w:szCs w:val="20"/>
        </w:rPr>
        <w:t xml:space="preserve">in </w:t>
      </w:r>
      <w:r w:rsidRPr="00435469">
        <w:rPr>
          <w:rFonts w:cs="Times New Roman"/>
          <w:sz w:val="20"/>
          <w:szCs w:val="20"/>
        </w:rPr>
        <w:t xml:space="preserve">which more than one survey </w:t>
      </w:r>
      <w:r w:rsidR="009B5974" w:rsidRPr="00435469">
        <w:rPr>
          <w:rFonts w:cs="Times New Roman"/>
          <w:sz w:val="20"/>
          <w:szCs w:val="20"/>
        </w:rPr>
        <w:t xml:space="preserve">was </w:t>
      </w:r>
      <w:r w:rsidRPr="00435469">
        <w:rPr>
          <w:rFonts w:cs="Times New Roman"/>
          <w:sz w:val="20"/>
          <w:szCs w:val="20"/>
        </w:rPr>
        <w:t xml:space="preserve">included (Cambodia, Philippines, Korea), the </w:t>
      </w:r>
      <w:r w:rsidRPr="00435469">
        <w:rPr>
          <w:sz w:val="20"/>
          <w:szCs w:val="20"/>
        </w:rPr>
        <w:t>ratio declined over time, suggesting that</w:t>
      </w:r>
      <w:r w:rsidR="004C6DF0" w:rsidRPr="00435469">
        <w:rPr>
          <w:sz w:val="20"/>
          <w:szCs w:val="20"/>
        </w:rPr>
        <w:t xml:space="preserve"> the</w:t>
      </w:r>
      <w:r w:rsidRPr="00435469">
        <w:rPr>
          <w:sz w:val="20"/>
          <w:szCs w:val="20"/>
        </w:rPr>
        <w:t xml:space="preserve"> ratios might be lower as screening and treatment services improve</w:t>
      </w:r>
      <w:r w:rsidR="00D84935" w:rsidRPr="00435469">
        <w:rPr>
          <w:sz w:val="20"/>
          <w:szCs w:val="20"/>
        </w:rPr>
        <w:t>. In the Den Boon</w:t>
      </w:r>
      <w:r w:rsidR="00D84935" w:rsidRPr="00435469">
        <w:rPr>
          <w:i/>
          <w:iCs/>
          <w:sz w:val="20"/>
          <w:szCs w:val="20"/>
        </w:rPr>
        <w:t xml:space="preserve"> et al.</w:t>
      </w:r>
      <w:r w:rsidR="00D84935" w:rsidRPr="00435469">
        <w:rPr>
          <w:sz w:val="20"/>
          <w:szCs w:val="20"/>
        </w:rPr>
        <w:t xml:space="preserve"> study, this ratio was </w:t>
      </w:r>
      <w:r w:rsidR="008D5BA2" w:rsidRPr="00435469">
        <w:rPr>
          <w:sz w:val="20"/>
          <w:szCs w:val="20"/>
        </w:rPr>
        <w:t>at 2</w:t>
      </w:r>
      <w:r w:rsidR="00D84935" w:rsidRPr="00435469">
        <w:rPr>
          <w:sz w:val="20"/>
          <w:szCs w:val="20"/>
        </w:rPr>
        <w:t>.7</w:t>
      </w:r>
      <w:r w:rsidR="00D84935" w:rsidRPr="00435469">
        <w:rPr>
          <w:rFonts w:cs="Times New Roman"/>
          <w:sz w:val="20"/>
          <w:szCs w:val="20"/>
        </w:rPr>
        <w:t xml:space="preserve"> </w:t>
      </w:r>
      <w:r w:rsidR="00D84935" w:rsidRPr="00435469">
        <w:rPr>
          <w:rFonts w:cs="Times New Roman"/>
          <w:i/>
          <w:iCs/>
          <w:sz w:val="20"/>
          <w:szCs w:val="20"/>
        </w:rPr>
        <w:fldChar w:fldCharType="begin" w:fldLock="1"/>
      </w:r>
      <w:r w:rsidR="002F049E" w:rsidRPr="00435469">
        <w:rPr>
          <w:rFonts w:cs="Times New Roman"/>
          <w:i/>
          <w:iCs/>
          <w:sz w:val="20"/>
          <w:szCs w:val="20"/>
        </w:rPr>
        <w:instrText>ADDIN CSL_CITATION {"citationItems":[{"id":"ITEM-1","itemData":{"DOI":"10.1111/tmi.12534","ISSN":"13653156","abstract":"Objective and Methods: In many countries, national tuberculosis (TB) prevalence surveys are the only way to reliably measure the burden of TB disease and monitor trends. They can also provide evidence about the current performance of TB care and control and how this could be improved. We developed an inventory of Asian surveys from 1953 to 2012 and then compiled and analysed a standard set of data for all national surveys implemented between 1990 (the baseline year for 2015 global TB targets) and 2012. Results: There were 21 surveys in 12 countries between 1990 and 2012; published results were available for 18. The participation rate was at least 80% and often much higher except for two surveys in Thailand. The prevalence of bacteriologically-positive TB disease among adults aged ≥15 years varied widely among countries (1.2 per 1000 population in China in 2010 to 15 per 1000 population in Cambodia in 2002), but age and sex distribution patterns were consistent with a progressive increase in rates of disease by age, and men accounting for 66-75% of prevalent cases. A high proportion of cases (40-79% across all surveys) did not report TB symptoms that met screening criteria (generally cough of 2-3 weeks or more, and blood in the sputum) and were only detected due to chest X-ray screening of all survey participants; this proportion increased over time in countries with repeat survey data. The ratio of prevalent cases to cases notified to national TB programmes was typically around two, but was as high as three in Lao PDR and Pakistan even after the internationally recommended TB control strategy had been implemented nationwide for several years. Four countries (China, Cambodia, the Republic of Korea and the Philippines demonstrated declines in smear or culture-positive pulmonary TB prevalence of approximately 50% over 10 years. Conclusions: National TB prevalence surveys in Asia show that large reductions in the prevalence of TB disease can be achieved within a decade, that men bear much more of the burden than women and that the epidemic is ageing. Comparisons among countries show that more can be achieved in TB control in some countries with existing strategies and technologies. However, with many prevalent cases not reporting classic TB symptoms, all countries face the challenge of defining and implementing strategies that will result in earlier detection and treatment of cases.","author":[{"dropping-particle":"","family":"Onozaki","given":"Ikushi","non-dropping-particle":"","parse-names":false,"suffix":""},{"dropping-particle":"","family":"Law","given":"Irwin","non-dropping-particle":"","parse-names":false,"suffix":""},{"dropping-particle":"","family":"Sismanidis","given":"Charalambos","non-dropping-particle":"","parse-names":false,"suffix":""},{"dropping-particle":"","family":"Zignol","given":"Matteo","non-dropping-particle":"","parse-names":false,"suffix":""},{"dropping-particle":"","family":"Glaziou","given":"Philippe","non-dropping-particle":"","parse-names":false,"suffix":""},{"dropping-particle":"","family":"Floyd","given":"Katherine","non-dropping-particle":"","parse-names":false,"suffix":""}],"container-title":"Tropical Medicine and International Health","id":"ITEM-1","issued":{"date-parts":[["2015"]]},"title":"National tuberculosis prevalence surveys in Asia, 1990-2012: An overview of results and lessons learned","type":"article-journal"},"uris":["http://www.mendeley.com/documents/?uuid=fe8ed5c0-d3c8-4bf8-ba9b-b509012f0bab"]},{"id":"ITEM-2","itemData":{"ISSN":"10273719","PMID":"16898372","abstract":"SETTING: A tuberculosis (TB) prevalence survey was performed in 2002 in two urban communities in Cape Town, South Africa. The population was 36334 in 2001, and the TB notification rate was 341 per 100 000 population for new smear-positive TB in 2002. OBJECTIVE: To evaluate the relative contributions of symptom and chest radiographic (CXR) screening in the detection of subjects with smear- and/or culture-positive TB in prevalence surveys. DESIGN: Information on symptoms, CXR abnormalities, sputum smear and culture was gathered from a random cluster sample of 1170 adults (aged ≥15 years). Smear and/or culture-positive TB was used as the gold standard. RESULTS: Of 1170 adults, 29 had bacteriologically positive TB (smear- and/or culture-positive). The presence of any abnormalities on CXR had the highest sensitivity for detecting subjects with bacteriologically positive TB (0.97, 95%CI 0.90-1.00). Specificity for any abnormalities on CXR was 0.67 (95%CI 0.64-0.70). The specificity of any of five TB-related symptoms was 0.68 (95%CI 0.65-0.71). Individual symptoms had low sensitivities, ranging from 0.10 for fever to 0.54 for cough of ≥2 weeks. CONCLUSION: In this TB prevalence survey, CXR screening, but not symptom screening, was a sensitive alternative to sputum examination of all participants. © 2006 The Union.","author":[{"dropping-particle":"","family":"Boon","given":"Saskia","non-dropping-particle":"Den","parse-names":false,"suffix":""},{"dropping-particle":"","family":"White","given":"N. W.","non-dropping-particle":"","parse-names":false,"suffix":""},{"dropping-particle":"","family":"Lill","given":"S. W.P.","non-dropping-particle":"Van","parse-names":false,"suffix":""},{"dropping-particle":"","family":"Borgdorff","given":"M. W.","non-dropping-particle":"","parse-names":false,"suffix":""},{"dropping-particle":"","family":"Verver","given":"S.","non-dropping-particle":"","parse-names":false,"suffix":""},{"dropping-particle":"","family":"Lombard","given":"C. J.","non-dropping-particle":"","parse-names":false,"suffix":""},{"dropping-particle":"","family":"Bateman","given":"E. D.","non-dropping-particle":"","parse-names":false,"suffix":""},{"dropping-particle":"","family":"Irusen","given":"E.","non-dropping-particle":"","parse-names":false,"suffix":""},{"dropping-particle":"","family":"Enarson","given":"D. A.","non-dropping-particle":"","parse-names":false,"suffix":""},{"dropping-particle":"","family":"Beyers","given":"N.","non-dropping-particle":"","parse-names":false,"suffix":""}],"container-title":"International Journal of Tuberculosis and Lung Disease","id":"ITEM-2","issue":"8","issued":{"date-parts":[["2006"]]},"page":"876-882","title":"An evaluation of symptom and chest radiographic screening in tuberculosis prevalence surveys","type":"article-journal","volume":"10"},"uris":["http://www.mendeley.com/documents/?uuid=ac6de4d1-63cb-4d1e-8c73-019417da1556"]}],"mendeley":{"formattedCitation":"(44,46)","plainTextFormattedCitation":"(44,46)","previouslyFormattedCitation":"(44,46)"},"properties":{"noteIndex":0},"schema":"https://github.com/citation-style-language/schema/raw/master/csl-citation.json"}</w:instrText>
      </w:r>
      <w:r w:rsidR="00D84935" w:rsidRPr="00435469">
        <w:rPr>
          <w:rFonts w:cs="Times New Roman"/>
          <w:i/>
          <w:iCs/>
          <w:sz w:val="20"/>
          <w:szCs w:val="20"/>
        </w:rPr>
        <w:fldChar w:fldCharType="separate"/>
      </w:r>
      <w:r w:rsidR="0063047A" w:rsidRPr="00435469">
        <w:rPr>
          <w:rFonts w:cs="Times New Roman"/>
          <w:iCs/>
          <w:noProof/>
          <w:sz w:val="20"/>
          <w:szCs w:val="20"/>
        </w:rPr>
        <w:t>(44,46)</w:t>
      </w:r>
      <w:r w:rsidR="00D84935" w:rsidRPr="00435469">
        <w:rPr>
          <w:rFonts w:cs="Times New Roman"/>
          <w:i/>
          <w:iCs/>
          <w:sz w:val="20"/>
          <w:szCs w:val="20"/>
        </w:rPr>
        <w:fldChar w:fldCharType="end"/>
      </w:r>
      <w:r w:rsidRPr="00435469">
        <w:rPr>
          <w:rFonts w:cs="Times New Roman"/>
          <w:i/>
          <w:iCs/>
          <w:sz w:val="20"/>
          <w:szCs w:val="20"/>
        </w:rPr>
        <w:t xml:space="preserve">. </w:t>
      </w:r>
    </w:p>
    <w:p w14:paraId="4C14BBF8" w14:textId="453A4FD8" w:rsidR="00D12A72" w:rsidRPr="00435469" w:rsidRDefault="00D12A72" w:rsidP="00955FFB">
      <w:pPr>
        <w:spacing w:line="240" w:lineRule="auto"/>
        <w:rPr>
          <w:rFonts w:cs="Times New Roman"/>
          <w:sz w:val="20"/>
          <w:szCs w:val="20"/>
        </w:rPr>
      </w:pPr>
      <w:r w:rsidRPr="00435469">
        <w:rPr>
          <w:rFonts w:cs="Times New Roman"/>
          <w:sz w:val="20"/>
          <w:szCs w:val="20"/>
        </w:rPr>
        <w:t xml:space="preserve">In the model, we define </w:t>
      </w:r>
      <m:oMath>
        <m:r>
          <w:rPr>
            <w:rFonts w:ascii="Cambria Math" w:hAnsi="Cambria Math" w:cs="Times New Roman"/>
            <w:sz w:val="20"/>
            <w:szCs w:val="20"/>
          </w:rPr>
          <m:t>f</m:t>
        </m:r>
      </m:oMath>
      <w:r w:rsidRPr="00435469">
        <w:rPr>
          <w:rFonts w:cs="Times New Roman"/>
          <w:sz w:val="20"/>
          <w:szCs w:val="20"/>
        </w:rPr>
        <w:t xml:space="preserve"> </w:t>
      </w:r>
      <w:r w:rsidR="009B5974" w:rsidRPr="00435469">
        <w:rPr>
          <w:rFonts w:cs="Times New Roman"/>
          <w:sz w:val="20"/>
          <w:szCs w:val="20"/>
        </w:rPr>
        <w:t xml:space="preserve">to be </w:t>
      </w:r>
      <w:r w:rsidRPr="00435469">
        <w:rPr>
          <w:rFonts w:cs="Times New Roman"/>
          <w:sz w:val="20"/>
          <w:szCs w:val="20"/>
        </w:rPr>
        <w:t>the ratio of symptoms in smear-positive compared to in smear-negative individuals</w:t>
      </w:r>
      <w:r w:rsidR="00C84335" w:rsidRPr="00435469">
        <w:rPr>
          <w:rFonts w:cs="Times New Roman"/>
          <w:sz w:val="20"/>
          <w:szCs w:val="20"/>
        </w:rPr>
        <w:t>.</w:t>
      </w:r>
      <w:r w:rsidRPr="00435469">
        <w:rPr>
          <w:rFonts w:cs="Times New Roman"/>
          <w:sz w:val="20"/>
          <w:szCs w:val="20"/>
        </w:rPr>
        <w:t xml:space="preserve"> To represent the uncertainty around </w:t>
      </w:r>
      <m:oMath>
        <m:r>
          <w:rPr>
            <w:rFonts w:ascii="Cambria Math" w:hAnsi="Cambria Math" w:cs="Times New Roman"/>
            <w:sz w:val="20"/>
            <w:szCs w:val="20"/>
          </w:rPr>
          <m:t>f</m:t>
        </m:r>
      </m:oMath>
      <w:r w:rsidRPr="00435469">
        <w:rPr>
          <w:rFonts w:cs="Times New Roman"/>
          <w:sz w:val="20"/>
          <w:szCs w:val="20"/>
        </w:rPr>
        <w:t xml:space="preserve"> we </w:t>
      </w:r>
      <w:r w:rsidR="0006496D" w:rsidRPr="00435469">
        <w:rPr>
          <w:rFonts w:cs="Times New Roman"/>
          <w:sz w:val="20"/>
          <w:szCs w:val="20"/>
        </w:rPr>
        <w:t xml:space="preserve">previously specified </w:t>
      </w:r>
      <w:r w:rsidRPr="00435469">
        <w:rPr>
          <w:rFonts w:cs="Times New Roman"/>
          <w:sz w:val="20"/>
          <w:szCs w:val="20"/>
        </w:rPr>
        <w:t>a Gamma (19.36; 8.8) prior with mean 2.2 and standard deviation of 0.5</w:t>
      </w:r>
      <w:r w:rsidR="001B7A5C" w:rsidRPr="00435469">
        <w:rPr>
          <w:rFonts w:cs="Times New Roman"/>
          <w:sz w:val="20"/>
          <w:szCs w:val="20"/>
        </w:rPr>
        <w:t xml:space="preserve"> </w:t>
      </w:r>
      <w:r w:rsidR="001B7A5C" w:rsidRPr="00435469">
        <w:rPr>
          <w:rFonts w:eastAsia="Yu Mincho" w:cs="Times New Roman"/>
          <w:sz w:val="20"/>
          <w:szCs w:val="20"/>
        </w:rPr>
        <w:fldChar w:fldCharType="begin" w:fldLock="1"/>
      </w:r>
      <w:r w:rsidR="0057162F"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1B7A5C" w:rsidRPr="00435469">
        <w:rPr>
          <w:rFonts w:eastAsia="Yu Mincho" w:cs="Times New Roman"/>
          <w:sz w:val="20"/>
          <w:szCs w:val="20"/>
        </w:rPr>
        <w:fldChar w:fldCharType="separate"/>
      </w:r>
      <w:r w:rsidR="001B7A5C" w:rsidRPr="00435469">
        <w:rPr>
          <w:rFonts w:eastAsia="Yu Mincho" w:cs="Times New Roman"/>
          <w:noProof/>
          <w:sz w:val="20"/>
          <w:szCs w:val="20"/>
        </w:rPr>
        <w:t>(6)</w:t>
      </w:r>
      <w:r w:rsidR="001B7A5C" w:rsidRPr="00435469">
        <w:rPr>
          <w:rFonts w:eastAsia="Yu Mincho" w:cs="Times New Roman"/>
          <w:sz w:val="20"/>
          <w:szCs w:val="20"/>
        </w:rPr>
        <w:fldChar w:fldCharType="end"/>
      </w:r>
      <w:r w:rsidRPr="00435469">
        <w:rPr>
          <w:rFonts w:cs="Times New Roman"/>
          <w:sz w:val="20"/>
          <w:szCs w:val="20"/>
        </w:rPr>
        <w:t>.</w:t>
      </w:r>
      <w:r w:rsidR="004F2289" w:rsidRPr="00435469">
        <w:rPr>
          <w:rFonts w:cs="Times New Roman"/>
          <w:sz w:val="20"/>
          <w:szCs w:val="20"/>
        </w:rPr>
        <w:t xml:space="preserve"> In this analysis, we fixed </w:t>
      </w:r>
      <w:r w:rsidR="00F232A0" w:rsidRPr="00435469">
        <w:rPr>
          <w:rFonts w:ascii="Cambria Math" w:hAnsi="Cambria Math" w:cs="Times New Roman"/>
          <w:i/>
          <w:sz w:val="20"/>
          <w:szCs w:val="20"/>
        </w:rPr>
        <w:t xml:space="preserve"> </w:t>
      </w:r>
      <m:oMath>
        <m:r>
          <w:rPr>
            <w:rFonts w:ascii="Cambria Math" w:hAnsi="Cambria Math" w:cs="Times New Roman"/>
            <w:sz w:val="20"/>
            <w:szCs w:val="20"/>
          </w:rPr>
          <m:t>f</m:t>
        </m:r>
      </m:oMath>
      <w:r w:rsidR="004F2289" w:rsidRPr="00435469">
        <w:rPr>
          <w:rFonts w:cs="Times New Roman"/>
          <w:sz w:val="20"/>
          <w:szCs w:val="20"/>
        </w:rPr>
        <w:t xml:space="preserve"> at </w:t>
      </w:r>
      <w:r w:rsidR="004F2289" w:rsidRPr="00435469">
        <w:rPr>
          <w:rFonts w:cs="Times New Roman"/>
          <w:sz w:val="20"/>
          <w:szCs w:val="20"/>
          <w:lang w:val="en-ZA"/>
        </w:rPr>
        <w:t xml:space="preserve">3.03, </w:t>
      </w:r>
      <w:r w:rsidR="00AF71CD" w:rsidRPr="00435469">
        <w:rPr>
          <w:rFonts w:cs="Times New Roman"/>
          <w:sz w:val="20"/>
          <w:szCs w:val="20"/>
          <w:lang w:val="en-ZA"/>
        </w:rPr>
        <w:t>which was</w:t>
      </w:r>
      <w:r w:rsidR="00C3427B" w:rsidRPr="00435469">
        <w:rPr>
          <w:rFonts w:cs="Times New Roman"/>
          <w:sz w:val="20"/>
          <w:szCs w:val="20"/>
          <w:lang w:val="en-ZA"/>
        </w:rPr>
        <w:t xml:space="preserve"> the</w:t>
      </w:r>
      <w:r w:rsidR="00AF71CD" w:rsidRPr="00435469">
        <w:rPr>
          <w:rFonts w:cs="Times New Roman"/>
          <w:sz w:val="20"/>
          <w:szCs w:val="20"/>
          <w:lang w:val="en-ZA"/>
        </w:rPr>
        <w:t xml:space="preserve"> </w:t>
      </w:r>
      <w:r w:rsidR="004F2289" w:rsidRPr="00435469">
        <w:rPr>
          <w:rFonts w:cs="Times New Roman"/>
          <w:sz w:val="20"/>
          <w:szCs w:val="20"/>
          <w:lang w:val="en-ZA"/>
        </w:rPr>
        <w:t xml:space="preserve">estimated </w:t>
      </w:r>
      <w:r w:rsidR="00C3427B" w:rsidRPr="00435469">
        <w:rPr>
          <w:rFonts w:cs="Times New Roman"/>
          <w:sz w:val="20"/>
          <w:szCs w:val="20"/>
          <w:lang w:val="en-ZA"/>
        </w:rPr>
        <w:t xml:space="preserve">posterior mean </w:t>
      </w:r>
      <w:r w:rsidR="004F2289" w:rsidRPr="00435469">
        <w:rPr>
          <w:rFonts w:cs="Times New Roman"/>
          <w:sz w:val="20"/>
          <w:szCs w:val="20"/>
          <w:lang w:val="en-ZA"/>
        </w:rPr>
        <w:t xml:space="preserve">in </w:t>
      </w:r>
      <w:r w:rsidR="00C30825" w:rsidRPr="00435469">
        <w:rPr>
          <w:rFonts w:cs="Times New Roman"/>
          <w:sz w:val="20"/>
          <w:szCs w:val="20"/>
          <w:lang w:val="en-ZA"/>
        </w:rPr>
        <w:t xml:space="preserve">the </w:t>
      </w:r>
      <w:r w:rsidR="004F2289" w:rsidRPr="00435469">
        <w:rPr>
          <w:rFonts w:cs="Times New Roman"/>
          <w:sz w:val="20"/>
          <w:szCs w:val="20"/>
          <w:lang w:val="en-ZA"/>
        </w:rPr>
        <w:t xml:space="preserve">previous calibration </w:t>
      </w:r>
      <w:r w:rsidR="00AF71CD" w:rsidRPr="00435469">
        <w:rPr>
          <w:rFonts w:cs="Times New Roman"/>
          <w:sz w:val="20"/>
          <w:szCs w:val="20"/>
          <w:lang w:val="en-ZA"/>
        </w:rPr>
        <w:t>(</w:t>
      </w:r>
      <w:r w:rsidR="00BE0018" w:rsidRPr="00435469">
        <w:rPr>
          <w:rFonts w:cs="Times New Roman"/>
          <w:sz w:val="20"/>
          <w:szCs w:val="20"/>
          <w:lang w:val="en-ZA"/>
        </w:rPr>
        <w:t xml:space="preserve">mean = </w:t>
      </w:r>
      <w:r w:rsidR="00AF71CD" w:rsidRPr="00435469">
        <w:rPr>
          <w:rFonts w:cs="Times New Roman"/>
          <w:sz w:val="20"/>
          <w:szCs w:val="20"/>
          <w:lang w:val="en-ZA"/>
        </w:rPr>
        <w:t>3.03, 95% CI 2.74 – 3.23)</w:t>
      </w:r>
      <w:r w:rsidR="00DC6CDF" w:rsidRPr="00435469">
        <w:rPr>
          <w:rFonts w:cs="Times New Roman"/>
          <w:sz w:val="20"/>
          <w:szCs w:val="20"/>
          <w:lang w:val="en-ZA"/>
        </w:rPr>
        <w:t xml:space="preserve"> </w:t>
      </w:r>
      <w:r w:rsidR="00DC6CDF" w:rsidRPr="00435469">
        <w:rPr>
          <w:rFonts w:eastAsia="Yu Mincho" w:cs="Times New Roman"/>
          <w:sz w:val="20"/>
          <w:szCs w:val="20"/>
        </w:rPr>
        <w:fldChar w:fldCharType="begin" w:fldLock="1"/>
      </w:r>
      <w:r w:rsidR="0057162F"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DC6CDF" w:rsidRPr="00435469">
        <w:rPr>
          <w:rFonts w:eastAsia="Yu Mincho" w:cs="Times New Roman"/>
          <w:sz w:val="20"/>
          <w:szCs w:val="20"/>
        </w:rPr>
        <w:fldChar w:fldCharType="separate"/>
      </w:r>
      <w:r w:rsidR="00DC6CDF" w:rsidRPr="00435469">
        <w:rPr>
          <w:rFonts w:eastAsia="Yu Mincho" w:cs="Times New Roman"/>
          <w:noProof/>
          <w:sz w:val="20"/>
          <w:szCs w:val="20"/>
        </w:rPr>
        <w:t>(6)</w:t>
      </w:r>
      <w:r w:rsidR="00DC6CDF" w:rsidRPr="00435469">
        <w:rPr>
          <w:rFonts w:eastAsia="Yu Mincho" w:cs="Times New Roman"/>
          <w:sz w:val="20"/>
          <w:szCs w:val="20"/>
        </w:rPr>
        <w:fldChar w:fldCharType="end"/>
      </w:r>
      <w:r w:rsidR="004F2289" w:rsidRPr="00435469">
        <w:rPr>
          <w:rFonts w:cs="Times New Roman"/>
          <w:sz w:val="20"/>
          <w:szCs w:val="20"/>
          <w:lang w:val="en-ZA"/>
        </w:rPr>
        <w:t>.</w:t>
      </w:r>
    </w:p>
    <w:p w14:paraId="527BF8ED" w14:textId="77777777" w:rsidR="00D12A72" w:rsidRPr="00435469" w:rsidRDefault="00D12A72" w:rsidP="00955FFB">
      <w:pPr>
        <w:pStyle w:val="Heading4"/>
        <w:rPr>
          <w:sz w:val="20"/>
          <w:szCs w:val="20"/>
        </w:rPr>
      </w:pPr>
      <w:bookmarkStart w:id="114" w:name="_Toc66458475"/>
      <w:bookmarkStart w:id="115" w:name="_Ref75343981"/>
      <w:bookmarkStart w:id="116" w:name="_Ref75343988"/>
      <w:bookmarkStart w:id="117" w:name="_Ref75344201"/>
      <w:bookmarkStart w:id="118" w:name="_Toc87863331"/>
      <w:r w:rsidRPr="00435469">
        <w:rPr>
          <w:sz w:val="20"/>
          <w:szCs w:val="20"/>
        </w:rPr>
        <w:t>Health-seeking patterns by sex</w:t>
      </w:r>
      <w:bookmarkEnd w:id="114"/>
      <w:bookmarkEnd w:id="115"/>
      <w:bookmarkEnd w:id="116"/>
      <w:bookmarkEnd w:id="117"/>
      <w:bookmarkEnd w:id="118"/>
      <w:r w:rsidRPr="00435469">
        <w:rPr>
          <w:sz w:val="20"/>
          <w:szCs w:val="20"/>
        </w:rPr>
        <w:t xml:space="preserve"> </w:t>
      </w:r>
    </w:p>
    <w:p w14:paraId="7CD2D4C7" w14:textId="74220D09" w:rsidR="00D12A72" w:rsidRPr="00435469" w:rsidRDefault="00D12A72" w:rsidP="00955FFB">
      <w:pPr>
        <w:spacing w:before="240" w:line="240" w:lineRule="auto"/>
        <w:rPr>
          <w:rFonts w:cs="Times New Roman"/>
          <w:sz w:val="20"/>
          <w:szCs w:val="20"/>
        </w:rPr>
      </w:pPr>
      <w:r w:rsidRPr="00435469">
        <w:rPr>
          <w:rFonts w:cs="Times New Roman"/>
          <w:sz w:val="20"/>
          <w:szCs w:val="20"/>
        </w:rPr>
        <w:t>To model the effect of sex</w:t>
      </w:r>
      <w:r w:rsidR="00EC7BA2" w:rsidRPr="00435469">
        <w:rPr>
          <w:rFonts w:cs="Times New Roman"/>
          <w:sz w:val="20"/>
          <w:szCs w:val="20"/>
        </w:rPr>
        <w:t>,</w:t>
      </w:r>
      <w:r w:rsidR="00342ABE" w:rsidRPr="00435469">
        <w:rPr>
          <w:rFonts w:cs="Times New Roman"/>
          <w:sz w:val="20"/>
          <w:szCs w:val="20"/>
        </w:rPr>
        <w:t xml:space="preserve"> we define </w:t>
      </w:r>
      <m:oMath>
        <m:r>
          <w:rPr>
            <w:rFonts w:ascii="Cambria Math" w:hAnsi="Cambria Math" w:cs="Times New Roman"/>
            <w:sz w:val="20"/>
            <w:szCs w:val="20"/>
          </w:rPr>
          <m:t>z</m:t>
        </m:r>
      </m:oMath>
      <w:r w:rsidR="00C72045" w:rsidRPr="00435469">
        <w:rPr>
          <w:rFonts w:eastAsiaTheme="minorEastAsia" w:cs="Times New Roman"/>
          <w:sz w:val="20"/>
          <w:szCs w:val="20"/>
        </w:rPr>
        <w:t xml:space="preserve"> </w:t>
      </w:r>
      <w:r w:rsidR="002908D5" w:rsidRPr="00435469">
        <w:rPr>
          <w:rFonts w:eastAsiaTheme="minorEastAsia" w:cs="Times New Roman"/>
          <w:sz w:val="20"/>
          <w:szCs w:val="20"/>
        </w:rPr>
        <w:t xml:space="preserve"> </w:t>
      </w:r>
      <w:r w:rsidR="00A9110F" w:rsidRPr="00435469">
        <w:rPr>
          <w:rFonts w:eastAsiaTheme="minorEastAsia" w:cs="Times New Roman"/>
          <w:sz w:val="20"/>
          <w:szCs w:val="20"/>
        </w:rPr>
        <w:t xml:space="preserve">to be </w:t>
      </w:r>
      <w:r w:rsidR="002908D5" w:rsidRPr="00435469">
        <w:rPr>
          <w:rFonts w:eastAsiaTheme="minorEastAsia" w:cs="Times New Roman"/>
          <w:sz w:val="20"/>
          <w:szCs w:val="20"/>
        </w:rPr>
        <w:t>the relative rate</w:t>
      </w:r>
      <w:r w:rsidR="00C72045" w:rsidRPr="00435469">
        <w:rPr>
          <w:rFonts w:eastAsiaTheme="minorEastAsia" w:cs="Times New Roman"/>
          <w:sz w:val="20"/>
          <w:szCs w:val="20"/>
        </w:rPr>
        <w:t xml:space="preserve"> of health</w:t>
      </w:r>
      <w:r w:rsidR="002908D5" w:rsidRPr="00435469">
        <w:rPr>
          <w:rFonts w:eastAsiaTheme="minorEastAsia" w:cs="Times New Roman"/>
          <w:sz w:val="20"/>
          <w:szCs w:val="20"/>
        </w:rPr>
        <w:t>-</w:t>
      </w:r>
      <w:r w:rsidR="00C72045" w:rsidRPr="00435469">
        <w:rPr>
          <w:rFonts w:eastAsiaTheme="minorEastAsia" w:cs="Times New Roman"/>
          <w:sz w:val="20"/>
          <w:szCs w:val="20"/>
        </w:rPr>
        <w:t>seeking in females compared to males</w:t>
      </w:r>
      <w:r w:rsidR="00BF4F9D" w:rsidRPr="00435469">
        <w:rPr>
          <w:rFonts w:cs="Times New Roman"/>
          <w:sz w:val="20"/>
          <w:szCs w:val="20"/>
        </w:rPr>
        <w:t>. We</w:t>
      </w:r>
      <w:r w:rsidRPr="00435469">
        <w:rPr>
          <w:rFonts w:cs="Times New Roman"/>
          <w:sz w:val="20"/>
          <w:szCs w:val="20"/>
        </w:rPr>
        <w:t xml:space="preserve"> </w:t>
      </w:r>
      <w:r w:rsidR="006F7AF9" w:rsidRPr="00435469">
        <w:rPr>
          <w:rFonts w:cs="Times New Roman"/>
          <w:sz w:val="20"/>
          <w:szCs w:val="20"/>
        </w:rPr>
        <w:t xml:space="preserve">use the </w:t>
      </w:r>
      <w:r w:rsidR="00EE1E6A" w:rsidRPr="00435469">
        <w:rPr>
          <w:rFonts w:cs="Times New Roman"/>
          <w:sz w:val="20"/>
          <w:szCs w:val="20"/>
        </w:rPr>
        <w:t xml:space="preserve">male-to-female ratio for prevalence-to-notification ratio estimated in the systematic review and meta-analysis by Horton </w:t>
      </w:r>
      <w:r w:rsidR="00EE1E6A" w:rsidRPr="00435469">
        <w:rPr>
          <w:rFonts w:cs="Times New Roman"/>
          <w:i/>
          <w:iCs/>
          <w:sz w:val="20"/>
          <w:szCs w:val="20"/>
        </w:rPr>
        <w:t>et al.</w:t>
      </w:r>
      <w:r w:rsidR="00EE1E6A" w:rsidRPr="00435469">
        <w:rPr>
          <w:rFonts w:cs="Times New Roman"/>
          <w:sz w:val="20"/>
          <w:szCs w:val="20"/>
        </w:rPr>
        <w:t xml:space="preserve"> </w:t>
      </w:r>
      <w:r w:rsidR="00EE1E6A" w:rsidRPr="00435469">
        <w:rPr>
          <w:rFonts w:cs="Times New Roman"/>
          <w:sz w:val="20"/>
          <w:szCs w:val="20"/>
        </w:rPr>
        <w:fldChar w:fldCharType="begin" w:fldLock="1"/>
      </w:r>
      <w:r w:rsidR="002F049E" w:rsidRPr="00435469">
        <w:rPr>
          <w:rFonts w:cs="Times New Roman"/>
          <w:sz w:val="20"/>
          <w:szCs w:val="20"/>
        </w:rPr>
        <w:instrText>ADDIN CSL_CITATION {"citationItems":[{"id":"ITEM-1","itemData":{"DOI":"10.1371/journal.pmed.1002119","author":[{"dropping-particle":"","family":"Horton","given":"Katherine C","non-dropping-particle":"","parse-names":false,"suffix":""},{"dropping-particle":"","family":"Macpherson","given":"Peter","non-dropping-particle":"","parse-names":false,"suffix":""},{"dropping-particle":"","family":"Houben","given":"Rein M G J","non-dropping-particle":"","parse-names":false,"suffix":""},{"dropping-particle":"","family":"White","given":"G","non-dropping-particle":"","parse-names":false,"suffix":""},{"dropping-particle":"","family":"Corbett","given":"Elizabeth L","non-dropping-particle":"","parse-names":false,"suffix":""}],"container-title":"PLoS Medicine","id":"ITEM-1","issued":{"date-parts":[["2016"]]},"page":"1-23","title":"Sex Differences in Tuberculosis Burden and Notifications in Low- and Middle-Income Countries : A Systematic Review and Meta-analysis","type":"article-journal","volume":"21"},"uris":["http://www.mendeley.com/documents/?uuid=292d59d6-d8a3-4cc9-b506-a7aa8a8a1c73"]}],"mendeley":{"formattedCitation":"(21)","plainTextFormattedCitation":"(21)","previouslyFormattedCitation":"(21)"},"properties":{"noteIndex":0},"schema":"https://github.com/citation-style-language/schema/raw/master/csl-citation.json"}</w:instrText>
      </w:r>
      <w:r w:rsidR="00EE1E6A" w:rsidRPr="00435469">
        <w:rPr>
          <w:rFonts w:cs="Times New Roman"/>
          <w:sz w:val="20"/>
          <w:szCs w:val="20"/>
        </w:rPr>
        <w:fldChar w:fldCharType="separate"/>
      </w:r>
      <w:r w:rsidR="0063047A" w:rsidRPr="00435469">
        <w:rPr>
          <w:rFonts w:cs="Times New Roman"/>
          <w:noProof/>
          <w:sz w:val="20"/>
          <w:szCs w:val="20"/>
        </w:rPr>
        <w:t>(21)</w:t>
      </w:r>
      <w:r w:rsidR="00EE1E6A" w:rsidRPr="00435469">
        <w:rPr>
          <w:rFonts w:cs="Times New Roman"/>
          <w:sz w:val="20"/>
          <w:szCs w:val="20"/>
        </w:rPr>
        <w:fldChar w:fldCharType="end"/>
      </w:r>
      <w:r w:rsidR="00EE1E6A" w:rsidRPr="00435469">
        <w:rPr>
          <w:rFonts w:cs="Times New Roman"/>
          <w:sz w:val="20"/>
          <w:szCs w:val="20"/>
        </w:rPr>
        <w:t xml:space="preserve"> to </w:t>
      </w:r>
      <w:r w:rsidR="00A9110F" w:rsidRPr="00435469">
        <w:rPr>
          <w:rFonts w:cs="Times New Roman"/>
          <w:sz w:val="20"/>
          <w:szCs w:val="20"/>
        </w:rPr>
        <w:t xml:space="preserve">estimate </w:t>
      </w:r>
      <w:r w:rsidR="00EE1E6A" w:rsidRPr="00435469">
        <w:rPr>
          <w:rFonts w:cs="Times New Roman"/>
          <w:sz w:val="20"/>
          <w:szCs w:val="20"/>
        </w:rPr>
        <w:t>sex differences on the pathway to TB care and TB testing.</w:t>
      </w:r>
      <w:r w:rsidR="000E67D3" w:rsidRPr="00435469">
        <w:rPr>
          <w:rFonts w:cs="Times New Roman"/>
          <w:sz w:val="20"/>
          <w:szCs w:val="20"/>
        </w:rPr>
        <w:t xml:space="preserve"> Th</w:t>
      </w:r>
      <w:r w:rsidR="00B4233B" w:rsidRPr="00435469">
        <w:rPr>
          <w:rFonts w:cs="Times New Roman"/>
          <w:sz w:val="20"/>
          <w:szCs w:val="20"/>
        </w:rPr>
        <w:t>is</w:t>
      </w:r>
      <w:r w:rsidR="000E67D3" w:rsidRPr="00435469">
        <w:rPr>
          <w:rFonts w:cs="Times New Roman"/>
          <w:sz w:val="20"/>
          <w:szCs w:val="20"/>
        </w:rPr>
        <w:t xml:space="preserve"> ratio was estimated at</w:t>
      </w:r>
      <w:r w:rsidR="00E43666" w:rsidRPr="00435469">
        <w:rPr>
          <w:rFonts w:cs="Times New Roman"/>
          <w:sz w:val="20"/>
          <w:szCs w:val="20"/>
        </w:rPr>
        <w:t xml:space="preserve"> 1.55</w:t>
      </w:r>
      <w:r w:rsidR="009B02BD" w:rsidRPr="00435469">
        <w:rPr>
          <w:rFonts w:cs="Times New Roman"/>
          <w:sz w:val="20"/>
          <w:szCs w:val="20"/>
        </w:rPr>
        <w:t xml:space="preserve"> </w:t>
      </w:r>
      <w:r w:rsidR="000E67D3" w:rsidRPr="00435469">
        <w:rPr>
          <w:rFonts w:cs="Times New Roman"/>
          <w:sz w:val="20"/>
          <w:szCs w:val="20"/>
        </w:rPr>
        <w:fldChar w:fldCharType="begin" w:fldLock="1"/>
      </w:r>
      <w:r w:rsidR="002F049E" w:rsidRPr="00435469">
        <w:rPr>
          <w:rFonts w:cs="Times New Roman"/>
          <w:sz w:val="20"/>
          <w:szCs w:val="20"/>
        </w:rPr>
        <w:instrText>ADDIN CSL_CITATION {"citationItems":[{"id":"ITEM-1","itemData":{"DOI":"10.1371/journal.pmed.1002119","author":[{"dropping-particle":"","family":"Horton","given":"Katherine C","non-dropping-particle":"","parse-names":false,"suffix":""},{"dropping-particle":"","family":"Macpherson","given":"Peter","non-dropping-particle":"","parse-names":false,"suffix":""},{"dropping-particle":"","family":"Houben","given":"Rein M G J","non-dropping-particle":"","parse-names":false,"suffix":""},{"dropping-particle":"","family":"White","given":"G","non-dropping-particle":"","parse-names":false,"suffix":""},{"dropping-particle":"","family":"Corbett","given":"Elizabeth L","non-dropping-particle":"","parse-names":false,"suffix":""}],"container-title":"PLoS Medicine","id":"ITEM-1","issued":{"date-parts":[["2016"]]},"page":"1-23","title":"Sex Differences in Tuberculosis Burden and Notifications in Low- and Middle-Income Countries : A Systematic Review and Meta-analysis","type":"article-journal","volume":"21"},"uris":["http://www.mendeley.com/documents/?uuid=292d59d6-d8a3-4cc9-b506-a7aa8a8a1c73"]}],"mendeley":{"formattedCitation":"(21)","plainTextFormattedCitation":"(21)","previouslyFormattedCitation":"(21)"},"properties":{"noteIndex":0},"schema":"https://github.com/citation-style-language/schema/raw/master/csl-citation.json"}</w:instrText>
      </w:r>
      <w:r w:rsidR="000E67D3" w:rsidRPr="00435469">
        <w:rPr>
          <w:rFonts w:cs="Times New Roman"/>
          <w:sz w:val="20"/>
          <w:szCs w:val="20"/>
        </w:rPr>
        <w:fldChar w:fldCharType="separate"/>
      </w:r>
      <w:r w:rsidR="0063047A" w:rsidRPr="00435469">
        <w:rPr>
          <w:rFonts w:cs="Times New Roman"/>
          <w:noProof/>
          <w:sz w:val="20"/>
          <w:szCs w:val="20"/>
        </w:rPr>
        <w:t>(21)</w:t>
      </w:r>
      <w:r w:rsidR="000E67D3" w:rsidRPr="00435469">
        <w:rPr>
          <w:rFonts w:cs="Times New Roman"/>
          <w:sz w:val="20"/>
          <w:szCs w:val="20"/>
        </w:rPr>
        <w:fldChar w:fldCharType="end"/>
      </w:r>
      <w:r w:rsidR="000F7568" w:rsidRPr="00435469">
        <w:rPr>
          <w:rFonts w:cs="Times New Roman"/>
          <w:sz w:val="20"/>
          <w:szCs w:val="20"/>
        </w:rPr>
        <w:t>. T</w:t>
      </w:r>
      <w:r w:rsidR="000E67D3" w:rsidRPr="00435469">
        <w:rPr>
          <w:rFonts w:cs="Times New Roman"/>
          <w:sz w:val="20"/>
          <w:szCs w:val="20"/>
        </w:rPr>
        <w:t xml:space="preserve">o represent the uncertainty around </w:t>
      </w:r>
      <w:r w:rsidR="009E4FE4" w:rsidRPr="00435469">
        <w:rPr>
          <w:rFonts w:cs="Times New Roman"/>
          <w:sz w:val="20"/>
          <w:szCs w:val="20"/>
        </w:rPr>
        <w:t xml:space="preserve">this parameter </w:t>
      </w:r>
      <m:oMath>
        <m:r>
          <w:rPr>
            <w:rFonts w:ascii="Cambria Math" w:hAnsi="Cambria Math" w:cs="Times New Roman"/>
            <w:sz w:val="20"/>
            <w:szCs w:val="20"/>
          </w:rPr>
          <m:t>z</m:t>
        </m:r>
      </m:oMath>
      <w:r w:rsidR="002908D5" w:rsidRPr="00435469">
        <w:rPr>
          <w:rFonts w:cs="Times New Roman"/>
          <w:sz w:val="20"/>
          <w:szCs w:val="20"/>
        </w:rPr>
        <w:t xml:space="preserve">, </w:t>
      </w:r>
      <w:r w:rsidR="000E67D3" w:rsidRPr="00435469">
        <w:rPr>
          <w:rFonts w:cs="Times New Roman"/>
          <w:sz w:val="20"/>
          <w:szCs w:val="20"/>
        </w:rPr>
        <w:t xml:space="preserve">we </w:t>
      </w:r>
      <w:r w:rsidR="00DF56F7" w:rsidRPr="00435469">
        <w:rPr>
          <w:rFonts w:cs="Times New Roman"/>
          <w:sz w:val="20"/>
          <w:szCs w:val="20"/>
        </w:rPr>
        <w:t>assigned</w:t>
      </w:r>
      <w:r w:rsidR="000E67D3" w:rsidRPr="00435469">
        <w:rPr>
          <w:rFonts w:cs="Times New Roman"/>
          <w:sz w:val="20"/>
          <w:szCs w:val="20"/>
        </w:rPr>
        <w:t xml:space="preserve"> a Gamma (83.13; 53.63) prior distribution with a mean of </w:t>
      </w:r>
      <w:r w:rsidR="00DE129C" w:rsidRPr="00435469">
        <w:rPr>
          <w:rFonts w:cs="Times New Roman"/>
          <w:sz w:val="20"/>
          <w:szCs w:val="20"/>
        </w:rPr>
        <w:t xml:space="preserve">1.55 </w:t>
      </w:r>
      <w:r w:rsidR="000E67D3" w:rsidRPr="00435469">
        <w:rPr>
          <w:rFonts w:cs="Times New Roman"/>
          <w:sz w:val="20"/>
          <w:szCs w:val="20"/>
        </w:rPr>
        <w:t>and a standard deviation of 0.17</w:t>
      </w:r>
      <w:r w:rsidR="00DF56F7" w:rsidRPr="00435469">
        <w:rPr>
          <w:rFonts w:cs="Times New Roman"/>
          <w:sz w:val="20"/>
          <w:szCs w:val="20"/>
        </w:rPr>
        <w:t xml:space="preserve"> </w:t>
      </w:r>
      <w:r w:rsidR="00DF56F7" w:rsidRPr="00435469">
        <w:rPr>
          <w:rFonts w:cs="Times New Roman"/>
          <w:sz w:val="20"/>
          <w:szCs w:val="20"/>
        </w:rPr>
        <w:fldChar w:fldCharType="begin" w:fldLock="1"/>
      </w:r>
      <w:r w:rsidR="002F049E" w:rsidRPr="00435469">
        <w:rPr>
          <w:rFonts w:cs="Times New Roman"/>
          <w:sz w:val="20"/>
          <w:szCs w:val="20"/>
        </w:rPr>
        <w:instrText>ADDIN CSL_CITATION {"citationItems":[{"id":"ITEM-1","itemData":{"DOI":"10.1371/journal.pmed.1002119","author":[{"dropping-particle":"","family":"Horton","given":"Katherine C","non-dropping-particle":"","parse-names":false,"suffix":""},{"dropping-particle":"","family":"Macpherson","given":"Peter","non-dropping-particle":"","parse-names":false,"suffix":""},{"dropping-particle":"","family":"Houben","given":"Rein M G J","non-dropping-particle":"","parse-names":false,"suffix":""},{"dropping-particle":"","family":"White","given":"G","non-dropping-particle":"","parse-names":false,"suffix":""},{"dropping-particle":"","family":"Corbett","given":"Elizabeth L","non-dropping-particle":"","parse-names":false,"suffix":""}],"container-title":"PLoS Medicine","id":"ITEM-1","issued":{"date-parts":[["2016"]]},"page":"1-23","title":"Sex Differences in Tuberculosis Burden and Notifications in Low- and Middle-Income Countries : A Systematic Review and Meta-analysis","type":"article-journal","volume":"21"},"uris":["http://www.mendeley.com/documents/?uuid=292d59d6-d8a3-4cc9-b506-a7aa8a8a1c73"]}],"mendeley":{"formattedCitation":"(21)","plainTextFormattedCitation":"(21)","previouslyFormattedCitation":"(21)"},"properties":{"noteIndex":0},"schema":"https://github.com/citation-style-language/schema/raw/master/csl-citation.json"}</w:instrText>
      </w:r>
      <w:r w:rsidR="00DF56F7" w:rsidRPr="00435469">
        <w:rPr>
          <w:rFonts w:cs="Times New Roman"/>
          <w:sz w:val="20"/>
          <w:szCs w:val="20"/>
        </w:rPr>
        <w:fldChar w:fldCharType="separate"/>
      </w:r>
      <w:r w:rsidR="0063047A" w:rsidRPr="00435469">
        <w:rPr>
          <w:rFonts w:cs="Times New Roman"/>
          <w:noProof/>
          <w:sz w:val="20"/>
          <w:szCs w:val="20"/>
        </w:rPr>
        <w:t>(21)</w:t>
      </w:r>
      <w:r w:rsidR="00DF56F7" w:rsidRPr="00435469">
        <w:rPr>
          <w:rFonts w:cs="Times New Roman"/>
          <w:sz w:val="20"/>
          <w:szCs w:val="20"/>
        </w:rPr>
        <w:fldChar w:fldCharType="end"/>
      </w:r>
      <w:r w:rsidR="00B45CAF" w:rsidRPr="00435469">
        <w:rPr>
          <w:rFonts w:cs="Times New Roman"/>
          <w:sz w:val="20"/>
          <w:szCs w:val="20"/>
        </w:rPr>
        <w:t xml:space="preserve">. </w:t>
      </w:r>
    </w:p>
    <w:p w14:paraId="3F39C291" w14:textId="77777777" w:rsidR="00D12A72" w:rsidRPr="00435469" w:rsidRDefault="00D12A72" w:rsidP="00955FFB">
      <w:pPr>
        <w:pStyle w:val="Heading4"/>
        <w:rPr>
          <w:sz w:val="20"/>
          <w:szCs w:val="20"/>
        </w:rPr>
      </w:pPr>
      <w:bookmarkStart w:id="119" w:name="_Toc66458476"/>
      <w:bookmarkStart w:id="120" w:name="_Toc87863332"/>
      <w:r w:rsidRPr="00435469">
        <w:rPr>
          <w:sz w:val="20"/>
          <w:szCs w:val="20"/>
        </w:rPr>
        <w:t>Health-seeking patterns by HIV status</w:t>
      </w:r>
      <w:bookmarkEnd w:id="119"/>
      <w:bookmarkEnd w:id="120"/>
    </w:p>
    <w:p w14:paraId="25E9FA49" w14:textId="53DD149E" w:rsidR="00D12A72" w:rsidRPr="00435469" w:rsidRDefault="00D12A72" w:rsidP="00955FFB">
      <w:pPr>
        <w:spacing w:line="240" w:lineRule="auto"/>
        <w:rPr>
          <w:rFonts w:cs="Times New Roman"/>
          <w:sz w:val="20"/>
          <w:szCs w:val="20"/>
        </w:rPr>
      </w:pPr>
      <w:r w:rsidRPr="00435469">
        <w:rPr>
          <w:rFonts w:cs="Times New Roman"/>
          <w:sz w:val="20"/>
          <w:szCs w:val="20"/>
        </w:rPr>
        <w:t xml:space="preserve">We assume that the attendance rate for HIV-infected individuals will be higher compared to that of HIV-uninfected individuals as HIV-infected individuals are more likely to be engaged with health care facilities and possibly because, in individuals with active TB, the development of symptoms may be more rapid than in HIV-negative individuals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{"citationItems":[{"id":"ITEM-1","itemData":{"DOI":"10.1164/rccm.200405-590OC","ISSN":"1073449X","abstract":"We hypothesized that rapid presentation may be a general feature of tuberculosis (TB) associated with human immunodeficiency virus (HIV) that limits the impact of HIV on the point prevalence of TB. To investigate this, we performed a cross-sectional HIV and TB disease survey with retrospective and prospective follow-up. HIV prevalence among 1,773 systematically recruited miners was 27%. TB incidence was much more strongly HIV associated (incidence rate ratio, 5.5; 95% confidence interval [CI], 3.5-8.6) than the point prevalence of undiagnosed TB disease (odds ratio, 1.7; 95% CI, 0.9-3.3). For smear-positive TB, 7 of 9 (78%) prevalent cases were HIV negative, and point prevalence was nonsignificantly lower in miners who were HIV positive (odds ratio, 0.8; 95% CI, 0.1-4.2). The calculated mean duration of smear positivity before diagnosis (point prevalence/incidence) was substantially shorter for HIV-positive than HIV-negative TB patients (0.17 and 1.15 years, respectively; ratio, 0.15; 95% CI, 0.00-0.73). HIV has considerably less impact on the point prevalence of TB disease than on TB incidence, probably because rapid disease progression increases presentation and case-finding rates. The difference in mean duration of smear positivity was particularly marked and, if generalizable, will have major implications for TB control prospects in high HIV prevalence areas.","author":[{"dropping-particle":"","family":"Corbett","given":"Elizabeth L.","non-dropping-particle":"","parse-names":false,"suffix":""},{"dropping-particle":"","family":"Charalambous","given":"Salome","non-dropping-particle":"","parse-names":false,"suffix":""},{"dropping-particle":"","family":"Moloi","given":"Vicky M.","non-dropping-particle":"","parse-names":false,"suffix":""},{"dropping-particle":"","family":"Fielding","given":"Katherine","non-dropping-particle":"","parse-names":false,"suffix":""},{"dropping-particle":"","family":"Grant","given":"Alison D.","non-dropping-particle":"","parse-names":false,"suffix":""},{"dropping-particle":"","family":"Dye","given":"Christopher","non-dropping-particle":"","parse-names":false,"suffix":""},{"dropping-particle":"","family":"Cock","given":"Kevin M.","non-dropping-particle":"De","parse-names":false,"suffix":""},{"dropping-particle":"","family":"Hayes","given":"Richard J.","non-dropping-particle":"","parse-names":false,"suffix":""},{"dropping-particle":"","family":"Williams","given":"Brian C.","non-dropping-particle":"","parse-names":false,"suffix":""},{"dropping-particle":"","family":"Churchyard","given":"Gavin J.","non-dropping-particle":"","parse-names":false,"suffix":""}],"container-title":"American Journal of Respiratory and Critical Care Medicine","id":"ITEM-1","issue":"6","issued":{"date-parts":[["2004"]]},"page":"673-679","title":"Human immunodeficiency virus and the prevalence of undiagnosed tuberculosis in African gold miners","type":"article-journal","volume":"170"},"uris":["http://www.mendeley.com/documents/?uuid=14463a6e-0dd8-4f54-a2b0-5e1b01751307"]}],"mendeley":{"formattedCitation":"(47)","plainTextFormattedCitation":"(47)","previouslyFormattedCitation":"(47)"},"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(47)</w:t>
      </w:r>
      <w:r w:rsidRPr="00435469">
        <w:rPr>
          <w:rFonts w:cs="Times New Roman"/>
          <w:sz w:val="20"/>
          <w:szCs w:val="20"/>
        </w:rPr>
        <w:fldChar w:fldCharType="end"/>
      </w:r>
      <w:r w:rsidRPr="00435469">
        <w:rPr>
          <w:rFonts w:cs="Times New Roman"/>
          <w:sz w:val="20"/>
          <w:szCs w:val="20"/>
        </w:rPr>
        <w:t xml:space="preserve">. We relied on Corbett </w:t>
      </w:r>
      <w:r w:rsidRPr="00435469">
        <w:rPr>
          <w:rFonts w:cs="Times New Roman"/>
          <w:i/>
          <w:iCs/>
          <w:sz w:val="20"/>
          <w:szCs w:val="20"/>
        </w:rPr>
        <w:t>et al</w:t>
      </w:r>
      <w:r w:rsidRPr="00435469">
        <w:rPr>
          <w:rFonts w:cs="Times New Roman"/>
          <w:sz w:val="20"/>
          <w:szCs w:val="20"/>
        </w:rPr>
        <w:t xml:space="preserve"> and the South African National prevalence survey which suggested higher health-seeking in HIV-positive individuals than HIV-negative individuals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{"citationItems":[{"id":"ITEM-1","itemData":{"DOI":"10.1080/1560221031000112230","ISSN":"1560-2214","author":[{"dropping-particle":"","family":"Department of Health","given":"","non-dropping-particle":"","parse-names":false,"suffix":""}],"id":"ITEM-1","issued":{"date-parts":[["2021"]]},"publisher-place":"Pretoria, South Africa","title":"The First National Tuberculosis Prevalence Survey: South Africa 2018","type":"report"},"uris":["http://www.mendeley.com/documents/?uuid=7c5ac305-ecca-436d-afad-2436630ed1ec"]},{"id":"ITEM-2","itemData":{"DOI":"10.1164/rccm.200405-590OC","ISSN":"1073449X","abstract":"We hypothesized that rapid presentation may be a general feature of tuberculosis (TB) associated with human immunodeficiency virus (HIV) that limits the impact of HIV on the point prevalence of TB. To investigate this, we performed a cross-sectional HIV and TB disease survey with retrospective and prospective follow-up. HIV prevalence among 1,773 systematically recruited miners was 27%. TB incidence was much more strongly HIV associated (incidence rate ratio, 5.5; 95% confidence interval [CI], 3.5-8.6) than the point prevalence of undiagnosed TB disease (odds ratio, 1.7; 95% CI, 0.9-3.3). For smear-positive TB, 7 of 9 (78%) prevalent cases were HIV negative, and point prevalence was nonsignificantly lower in miners who were HIV positive (odds ratio, 0.8; 95% CI, 0.1-4.2). The calculated mean duration of smear positivity before diagnosis (point prevalence/incidence) was substantially shorter for HIV-positive than HIV-negative TB patients (0.17 and 1.15 years, respectively; ratio, 0.15; 95% CI, 0.00-0.73). HIV has considerably less impact on the point prevalence of TB disease than on TB incidence, probably because rapid disease progression increases presentation and case-finding rates. The difference in mean duration of smear positivity was particularly marked and, if generalizable, will have major implications for TB control prospects in high HIV prevalence areas.","author":[{"dropping-particle":"","family":"Corbett","given":"Elizabeth L.","non-dropping-particle":"","parse-names":false,"suffix":""},{"dropping-particle":"","family":"Charalambous","given":"Salome","non-dropping-particle":"","parse-names":false,"suffix":""},{"dropping-particle":"","family":"Moloi","given":"Vicky M.","non-dropping-particle":"","parse-names":false,"suffix":""},{"dropping-particle":"","family":"Fielding","given":"Katherine","non-dropping-particle":"","parse-names":false,"suffix":""},{"dropping-particle":"","family":"Grant","given":"Alison D.","non-dropping-particle":"","parse-names":false,"suffix":""},{"dropping-particle":"","family":"Dye","given":"Christopher","non-dropping-particle":"","parse-names":false,"suffix":""},{"dropping-particle":"","family":"Cock","given":"Kevin M.","non-dropping-particle":"De","parse-names":false,"suffix":""},{"dropping-particle":"","family":"Hayes","given":"Richard J.","non-dropping-particle":"","parse-names":false,"suffix":""},{"dropping-particle":"","family":"Williams","given":"Brian C.","non-dropping-particle":"","parse-names":false,"suffix":""},{"dropping-particle":"","family":"Churchyard","given":"Gavin J.","non-dropping-particle":"","parse-names":false,"suffix":""}],"container-title":"American Journal of Respiratory and Critical Care Medicine","id":"ITEM-2","issue":"6","issued":{"date-parts":[["2004"]]},"page":"673-679","title":"Human immunodeficiency virus and the prevalence of undiagnosed tuberculosis in African gold miners","type":"article-journal","volume":"170"},"uris":["http://www.mendeley.com/documents/?uuid=14463a6e-0dd8-4f54-a2b0-5e1b01751307"]}],"mendeley":{"formattedCitation":"(47,48)","plainTextFormattedCitation":"(47,48)","previouslyFormattedCitation":"(47,48)"},"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(47,48)</w:t>
      </w:r>
      <w:r w:rsidRPr="00435469">
        <w:rPr>
          <w:rFonts w:cs="Times New Roman"/>
          <w:sz w:val="20"/>
          <w:szCs w:val="20"/>
        </w:rPr>
        <w:fldChar w:fldCharType="end"/>
      </w:r>
      <w:r w:rsidRPr="00435469">
        <w:rPr>
          <w:rFonts w:cs="Times New Roman"/>
          <w:sz w:val="20"/>
          <w:szCs w:val="20"/>
        </w:rPr>
        <w:t xml:space="preserve">.  </w:t>
      </w:r>
    </w:p>
    <w:p w14:paraId="5100AE22" w14:textId="48D6EAC6" w:rsidR="00487225" w:rsidRPr="00435469" w:rsidRDefault="00487225" w:rsidP="00955FFB">
      <w:pPr>
        <w:spacing w:line="240" w:lineRule="auto"/>
        <w:rPr>
          <w:rFonts w:cs="Times New Roman"/>
          <w:sz w:val="20"/>
          <w:szCs w:val="20"/>
          <w:lang w:eastAsia="en-ZA"/>
        </w:rPr>
      </w:pPr>
      <w:r w:rsidRPr="00435469">
        <w:rPr>
          <w:rFonts w:cs="Times New Roman"/>
          <w:sz w:val="20"/>
          <w:szCs w:val="20"/>
          <w:lang w:eastAsia="en-ZA"/>
        </w:rPr>
        <w:t xml:space="preserve">We </w:t>
      </w:r>
      <w:r w:rsidR="00F51C6B" w:rsidRPr="00435469">
        <w:rPr>
          <w:rFonts w:cs="Times New Roman"/>
          <w:sz w:val="20"/>
          <w:szCs w:val="20"/>
          <w:lang w:eastAsia="en-ZA"/>
        </w:rPr>
        <w:t xml:space="preserve">define </w:t>
      </w:r>
      <m:oMath>
        <m:r>
          <w:rPr>
            <w:rFonts w:ascii="Cambria Math" w:hAnsi="Cambria Math" w:cs="Times New Roman"/>
            <w:sz w:val="20"/>
            <w:szCs w:val="20"/>
            <w:lang w:eastAsia="en-ZA"/>
          </w:rPr>
          <m:t>h</m:t>
        </m:r>
      </m:oMath>
      <w:r w:rsidR="00F51C6B" w:rsidRPr="00435469">
        <w:rPr>
          <w:rFonts w:eastAsiaTheme="minorEastAsia" w:cs="Times New Roman"/>
          <w:sz w:val="20"/>
          <w:szCs w:val="20"/>
          <w:lang w:eastAsia="en-ZA"/>
        </w:rPr>
        <w:t xml:space="preserve"> </w:t>
      </w:r>
      <w:r w:rsidR="00A9110F" w:rsidRPr="00435469">
        <w:rPr>
          <w:rFonts w:eastAsiaTheme="minorEastAsia" w:cs="Times New Roman"/>
          <w:sz w:val="20"/>
          <w:szCs w:val="20"/>
          <w:lang w:eastAsia="en-ZA"/>
        </w:rPr>
        <w:t xml:space="preserve">to be </w:t>
      </w:r>
      <w:r w:rsidRPr="00435469">
        <w:rPr>
          <w:rFonts w:cs="Times New Roman"/>
          <w:sz w:val="20"/>
          <w:szCs w:val="20"/>
        </w:rPr>
        <w:t>the relative rate of health seeking in HIV-infected individuals (compared to HIV-uninfected individuals)</w:t>
      </w:r>
      <w:r w:rsidR="00F51C6B" w:rsidRPr="00435469">
        <w:rPr>
          <w:rFonts w:cs="Times New Roman"/>
          <w:sz w:val="20"/>
          <w:szCs w:val="20"/>
        </w:rPr>
        <w:t>. We expect</w:t>
      </w:r>
      <w:r w:rsidRPr="00435469">
        <w:rPr>
          <w:rFonts w:cs="Times New Roman"/>
          <w:sz w:val="20"/>
          <w:szCs w:val="20"/>
        </w:rPr>
        <w:t xml:space="preserve"> </w:t>
      </w:r>
      <w:r w:rsidRPr="00435469">
        <w:rPr>
          <w:rFonts w:cs="Times New Roman"/>
          <w:i/>
          <w:iCs/>
          <w:sz w:val="20"/>
          <w:szCs w:val="20"/>
        </w:rPr>
        <w:t>h&gt;</w:t>
      </w:r>
      <w:r w:rsidRPr="00435469">
        <w:rPr>
          <w:rFonts w:cs="Times New Roman"/>
          <w:sz w:val="20"/>
          <w:szCs w:val="20"/>
        </w:rPr>
        <w:t>1</w:t>
      </w:r>
      <w:r w:rsidR="008E1850" w:rsidRPr="00435469">
        <w:rPr>
          <w:rFonts w:cs="Times New Roman"/>
          <w:sz w:val="20"/>
          <w:szCs w:val="20"/>
        </w:rPr>
        <w:t xml:space="preserve">. </w:t>
      </w:r>
      <w:r w:rsidR="000B4699" w:rsidRPr="00435469">
        <w:rPr>
          <w:rFonts w:cs="Times New Roman"/>
          <w:sz w:val="20"/>
          <w:szCs w:val="20"/>
        </w:rPr>
        <w:t xml:space="preserve">To represent the uncertainty around this parameter </w:t>
      </w:r>
      <w:r w:rsidR="000B4699" w:rsidRPr="00435469">
        <w:rPr>
          <w:rFonts w:cs="Times New Roman"/>
          <w:i/>
          <w:iCs/>
          <w:sz w:val="20"/>
          <w:szCs w:val="20"/>
        </w:rPr>
        <w:t>h</w:t>
      </w:r>
      <w:r w:rsidR="000B4699" w:rsidRPr="00435469">
        <w:rPr>
          <w:rFonts w:cs="Times New Roman"/>
          <w:sz w:val="20"/>
          <w:szCs w:val="20"/>
        </w:rPr>
        <w:t xml:space="preserve">, assign a Gamma (9;3) prior distribution with a mean of 3.0 and a standard deviation of 1 </w:t>
      </w:r>
      <w:r w:rsidR="000B4699" w:rsidRPr="00435469">
        <w:rPr>
          <w:rFonts w:cs="Times New Roman"/>
          <w:sz w:val="20"/>
          <w:szCs w:val="20"/>
        </w:rPr>
        <w:fldChar w:fldCharType="begin" w:fldLock="1"/>
      </w:r>
      <w:r w:rsidR="002F049E" w:rsidRPr="00435469">
        <w:rPr>
          <w:rFonts w:cs="Times New Roman"/>
          <w:sz w:val="20"/>
          <w:szCs w:val="20"/>
        </w:rPr>
        <w:instrText>ADDIN CSL_CITATION {"citationItems":[{"id":"ITEM-1","itemData":{"DOI":"10.1080/1560221031000112230","ISSN":"1560-2214","author":[{"dropping-particle":"","family":"Department of Health","given":"","non-dropping-particle":"","parse-names":false,"suffix":""}],"id":"ITEM-1","issued":{"date-parts":[["2021"]]},"publisher-place":"Pretoria, South Africa","title":"The First National Tuberculosis Prevalence Survey: South Africa 2018","type":"report"},"uris":["http://www.mendeley.com/documents/?uuid=7c5ac305-ecca-436d-afad-2436630ed1ec"]},{"id":"ITEM-2","itemData":{"DOI":"10.1164/rccm.200405-590OC","ISSN":"1073449X","abstract":"We hypothesized that rapid presentation may be a general feature of tuberculosis (TB) associated with human immunodeficiency virus (HIV) that limits the impact of HIV on the point prevalence of TB. To investigate this, we performed a cross-sectional HIV and TB disease survey with retrospective and prospective follow-up. HIV prevalence among 1,773 systematically recruited miners was 27%. TB incidence was much more strongly HIV associated (incidence rate ratio, 5.5; 95% confidence interval [CI], 3.5-8.6) than the point prevalence of undiagnosed TB disease (odds ratio, 1.7; 95% CI, 0.9-3.3). For smear-positive TB, 7 of 9 (78%) prevalent cases were HIV negative, and point prevalence was nonsignificantly lower in miners who were HIV positive (odds ratio, 0.8; 95% CI, 0.1-4.2). The calculated mean duration of smear positivity before diagnosis (point prevalence/incidence) was substantially shorter for HIV-positive than HIV-negative TB patients (0.17 and 1.15 years, respectively; ratio, 0.15; 95% CI, 0.00-0.73). HIV has considerably less impact on the point prevalence of TB disease than on TB incidence, probably because rapid disease progression increases presentation and case-finding rates. The difference in mean duration of smear positivity was particularly marked and, if generalizable, will have major implications for TB control prospects in high HIV prevalence areas.","author":[{"dropping-particle":"","family":"Corbett","given":"Elizabeth L.","non-dropping-particle":"","parse-names":false,"suffix":""},{"dropping-particle":"","family":"Charalambous","given":"Salome","non-dropping-particle":"","parse-names":false,"suffix":""},{"dropping-particle":"","family":"Moloi","given":"Vicky M.","non-dropping-particle":"","parse-names":false,"suffix":""},{"dropping-particle":"","family":"Fielding","given":"Katherine","non-dropping-particle":"","parse-names":false,"suffix":""},{"dropping-particle":"","family":"Grant","given":"Alison D.","non-dropping-particle":"","parse-names":false,"suffix":""},{"dropping-particle":"","family":"Dye","given":"Christopher","non-dropping-particle":"","parse-names":false,"suffix":""},{"dropping-particle":"","family":"Cock","given":"Kevin M.","non-dropping-particle":"De","parse-names":false,"suffix":""},{"dropping-particle":"","family":"Hayes","given":"Richard J.","non-dropping-particle":"","parse-names":false,"suffix":""},{"dropping-particle":"","family":"Williams","given":"Brian C.","non-dropping-particle":"","parse-names":false,"suffix":""},{"dropping-particle":"","family":"Churchyard","given":"Gavin J.","non-dropping-particle":"","parse-names":false,"suffix":""}],"container-title":"American Journal of Respiratory and Critical Care Medicine","id":"ITEM-2","issue":"6","issued":{"date-parts":[["2004"]]},"page":"673-679","title":"Human immunodeficiency virus and the prevalence of undiagnosed tuberculosis in African gold miners","type":"article-journal","volume":"170"},"uris":["http://www.mendeley.com/documents/?uuid=14463a6e-0dd8-4f54-a2b0-5e1b01751307"]}],"mendeley":{"formattedCitation":"(47,48)","plainTextFormattedCitation":"(47,48)","previouslyFormattedCitation":"(47,48)"},"properties":{"noteIndex":0},"schema":"https://github.com/citation-style-language/schema/raw/master/csl-citation.json"}</w:instrText>
      </w:r>
      <w:r w:rsidR="000B4699" w:rsidRPr="00435469">
        <w:rPr>
          <w:rFonts w:cs="Times New Roman"/>
          <w:sz w:val="20"/>
          <w:szCs w:val="20"/>
        </w:rPr>
        <w:fldChar w:fldCharType="separate"/>
      </w:r>
      <w:r w:rsidR="0063047A" w:rsidRPr="00435469">
        <w:rPr>
          <w:rFonts w:cs="Times New Roman"/>
          <w:noProof/>
          <w:sz w:val="20"/>
          <w:szCs w:val="20"/>
        </w:rPr>
        <w:t>(47,48)</w:t>
      </w:r>
      <w:r w:rsidR="000B4699" w:rsidRPr="00435469">
        <w:rPr>
          <w:rFonts w:cs="Times New Roman"/>
          <w:sz w:val="20"/>
          <w:szCs w:val="20"/>
        </w:rPr>
        <w:fldChar w:fldCharType="end"/>
      </w:r>
      <w:r w:rsidR="000B4699" w:rsidRPr="00435469">
        <w:rPr>
          <w:rFonts w:cs="Times New Roman"/>
          <w:sz w:val="20"/>
          <w:szCs w:val="20"/>
        </w:rPr>
        <w:t>.</w:t>
      </w:r>
      <w:r w:rsidR="0065472E" w:rsidRPr="00435469">
        <w:rPr>
          <w:rFonts w:cs="Times New Roman"/>
          <w:sz w:val="20"/>
          <w:szCs w:val="20"/>
        </w:rPr>
        <w:t xml:space="preserve"> In a previous calibration analysis, th</w:t>
      </w:r>
      <w:r w:rsidR="002C3F25" w:rsidRPr="00435469">
        <w:rPr>
          <w:rFonts w:cs="Times New Roman"/>
          <w:sz w:val="20"/>
          <w:szCs w:val="20"/>
        </w:rPr>
        <w:t xml:space="preserve">e posterior </w:t>
      </w:r>
      <w:r w:rsidR="00C30825" w:rsidRPr="00435469">
        <w:rPr>
          <w:rFonts w:cs="Times New Roman"/>
          <w:sz w:val="20"/>
          <w:szCs w:val="20"/>
        </w:rPr>
        <w:t xml:space="preserve">mean was </w:t>
      </w:r>
      <w:r w:rsidR="00881C85" w:rsidRPr="00435469">
        <w:rPr>
          <w:rFonts w:cs="Times New Roman"/>
          <w:sz w:val="20"/>
          <w:szCs w:val="20"/>
          <w:lang w:val="en-ZA"/>
        </w:rPr>
        <w:t>4.27 (95% CI 3.72 - 5.12)</w:t>
      </w:r>
      <w:r w:rsidR="00DC6CDF" w:rsidRPr="00435469">
        <w:rPr>
          <w:rFonts w:cs="Times New Roman"/>
          <w:sz w:val="20"/>
          <w:szCs w:val="20"/>
          <w:lang w:val="en-ZA"/>
        </w:rPr>
        <w:t xml:space="preserve"> </w:t>
      </w:r>
      <w:r w:rsidR="00DC6CDF" w:rsidRPr="00435469">
        <w:rPr>
          <w:rFonts w:eastAsia="Yu Mincho" w:cs="Times New Roman"/>
          <w:sz w:val="20"/>
          <w:szCs w:val="20"/>
        </w:rPr>
        <w:fldChar w:fldCharType="begin" w:fldLock="1"/>
      </w:r>
      <w:r w:rsidR="0057162F"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DC6CDF" w:rsidRPr="00435469">
        <w:rPr>
          <w:rFonts w:eastAsia="Yu Mincho" w:cs="Times New Roman"/>
          <w:sz w:val="20"/>
          <w:szCs w:val="20"/>
        </w:rPr>
        <w:fldChar w:fldCharType="separate"/>
      </w:r>
      <w:r w:rsidR="00DC6CDF" w:rsidRPr="00435469">
        <w:rPr>
          <w:rFonts w:eastAsia="Yu Mincho" w:cs="Times New Roman"/>
          <w:noProof/>
          <w:sz w:val="20"/>
          <w:szCs w:val="20"/>
        </w:rPr>
        <w:t>(6)</w:t>
      </w:r>
      <w:r w:rsidR="00DC6CDF" w:rsidRPr="00435469">
        <w:rPr>
          <w:rFonts w:eastAsia="Yu Mincho" w:cs="Times New Roman"/>
          <w:sz w:val="20"/>
          <w:szCs w:val="20"/>
        </w:rPr>
        <w:fldChar w:fldCharType="end"/>
      </w:r>
      <w:r w:rsidR="0064390F" w:rsidRPr="00435469">
        <w:rPr>
          <w:rFonts w:cs="Times New Roman"/>
          <w:sz w:val="20"/>
          <w:szCs w:val="20"/>
        </w:rPr>
        <w:t xml:space="preserve">. </w:t>
      </w:r>
      <w:r w:rsidR="00C30825" w:rsidRPr="00435469">
        <w:rPr>
          <w:rFonts w:cs="Times New Roman"/>
          <w:sz w:val="20"/>
          <w:szCs w:val="20"/>
        </w:rPr>
        <w:t>I</w:t>
      </w:r>
      <w:r w:rsidR="0064390F" w:rsidRPr="00435469">
        <w:rPr>
          <w:rFonts w:cs="Times New Roman"/>
          <w:sz w:val="20"/>
          <w:szCs w:val="20"/>
        </w:rPr>
        <w:t>n this</w:t>
      </w:r>
      <w:r w:rsidR="00D44898" w:rsidRPr="00435469">
        <w:rPr>
          <w:rFonts w:cs="Times New Roman"/>
          <w:sz w:val="20"/>
          <w:szCs w:val="20"/>
        </w:rPr>
        <w:t xml:space="preserve"> analysis</w:t>
      </w:r>
      <w:r w:rsidR="0064390F" w:rsidRPr="00435469">
        <w:rPr>
          <w:rFonts w:cs="Times New Roman"/>
          <w:sz w:val="20"/>
          <w:szCs w:val="20"/>
        </w:rPr>
        <w:t xml:space="preserve"> we fixed the</w:t>
      </w:r>
      <w:r w:rsidR="000627DE" w:rsidRPr="00435469">
        <w:rPr>
          <w:rFonts w:cs="Times New Roman"/>
          <w:sz w:val="20"/>
          <w:szCs w:val="20"/>
        </w:rPr>
        <w:t xml:space="preserve"> parameter at a mean of </w:t>
      </w:r>
      <w:r w:rsidR="002D4C72" w:rsidRPr="00435469">
        <w:rPr>
          <w:rFonts w:cs="Times New Roman"/>
          <w:sz w:val="20"/>
          <w:szCs w:val="20"/>
        </w:rPr>
        <w:t>4</w:t>
      </w:r>
      <w:r w:rsidR="000627DE" w:rsidRPr="00435469">
        <w:rPr>
          <w:rFonts w:cs="Times New Roman"/>
          <w:sz w:val="20"/>
          <w:szCs w:val="20"/>
        </w:rPr>
        <w:t>.27.</w:t>
      </w:r>
    </w:p>
    <w:p w14:paraId="6192E250" w14:textId="77777777" w:rsidR="0042489D" w:rsidRPr="00435469" w:rsidRDefault="0042489D" w:rsidP="00955FFB">
      <w:pPr>
        <w:pStyle w:val="Heading4"/>
        <w:rPr>
          <w:sz w:val="20"/>
          <w:szCs w:val="20"/>
        </w:rPr>
      </w:pPr>
      <w:r w:rsidRPr="00435469">
        <w:rPr>
          <w:sz w:val="20"/>
          <w:szCs w:val="20"/>
        </w:rPr>
        <w:lastRenderedPageBreak/>
        <w:t xml:space="preserve">Setting overall health-seeking rates </w:t>
      </w:r>
    </w:p>
    <w:p w14:paraId="4866ACE4" w14:textId="77777777" w:rsidR="00CC2000" w:rsidRPr="00435469" w:rsidRDefault="00EF7FA6" w:rsidP="00955FFB">
      <w:pPr>
        <w:tabs>
          <w:tab w:val="left" w:pos="2504"/>
        </w:tabs>
        <w:spacing w:line="240" w:lineRule="auto"/>
        <w:rPr>
          <w:rFonts w:eastAsiaTheme="minorEastAsia" w:cs="Times New Roman"/>
          <w:sz w:val="20"/>
          <w:szCs w:val="20"/>
        </w:rPr>
      </w:pPr>
      <w:r w:rsidRPr="00435469">
        <w:rPr>
          <w:rFonts w:eastAsiaTheme="minorEastAsia" w:cs="Times New Roman"/>
          <w:sz w:val="20"/>
          <w:szCs w:val="20"/>
        </w:rPr>
        <w:t xml:space="preserve">For any time </w:t>
      </w:r>
      <m:oMath>
        <m:r>
          <w:rPr>
            <w:rFonts w:ascii="Cambria Math" w:hAnsi="Cambria Math" w:cs="Times New Roman"/>
            <w:sz w:val="20"/>
            <w:szCs w:val="20"/>
          </w:rPr>
          <m:t>t</m:t>
        </m:r>
      </m:oMath>
      <w:r w:rsidRPr="00435469">
        <w:rPr>
          <w:rFonts w:eastAsiaTheme="minorEastAsia" w:cs="Times New Roman"/>
          <w:sz w:val="20"/>
          <w:szCs w:val="20"/>
        </w:rPr>
        <w:t>, we define the health</w:t>
      </w:r>
      <w:r w:rsidR="00B6289B" w:rsidRPr="00435469">
        <w:rPr>
          <w:rFonts w:eastAsiaTheme="minorEastAsia" w:cs="Times New Roman"/>
          <w:sz w:val="20"/>
          <w:szCs w:val="20"/>
        </w:rPr>
        <w:t>-</w:t>
      </w:r>
      <w:r w:rsidRPr="00435469">
        <w:rPr>
          <w:rFonts w:eastAsiaTheme="minorEastAsia" w:cs="Times New Roman"/>
          <w:sz w:val="20"/>
          <w:szCs w:val="20"/>
        </w:rPr>
        <w:t>seeki</w:t>
      </w:r>
      <w:r w:rsidR="00B20F38" w:rsidRPr="00435469">
        <w:rPr>
          <w:rFonts w:eastAsiaTheme="minorEastAsia" w:cs="Times New Roman"/>
          <w:sz w:val="20"/>
          <w:szCs w:val="20"/>
        </w:rPr>
        <w:t xml:space="preserve">ng </w:t>
      </w:r>
      <w:r w:rsidR="00B6289B" w:rsidRPr="00435469">
        <w:rPr>
          <w:rFonts w:eastAsiaTheme="minorEastAsia" w:cs="Times New Roman"/>
          <w:sz w:val="20"/>
          <w:szCs w:val="20"/>
        </w:rPr>
        <w:t xml:space="preserve">rates </w:t>
      </w:r>
      <w:r w:rsidR="00B20F38" w:rsidRPr="00435469">
        <w:rPr>
          <w:rFonts w:eastAsiaTheme="minorEastAsia" w:cs="Times New Roman"/>
          <w:sz w:val="20"/>
          <w:szCs w:val="20"/>
        </w:rPr>
        <w:t>such that they depend on</w:t>
      </w:r>
      <w:r w:rsidR="00C1769F" w:rsidRPr="00435469">
        <w:rPr>
          <w:rFonts w:eastAsiaTheme="minorEastAsia" w:cs="Times New Roman"/>
          <w:sz w:val="20"/>
          <w:szCs w:val="20"/>
        </w:rPr>
        <w:t xml:space="preserve"> </w:t>
      </w:r>
      <w:r w:rsidR="00622A64" w:rsidRPr="00435469">
        <w:rPr>
          <w:rFonts w:eastAsiaTheme="minorEastAsia" w:cs="Times New Roman"/>
          <w:sz w:val="20"/>
          <w:szCs w:val="20"/>
        </w:rPr>
        <w:t>the variables</w:t>
      </w:r>
      <w:r w:rsidR="00CC2000" w:rsidRPr="00435469">
        <w:rPr>
          <w:rFonts w:eastAsiaTheme="minorEastAsia" w:cs="Times New Roman"/>
          <w:sz w:val="20"/>
          <w:szCs w:val="20"/>
        </w:rPr>
        <w:t>:</w:t>
      </w:r>
    </w:p>
    <w:p w14:paraId="3392C5EA" w14:textId="425B2710" w:rsidR="00CC2000" w:rsidRPr="00435469" w:rsidRDefault="00EF7FA6" w:rsidP="00955FFB">
      <w:pPr>
        <w:pStyle w:val="ListParagraph"/>
        <w:numPr>
          <w:ilvl w:val="0"/>
          <w:numId w:val="13"/>
        </w:numPr>
        <w:tabs>
          <w:tab w:val="left" w:pos="2504"/>
        </w:tabs>
        <w:rPr>
          <w:rFonts w:ascii="Times New Roman" w:hAnsi="Times New Roman" w:cs="Times New Roman"/>
          <w:sz w:val="20"/>
          <w:szCs w:val="20"/>
        </w:rPr>
      </w:pPr>
      <w:r w:rsidRPr="00435469">
        <w:rPr>
          <w:rFonts w:ascii="Times New Roman" w:hAnsi="Times New Roman" w:cs="Times New Roman"/>
          <w:sz w:val="20"/>
          <w:szCs w:val="20"/>
        </w:rPr>
        <w:t>sex</w:t>
      </w:r>
      <w:r w:rsidR="00F95D59" w:rsidRPr="00435469">
        <w:rPr>
          <w:rFonts w:ascii="Times New Roman" w:hAnsi="Times New Roman" w:cs="Times New Roman"/>
          <w:sz w:val="20"/>
          <w:szCs w:val="20"/>
        </w:rPr>
        <w:t xml:space="preserve"> (</w:t>
      </w:r>
      <m:oMath>
        <m:r>
          <w:rPr>
            <w:rFonts w:ascii="Cambria Math" w:hAnsi="Cambria Math" w:cs="Times New Roman"/>
            <w:sz w:val="20"/>
            <w:szCs w:val="20"/>
          </w:rPr>
          <m:t>g</m:t>
        </m:r>
      </m:oMath>
      <w:r w:rsidR="00F95D59" w:rsidRPr="00435469">
        <w:rPr>
          <w:rFonts w:ascii="Times New Roman" w:hAnsi="Times New Roman" w:cs="Times New Roman"/>
          <w:sz w:val="20"/>
          <w:szCs w:val="20"/>
        </w:rPr>
        <w:t>)</w:t>
      </w:r>
      <w:r w:rsidR="00763F4A" w:rsidRPr="00435469">
        <w:rPr>
          <w:rFonts w:ascii="Times New Roman" w:hAnsi="Times New Roman" w:cs="Times New Roman"/>
          <w:sz w:val="20"/>
          <w:szCs w:val="20"/>
        </w:rPr>
        <w:t xml:space="preserve">: </w:t>
      </w:r>
      <w:r w:rsidR="00763F4A" w:rsidRPr="00435469">
        <w:rPr>
          <w:rFonts w:ascii="Times New Roman" w:eastAsiaTheme="minorEastAsia" w:hAnsi="Times New Roman" w:cs="Times New Roman"/>
          <w:sz w:val="20"/>
          <w:szCs w:val="20"/>
        </w:rPr>
        <w:t xml:space="preserve">male sex is represented by </w:t>
      </w:r>
      <m:oMath>
        <m:r>
          <w:rPr>
            <w:rFonts w:ascii="Cambria Math" w:eastAsiaTheme="minorEastAsia" w:hAnsi="Cambria Math" w:cs="Times New Roman"/>
            <w:sz w:val="20"/>
            <w:szCs w:val="20"/>
          </w:rPr>
          <m:t>g=0</m:t>
        </m:r>
      </m:oMath>
      <w:r w:rsidR="00DE037E" w:rsidRPr="00435469">
        <w:rPr>
          <w:rFonts w:ascii="Times New Roman" w:eastAsiaTheme="minorEastAsia" w:hAnsi="Times New Roman" w:cs="Times New Roman"/>
          <w:sz w:val="20"/>
          <w:szCs w:val="20"/>
        </w:rPr>
        <w:t>;</w:t>
      </w:r>
      <w:r w:rsidR="00763F4A" w:rsidRPr="00435469">
        <w:rPr>
          <w:rFonts w:ascii="Times New Roman" w:eastAsiaTheme="minorEastAsia" w:hAnsi="Times New Roman" w:cs="Times New Roman"/>
          <w:sz w:val="20"/>
          <w:szCs w:val="20"/>
        </w:rPr>
        <w:t xml:space="preserve"> female </w:t>
      </w:r>
      <m:oMath>
        <m:r>
          <w:rPr>
            <w:rFonts w:ascii="Cambria Math" w:eastAsiaTheme="minorEastAsia" w:hAnsi="Cambria Math" w:cs="Times New Roman"/>
            <w:sz w:val="20"/>
            <w:szCs w:val="20"/>
          </w:rPr>
          <m:t>g=1</m:t>
        </m:r>
      </m:oMath>
      <w:r w:rsidR="00DE037E" w:rsidRPr="00435469">
        <w:rPr>
          <w:rFonts w:ascii="Times New Roman" w:eastAsiaTheme="minorEastAsia" w:hAnsi="Times New Roman" w:cs="Times New Roman"/>
          <w:sz w:val="20"/>
          <w:szCs w:val="20"/>
        </w:rPr>
        <w:t xml:space="preserve"> </w:t>
      </w:r>
      <m:oMath>
        <m:r>
          <w:rPr>
            <w:rFonts w:ascii="Cambria Math" w:hAnsi="Cambria Math" w:cs="Times New Roman"/>
            <w:sz w:val="20"/>
            <w:szCs w:val="20"/>
          </w:rPr>
          <m:t>.</m:t>
        </m:r>
      </m:oMath>
    </w:p>
    <w:p w14:paraId="63935FE2" w14:textId="0BF8BF67" w:rsidR="00CC2000" w:rsidRPr="00435469" w:rsidRDefault="00C1769F" w:rsidP="00955FFB">
      <w:pPr>
        <w:pStyle w:val="ListParagraph"/>
        <w:numPr>
          <w:ilvl w:val="0"/>
          <w:numId w:val="13"/>
        </w:numPr>
        <w:tabs>
          <w:tab w:val="left" w:pos="2504"/>
        </w:tabs>
        <w:rPr>
          <w:rFonts w:ascii="Times New Roman" w:hAnsi="Times New Roman" w:cs="Times New Roman"/>
          <w:sz w:val="20"/>
          <w:szCs w:val="20"/>
        </w:rPr>
      </w:pPr>
      <w:r w:rsidRPr="00435469">
        <w:rPr>
          <w:rFonts w:ascii="Times New Roman" w:hAnsi="Times New Roman" w:cs="Times New Roman"/>
          <w:sz w:val="20"/>
          <w:szCs w:val="20"/>
        </w:rPr>
        <w:t>HIV status</w:t>
      </w:r>
      <w:r w:rsidR="00F95D59" w:rsidRPr="00435469">
        <w:rPr>
          <w:rFonts w:ascii="Times New Roman" w:hAnsi="Times New Roman" w:cs="Times New Roman"/>
          <w:sz w:val="20"/>
          <w:szCs w:val="20"/>
        </w:rPr>
        <w:t xml:space="preserve"> (</w:t>
      </w:r>
      <m:oMath>
        <m:r>
          <w:rPr>
            <w:rFonts w:ascii="Cambria Math" w:eastAsiaTheme="minorEastAsia" w:hAnsi="Cambria Math" w:cs="Times New Roman"/>
            <w:sz w:val="20"/>
            <w:szCs w:val="20"/>
          </w:rPr>
          <m:t>s</m:t>
        </m:r>
      </m:oMath>
      <w:r w:rsidR="00F95D59" w:rsidRPr="00435469">
        <w:rPr>
          <w:rFonts w:ascii="Times New Roman" w:hAnsi="Times New Roman" w:cs="Times New Roman"/>
          <w:sz w:val="20"/>
          <w:szCs w:val="20"/>
        </w:rPr>
        <w:t>)</w:t>
      </w:r>
      <w:r w:rsidR="00763F4A" w:rsidRPr="00435469">
        <w:rPr>
          <w:rFonts w:ascii="Times New Roman" w:hAnsi="Times New Roman" w:cs="Times New Roman"/>
          <w:sz w:val="20"/>
          <w:szCs w:val="20"/>
        </w:rPr>
        <w:t xml:space="preserve">: </w:t>
      </w:r>
      <w:r w:rsidR="008B79FF" w:rsidRPr="00435469">
        <w:rPr>
          <w:rFonts w:ascii="Times New Roman" w:eastAsiaTheme="minorEastAsia" w:hAnsi="Times New Roman" w:cs="Times New Roman"/>
          <w:sz w:val="20"/>
          <w:szCs w:val="20"/>
        </w:rPr>
        <w:t xml:space="preserve">HIV-uninfected status is represented by </w:t>
      </w:r>
      <m:oMath>
        <m:r>
          <w:rPr>
            <w:rFonts w:ascii="Cambria Math" w:eastAsiaTheme="minorEastAsia" w:hAnsi="Cambria Math" w:cs="Times New Roman"/>
            <w:sz w:val="20"/>
            <w:szCs w:val="20"/>
          </w:rPr>
          <m:t>s= 0</m:t>
        </m:r>
      </m:oMath>
      <w:r w:rsidR="002401B9" w:rsidRPr="00435469">
        <w:rPr>
          <w:rFonts w:ascii="Times New Roman" w:eastAsiaTheme="minorEastAsia" w:hAnsi="Times New Roman" w:cs="Times New Roman"/>
          <w:sz w:val="20"/>
          <w:szCs w:val="20"/>
        </w:rPr>
        <w:t xml:space="preserve">; </w:t>
      </w:r>
      <w:r w:rsidR="008B79FF" w:rsidRPr="00435469">
        <w:rPr>
          <w:rFonts w:ascii="Times New Roman" w:eastAsiaTheme="minorEastAsia" w:hAnsi="Times New Roman" w:cs="Times New Roman"/>
          <w:sz w:val="20"/>
          <w:szCs w:val="20"/>
        </w:rPr>
        <w:t xml:space="preserve">HIV-infected by </w:t>
      </w:r>
      <m:oMath>
        <m:r>
          <w:rPr>
            <w:rFonts w:ascii="Cambria Math" w:eastAsiaTheme="minorEastAsia" w:hAnsi="Cambria Math" w:cs="Times New Roman"/>
            <w:sz w:val="20"/>
            <w:szCs w:val="20"/>
          </w:rPr>
          <m:t>s&gt;0</m:t>
        </m:r>
      </m:oMath>
      <w:r w:rsidR="00EC7BA2" w:rsidRPr="00435469">
        <w:rPr>
          <w:rFonts w:ascii="Times New Roman" w:hAnsi="Times New Roman" w:cs="Times New Roman"/>
          <w:sz w:val="20"/>
          <w:szCs w:val="20"/>
        </w:rPr>
        <w:t>.</w:t>
      </w:r>
    </w:p>
    <w:p w14:paraId="4B0E947A" w14:textId="2C4A8C91" w:rsidR="00CC2000" w:rsidRPr="00435469" w:rsidRDefault="00F95D59" w:rsidP="00955FFB">
      <w:pPr>
        <w:pStyle w:val="ListParagraph"/>
        <w:numPr>
          <w:ilvl w:val="0"/>
          <w:numId w:val="13"/>
        </w:numPr>
        <w:tabs>
          <w:tab w:val="left" w:pos="2504"/>
        </w:tabs>
        <w:rPr>
          <w:rFonts w:ascii="Times New Roman" w:hAnsi="Times New Roman" w:cs="Times New Roman"/>
          <w:sz w:val="20"/>
          <w:szCs w:val="20"/>
        </w:rPr>
      </w:pPr>
      <w:r w:rsidRPr="00435469">
        <w:rPr>
          <w:rFonts w:ascii="Times New Roman" w:hAnsi="Times New Roman" w:cs="Times New Roman"/>
          <w:sz w:val="20"/>
          <w:szCs w:val="20"/>
        </w:rPr>
        <w:t>smear status (</w:t>
      </w:r>
      <m:oMath>
        <m:r>
          <w:rPr>
            <w:rFonts w:ascii="Cambria Math" w:hAnsi="Cambria Math" w:cs="Times New Roman"/>
            <w:sz w:val="20"/>
            <w:szCs w:val="20"/>
          </w:rPr>
          <m:t>a</m:t>
        </m:r>
      </m:oMath>
      <w:r w:rsidRPr="00435469">
        <w:rPr>
          <w:rFonts w:ascii="Times New Roman" w:hAnsi="Times New Roman" w:cs="Times New Roman"/>
          <w:sz w:val="20"/>
          <w:szCs w:val="20"/>
        </w:rPr>
        <w:t>)</w:t>
      </w:r>
      <w:r w:rsidR="005413D0" w:rsidRPr="00435469">
        <w:rPr>
          <w:rFonts w:ascii="Times New Roman" w:hAnsi="Times New Roman" w:cs="Times New Roman"/>
          <w:sz w:val="20"/>
          <w:szCs w:val="20"/>
        </w:rPr>
        <w:t xml:space="preserve">: </w:t>
      </w:r>
      <w:r w:rsidR="008B79FF" w:rsidRPr="00435469">
        <w:rPr>
          <w:rFonts w:ascii="Times New Roman" w:eastAsiaTheme="minorEastAsia" w:hAnsi="Times New Roman" w:cs="Times New Roman"/>
          <w:sz w:val="20"/>
          <w:szCs w:val="20"/>
        </w:rPr>
        <w:t>smear-negative</w:t>
      </w:r>
      <w:r w:rsidR="009A68F8" w:rsidRPr="00435469">
        <w:rPr>
          <w:rFonts w:ascii="Times New Roman" w:eastAsiaTheme="minorEastAsia" w:hAnsi="Times New Roman" w:cs="Times New Roman"/>
          <w:sz w:val="20"/>
          <w:szCs w:val="20"/>
        </w:rPr>
        <w:t xml:space="preserve"> TB represented by </w:t>
      </w:r>
      <m:oMath>
        <m:r>
          <w:rPr>
            <w:rFonts w:ascii="Cambria Math" w:hAnsi="Cambria Math" w:cs="Times New Roman"/>
            <w:sz w:val="20"/>
            <w:szCs w:val="20"/>
          </w:rPr>
          <m:t>a =0</m:t>
        </m:r>
      </m:oMath>
      <w:r w:rsidR="009A68F8" w:rsidRPr="00435469">
        <w:rPr>
          <w:rFonts w:ascii="Times New Roman" w:eastAsiaTheme="minorEastAsia" w:hAnsi="Times New Roman" w:cs="Times New Roman"/>
          <w:sz w:val="20"/>
          <w:szCs w:val="20"/>
        </w:rPr>
        <w:t>;</w:t>
      </w:r>
      <w:r w:rsidR="008B79FF" w:rsidRPr="00435469">
        <w:rPr>
          <w:rFonts w:ascii="Times New Roman" w:eastAsiaTheme="minorEastAsia" w:hAnsi="Times New Roman" w:cs="Times New Roman"/>
          <w:sz w:val="20"/>
          <w:szCs w:val="20"/>
        </w:rPr>
        <w:t xml:space="preserve"> smear-positive</w:t>
      </w:r>
      <w:r w:rsidR="002401B9" w:rsidRPr="00435469">
        <w:rPr>
          <w:rFonts w:ascii="Times New Roman" w:hAnsi="Times New Roman" w:cs="Times New Roman"/>
          <w:sz w:val="20"/>
          <w:szCs w:val="20"/>
        </w:rPr>
        <w:t xml:space="preserve"> </w:t>
      </w:r>
      <w:r w:rsidR="009A68F8" w:rsidRPr="00435469">
        <w:rPr>
          <w:rFonts w:ascii="Times New Roman" w:hAnsi="Times New Roman" w:cs="Times New Roman"/>
          <w:sz w:val="20"/>
          <w:szCs w:val="20"/>
        </w:rPr>
        <w:t xml:space="preserve">by </w:t>
      </w:r>
      <m:oMath>
        <m:r>
          <w:rPr>
            <w:rFonts w:ascii="Cambria Math" w:hAnsi="Cambria Math" w:cs="Times New Roman"/>
            <w:sz w:val="20"/>
            <w:szCs w:val="20"/>
          </w:rPr>
          <m:t>a</m:t>
        </m:r>
        <m:r>
          <w:rPr>
            <w:rFonts w:ascii="Cambria Math" w:eastAsiaTheme="minorEastAsia" w:hAnsi="Cambria Math" w:cs="Times New Roman"/>
            <w:sz w:val="20"/>
            <w:szCs w:val="20"/>
          </w:rPr>
          <m:t>=1</m:t>
        </m:r>
      </m:oMath>
      <w:r w:rsidR="009A68F8" w:rsidRPr="00435469">
        <w:rPr>
          <w:rFonts w:ascii="Times New Roman" w:eastAsiaTheme="minorEastAsia" w:hAnsi="Times New Roman" w:cs="Times New Roman"/>
          <w:sz w:val="20"/>
          <w:szCs w:val="20"/>
        </w:rPr>
        <w:t>.</w:t>
      </w:r>
    </w:p>
    <w:p w14:paraId="265F9590" w14:textId="67161D76" w:rsidR="004E7DC0" w:rsidRPr="00435469" w:rsidRDefault="004E7DC0" w:rsidP="00955FFB">
      <w:pPr>
        <w:tabs>
          <w:tab w:val="left" w:pos="2504"/>
        </w:tabs>
        <w:spacing w:line="240" w:lineRule="auto"/>
        <w:rPr>
          <w:rFonts w:cs="Times New Roman"/>
          <w:sz w:val="20"/>
          <w:szCs w:val="20"/>
        </w:rPr>
      </w:pPr>
      <w:r w:rsidRPr="00435469">
        <w:rPr>
          <w:rFonts w:cs="Times New Roman"/>
          <w:sz w:val="20"/>
          <w:szCs w:val="20"/>
        </w:rPr>
        <w:t>The definitions of the health-seeking rates are below</w:t>
      </w:r>
      <w:r w:rsidR="006A138B" w:rsidRPr="00435469">
        <w:rPr>
          <w:rFonts w:cs="Times New Roman"/>
          <w:sz w:val="20"/>
          <w:szCs w:val="20"/>
        </w:rPr>
        <w:t xml:space="preserve"> (</w:t>
      </w:r>
      <w:proofErr w:type="spellStart"/>
      <w:r w:rsidR="00783D69" w:rsidRPr="00435469">
        <w:rPr>
          <w:rFonts w:cs="Times New Roman"/>
          <w:b/>
          <w:bCs/>
          <w:i/>
          <w:iCs/>
          <w:sz w:val="20"/>
          <w:szCs w:val="20"/>
        </w:rPr>
        <w:t>i</w:t>
      </w:r>
      <w:proofErr w:type="spellEnd"/>
      <w:r w:rsidR="000126DB" w:rsidRPr="00435469">
        <w:rPr>
          <w:rFonts w:cs="Times New Roman"/>
          <w:b/>
          <w:bCs/>
          <w:i/>
          <w:iCs/>
          <w:sz w:val="20"/>
          <w:szCs w:val="20"/>
        </w:rPr>
        <w:t>.</w:t>
      </w:r>
      <w:r w:rsidR="00783D69" w:rsidRPr="00435469">
        <w:rPr>
          <w:rFonts w:cs="Times New Roman"/>
          <w:i/>
          <w:iCs/>
          <w:sz w:val="20"/>
          <w:szCs w:val="20"/>
        </w:rPr>
        <w:t xml:space="preserve"> – </w:t>
      </w:r>
      <w:r w:rsidR="00783D69" w:rsidRPr="00435469">
        <w:rPr>
          <w:rFonts w:cs="Times New Roman"/>
          <w:b/>
          <w:bCs/>
          <w:i/>
          <w:iCs/>
          <w:sz w:val="20"/>
          <w:szCs w:val="20"/>
        </w:rPr>
        <w:t>iii</w:t>
      </w:r>
      <w:r w:rsidR="000126DB" w:rsidRPr="00435469">
        <w:rPr>
          <w:rFonts w:cs="Times New Roman"/>
          <w:b/>
          <w:bCs/>
          <w:i/>
          <w:iCs/>
          <w:sz w:val="20"/>
          <w:szCs w:val="20"/>
        </w:rPr>
        <w:t>.</w:t>
      </w:r>
      <w:r w:rsidR="006A138B" w:rsidRPr="00435469">
        <w:rPr>
          <w:rFonts w:cs="Times New Roman"/>
          <w:sz w:val="20"/>
          <w:szCs w:val="20"/>
        </w:rPr>
        <w:t>)</w:t>
      </w:r>
      <w:r w:rsidRPr="00435469">
        <w:rPr>
          <w:rFonts w:cs="Times New Roman"/>
          <w:sz w:val="20"/>
          <w:szCs w:val="20"/>
        </w:rPr>
        <w:t>, and as defined earlier:</w:t>
      </w:r>
    </w:p>
    <w:p w14:paraId="3BF96BC9" w14:textId="77777777" w:rsidR="004E7DC0" w:rsidRPr="00435469" w:rsidRDefault="004E7DC0" w:rsidP="00955FFB">
      <w:pPr>
        <w:pStyle w:val="ListParagraph"/>
        <w:numPr>
          <w:ilvl w:val="0"/>
          <w:numId w:val="13"/>
        </w:numPr>
        <w:tabs>
          <w:tab w:val="left" w:pos="2504"/>
        </w:tabs>
        <w:jc w:val="left"/>
        <w:rPr>
          <w:rFonts w:ascii="Times New Roman" w:hAnsi="Times New Roman" w:cs="Times New Roman"/>
          <w:sz w:val="20"/>
          <w:szCs w:val="20"/>
        </w:rPr>
      </w:pPr>
      <m:oMath>
        <m:r>
          <w:rPr>
            <w:rFonts w:ascii="Cambria Math" w:hAnsi="Cambria Math" w:cs="Times New Roman"/>
            <w:sz w:val="20"/>
            <w:szCs w:val="20"/>
          </w:rPr>
          <m:t>f</m:t>
        </m:r>
      </m:oMath>
      <w:r w:rsidRPr="00435469">
        <w:rPr>
          <w:rFonts w:ascii="Times New Roman" w:hAnsi="Times New Roman" w:cs="Times New Roman"/>
          <w:sz w:val="20"/>
          <w:szCs w:val="20"/>
        </w:rPr>
        <w:t xml:space="preserve"> is the ratio of symptoms in smear-positive compared to in smear-</w:t>
      </w:r>
      <w:proofErr w:type="gramStart"/>
      <w:r w:rsidRPr="00435469">
        <w:rPr>
          <w:rFonts w:ascii="Times New Roman" w:hAnsi="Times New Roman" w:cs="Times New Roman"/>
          <w:sz w:val="20"/>
          <w:szCs w:val="20"/>
        </w:rPr>
        <w:t>negative individuals;</w:t>
      </w:r>
      <w:proofErr w:type="gramEnd"/>
    </w:p>
    <w:p w14:paraId="6AA8D9E1" w14:textId="77777777" w:rsidR="004E7DC0" w:rsidRPr="00435469" w:rsidRDefault="004E7DC0" w:rsidP="00955FFB">
      <w:pPr>
        <w:pStyle w:val="ListParagraph"/>
        <w:numPr>
          <w:ilvl w:val="0"/>
          <w:numId w:val="13"/>
        </w:numPr>
        <w:tabs>
          <w:tab w:val="left" w:pos="2504"/>
        </w:tabs>
        <w:jc w:val="left"/>
        <w:rPr>
          <w:rFonts w:ascii="Times New Roman" w:hAnsi="Times New Roman" w:cs="Times New Roman"/>
          <w:sz w:val="20"/>
          <w:szCs w:val="20"/>
        </w:rPr>
      </w:pPr>
      <m:oMath>
        <m:r>
          <w:rPr>
            <w:rFonts w:ascii="Cambria Math" w:hAnsi="Cambria Math" w:cs="Times New Roman"/>
            <w:sz w:val="20"/>
            <w:szCs w:val="20"/>
          </w:rPr>
          <m:t>z</m:t>
        </m:r>
      </m:oMath>
      <w:r w:rsidRPr="00435469">
        <w:rPr>
          <w:rFonts w:ascii="Times New Roman" w:eastAsiaTheme="minorEastAsia" w:hAnsi="Times New Roman" w:cs="Times New Roman"/>
          <w:sz w:val="20"/>
          <w:szCs w:val="20"/>
        </w:rPr>
        <w:t xml:space="preserve">  is the relative rate of health-seeking in females compared </w:t>
      </w:r>
      <w:proofErr w:type="gramStart"/>
      <w:r w:rsidRPr="00435469">
        <w:rPr>
          <w:rFonts w:ascii="Times New Roman" w:eastAsiaTheme="minorEastAsia" w:hAnsi="Times New Roman" w:cs="Times New Roman"/>
          <w:sz w:val="20"/>
          <w:szCs w:val="20"/>
        </w:rPr>
        <w:t>to males</w:t>
      </w:r>
      <w:r w:rsidRPr="00435469">
        <w:rPr>
          <w:rFonts w:ascii="Times New Roman" w:hAnsi="Times New Roman" w:cs="Times New Roman"/>
          <w:sz w:val="20"/>
          <w:szCs w:val="20"/>
        </w:rPr>
        <w:t>;</w:t>
      </w:r>
      <w:proofErr w:type="gramEnd"/>
    </w:p>
    <w:p w14:paraId="00229F7E" w14:textId="37B6F944" w:rsidR="00D12A72" w:rsidRPr="00435469" w:rsidRDefault="004E7DC0" w:rsidP="00786238">
      <w:pPr>
        <w:pStyle w:val="ListParagraph"/>
        <w:numPr>
          <w:ilvl w:val="0"/>
          <w:numId w:val="13"/>
        </w:numPr>
        <w:tabs>
          <w:tab w:val="left" w:pos="2504"/>
        </w:tabs>
        <w:jc w:val="left"/>
        <w:rPr>
          <w:rFonts w:ascii="Times New Roman" w:hAnsi="Times New Roman" w:cs="Times New Roman"/>
          <w:sz w:val="20"/>
          <w:szCs w:val="20"/>
        </w:rPr>
      </w:pPr>
      <m:oMath>
        <m:r>
          <w:rPr>
            <w:rFonts w:ascii="Cambria Math" w:hAnsi="Cambria Math" w:cs="Times New Roman"/>
            <w:sz w:val="20"/>
            <w:szCs w:val="20"/>
            <w:lang w:eastAsia="en-ZA"/>
          </w:rPr>
          <m:t>h</m:t>
        </m:r>
      </m:oMath>
      <w:r w:rsidRPr="00435469">
        <w:rPr>
          <w:rFonts w:ascii="Times New Roman" w:eastAsiaTheme="minorEastAsia" w:hAnsi="Times New Roman" w:cs="Times New Roman"/>
          <w:sz w:val="20"/>
          <w:szCs w:val="20"/>
          <w:lang w:eastAsia="en-ZA"/>
        </w:rPr>
        <w:t xml:space="preserve"> is </w:t>
      </w:r>
      <w:r w:rsidRPr="00435469">
        <w:rPr>
          <w:rFonts w:ascii="Times New Roman" w:hAnsi="Times New Roman" w:cs="Times New Roman"/>
          <w:sz w:val="20"/>
          <w:szCs w:val="20"/>
        </w:rPr>
        <w:t>the relative rate of health seeking in HIV-infected individuals (compared to HIV-uninfected individuals</w:t>
      </w:r>
      <w:proofErr w:type="gramStart"/>
      <w:r w:rsidRPr="00435469">
        <w:rPr>
          <w:rFonts w:ascii="Times New Roman" w:hAnsi="Times New Roman" w:cs="Times New Roman"/>
          <w:sz w:val="20"/>
          <w:szCs w:val="20"/>
        </w:rPr>
        <w:t>).</w:t>
      </w:r>
      <w:proofErr w:type="gramEnd"/>
    </w:p>
    <w:p w14:paraId="01858A69" w14:textId="77777777" w:rsidR="003440F2" w:rsidRPr="00435469" w:rsidRDefault="003440F2" w:rsidP="003440F2">
      <w:pPr>
        <w:tabs>
          <w:tab w:val="left" w:pos="2504"/>
        </w:tabs>
        <w:rPr>
          <w:rFonts w:cs="Times New Roman"/>
          <w:sz w:val="20"/>
          <w:szCs w:val="20"/>
        </w:rPr>
      </w:pPr>
    </w:p>
    <w:p w14:paraId="2A4C9E9F" w14:textId="6F784ECC" w:rsidR="00F669F7" w:rsidRPr="00435469" w:rsidRDefault="00F669F7" w:rsidP="00955FFB">
      <w:pPr>
        <w:pStyle w:val="Heading5"/>
        <w:numPr>
          <w:ilvl w:val="0"/>
          <w:numId w:val="32"/>
        </w:numPr>
        <w:rPr>
          <w:color w:val="auto"/>
          <w:sz w:val="20"/>
          <w:szCs w:val="20"/>
        </w:rPr>
      </w:pPr>
      <w:bookmarkStart w:id="121" w:name="_Toc87863330"/>
      <w:r w:rsidRPr="00435469">
        <w:rPr>
          <w:color w:val="auto"/>
          <w:sz w:val="20"/>
          <w:szCs w:val="20"/>
        </w:rPr>
        <w:t>Health-seeking rate for active TB population seeking treatment for TB symptoms (</w:t>
      </w:r>
      <m:oMath>
        <m:sSub>
          <m:sSubPr>
            <m:ctrlPr>
              <w:rPr>
                <w:rFonts w:ascii="Cambria Math" w:hAnsi="Cambria Math"/>
                <w:color w:val="auto"/>
                <w:sz w:val="20"/>
                <w:szCs w:val="20"/>
              </w:rPr>
            </m:ctrlPr>
          </m:sSubPr>
          <m:e>
            <m:r>
              <m:rPr>
                <m:sty m:val="bi"/>
              </m:rPr>
              <w:rPr>
                <w:rFonts w:ascii="Cambria Math" w:hAnsi="Cambria Math"/>
                <w:color w:val="auto"/>
                <w:sz w:val="20"/>
                <w:szCs w:val="20"/>
              </w:rPr>
              <m:t>γ</m:t>
            </m:r>
          </m:e>
          <m:sub>
            <m:r>
              <m:rPr>
                <m:sty m:val="bi"/>
              </m:rPr>
              <w:rPr>
                <w:rFonts w:ascii="Cambria Math" w:hAnsi="Cambria Math"/>
                <w:color w:val="auto"/>
                <w:sz w:val="20"/>
                <w:szCs w:val="20"/>
              </w:rPr>
              <m:t>1</m:t>
            </m:r>
          </m:sub>
        </m:sSub>
        <m:d>
          <m:dPr>
            <m:ctrlPr>
              <w:rPr>
                <w:rFonts w:ascii="Cambria Math" w:hAnsi="Cambria Math"/>
                <w:color w:val="auto"/>
                <w:sz w:val="20"/>
                <w:szCs w:val="20"/>
              </w:rPr>
            </m:ctrlPr>
          </m:dPr>
          <m:e>
            <m:r>
              <m:rPr>
                <m:sty m:val="bi"/>
              </m:rPr>
              <w:rPr>
                <w:rFonts w:ascii="Cambria Math" w:hAnsi="Cambria Math"/>
                <w:color w:val="auto"/>
                <w:sz w:val="20"/>
                <w:szCs w:val="20"/>
              </w:rPr>
              <m:t>a,g,s,t</m:t>
            </m:r>
          </m:e>
        </m:d>
      </m:oMath>
      <w:r w:rsidRPr="00435469">
        <w:rPr>
          <w:color w:val="auto"/>
          <w:sz w:val="20"/>
          <w:szCs w:val="20"/>
        </w:rPr>
        <w:t>)</w:t>
      </w:r>
    </w:p>
    <w:p w14:paraId="081B8D39" w14:textId="392FC208" w:rsidR="00F44B20" w:rsidRPr="00435469" w:rsidRDefault="00F44B20" w:rsidP="00955FFB">
      <w:pPr>
        <w:tabs>
          <w:tab w:val="left" w:pos="2504"/>
        </w:tabs>
        <w:spacing w:before="240" w:line="240" w:lineRule="auto"/>
        <w:rPr>
          <w:rFonts w:cs="Times New Roman"/>
          <w:iCs/>
          <w:sz w:val="20"/>
          <w:szCs w:val="20"/>
        </w:rPr>
      </w:pPr>
      <w:r w:rsidRPr="00435469">
        <w:rPr>
          <w:rFonts w:cs="Times New Roman"/>
          <w:iCs/>
          <w:sz w:val="20"/>
          <w:szCs w:val="20"/>
        </w:rPr>
        <w:t>We</w:t>
      </w:r>
      <w:r w:rsidRPr="00435469">
        <w:rPr>
          <w:rFonts w:cs="Times New Roman"/>
          <w:sz w:val="20"/>
          <w:szCs w:val="20"/>
        </w:rPr>
        <w:t xml:space="preserve"> let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oMath>
      <w:r w:rsidRPr="00435469">
        <w:rPr>
          <w:rFonts w:cs="Times New Roman"/>
          <w:sz w:val="20"/>
          <w:szCs w:val="20"/>
        </w:rPr>
        <w:t xml:space="preserve"> represent the rate of health-seeking for </w:t>
      </w:r>
      <w:r w:rsidR="00F232A0" w:rsidRPr="00435469">
        <w:rPr>
          <w:rFonts w:cs="Times New Roman"/>
          <w:sz w:val="20"/>
          <w:szCs w:val="20"/>
        </w:rPr>
        <w:t xml:space="preserve">HIV-negative men with smear-negative </w:t>
      </w:r>
      <w:r w:rsidRPr="00435469">
        <w:rPr>
          <w:rFonts w:cs="Times New Roman"/>
          <w:sz w:val="20"/>
          <w:szCs w:val="20"/>
        </w:rPr>
        <w:t>active TB</w:t>
      </w:r>
      <w:r w:rsidR="00F232A0" w:rsidRPr="00435469">
        <w:rPr>
          <w:rFonts w:cs="Times New Roman"/>
          <w:sz w:val="20"/>
          <w:szCs w:val="20"/>
        </w:rPr>
        <w:t>,</w:t>
      </w:r>
      <w:r w:rsidRPr="00435469">
        <w:rPr>
          <w:rFonts w:cs="Times New Roman"/>
          <w:sz w:val="20"/>
          <w:szCs w:val="20"/>
        </w:rPr>
        <w:t xml:space="preserve"> seeking treatment for TB symptoms</w:t>
      </w:r>
      <w:r w:rsidR="00F232A0" w:rsidRPr="00435469">
        <w:rPr>
          <w:rFonts w:cs="Times New Roman"/>
          <w:sz w:val="20"/>
          <w:szCs w:val="20"/>
        </w:rPr>
        <w:t>,</w:t>
      </w:r>
      <w:r w:rsidRPr="00435469">
        <w:rPr>
          <w:rFonts w:cs="Times New Roman"/>
          <w:sz w:val="20"/>
          <w:szCs w:val="20"/>
        </w:rPr>
        <w:t xml:space="preserve"> and define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a, g,s,t</m:t>
            </m:r>
          </m:e>
        </m:d>
      </m:oMath>
      <w:r w:rsidRPr="00435469">
        <w:rPr>
          <w:rFonts w:eastAsiaTheme="minorEastAsia" w:cs="Times New Roman"/>
          <w:sz w:val="20"/>
          <w:szCs w:val="20"/>
        </w:rPr>
        <w:t xml:space="preserve">, the </w:t>
      </w:r>
      <w:r w:rsidRPr="00435469">
        <w:rPr>
          <w:rFonts w:cs="Times New Roman"/>
          <w:iCs/>
          <w:sz w:val="20"/>
          <w:szCs w:val="20"/>
        </w:rPr>
        <w:t>health-seeking rate for adults with active TB as below.</w:t>
      </w:r>
    </w:p>
    <w:p w14:paraId="2405679A" w14:textId="78337ECD" w:rsidR="00F44B20" w:rsidRPr="00435469" w:rsidRDefault="00F44B20" w:rsidP="00955FFB">
      <w:pPr>
        <w:tabs>
          <w:tab w:val="left" w:pos="2504"/>
        </w:tabs>
        <w:spacing w:before="240" w:line="240" w:lineRule="auto"/>
        <w:rPr>
          <w:rFonts w:cs="Times New Roman"/>
          <w:iCs/>
          <w:sz w:val="20"/>
          <w:szCs w:val="20"/>
        </w:rPr>
      </w:pPr>
      <w:r w:rsidRPr="00435469">
        <w:rPr>
          <w:rFonts w:eastAsiaTheme="minorEastAsia" w:cs="Times New Roman"/>
          <w:sz w:val="20"/>
          <w:szCs w:val="20"/>
        </w:rPr>
        <w:t xml:space="preserve">For smear-negative individuals </w:t>
      </w:r>
      <w:r w:rsidR="00F232A0" w:rsidRPr="00435469">
        <w:rPr>
          <w:rFonts w:eastAsiaTheme="minorEastAsia" w:cs="Times New Roman"/>
          <w:sz w:val="20"/>
          <w:szCs w:val="20"/>
        </w:rPr>
        <w:t>(</w:t>
      </w:r>
      <m:oMath>
        <m:r>
          <w:rPr>
            <w:rFonts w:ascii="Cambria Math" w:hAnsi="Cambria Math" w:cs="Times New Roman"/>
            <w:sz w:val="20"/>
            <w:szCs w:val="20"/>
          </w:rPr>
          <m:t>a=0</m:t>
        </m:r>
      </m:oMath>
      <w:r w:rsidR="00F232A0" w:rsidRPr="00435469">
        <w:rPr>
          <w:rFonts w:eastAsiaTheme="minorEastAsia" w:cs="Times New Roman"/>
          <w:sz w:val="20"/>
          <w:szCs w:val="20"/>
        </w:rPr>
        <w:t>),</w:t>
      </w:r>
    </w:p>
    <w:p w14:paraId="7E6432A4" w14:textId="77777777" w:rsidR="00F44B20" w:rsidRPr="00435469" w:rsidRDefault="00000000" w:rsidP="00955FFB">
      <w:pPr>
        <w:spacing w:line="240" w:lineRule="auto"/>
        <w:rPr>
          <w:rFonts w:eastAsiaTheme="minorEastAsia"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a, g,s,t</m:t>
              </m:r>
            </m:e>
          </m:d>
          <m:r>
            <w:rPr>
              <w:rFonts w:ascii="Cambria Math" w:hAnsi="Cambria Math" w:cs="Times New Roman"/>
              <w:sz w:val="20"/>
              <w:szCs w:val="20"/>
            </w:rPr>
            <m:t>=</m:t>
          </m:r>
          <m:d>
            <m:dPr>
              <m:begChr m:val="{"/>
              <m:endChr m:val=""/>
              <m:ctrlPr>
                <w:rPr>
                  <w:rFonts w:ascii="Cambria Math" w:hAnsi="Cambria Math" w:cs="Times New Roman"/>
                  <w:i/>
                  <w:sz w:val="20"/>
                  <w:szCs w:val="20"/>
                </w:rPr>
              </m:ctrlPr>
            </m:dPr>
            <m:e>
              <m:m>
                <m:mPr>
                  <m:mcs>
                    <m:mc>
                      <m:mcPr>
                        <m:count m:val="1"/>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r>
                      <w:rPr>
                        <w:rFonts w:ascii="Cambria Math" w:hAnsi="Cambria Math" w:cs="Times New Roman"/>
                        <w:sz w:val="20"/>
                        <w:szCs w:val="20"/>
                      </w:rPr>
                      <m:t xml:space="preserve"> </m:t>
                    </m:r>
                    <m:r>
                      <m:rPr>
                        <m:nor/>
                      </m:rPr>
                      <w:rPr>
                        <w:rFonts w:cs="Times New Roman"/>
                        <w:sz w:val="20"/>
                        <w:szCs w:val="20"/>
                      </w:rPr>
                      <m:t xml:space="preserve">for </m:t>
                    </m:r>
                    <m:r>
                      <w:rPr>
                        <w:rFonts w:ascii="Cambria Math" w:hAnsi="Cambria Math" w:cs="Times New Roman"/>
                        <w:sz w:val="20"/>
                        <w:szCs w:val="20"/>
                      </w:rPr>
                      <m:t xml:space="preserve">g=0 </m:t>
                    </m:r>
                    <m:r>
                      <m:rPr>
                        <m:nor/>
                      </m:rPr>
                      <w:rPr>
                        <w:rFonts w:cs="Times New Roman"/>
                        <w:sz w:val="20"/>
                        <w:szCs w:val="20"/>
                      </w:rPr>
                      <m:t>and</m:t>
                    </m:r>
                    <m:r>
                      <w:rPr>
                        <w:rFonts w:ascii="Cambria Math" w:hAnsi="Cambria Math" w:cs="Times New Roman"/>
                        <w:sz w:val="20"/>
                        <w:szCs w:val="20"/>
                      </w:rPr>
                      <m:t xml:space="preserve"> s=0, ∀t</m:t>
                    </m:r>
                  </m:e>
                </m:m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r>
                      <w:rPr>
                        <w:rFonts w:ascii="Cambria Math" w:hAnsi="Cambria Math" w:cs="Times New Roman"/>
                        <w:sz w:val="20"/>
                        <w:szCs w:val="20"/>
                      </w:rPr>
                      <m:t xml:space="preserve">z </m:t>
                    </m:r>
                    <m:r>
                      <m:rPr>
                        <m:nor/>
                      </m:rPr>
                      <w:rPr>
                        <w:rFonts w:cs="Times New Roman"/>
                        <w:sz w:val="20"/>
                        <w:szCs w:val="20"/>
                      </w:rPr>
                      <m:t xml:space="preserve">for </m:t>
                    </m:r>
                    <m:r>
                      <w:rPr>
                        <w:rFonts w:ascii="Cambria Math" w:hAnsi="Cambria Math" w:cs="Times New Roman"/>
                        <w:sz w:val="20"/>
                        <w:szCs w:val="20"/>
                      </w:rPr>
                      <m:t xml:space="preserve">g=1 </m:t>
                    </m:r>
                    <m:r>
                      <m:rPr>
                        <m:nor/>
                      </m:rPr>
                      <w:rPr>
                        <w:rFonts w:cs="Times New Roman"/>
                        <w:sz w:val="20"/>
                        <w:szCs w:val="20"/>
                      </w:rPr>
                      <m:t>and</m:t>
                    </m:r>
                    <m:r>
                      <w:rPr>
                        <w:rFonts w:ascii="Cambria Math" w:hAnsi="Cambria Math" w:cs="Times New Roman"/>
                        <w:sz w:val="20"/>
                        <w:szCs w:val="20"/>
                      </w:rPr>
                      <m:t xml:space="preserve"> s=0, ∀t</m:t>
                    </m:r>
                  </m:e>
                </m:mr>
                <m:mr>
                  <m:e>
                    <m:m>
                      <m:mPr>
                        <m:mcs>
                          <m:mc>
                            <m:mcPr>
                              <m:count m:val="1"/>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r>
                            <w:rPr>
                              <w:rFonts w:ascii="Cambria Math" w:hAnsi="Cambria Math" w:cs="Times New Roman"/>
                              <w:sz w:val="20"/>
                              <w:szCs w:val="20"/>
                            </w:rPr>
                            <m:t xml:space="preserve">h </m:t>
                          </m:r>
                          <m:r>
                            <m:rPr>
                              <m:nor/>
                            </m:rPr>
                            <w:rPr>
                              <w:rFonts w:cs="Times New Roman"/>
                              <w:sz w:val="20"/>
                              <w:szCs w:val="20"/>
                            </w:rPr>
                            <m:t xml:space="preserve">for </m:t>
                          </m:r>
                          <m:r>
                            <w:rPr>
                              <w:rFonts w:ascii="Cambria Math" w:hAnsi="Cambria Math" w:cs="Times New Roman"/>
                              <w:sz w:val="20"/>
                              <w:szCs w:val="20"/>
                            </w:rPr>
                            <m:t xml:space="preserve">g=0 </m:t>
                          </m:r>
                          <m:r>
                            <m:rPr>
                              <m:nor/>
                            </m:rPr>
                            <w:rPr>
                              <w:rFonts w:cs="Times New Roman"/>
                              <w:sz w:val="20"/>
                              <w:szCs w:val="20"/>
                            </w:rPr>
                            <m:t>and</m:t>
                          </m:r>
                          <m:r>
                            <w:rPr>
                              <w:rFonts w:ascii="Cambria Math" w:hAnsi="Cambria Math" w:cs="Times New Roman"/>
                              <w:sz w:val="20"/>
                              <w:szCs w:val="20"/>
                            </w:rPr>
                            <m:t xml:space="preserve"> s&gt;0, ∀t</m:t>
                          </m:r>
                        </m:e>
                      </m:m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r>
                            <w:rPr>
                              <w:rFonts w:ascii="Cambria Math" w:hAnsi="Cambria Math" w:cs="Times New Roman"/>
                              <w:sz w:val="20"/>
                              <w:szCs w:val="20"/>
                            </w:rPr>
                            <m:t xml:space="preserve">zh </m:t>
                          </m:r>
                          <m:r>
                            <m:rPr>
                              <m:nor/>
                            </m:rPr>
                            <w:rPr>
                              <w:rFonts w:cs="Times New Roman"/>
                              <w:sz w:val="20"/>
                              <w:szCs w:val="20"/>
                            </w:rPr>
                            <m:t xml:space="preserve">for </m:t>
                          </m:r>
                          <m:r>
                            <w:rPr>
                              <w:rFonts w:ascii="Cambria Math" w:hAnsi="Cambria Math" w:cs="Times New Roman"/>
                              <w:sz w:val="20"/>
                              <w:szCs w:val="20"/>
                            </w:rPr>
                            <m:t xml:space="preserve">g=1 </m:t>
                          </m:r>
                          <m:r>
                            <m:rPr>
                              <m:nor/>
                            </m:rPr>
                            <w:rPr>
                              <w:rFonts w:cs="Times New Roman"/>
                              <w:sz w:val="20"/>
                              <w:szCs w:val="20"/>
                            </w:rPr>
                            <m:t>and</m:t>
                          </m:r>
                          <m:r>
                            <w:rPr>
                              <w:rFonts w:ascii="Cambria Math" w:hAnsi="Cambria Math" w:cs="Times New Roman"/>
                              <w:sz w:val="20"/>
                              <w:szCs w:val="20"/>
                            </w:rPr>
                            <m:t xml:space="preserve"> s&gt;0, ∀t</m:t>
                          </m:r>
                        </m:e>
                      </m:mr>
                    </m:m>
                  </m:e>
                </m:mr>
              </m:m>
            </m:e>
          </m:d>
        </m:oMath>
      </m:oMathPara>
    </w:p>
    <w:p w14:paraId="64F7CA84" w14:textId="6A946CC4" w:rsidR="00F44B20" w:rsidRPr="00435469" w:rsidRDefault="00F44B20" w:rsidP="00955FFB">
      <w:pPr>
        <w:spacing w:line="240" w:lineRule="auto"/>
        <w:rPr>
          <w:rFonts w:eastAsiaTheme="minorEastAsia" w:cs="Times New Roman"/>
          <w:sz w:val="20"/>
          <w:szCs w:val="20"/>
        </w:rPr>
      </w:pPr>
      <w:r w:rsidRPr="00435469">
        <w:rPr>
          <w:rFonts w:eastAsiaTheme="minorEastAsia" w:cs="Times New Roman"/>
          <w:sz w:val="20"/>
          <w:szCs w:val="20"/>
        </w:rPr>
        <w:t xml:space="preserve">For smear-positive individuals </w:t>
      </w:r>
      <w:r w:rsidR="00F232A0" w:rsidRPr="00435469">
        <w:rPr>
          <w:rFonts w:eastAsiaTheme="minorEastAsia" w:cs="Times New Roman"/>
          <w:sz w:val="20"/>
          <w:szCs w:val="20"/>
        </w:rPr>
        <w:t>(</w:t>
      </w:r>
      <m:oMath>
        <m:r>
          <w:rPr>
            <w:rFonts w:ascii="Cambria Math" w:hAnsi="Cambria Math" w:cs="Times New Roman"/>
            <w:sz w:val="20"/>
            <w:szCs w:val="20"/>
          </w:rPr>
          <m:t>a=1</m:t>
        </m:r>
      </m:oMath>
      <w:r w:rsidR="00F232A0" w:rsidRPr="00435469">
        <w:rPr>
          <w:rFonts w:eastAsiaTheme="minorEastAsia" w:cs="Times New Roman"/>
          <w:sz w:val="20"/>
          <w:szCs w:val="20"/>
        </w:rPr>
        <w:t>),</w:t>
      </w:r>
    </w:p>
    <w:p w14:paraId="11211D6C" w14:textId="77777777" w:rsidR="00F44B20" w:rsidRPr="00435469" w:rsidRDefault="00000000" w:rsidP="00955FFB">
      <w:pPr>
        <w:spacing w:line="240" w:lineRule="auto"/>
        <w:rPr>
          <w:rFonts w:eastAsiaTheme="minorEastAsia"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a,g,s,t</m:t>
              </m:r>
            </m:e>
          </m:d>
          <m:r>
            <w:rPr>
              <w:rFonts w:ascii="Cambria Math" w:hAnsi="Cambria Math" w:cs="Times New Roman"/>
              <w:sz w:val="20"/>
              <w:szCs w:val="20"/>
            </w:rPr>
            <m:t>=</m:t>
          </m:r>
          <m:d>
            <m:dPr>
              <m:begChr m:val="{"/>
              <m:endChr m:val=""/>
              <m:ctrlPr>
                <w:rPr>
                  <w:rFonts w:ascii="Cambria Math" w:hAnsi="Cambria Math" w:cs="Times New Roman"/>
                  <w:i/>
                  <w:sz w:val="20"/>
                  <w:szCs w:val="20"/>
                </w:rPr>
              </m:ctrlPr>
            </m:dPr>
            <m:e>
              <m:m>
                <m:mPr>
                  <m:mcs>
                    <m:mc>
                      <m:mcPr>
                        <m:count m:val="1"/>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r>
                      <w:rPr>
                        <w:rFonts w:ascii="Cambria Math" w:hAnsi="Cambria Math" w:cs="Times New Roman"/>
                        <w:sz w:val="20"/>
                        <w:szCs w:val="20"/>
                      </w:rPr>
                      <m:t xml:space="preserve">f </m:t>
                    </m:r>
                    <m:r>
                      <m:rPr>
                        <m:nor/>
                      </m:rPr>
                      <w:rPr>
                        <w:rFonts w:cs="Times New Roman"/>
                        <w:sz w:val="20"/>
                        <w:szCs w:val="20"/>
                      </w:rPr>
                      <m:t xml:space="preserve">for </m:t>
                    </m:r>
                    <m:r>
                      <w:rPr>
                        <w:rFonts w:ascii="Cambria Math" w:hAnsi="Cambria Math" w:cs="Times New Roman"/>
                        <w:sz w:val="20"/>
                        <w:szCs w:val="20"/>
                      </w:rPr>
                      <m:t xml:space="preserve">g=0 </m:t>
                    </m:r>
                    <m:r>
                      <m:rPr>
                        <m:nor/>
                      </m:rPr>
                      <w:rPr>
                        <w:rFonts w:cs="Times New Roman"/>
                        <w:sz w:val="20"/>
                        <w:szCs w:val="20"/>
                      </w:rPr>
                      <m:t>and</m:t>
                    </m:r>
                    <m:r>
                      <w:rPr>
                        <w:rFonts w:ascii="Cambria Math" w:hAnsi="Cambria Math" w:cs="Times New Roman"/>
                        <w:sz w:val="20"/>
                        <w:szCs w:val="20"/>
                      </w:rPr>
                      <m:t xml:space="preserve"> s=0, ∀t</m:t>
                    </m:r>
                  </m:e>
                </m:m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r>
                      <w:rPr>
                        <w:rFonts w:ascii="Cambria Math" w:hAnsi="Cambria Math" w:cs="Times New Roman"/>
                        <w:sz w:val="20"/>
                        <w:szCs w:val="20"/>
                      </w:rPr>
                      <m:t xml:space="preserve">zf </m:t>
                    </m:r>
                    <m:r>
                      <m:rPr>
                        <m:nor/>
                      </m:rPr>
                      <w:rPr>
                        <w:rFonts w:cs="Times New Roman"/>
                        <w:sz w:val="20"/>
                        <w:szCs w:val="20"/>
                      </w:rPr>
                      <m:t xml:space="preserve">for </m:t>
                    </m:r>
                    <m:r>
                      <w:rPr>
                        <w:rFonts w:ascii="Cambria Math" w:hAnsi="Cambria Math" w:cs="Times New Roman"/>
                        <w:sz w:val="20"/>
                        <w:szCs w:val="20"/>
                      </w:rPr>
                      <m:t xml:space="preserve">g=1 </m:t>
                    </m:r>
                    <m:r>
                      <m:rPr>
                        <m:nor/>
                      </m:rPr>
                      <w:rPr>
                        <w:rFonts w:cs="Times New Roman"/>
                        <w:sz w:val="20"/>
                        <w:szCs w:val="20"/>
                      </w:rPr>
                      <m:t>and</m:t>
                    </m:r>
                    <m:r>
                      <w:rPr>
                        <w:rFonts w:ascii="Cambria Math" w:hAnsi="Cambria Math" w:cs="Times New Roman"/>
                        <w:sz w:val="20"/>
                        <w:szCs w:val="20"/>
                      </w:rPr>
                      <m:t xml:space="preserve"> s=0, ∀t</m:t>
                    </m:r>
                  </m:e>
                </m:mr>
                <m:mr>
                  <m:e>
                    <m:m>
                      <m:mPr>
                        <m:mcs>
                          <m:mc>
                            <m:mcPr>
                              <m:count m:val="1"/>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r>
                            <w:rPr>
                              <w:rFonts w:ascii="Cambria Math" w:hAnsi="Cambria Math" w:cs="Times New Roman"/>
                              <w:sz w:val="20"/>
                              <w:szCs w:val="20"/>
                            </w:rPr>
                            <m:t xml:space="preserve">hf </m:t>
                          </m:r>
                          <m:r>
                            <m:rPr>
                              <m:nor/>
                            </m:rPr>
                            <w:rPr>
                              <w:rFonts w:cs="Times New Roman"/>
                              <w:sz w:val="20"/>
                              <w:szCs w:val="20"/>
                            </w:rPr>
                            <m:t xml:space="preserve">for </m:t>
                          </m:r>
                          <m:r>
                            <w:rPr>
                              <w:rFonts w:ascii="Cambria Math" w:hAnsi="Cambria Math" w:cs="Times New Roman"/>
                              <w:sz w:val="20"/>
                              <w:szCs w:val="20"/>
                            </w:rPr>
                            <m:t xml:space="preserve">g=0 </m:t>
                          </m:r>
                          <m:r>
                            <m:rPr>
                              <m:nor/>
                            </m:rPr>
                            <w:rPr>
                              <w:rFonts w:cs="Times New Roman"/>
                              <w:sz w:val="20"/>
                              <w:szCs w:val="20"/>
                            </w:rPr>
                            <m:t>and</m:t>
                          </m:r>
                          <m:r>
                            <w:rPr>
                              <w:rFonts w:ascii="Cambria Math" w:hAnsi="Cambria Math" w:cs="Times New Roman"/>
                              <w:sz w:val="20"/>
                              <w:szCs w:val="20"/>
                            </w:rPr>
                            <m:t xml:space="preserve"> s&gt;0, ∀t</m:t>
                          </m:r>
                        </m:e>
                      </m:m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r>
                            <w:rPr>
                              <w:rFonts w:ascii="Cambria Math" w:hAnsi="Cambria Math" w:cs="Times New Roman"/>
                              <w:sz w:val="20"/>
                              <w:szCs w:val="20"/>
                            </w:rPr>
                            <m:t xml:space="preserve">zhf </m:t>
                          </m:r>
                          <m:r>
                            <m:rPr>
                              <m:nor/>
                            </m:rPr>
                            <w:rPr>
                              <w:rFonts w:cs="Times New Roman"/>
                              <w:sz w:val="20"/>
                              <w:szCs w:val="20"/>
                            </w:rPr>
                            <m:t xml:space="preserve">for </m:t>
                          </m:r>
                          <m:r>
                            <w:rPr>
                              <w:rFonts w:ascii="Cambria Math" w:hAnsi="Cambria Math" w:cs="Times New Roman"/>
                              <w:sz w:val="20"/>
                              <w:szCs w:val="20"/>
                            </w:rPr>
                            <m:t xml:space="preserve">g=1 </m:t>
                          </m:r>
                          <m:r>
                            <m:rPr>
                              <m:nor/>
                            </m:rPr>
                            <w:rPr>
                              <w:rFonts w:cs="Times New Roman"/>
                              <w:sz w:val="20"/>
                              <w:szCs w:val="20"/>
                            </w:rPr>
                            <m:t>and</m:t>
                          </m:r>
                          <m:r>
                            <w:rPr>
                              <w:rFonts w:ascii="Cambria Math" w:hAnsi="Cambria Math" w:cs="Times New Roman"/>
                              <w:sz w:val="20"/>
                              <w:szCs w:val="20"/>
                            </w:rPr>
                            <m:t xml:space="preserve"> s&gt;0, ∀t</m:t>
                          </m:r>
                        </m:e>
                      </m:mr>
                    </m:m>
                  </m:e>
                </m:mr>
              </m:m>
            </m:e>
          </m:d>
        </m:oMath>
      </m:oMathPara>
    </w:p>
    <w:p w14:paraId="63F5EAB0" w14:textId="65BF2220" w:rsidR="00F755FF" w:rsidRPr="00435469" w:rsidRDefault="00F669F7" w:rsidP="00955FFB">
      <w:pPr>
        <w:spacing w:line="240" w:lineRule="auto"/>
        <w:rPr>
          <w:rFonts w:eastAsiaTheme="minorEastAsia" w:cs="Times New Roman"/>
          <w:sz w:val="20"/>
          <w:szCs w:val="20"/>
        </w:rPr>
      </w:pPr>
      <w:r w:rsidRPr="00435469">
        <w:rPr>
          <w:rFonts w:cs="Times New Roman"/>
          <w:iCs/>
          <w:sz w:val="20"/>
          <w:szCs w:val="20"/>
        </w:rPr>
        <w:t xml:space="preserve">Based on the interquartile range of 1.3–3.4 prevalent infections per notification in men, from the review by Horton </w:t>
      </w:r>
      <w:r w:rsidRPr="00435469">
        <w:rPr>
          <w:rFonts w:cs="Times New Roman"/>
          <w:i/>
          <w:sz w:val="20"/>
          <w:szCs w:val="20"/>
        </w:rPr>
        <w:t>et al.</w:t>
      </w:r>
      <w:r w:rsidRPr="00435469">
        <w:rPr>
          <w:rFonts w:cs="Times New Roman"/>
          <w:iCs/>
          <w:sz w:val="20"/>
          <w:szCs w:val="20"/>
        </w:rPr>
        <w:t xml:space="preserve"> </w:t>
      </w:r>
      <w:r w:rsidRPr="00435469">
        <w:rPr>
          <w:rFonts w:cs="Times New Roman"/>
          <w:iCs/>
          <w:sz w:val="20"/>
          <w:szCs w:val="20"/>
        </w:rPr>
        <w:fldChar w:fldCharType="begin" w:fldLock="1"/>
      </w:r>
      <w:r w:rsidR="002F049E" w:rsidRPr="00435469">
        <w:rPr>
          <w:rFonts w:cs="Times New Roman"/>
          <w:iCs/>
          <w:sz w:val="20"/>
          <w:szCs w:val="20"/>
        </w:rPr>
        <w:instrText>ADDIN CSL_CITATION {"citationItems":[{"id":"ITEM-1","itemData":{"DOI":"10.1371/journal.pmed.1002119","author":[{"dropping-particle":"","family":"Horton","given":"Katherine C","non-dropping-particle":"","parse-names":false,"suffix":""},{"dropping-particle":"","family":"Macpherson","given":"Peter","non-dropping-particle":"","parse-names":false,"suffix":""},{"dropping-particle":"","family":"Houben","given":"Rein M G J","non-dropping-particle":"","parse-names":false,"suffix":""},{"dropping-particle":"","family":"White","given":"G","non-dropping-particle":"","parse-names":false,"suffix":""},{"dropping-particle":"","family":"Corbett","given":"Elizabeth L","non-dropping-particle":"","parse-names":false,"suffix":""}],"container-title":"PLoS Medicine","id":"ITEM-1","issued":{"date-parts":[["2016"]]},"page":"1-23","title":"Sex Differences in Tuberculosis Burden and Notifications in Low- and Middle-Income Countries : A Systematic Review and Meta-analysis","type":"article-journal","volume":"21"},"uris":["http://www.mendeley.com/documents/?uuid=292d59d6-d8a3-4cc9-b506-a7aa8a8a1c73"]}],"mendeley":{"formattedCitation":"(21)","plainTextFormattedCitation":"(21)","previouslyFormattedCitation":"(21)"},"properties":{"noteIndex":0},"schema":"https://github.com/citation-style-language/schema/raw/master/csl-citation.json"}</w:instrText>
      </w:r>
      <w:r w:rsidRPr="00435469">
        <w:rPr>
          <w:rFonts w:cs="Times New Roman"/>
          <w:iCs/>
          <w:sz w:val="20"/>
          <w:szCs w:val="20"/>
        </w:rPr>
        <w:fldChar w:fldCharType="separate"/>
      </w:r>
      <w:r w:rsidR="0063047A" w:rsidRPr="00435469">
        <w:rPr>
          <w:rFonts w:cs="Times New Roman"/>
          <w:iCs/>
          <w:noProof/>
          <w:sz w:val="20"/>
          <w:szCs w:val="20"/>
        </w:rPr>
        <w:t>(21)</w:t>
      </w:r>
      <w:r w:rsidRPr="00435469">
        <w:rPr>
          <w:rFonts w:cs="Times New Roman"/>
          <w:iCs/>
          <w:sz w:val="20"/>
          <w:szCs w:val="20"/>
        </w:rPr>
        <w:fldChar w:fldCharType="end"/>
      </w:r>
      <w:r w:rsidRPr="00435469">
        <w:rPr>
          <w:rFonts w:cs="Times New Roman"/>
          <w:iCs/>
          <w:sz w:val="20"/>
          <w:szCs w:val="20"/>
        </w:rPr>
        <w:t>, we have annual notification rates of between 0.29 (= 1/3.4) and 0.77 (= 1/1.3)</w:t>
      </w:r>
      <w:r w:rsidR="00C30825" w:rsidRPr="00435469">
        <w:rPr>
          <w:rFonts w:cs="Times New Roman"/>
          <w:iCs/>
          <w:sz w:val="20"/>
          <w:szCs w:val="20"/>
        </w:rPr>
        <w:t xml:space="preserve"> in men with TB</w:t>
      </w:r>
      <w:r w:rsidRPr="00435469">
        <w:rPr>
          <w:rFonts w:cs="Times New Roman"/>
          <w:iCs/>
          <w:sz w:val="20"/>
          <w:szCs w:val="20"/>
        </w:rPr>
        <w:t>. </w:t>
      </w:r>
      <w:r w:rsidRPr="00435469">
        <w:rPr>
          <w:rFonts w:cs="Times New Roman"/>
          <w:sz w:val="20"/>
          <w:szCs w:val="20"/>
        </w:rPr>
        <w:t>B</w:t>
      </w:r>
      <w:r w:rsidRPr="00435469">
        <w:rPr>
          <w:rFonts w:cs="Times New Roman"/>
          <w:iCs/>
          <w:sz w:val="20"/>
          <w:szCs w:val="20"/>
        </w:rPr>
        <w:t xml:space="preserve">ecause many TB cases who seek treatment do not get screened, we estimate the rate of health-seeking by dividing the notification rate by the % screening, which ranges between 3% and 49% in South African studies </w:t>
      </w:r>
      <w:r w:rsidRPr="00435469">
        <w:rPr>
          <w:rFonts w:cs="Times New Roman"/>
          <w:iCs/>
          <w:sz w:val="20"/>
          <w:szCs w:val="20"/>
        </w:rPr>
        <w:fldChar w:fldCharType="begin" w:fldLock="1"/>
      </w:r>
      <w:r w:rsidR="002F049E" w:rsidRPr="00435469">
        <w:rPr>
          <w:rFonts w:cs="Times New Roman"/>
          <w:iCs/>
          <w:sz w:val="20"/>
          <w:szCs w:val="20"/>
        </w:rPr>
        <w:instrText>ADDIN CSL_CITATION {"citationItems":[{"id":"ITEM-1","itemData":{"DOI":"10.5588/ijtld.17.0491","ISSN":"18157920","abstract":"SETTING: The present study was conducted at 20 randomly selected primary health clinics across Buffalo City Metropolitan Health District, a high TB burden district in South Africa. OBJECTIVE : To estimate the proportion of TB patients missed by primary health clinics. DESIGN: We enrolled 1255 TB-symptomatic individuals exiting primary health clinics between March and December 2015. Participants were interviewed and asked to provide sputum for Xpertw MTB/RIF testing. RESULT S : Clinic staff screened 79.1% of participants seeking care for TB-related symptoms and 21.9% of those attending a clinic for other reasons (P, 0.001). Of those screened by clinic staff, 21.5% reported submitting sputum, although only 9.8% had available results. Study staff tested sputum from 779 participants not tested by clinic staff. Of these, 39 (5.0%) individuals tested positive for TB, three of whom were rifampicinresistant; 15/39 (38.5%) were never screened and 24/39 (61.5%) were screened but not tested by clinic staff. We estimate that the health system missed 62.9-78.5% of TB patients attending primary health clinics for TBrelated symptoms and 89.5-100% of those attending a clinic for other reasons. CONCLUS ION: Low rates of TB screening and testing by the health system resulted in missed TB patients. Universal TB screening and testing of symptomatic individuals should be instituted in high TB burden communities in South Africa.","author":[{"dropping-particle":"","family":"Kweza","given":"P. F.","non-dropping-particle":"","parse-names":false,"suffix":""},{"dropping-particle":"","family":"Schalkwyk","given":"C.","non-dropping-particle":"Van","parse-names":false,"suffix":""},{"dropping-particle":"","family":"Abraham","given":"N.","non-dropping-particle":"","parse-names":false,"suffix":""},{"dropping-particle":"","family":"Uys","given":"M.","non-dropping-particle":"","parse-names":false,"suffix":""},{"dropping-particle":"","family":"Claassens","given":"M. M.","non-dropping-particle":"","parse-names":false,"suffix":""},{"dropping-particle":"","family":"Medina-Marino","given":"A.","non-dropping-particle":"","parse-names":false,"suffix":""}],"container-title":"International Journal of Tuberculosis and Lung Disease","id":"ITEM-1","issue":"3","issued":{"date-parts":[["2018"]]},"page":"264-272","title":"Estimating the magnitude of pulmonary tuberculosis patients missed by primary health care clinics in South Africa","type":"article-journal","volume":"22"},"uris":["http://www.mendeley.com/documents/?uuid=749c029e-d26b-4f12-9404-8d37f2001b2e"]},{"id":"ITEM-2","itemData":{"DOI":"10.5588/ijtld.12.0506","ISSN":"10273719","abstract":"SETTING: This study was conducted in Cape Town in two primary health care facilities in a sub-district with a high prevalence of bacteriologically confirmed pulmonary tuberculosis (TB). OBJECTIVE: To determine the proportion of adults with respiratory symptoms who attend health care facilities but are not examined for nor diagnosed with TB in facilities where routine TB diagnosis depends on passive case finding. DESIGN: A total of 423 adults with respiratory symptoms exiting primary health care services were consecutively enrolled during April-July 2011. RESULTS: Twenty-one (5%) participants were diagnosed with culture-positive TB. None had sought care at the facility for their respiratory symptoms, none were asked about respiratory symptoms during their visit and none were asked to produce a sputum sample. Nine cases had attended the facility for reasons regarding their own health, while 12 cases were accompanying someone else attending the facility, or for another reason. CONCLUSION: Patients with infectious TB attend primary health care facilities, but are not recognised and diagnosed as cases. Health care staff should search actively within facilities for cases who attend the health care services to ensure that cases are not missed. Intensified case finding should start within the facility, and should not be limited to patients who report respiratory symptoms or who are human immunodeficiency virus positive. © 2013 The Union.","author":[{"dropping-particle":"","family":"Claassens","given":"Mareli Misha","non-dropping-particle":"","parse-names":false,"suffix":""},{"dropping-particle":"","family":"Jacobs","given":"E.","non-dropping-particle":"","parse-names":false,"suffix":""},{"dropping-particle":"","family":"Cyster","given":"E.","non-dropping-particle":"","parse-names":false,"suffix":""},{"dropping-particle":"","family":"Jennings","given":"K.","non-dropping-particle":"","parse-names":false,"suffix":""},{"dropping-particle":"","family":"James","given":"A.","non-dropping-particle":"","parse-names":false,"suffix":""},{"dropping-particle":"","family":"Dunbar","given":"R.","non-dropping-particle":"","parse-names":false,"suffix":""},{"dropping-particle":"","family":"Enarson","given":"D. A.","non-dropping-particle":"","parse-names":false,"suffix":""},{"dropping-particle":"","family":"Borgdorff","given":"M. W.","non-dropping-particle":"","parse-names":false,"suffix":""},{"dropping-particle":"","family":"Beyers","given":"N.","non-dropping-particle":"","parse-names":false,"suffix":""}],"container-title":"International Journal of Tuberculosis and Lung Disease","id":"ITEM-2","issue":"5","issued":{"date-parts":[["2013"]]},"page":"608-614","title":"Tuberculosis cases missed in primary health care facilities: Should we redefine case finding?","type":"article-journal","volume":"17"},"uris":["http://www.mendeley.com/documents/?uuid=f1b76c07-722d-4ac9-8945-07de83f6c41b"]},{"id":"ITEM-3","itemData":{"DOI":"10.1371/journal.pone.0138149","ISSN":"19326203","abstract":"Setting 40 primary health clinics (PHCs) in four provinces in South Africa, June 2012-February 2013. Objective To determine whether health care worker (HCW) practice in investigating people with TB symptoms was altered when the initial test for TB was changed from smear microscopy to Xpert MTB/RIF. Design Cross-sectional substudy at clinics participating in a pragmatic cluster randomised trial, Xpert for TB: Evaluating a New Diagnostic \"XTEND\", which evaluated the effect of Xpert MTB/RIF implementation in South Africa. Methods Consecutive adults exiting PHCs reporting at least one TB symptom (defined as any of cough, weight loss, night sweats and fever) were enrolled. The main outcome was the proportion who self-reported having sputum requested by HCW during the clinic encounter just completed. Results 3604 adults exiting PHCs (1676 in Xpert arm, 1928 in microscopy arm) were enrolled (median age 38 years, 71.4% female, 38.8%reported being HIV-positive, 70% reported cough). For 1267 participants (35.2%) the main reason for attending the clinic was TB symptom(s). Overall 2130/3604 (59.1%) said they reported their symptom(s) to HCW. 22.7% (818/3604) reported having been asked to give sputum for TB investigation. Though participants in the Xpert vs. microscopy arm were more likely to have sputum requested by HCW, this was not significantly different: overall (26.0% [436/1676] vs 19.8% [382/1928]; adjusted prevalence ratio [aPR] 1.31, [95% CI 0.78-2.20]) and when restricted to those presenting at clinics due to symptoms (49.1% [260/530] vs 29.9%[220/737]; aPR 1.38 [0.89-2.13]) and those reporting being HIV-positive (29.4% [190/647] vs 20.8%[156/749]; aPR 1.38[0.88-2.16]). Those attending clinic due to TB symptoms, were more likely to have sputum requested if they had increasing number of symptoms; longer duration of cough, unintentional weight loss and night sweats and if they reported symptoms to HCW. Conclusions A large proportion of people exiting PHCs reporting TB symptoms did not get tested. Implementation of Xpert MTB/RIF did not substantially change the probability of testing for TB. Better systems are needed to ensure that opportunities to identify active TB among PHC attendees are not missed. Copyright:","author":[{"dropping-particle":"","family":"Chihota","given":"Violet N.","non-dropping-particle":"","parse-names":false,"suffix":""},{"dropping-particle":"","family":"Ginindza","given":"Sibuse","non-dropping-particle":"","parse-names":false,"suffix":""},{"dropping-particle":"","family":"McCarthy","given":"Kerrigan","non-dropping-particle":"","parse-names":false,"suffix":""},{"dropping-particle":"","family":"Grant","given":"Alison D.","non-dropping-particle":"","parse-names":false,"suffix":""},{"dropping-particle":"","family":"Churchyard","given":"Gavin","non-dropping-particle":"","parse-names":false,"suffix":""},{"dropping-particle":"","family":"Fielding","given":"Katherine","non-dropping-particle":"","parse-names":false,"suffix":""}],"container-title":"PLoS ONE","id":"ITEM-3","issue":"9","issued":{"date-parts":[["2015"]]},"page":"1-11","title":"Missed opportunities for TB investigation in primary care clinics in South Africa: Experience from the XTEND trial","type":"article-journal","volume":"10"},"uris":["http://www.mendeley.com/documents/?uuid=0da145be-aa0b-466b-a729-2b9670f00b55"]}],"mendeley":{"formattedCitation":"(49–51)","plainTextFormattedCitation":"(49–51)","previouslyFormattedCitation":"(49–51)"},"properties":{"noteIndex":0},"schema":"https://github.com/citation-style-language/schema/raw/master/csl-citation.json"}</w:instrText>
      </w:r>
      <w:r w:rsidRPr="00435469">
        <w:rPr>
          <w:rFonts w:cs="Times New Roman"/>
          <w:iCs/>
          <w:sz w:val="20"/>
          <w:szCs w:val="20"/>
        </w:rPr>
        <w:fldChar w:fldCharType="separate"/>
      </w:r>
      <w:r w:rsidR="0063047A" w:rsidRPr="00435469">
        <w:rPr>
          <w:rFonts w:cs="Times New Roman"/>
          <w:iCs/>
          <w:noProof/>
          <w:sz w:val="20"/>
          <w:szCs w:val="20"/>
        </w:rPr>
        <w:t>(49–51)</w:t>
      </w:r>
      <w:r w:rsidRPr="00435469">
        <w:rPr>
          <w:rFonts w:cs="Times New Roman"/>
          <w:iCs/>
          <w:sz w:val="20"/>
          <w:szCs w:val="20"/>
        </w:rPr>
        <w:fldChar w:fldCharType="end"/>
      </w:r>
      <w:r w:rsidRPr="00435469">
        <w:rPr>
          <w:rFonts w:cs="Times New Roman"/>
          <w:iCs/>
          <w:sz w:val="20"/>
          <w:szCs w:val="20"/>
        </w:rPr>
        <w:t xml:space="preserve">. By taking the median of the South African studies estimates as 24%, we get the resulting range in the rates of health-seeking: 1.21 (=0.29/0.24) to 3.08 (=0.77/0.24). </w:t>
      </w:r>
      <w:r w:rsidR="00F93D50" w:rsidRPr="00435469">
        <w:rPr>
          <w:rFonts w:cs="Times New Roman"/>
          <w:iCs/>
          <w:sz w:val="20"/>
          <w:szCs w:val="20"/>
        </w:rPr>
        <w:t>W</w:t>
      </w:r>
      <w:r w:rsidR="00FB404A" w:rsidRPr="00435469">
        <w:rPr>
          <w:rFonts w:cs="Times New Roman"/>
          <w:iCs/>
          <w:sz w:val="20"/>
          <w:szCs w:val="20"/>
        </w:rPr>
        <w:t>e specif</w:t>
      </w:r>
      <w:r w:rsidR="00F755FF" w:rsidRPr="00435469">
        <w:rPr>
          <w:rFonts w:cs="Times New Roman"/>
          <w:iCs/>
          <w:sz w:val="20"/>
          <w:szCs w:val="20"/>
        </w:rPr>
        <w:t>ied</w:t>
      </w:r>
      <w:r w:rsidR="00FB404A" w:rsidRPr="00435469">
        <w:rPr>
          <w:rFonts w:cs="Times New Roman"/>
          <w:iCs/>
          <w:sz w:val="20"/>
          <w:szCs w:val="20"/>
        </w:rPr>
        <w:t xml:space="preserve"> a Gamma (19,07;8.91)</w:t>
      </w:r>
      <w:r w:rsidR="00D26634" w:rsidRPr="00435469">
        <w:rPr>
          <w:rFonts w:cs="Times New Roman"/>
          <w:iCs/>
          <w:sz w:val="20"/>
          <w:szCs w:val="20"/>
        </w:rPr>
        <w:t xml:space="preserve">, </w:t>
      </w:r>
      <w:r w:rsidR="00E00946" w:rsidRPr="00435469">
        <w:rPr>
          <w:rFonts w:cs="Times New Roman"/>
          <w:iCs/>
          <w:sz w:val="20"/>
          <w:szCs w:val="20"/>
        </w:rPr>
        <w:t>prior distribution</w:t>
      </w:r>
      <w:r w:rsidR="00E00946" w:rsidRPr="00435469">
        <w:rPr>
          <w:rFonts w:cs="Times New Roman"/>
          <w:sz w:val="20"/>
          <w:szCs w:val="20"/>
        </w:rPr>
        <w:t xml:space="preserve"> </w:t>
      </w:r>
      <w:r w:rsidR="00D26634" w:rsidRPr="00435469">
        <w:rPr>
          <w:rFonts w:cs="Times New Roman"/>
          <w:sz w:val="20"/>
          <w:szCs w:val="20"/>
        </w:rPr>
        <w:t>with mean = 2.14 and standard deviation = 0.49 per annum</w:t>
      </w:r>
      <w:r w:rsidR="00245838" w:rsidRPr="00435469">
        <w:rPr>
          <w:rFonts w:cs="Times New Roman"/>
          <w:sz w:val="20"/>
          <w:szCs w:val="20"/>
        </w:rPr>
        <w:t xml:space="preserve"> to represent the uncertainty around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oMath>
      <w:r w:rsidR="00245838" w:rsidRPr="00435469">
        <w:rPr>
          <w:rFonts w:eastAsiaTheme="minorEastAsia" w:cs="Times New Roman"/>
          <w:sz w:val="20"/>
          <w:szCs w:val="20"/>
        </w:rPr>
        <w:t xml:space="preserve"> </w:t>
      </w:r>
    </w:p>
    <w:p w14:paraId="0CE9E0C6" w14:textId="26388E19" w:rsidR="00F669F7" w:rsidRPr="00435469" w:rsidRDefault="00F669F7" w:rsidP="00955FFB">
      <w:pPr>
        <w:pStyle w:val="Heading5"/>
        <w:numPr>
          <w:ilvl w:val="0"/>
          <w:numId w:val="32"/>
        </w:numPr>
        <w:rPr>
          <w:color w:val="auto"/>
          <w:sz w:val="20"/>
          <w:szCs w:val="20"/>
        </w:rPr>
      </w:pPr>
      <w:r w:rsidRPr="00435469">
        <w:rPr>
          <w:color w:val="auto"/>
          <w:sz w:val="20"/>
          <w:szCs w:val="20"/>
        </w:rPr>
        <w:t>Health-seeking rate for the general population seeking treatment for other conditions (</w:t>
      </w:r>
      <m:oMath>
        <m:sSub>
          <m:sSubPr>
            <m:ctrlPr>
              <w:rPr>
                <w:rFonts w:ascii="Cambria Math" w:hAnsi="Cambria Math"/>
                <w:color w:val="auto"/>
                <w:sz w:val="20"/>
                <w:szCs w:val="20"/>
              </w:rPr>
            </m:ctrlPr>
          </m:sSubPr>
          <m:e>
            <m:r>
              <m:rPr>
                <m:sty m:val="bi"/>
              </m:rPr>
              <w:rPr>
                <w:rFonts w:ascii="Cambria Math" w:hAnsi="Cambria Math"/>
                <w:color w:val="auto"/>
                <w:sz w:val="20"/>
                <w:szCs w:val="20"/>
              </w:rPr>
              <m:t>γ</m:t>
            </m:r>
          </m:e>
          <m:sub>
            <m:r>
              <m:rPr>
                <m:sty m:val="bi"/>
              </m:rPr>
              <w:rPr>
                <w:rFonts w:ascii="Cambria Math" w:hAnsi="Cambria Math"/>
                <w:color w:val="auto"/>
                <w:sz w:val="20"/>
                <w:szCs w:val="20"/>
              </w:rPr>
              <m:t>2</m:t>
            </m:r>
          </m:sub>
        </m:sSub>
        <m:d>
          <m:dPr>
            <m:ctrlPr>
              <w:rPr>
                <w:rFonts w:ascii="Cambria Math" w:hAnsi="Cambria Math"/>
                <w:color w:val="auto"/>
                <w:sz w:val="20"/>
                <w:szCs w:val="20"/>
              </w:rPr>
            </m:ctrlPr>
          </m:dPr>
          <m:e>
            <m:r>
              <m:rPr>
                <m:sty m:val="bi"/>
              </m:rPr>
              <w:rPr>
                <w:rFonts w:ascii="Cambria Math" w:hAnsi="Cambria Math"/>
                <w:color w:val="auto"/>
                <w:sz w:val="20"/>
                <w:szCs w:val="20"/>
              </w:rPr>
              <m:t>g,s,t</m:t>
            </m:r>
          </m:e>
        </m:d>
      </m:oMath>
      <w:r w:rsidRPr="00435469">
        <w:rPr>
          <w:color w:val="auto"/>
          <w:sz w:val="20"/>
          <w:szCs w:val="20"/>
        </w:rPr>
        <w:t>)</w:t>
      </w:r>
    </w:p>
    <w:p w14:paraId="1ACAFE11" w14:textId="62B01DD6" w:rsidR="00C653A1" w:rsidRPr="00435469" w:rsidRDefault="006C23FA" w:rsidP="00955FFB">
      <w:pPr>
        <w:spacing w:line="240" w:lineRule="auto"/>
        <w:rPr>
          <w:rFonts w:cs="Times New Roman"/>
          <w:iCs/>
          <w:sz w:val="20"/>
          <w:szCs w:val="20"/>
        </w:rPr>
      </w:pPr>
      <w:r w:rsidRPr="00435469">
        <w:rPr>
          <w:rFonts w:cs="Times New Roman"/>
          <w:sz w:val="20"/>
          <w:szCs w:val="20"/>
        </w:rPr>
        <w:t>Second, w</w:t>
      </w:r>
      <w:r w:rsidR="00F669F7" w:rsidRPr="00435469">
        <w:rPr>
          <w:rFonts w:cs="Times New Roman"/>
          <w:sz w:val="20"/>
          <w:szCs w:val="20"/>
        </w:rPr>
        <w:t>e</w:t>
      </w:r>
      <w:r w:rsidRPr="00435469">
        <w:rPr>
          <w:rFonts w:cs="Times New Roman"/>
          <w:sz w:val="20"/>
          <w:szCs w:val="20"/>
        </w:rPr>
        <w:t xml:space="preserve"> defin</w:t>
      </w:r>
      <w:r w:rsidR="00903BB9" w:rsidRPr="00435469">
        <w:rPr>
          <w:rFonts w:cs="Times New Roman"/>
          <w:sz w:val="20"/>
          <w:szCs w:val="20"/>
        </w:rPr>
        <w:t xml:space="preserve">e </w:t>
      </w:r>
      <w:r w:rsidR="00C653A1" w:rsidRPr="00435469">
        <w:rPr>
          <w:rFonts w:eastAsiaTheme="minorEastAsia" w:cs="Times New Roman"/>
          <w:sz w:val="20"/>
          <w:szCs w:val="20"/>
        </w:rPr>
        <w:t xml:space="preserve">the </w:t>
      </w:r>
      <w:r w:rsidR="00C653A1" w:rsidRPr="00435469">
        <w:rPr>
          <w:rFonts w:cs="Times New Roman"/>
          <w:iCs/>
          <w:sz w:val="20"/>
          <w:szCs w:val="20"/>
        </w:rPr>
        <w:t xml:space="preserve">health-seeking rate for </w:t>
      </w:r>
      <w:r w:rsidR="00284A95" w:rsidRPr="00435469">
        <w:rPr>
          <w:rFonts w:cs="Times New Roman"/>
          <w:iCs/>
          <w:sz w:val="20"/>
          <w:szCs w:val="20"/>
        </w:rPr>
        <w:t>adults</w:t>
      </w:r>
      <w:r w:rsidR="00C653A1" w:rsidRPr="00435469">
        <w:rPr>
          <w:rFonts w:cs="Times New Roman"/>
          <w:iCs/>
          <w:sz w:val="20"/>
          <w:szCs w:val="20"/>
        </w:rPr>
        <w:t xml:space="preserve"> in the general population as </w:t>
      </w:r>
    </w:p>
    <w:p w14:paraId="2A6FE98E" w14:textId="70FE803F" w:rsidR="008F48ED" w:rsidRPr="00435469" w:rsidRDefault="00000000" w:rsidP="00955FFB">
      <w:pPr>
        <w:spacing w:line="240" w:lineRule="auto"/>
        <w:rPr>
          <w:rFonts w:eastAsiaTheme="minorEastAsia"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g,s,t</m:t>
              </m:r>
            </m:e>
          </m:d>
          <m:r>
            <w:rPr>
              <w:rFonts w:ascii="Cambria Math" w:hAnsi="Cambria Math" w:cs="Times New Roman"/>
              <w:sz w:val="20"/>
              <w:szCs w:val="20"/>
            </w:rPr>
            <m:t>=</m:t>
          </m:r>
          <m:d>
            <m:dPr>
              <m:begChr m:val="{"/>
              <m:endChr m:val=""/>
              <m:ctrlPr>
                <w:rPr>
                  <w:rFonts w:ascii="Cambria Math" w:hAnsi="Cambria Math" w:cs="Times New Roman"/>
                  <w:i/>
                  <w:sz w:val="20"/>
                  <w:szCs w:val="20"/>
                </w:rPr>
              </m:ctrlPr>
            </m:dPr>
            <m:e>
              <m:m>
                <m:mPr>
                  <m:mcs>
                    <m:mc>
                      <m:mcPr>
                        <m:count m:val="1"/>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r>
                      <w:rPr>
                        <w:rFonts w:ascii="Cambria Math" w:hAnsi="Cambria Math" w:cs="Times New Roman"/>
                        <w:sz w:val="20"/>
                        <w:szCs w:val="20"/>
                      </w:rPr>
                      <m:t xml:space="preserve"> </m:t>
                    </m:r>
                    <m:r>
                      <m:rPr>
                        <m:nor/>
                      </m:rPr>
                      <w:rPr>
                        <w:rFonts w:cs="Times New Roman"/>
                        <w:sz w:val="20"/>
                        <w:szCs w:val="20"/>
                      </w:rPr>
                      <m:t xml:space="preserve">for </m:t>
                    </m:r>
                    <m:r>
                      <w:rPr>
                        <w:rFonts w:ascii="Cambria Math" w:hAnsi="Cambria Math" w:cs="Times New Roman"/>
                        <w:sz w:val="20"/>
                        <w:szCs w:val="20"/>
                      </w:rPr>
                      <m:t xml:space="preserve">g=0 </m:t>
                    </m:r>
                    <m:r>
                      <m:rPr>
                        <m:nor/>
                      </m:rPr>
                      <w:rPr>
                        <w:rFonts w:cs="Times New Roman"/>
                        <w:sz w:val="20"/>
                        <w:szCs w:val="20"/>
                      </w:rPr>
                      <m:t>and</m:t>
                    </m:r>
                    <m:r>
                      <w:rPr>
                        <w:rFonts w:ascii="Cambria Math" w:hAnsi="Cambria Math" w:cs="Times New Roman"/>
                        <w:sz w:val="20"/>
                        <w:szCs w:val="20"/>
                      </w:rPr>
                      <m:t xml:space="preserve"> s=0, ∀t</m:t>
                    </m:r>
                  </m:e>
                </m:m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r>
                      <w:rPr>
                        <w:rFonts w:ascii="Cambria Math" w:hAnsi="Cambria Math" w:cs="Times New Roman"/>
                        <w:sz w:val="20"/>
                        <w:szCs w:val="20"/>
                      </w:rPr>
                      <m:t xml:space="preserve">z </m:t>
                    </m:r>
                    <m:r>
                      <m:rPr>
                        <m:nor/>
                      </m:rPr>
                      <w:rPr>
                        <w:rFonts w:cs="Times New Roman"/>
                        <w:sz w:val="20"/>
                        <w:szCs w:val="20"/>
                      </w:rPr>
                      <m:t xml:space="preserve">for </m:t>
                    </m:r>
                    <m:r>
                      <w:rPr>
                        <w:rFonts w:ascii="Cambria Math" w:hAnsi="Cambria Math" w:cs="Times New Roman"/>
                        <w:sz w:val="20"/>
                        <w:szCs w:val="20"/>
                      </w:rPr>
                      <m:t xml:space="preserve">g=1 </m:t>
                    </m:r>
                    <m:r>
                      <m:rPr>
                        <m:nor/>
                      </m:rPr>
                      <w:rPr>
                        <w:rFonts w:cs="Times New Roman"/>
                        <w:sz w:val="20"/>
                        <w:szCs w:val="20"/>
                      </w:rPr>
                      <m:t>and</m:t>
                    </m:r>
                    <m:r>
                      <w:rPr>
                        <w:rFonts w:ascii="Cambria Math" w:hAnsi="Cambria Math" w:cs="Times New Roman"/>
                        <w:sz w:val="20"/>
                        <w:szCs w:val="20"/>
                      </w:rPr>
                      <m:t xml:space="preserve"> s=0, ∀t</m:t>
                    </m:r>
                  </m:e>
                </m:mr>
                <m:mr>
                  <m:e>
                    <m:m>
                      <m:mPr>
                        <m:mcs>
                          <m:mc>
                            <m:mcPr>
                              <m:count m:val="1"/>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r>
                            <w:rPr>
                              <w:rFonts w:ascii="Cambria Math" w:hAnsi="Cambria Math" w:cs="Times New Roman"/>
                              <w:sz w:val="20"/>
                              <w:szCs w:val="20"/>
                            </w:rPr>
                            <m:t xml:space="preserve">h </m:t>
                          </m:r>
                          <m:r>
                            <m:rPr>
                              <m:nor/>
                            </m:rPr>
                            <w:rPr>
                              <w:rFonts w:cs="Times New Roman"/>
                              <w:sz w:val="20"/>
                              <w:szCs w:val="20"/>
                            </w:rPr>
                            <m:t xml:space="preserve">for </m:t>
                          </m:r>
                          <m:r>
                            <w:rPr>
                              <w:rFonts w:ascii="Cambria Math" w:hAnsi="Cambria Math" w:cs="Times New Roman"/>
                              <w:sz w:val="20"/>
                              <w:szCs w:val="20"/>
                            </w:rPr>
                            <m:t xml:space="preserve">g=0 </m:t>
                          </m:r>
                          <m:r>
                            <m:rPr>
                              <m:nor/>
                            </m:rPr>
                            <w:rPr>
                              <w:rFonts w:cs="Times New Roman"/>
                              <w:sz w:val="20"/>
                              <w:szCs w:val="20"/>
                            </w:rPr>
                            <m:t>and</m:t>
                          </m:r>
                          <m:r>
                            <w:rPr>
                              <w:rFonts w:ascii="Cambria Math" w:hAnsi="Cambria Math" w:cs="Times New Roman"/>
                              <w:sz w:val="20"/>
                              <w:szCs w:val="20"/>
                            </w:rPr>
                            <m:t xml:space="preserve"> s&gt;0, ∀t</m:t>
                          </m:r>
                        </m:e>
                      </m:m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r>
                            <w:rPr>
                              <w:rFonts w:ascii="Cambria Math" w:hAnsi="Cambria Math" w:cs="Times New Roman"/>
                              <w:sz w:val="20"/>
                              <w:szCs w:val="20"/>
                            </w:rPr>
                            <m:t xml:space="preserve">zh </m:t>
                          </m:r>
                          <m:r>
                            <m:rPr>
                              <m:nor/>
                            </m:rPr>
                            <w:rPr>
                              <w:rFonts w:cs="Times New Roman"/>
                              <w:sz w:val="20"/>
                              <w:szCs w:val="20"/>
                            </w:rPr>
                            <m:t xml:space="preserve">for </m:t>
                          </m:r>
                          <m:r>
                            <w:rPr>
                              <w:rFonts w:ascii="Cambria Math" w:hAnsi="Cambria Math" w:cs="Times New Roman"/>
                              <w:sz w:val="20"/>
                              <w:szCs w:val="20"/>
                            </w:rPr>
                            <m:t xml:space="preserve">g=1 </m:t>
                          </m:r>
                          <m:r>
                            <m:rPr>
                              <m:nor/>
                            </m:rPr>
                            <w:rPr>
                              <w:rFonts w:cs="Times New Roman"/>
                              <w:sz w:val="20"/>
                              <w:szCs w:val="20"/>
                            </w:rPr>
                            <m:t>and</m:t>
                          </m:r>
                          <m:r>
                            <w:rPr>
                              <w:rFonts w:ascii="Cambria Math" w:hAnsi="Cambria Math" w:cs="Times New Roman"/>
                              <w:sz w:val="20"/>
                              <w:szCs w:val="20"/>
                            </w:rPr>
                            <m:t xml:space="preserve"> s&gt;0, ∀t</m:t>
                          </m:r>
                        </m:e>
                      </m:mr>
                    </m:m>
                  </m:e>
                </m:mr>
              </m:m>
            </m:e>
          </m:d>
        </m:oMath>
      </m:oMathPara>
    </w:p>
    <w:p w14:paraId="28A43F6F" w14:textId="4E64F973" w:rsidR="00D356FF" w:rsidRPr="00435469" w:rsidRDefault="00284A95" w:rsidP="00955FFB">
      <w:pPr>
        <w:spacing w:line="240" w:lineRule="auto"/>
        <w:rPr>
          <w:rFonts w:eastAsiaTheme="minorEastAsia" w:cs="Times New Roman"/>
          <w:sz w:val="20"/>
          <w:szCs w:val="20"/>
        </w:rPr>
      </w:pPr>
      <w:r w:rsidRPr="00435469">
        <w:rPr>
          <w:rFonts w:eastAsiaTheme="minorEastAsia"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oMath>
      <w:r w:rsidRPr="00435469">
        <w:rPr>
          <w:sz w:val="20"/>
          <w:szCs w:val="20"/>
        </w:rPr>
        <w:t xml:space="preserve"> </w:t>
      </w:r>
      <w:r w:rsidRPr="00435469">
        <w:rPr>
          <w:rFonts w:eastAsiaTheme="minorEastAsia" w:cs="Times New Roman"/>
          <w:sz w:val="20"/>
          <w:szCs w:val="20"/>
        </w:rPr>
        <w:t xml:space="preserve">represents the rate of health seeking in HIV-negative men in the general population. We estimate this </w:t>
      </w:r>
      <w:r w:rsidR="00F669F7" w:rsidRPr="00435469">
        <w:rPr>
          <w:rFonts w:eastAsiaTheme="minorEastAsia" w:cs="Times New Roman"/>
          <w:sz w:val="20"/>
          <w:szCs w:val="20"/>
        </w:rPr>
        <w:t xml:space="preserve">based on the average public health facilities attendance from the SADHS </w:t>
      </w:r>
      <w:r w:rsidR="00F669F7" w:rsidRPr="00435469">
        <w:rPr>
          <w:rFonts w:cs="Times New Roman"/>
          <w:sz w:val="20"/>
          <w:szCs w:val="20"/>
        </w:rPr>
        <w:fldChar w:fldCharType="begin" w:fldLock="1"/>
      </w:r>
      <w:r w:rsidR="002F049E" w:rsidRPr="00435469">
        <w:rPr>
          <w:rFonts w:cs="Times New Roman"/>
          <w:sz w:val="20"/>
          <w:szCs w:val="20"/>
        </w:rPr>
        <w:instrText>ADDIN CSL_CITATION {"citationItems":[{"id":"ITEM-1","itemData":{"author":[{"dropping-particle":"","family":"Department of Health","given":"","non-dropping-particle":"","parse-names":false,"suffix":""}],"id":"ITEM-1","issued":{"date-parts":[["1998"]]},"publisher-place":"Department of Health. Pretoria, South Africa","title":"South African Demographic and Health Survey 1998","type":"report"},"uris":["http://www.mendeley.com/documents/?uuid=4f852a2d-0e5d-4ed0-a344-8f06fb27725a"]},{"id":"ITEM-2","itemData":{"ISBN":"9781920014476","id":"ITEM-2","issued":{"date-parts":[["2007"]]},"publisher-place":"Department of Health Pretoria, South Africa","title":"South Africa Demographic and Health Survey 2003","type":"report"},"uris":["http://www.mendeley.com/documents/?uuid=14ddaf8f-aebe-4614-86b1-377924327dc4"]}],"mendeley":{"formattedCitation":"(23,52)","plainTextFormattedCitation":"(23,52)","previouslyFormattedCitation":"(23,52)"},"properties":{"noteIndex":0},"schema":"https://github.com/citation-style-language/schema/raw/master/csl-citation.json"}</w:instrText>
      </w:r>
      <w:r w:rsidR="00F669F7" w:rsidRPr="00435469">
        <w:rPr>
          <w:rFonts w:cs="Times New Roman"/>
          <w:sz w:val="20"/>
          <w:szCs w:val="20"/>
        </w:rPr>
        <w:fldChar w:fldCharType="separate"/>
      </w:r>
      <w:r w:rsidR="0063047A" w:rsidRPr="00435469">
        <w:rPr>
          <w:rFonts w:cs="Times New Roman"/>
          <w:noProof/>
          <w:sz w:val="20"/>
          <w:szCs w:val="20"/>
        </w:rPr>
        <w:t>(23,52)</w:t>
      </w:r>
      <w:r w:rsidR="00F669F7" w:rsidRPr="00435469">
        <w:rPr>
          <w:rFonts w:cs="Times New Roman"/>
          <w:sz w:val="20"/>
          <w:szCs w:val="20"/>
        </w:rPr>
        <w:fldChar w:fldCharType="end"/>
      </w:r>
      <w:r w:rsidR="00F669F7" w:rsidRPr="00435469">
        <w:rPr>
          <w:rFonts w:eastAsiaTheme="minorEastAsia" w:cs="Times New Roman"/>
          <w:sz w:val="20"/>
          <w:szCs w:val="20"/>
        </w:rPr>
        <w:t xml:space="preserve">. This represents individuals who attend health facilities for other health conditions. The average attendance </w:t>
      </w:r>
      <w:r w:rsidR="00F669F7" w:rsidRPr="00435469">
        <w:rPr>
          <w:rFonts w:cs="Times New Roman"/>
          <w:sz w:val="20"/>
          <w:szCs w:val="20"/>
        </w:rPr>
        <w:t xml:space="preserve">rates from the 1998 and 2003 SADHS reports were 0.186 and 0.2 per month, respectively. We take the average of these and get </w:t>
      </w:r>
      <w:r w:rsidR="00F669F7" w:rsidRPr="00435469">
        <w:rPr>
          <w:rFonts w:eastAsiaTheme="minorEastAsia" w:cs="Times New Roman"/>
          <w:sz w:val="20"/>
          <w:szCs w:val="20"/>
        </w:rPr>
        <w:t xml:space="preserve">0.193 per month, which gives an annual rate of 2.3 (= 0.193 </w:t>
      </w:r>
      <m:oMath>
        <m:r>
          <w:rPr>
            <w:rFonts w:ascii="Cambria Math" w:eastAsiaTheme="minorEastAsia" w:hAnsi="Cambria Math" w:cs="Times New Roman"/>
            <w:sz w:val="20"/>
            <w:szCs w:val="20"/>
          </w:rPr>
          <m:t>×</m:t>
        </m:r>
      </m:oMath>
      <w:r w:rsidR="00F669F7" w:rsidRPr="00435469">
        <w:rPr>
          <w:rFonts w:eastAsiaTheme="minorEastAsia" w:cs="Times New Roman"/>
          <w:sz w:val="20"/>
          <w:szCs w:val="20"/>
        </w:rPr>
        <w:t xml:space="preserve"> 12). We set this as an upper bound so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r>
          <w:rPr>
            <w:rFonts w:ascii="Cambria Math" w:hAnsi="Cambria Math" w:cs="Times New Roman"/>
            <w:sz w:val="20"/>
            <w:szCs w:val="20"/>
          </w:rPr>
          <m:t>&lt; 2.3</m:t>
        </m:r>
      </m:oMath>
      <w:r w:rsidR="00F669F7" w:rsidRPr="00435469">
        <w:rPr>
          <w:rFonts w:eastAsiaTheme="minorEastAsia" w:cs="Times New Roman"/>
          <w:sz w:val="20"/>
          <w:szCs w:val="20"/>
        </w:rPr>
        <w:t xml:space="preserve"> because of telescoping bias – when surveyed, people tend to report things as happening more recently than they</w:t>
      </w:r>
      <w:r w:rsidRPr="00435469">
        <w:rPr>
          <w:rFonts w:eastAsiaTheme="minorEastAsia" w:cs="Times New Roman"/>
          <w:sz w:val="20"/>
          <w:szCs w:val="20"/>
        </w:rPr>
        <w:t xml:space="preserve"> </w:t>
      </w:r>
      <w:proofErr w:type="gramStart"/>
      <w:r w:rsidRPr="00435469">
        <w:rPr>
          <w:rFonts w:eastAsiaTheme="minorEastAsia" w:cs="Times New Roman"/>
          <w:sz w:val="20"/>
          <w:szCs w:val="20"/>
        </w:rPr>
        <w:t>actually</w:t>
      </w:r>
      <w:r w:rsidR="00F669F7" w:rsidRPr="00435469">
        <w:rPr>
          <w:rFonts w:eastAsiaTheme="minorEastAsia" w:cs="Times New Roman"/>
          <w:sz w:val="20"/>
          <w:szCs w:val="20"/>
        </w:rPr>
        <w:t xml:space="preserve"> </w:t>
      </w:r>
      <w:r w:rsidR="00F669F7" w:rsidRPr="00435469">
        <w:rPr>
          <w:rFonts w:eastAsiaTheme="minorEastAsia" w:cs="Times New Roman"/>
          <w:sz w:val="20"/>
          <w:szCs w:val="20"/>
        </w:rPr>
        <w:lastRenderedPageBreak/>
        <w:t>happened</w:t>
      </w:r>
      <w:proofErr w:type="gramEnd"/>
      <w:r w:rsidR="00F669F7" w:rsidRPr="00435469">
        <w:rPr>
          <w:rFonts w:eastAsiaTheme="minorEastAsia" w:cs="Times New Roman"/>
          <w:sz w:val="20"/>
          <w:szCs w:val="20"/>
        </w:rPr>
        <w:t xml:space="preserve">. </w:t>
      </w:r>
      <w:r w:rsidR="0051462C" w:rsidRPr="00435469">
        <w:rPr>
          <w:rFonts w:eastAsiaTheme="minorEastAsia" w:cs="Times New Roman"/>
          <w:sz w:val="20"/>
          <w:szCs w:val="20"/>
        </w:rPr>
        <w:t xml:space="preserve">Also, we would expect </w:t>
      </w:r>
      <w:r w:rsidR="0051462C" w:rsidRPr="00435469">
        <w:rPr>
          <w:sz w:val="20"/>
          <w:szCs w:val="20"/>
        </w:rPr>
        <w:t xml:space="preserve">this </w:t>
      </w:r>
      <w:r w:rsidRPr="00435469">
        <w:rPr>
          <w:sz w:val="20"/>
          <w:szCs w:val="20"/>
        </w:rPr>
        <w:t xml:space="preserve">to be an </w:t>
      </w:r>
      <w:r w:rsidR="0051462C" w:rsidRPr="00435469">
        <w:rPr>
          <w:sz w:val="20"/>
          <w:szCs w:val="20"/>
        </w:rPr>
        <w:t>upper bound because the base rate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oMath>
      <w:r w:rsidR="0051462C" w:rsidRPr="00435469">
        <w:rPr>
          <w:sz w:val="20"/>
          <w:szCs w:val="20"/>
        </w:rPr>
        <w:t xml:space="preserve">) applies to men who are HIV-negative, and we expect HIV-negative men to have lower rates of health seeking (generally) than women and people living with HIV. </w:t>
      </w:r>
      <w:r w:rsidR="00F669F7" w:rsidRPr="00435469">
        <w:rPr>
          <w:rFonts w:eastAsiaTheme="minorEastAsia" w:cs="Times New Roman"/>
          <w:sz w:val="20"/>
          <w:szCs w:val="20"/>
        </w:rPr>
        <w:t>We specif</w:t>
      </w:r>
      <w:r w:rsidR="003440F2" w:rsidRPr="00435469">
        <w:rPr>
          <w:rFonts w:eastAsiaTheme="minorEastAsia" w:cs="Times New Roman"/>
          <w:sz w:val="20"/>
          <w:szCs w:val="20"/>
        </w:rPr>
        <w:t>ied</w:t>
      </w:r>
      <w:r w:rsidR="00F669F7" w:rsidRPr="00435469">
        <w:rPr>
          <w:rFonts w:eastAsiaTheme="minorEastAsia" w:cs="Times New Roman"/>
          <w:sz w:val="20"/>
          <w:szCs w:val="20"/>
        </w:rPr>
        <w:t xml:space="preserve"> a Gamma (5.29;4.6) </w:t>
      </w:r>
      <w:r w:rsidR="00F669F7" w:rsidRPr="00435469">
        <w:rPr>
          <w:rFonts w:cs="Times New Roman"/>
          <w:sz w:val="20"/>
          <w:szCs w:val="20"/>
        </w:rPr>
        <w:t>prior distribution with mean = 1.15 and standard deviation = 0.5</w:t>
      </w:r>
      <w:r w:rsidRPr="00435469">
        <w:rPr>
          <w:rFonts w:cs="Times New Roman"/>
          <w:sz w:val="20"/>
          <w:szCs w:val="20"/>
        </w:rPr>
        <w:t xml:space="preserve"> to represent the uncertainty in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oMath>
      <w:r w:rsidR="00F669F7" w:rsidRPr="00435469">
        <w:rPr>
          <w:rFonts w:eastAsiaTheme="minorEastAsia" w:cs="Times New Roman"/>
          <w:sz w:val="20"/>
          <w:szCs w:val="20"/>
        </w:rPr>
        <w:t xml:space="preserve">. </w:t>
      </w:r>
      <w:r w:rsidR="00D356FF" w:rsidRPr="00435469">
        <w:rPr>
          <w:rFonts w:eastAsiaTheme="minorEastAsia" w:cs="Times New Roman"/>
          <w:sz w:val="20"/>
          <w:szCs w:val="20"/>
        </w:rPr>
        <w:t xml:space="preserve">In a previous calibration analysis, we estimated the posterior </w:t>
      </w:r>
      <w:r w:rsidR="002E2221" w:rsidRPr="00435469">
        <w:rPr>
          <w:rFonts w:eastAsiaTheme="minorEastAsia" w:cs="Times New Roman"/>
          <w:sz w:val="20"/>
          <w:szCs w:val="20"/>
        </w:rPr>
        <w:t>mean and 95% confidence interval</w:t>
      </w:r>
      <w:r w:rsidR="00D356FF" w:rsidRPr="00435469">
        <w:rPr>
          <w:rFonts w:eastAsiaTheme="minorEastAsia" w:cs="Times New Roman"/>
          <w:sz w:val="20"/>
          <w:szCs w:val="20"/>
        </w:rPr>
        <w:t xml:space="preserve"> for this parameter to be </w:t>
      </w:r>
      <w:r w:rsidR="00D356FF" w:rsidRPr="00435469">
        <w:rPr>
          <w:rFonts w:eastAsiaTheme="minorEastAsia" w:cs="Times New Roman"/>
          <w:sz w:val="20"/>
          <w:szCs w:val="20"/>
          <w:lang w:val="en-ZA"/>
        </w:rPr>
        <w:t>1.0 (95% CI 0.76 - 1.3)</w:t>
      </w:r>
      <w:r w:rsidR="00E771B2" w:rsidRPr="00435469">
        <w:rPr>
          <w:rFonts w:eastAsiaTheme="minorEastAsia" w:cs="Times New Roman"/>
          <w:sz w:val="20"/>
          <w:szCs w:val="20"/>
          <w:lang w:val="en-ZA"/>
        </w:rPr>
        <w:t xml:space="preserve"> </w:t>
      </w:r>
      <w:r w:rsidR="00E771B2" w:rsidRPr="00435469">
        <w:rPr>
          <w:rFonts w:cs="Times New Roman"/>
          <w:sz w:val="20"/>
          <w:szCs w:val="20"/>
        </w:rPr>
        <w:fldChar w:fldCharType="begin" w:fldLock="1"/>
      </w:r>
      <w:r w:rsidR="002F049E" w:rsidRPr="00435469">
        <w:rPr>
          <w:rFonts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E771B2" w:rsidRPr="00435469">
        <w:rPr>
          <w:rFonts w:cs="Times New Roman"/>
          <w:sz w:val="20"/>
          <w:szCs w:val="20"/>
        </w:rPr>
        <w:fldChar w:fldCharType="separate"/>
      </w:r>
      <w:r w:rsidR="0063047A" w:rsidRPr="00435469">
        <w:rPr>
          <w:rFonts w:cs="Times New Roman"/>
          <w:noProof/>
          <w:sz w:val="20"/>
          <w:szCs w:val="20"/>
        </w:rPr>
        <w:t>(6)</w:t>
      </w:r>
      <w:r w:rsidR="00E771B2" w:rsidRPr="00435469">
        <w:rPr>
          <w:rFonts w:cs="Times New Roman"/>
          <w:sz w:val="20"/>
          <w:szCs w:val="20"/>
        </w:rPr>
        <w:fldChar w:fldCharType="end"/>
      </w:r>
      <w:r w:rsidR="00BB5149" w:rsidRPr="00435469">
        <w:rPr>
          <w:rFonts w:eastAsiaTheme="minorEastAsia" w:cs="Times New Roman"/>
          <w:sz w:val="20"/>
          <w:szCs w:val="20"/>
          <w:lang w:val="en-ZA"/>
        </w:rPr>
        <w:t>.</w:t>
      </w:r>
      <w:r w:rsidR="003353F8" w:rsidRPr="00435469">
        <w:rPr>
          <w:rFonts w:eastAsiaTheme="minorEastAsia" w:cs="Times New Roman"/>
          <w:sz w:val="20"/>
          <w:szCs w:val="20"/>
          <w:lang w:val="en-ZA"/>
        </w:rPr>
        <w:t xml:space="preserve"> For this present analysis, we fixed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oMath>
      <w:r w:rsidR="003353F8" w:rsidRPr="00435469">
        <w:rPr>
          <w:rFonts w:eastAsiaTheme="minorEastAsia" w:cs="Times New Roman"/>
          <w:sz w:val="20"/>
          <w:szCs w:val="20"/>
        </w:rPr>
        <w:t xml:space="preserve"> at this mean of 1.0.</w:t>
      </w:r>
    </w:p>
    <w:p w14:paraId="20202113" w14:textId="77777777" w:rsidR="00F669F7" w:rsidRPr="00435469" w:rsidRDefault="00F669F7" w:rsidP="00955FFB">
      <w:pPr>
        <w:pStyle w:val="Heading5"/>
        <w:numPr>
          <w:ilvl w:val="0"/>
          <w:numId w:val="32"/>
        </w:numPr>
        <w:rPr>
          <w:color w:val="auto"/>
          <w:sz w:val="20"/>
          <w:szCs w:val="20"/>
        </w:rPr>
      </w:pPr>
      <w:r w:rsidRPr="00435469">
        <w:rPr>
          <w:color w:val="auto"/>
          <w:sz w:val="20"/>
          <w:szCs w:val="20"/>
        </w:rPr>
        <w:t xml:space="preserve">Health-seeking rate for the general population (no TB) seeking treatment for TB-like symptoms </w:t>
      </w:r>
      <m:oMath>
        <m:sSub>
          <m:sSubPr>
            <m:ctrlPr>
              <w:rPr>
                <w:rFonts w:ascii="Cambria Math" w:hAnsi="Cambria Math"/>
                <w:color w:val="auto"/>
                <w:sz w:val="20"/>
                <w:szCs w:val="20"/>
              </w:rPr>
            </m:ctrlPr>
          </m:sSubPr>
          <m:e>
            <m:r>
              <m:rPr>
                <m:sty m:val="bi"/>
              </m:rPr>
              <w:rPr>
                <w:rFonts w:ascii="Cambria Math" w:hAnsi="Cambria Math"/>
                <w:color w:val="auto"/>
                <w:sz w:val="20"/>
                <w:szCs w:val="20"/>
              </w:rPr>
              <m:t>γ</m:t>
            </m:r>
          </m:e>
          <m:sub>
            <m:r>
              <m:rPr>
                <m:sty m:val="bi"/>
              </m:rPr>
              <w:rPr>
                <w:rFonts w:ascii="Cambria Math" w:hAnsi="Cambria Math"/>
                <w:color w:val="auto"/>
                <w:sz w:val="20"/>
                <w:szCs w:val="20"/>
              </w:rPr>
              <m:t>3</m:t>
            </m:r>
          </m:sub>
        </m:sSub>
        <m:d>
          <m:dPr>
            <m:ctrlPr>
              <w:rPr>
                <w:rFonts w:ascii="Cambria Math" w:hAnsi="Cambria Math"/>
                <w:color w:val="auto"/>
                <w:sz w:val="20"/>
                <w:szCs w:val="20"/>
              </w:rPr>
            </m:ctrlPr>
          </m:dPr>
          <m:e>
            <m:r>
              <m:rPr>
                <m:sty m:val="bi"/>
              </m:rPr>
              <w:rPr>
                <w:rFonts w:ascii="Cambria Math" w:hAnsi="Cambria Math"/>
                <w:color w:val="auto"/>
                <w:sz w:val="20"/>
                <w:szCs w:val="20"/>
              </w:rPr>
              <m:t>g,s,t</m:t>
            </m:r>
          </m:e>
        </m:d>
      </m:oMath>
    </w:p>
    <w:p w14:paraId="3B6897BA" w14:textId="22383460" w:rsidR="0051462C" w:rsidRPr="00435469" w:rsidRDefault="0051462C" w:rsidP="00955FFB">
      <w:pPr>
        <w:spacing w:line="240" w:lineRule="auto"/>
        <w:rPr>
          <w:sz w:val="20"/>
          <w:szCs w:val="20"/>
        </w:rPr>
      </w:pPr>
      <w:r w:rsidRPr="00435469">
        <w:rPr>
          <w:rFonts w:eastAsiaTheme="minorEastAsia" w:cs="Times New Roman"/>
          <w:sz w:val="20"/>
          <w:szCs w:val="20"/>
        </w:rPr>
        <w:t>Third, we define</w:t>
      </w:r>
      <w:r w:rsidR="00B3179E" w:rsidRPr="00435469">
        <w:rPr>
          <w:rFonts w:eastAsiaTheme="minorEastAsia" w:cs="Times New Roman"/>
          <w:sz w:val="20"/>
          <w:szCs w:val="20"/>
        </w:rPr>
        <w:t xml:space="preserve"> the h</w:t>
      </w:r>
      <w:r w:rsidR="00B3179E" w:rsidRPr="00435469">
        <w:rPr>
          <w:sz w:val="20"/>
          <w:szCs w:val="20"/>
        </w:rPr>
        <w:t xml:space="preserve">ealth-seeking rate for the general population without TB, seeking treatment for TB-like symptoms as </w:t>
      </w:r>
    </w:p>
    <w:p w14:paraId="613E000B" w14:textId="08F4B543" w:rsidR="00B3179E" w:rsidRPr="00435469" w:rsidRDefault="00000000" w:rsidP="00955FFB">
      <w:pPr>
        <w:spacing w:line="240" w:lineRule="auto"/>
        <w:rPr>
          <w:rFonts w:eastAsiaTheme="minorEastAsia"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d>
            <m:dPr>
              <m:ctrlPr>
                <w:rPr>
                  <w:rFonts w:ascii="Cambria Math" w:hAnsi="Cambria Math" w:cs="Times New Roman"/>
                  <w:i/>
                  <w:sz w:val="20"/>
                  <w:szCs w:val="20"/>
                </w:rPr>
              </m:ctrlPr>
            </m:dPr>
            <m:e>
              <m:r>
                <w:rPr>
                  <w:rFonts w:ascii="Cambria Math" w:hAnsi="Cambria Math" w:cs="Times New Roman"/>
                  <w:sz w:val="20"/>
                  <w:szCs w:val="20"/>
                </w:rPr>
                <m:t>g,s,t</m:t>
              </m:r>
            </m:e>
          </m:d>
          <m:r>
            <w:rPr>
              <w:rFonts w:ascii="Cambria Math" w:hAnsi="Cambria Math" w:cs="Times New Roman"/>
              <w:sz w:val="20"/>
              <w:szCs w:val="20"/>
            </w:rPr>
            <m:t>=</m:t>
          </m:r>
          <m:d>
            <m:dPr>
              <m:begChr m:val="{"/>
              <m:endChr m:val=""/>
              <m:ctrlPr>
                <w:rPr>
                  <w:rFonts w:ascii="Cambria Math" w:hAnsi="Cambria Math" w:cs="Times New Roman"/>
                  <w:i/>
                  <w:sz w:val="20"/>
                  <w:szCs w:val="20"/>
                </w:rPr>
              </m:ctrlPr>
            </m:dPr>
            <m:e>
              <m:m>
                <m:mPr>
                  <m:mcs>
                    <m:mc>
                      <m:mcPr>
                        <m:count m:val="1"/>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r>
                      <w:rPr>
                        <w:rFonts w:ascii="Cambria Math" w:hAnsi="Cambria Math" w:cs="Times New Roman"/>
                        <w:sz w:val="20"/>
                        <w:szCs w:val="20"/>
                      </w:rPr>
                      <m:t xml:space="preserve"> </m:t>
                    </m:r>
                    <m:r>
                      <m:rPr>
                        <m:nor/>
                      </m:rPr>
                      <w:rPr>
                        <w:rFonts w:cs="Times New Roman"/>
                        <w:sz w:val="20"/>
                        <w:szCs w:val="20"/>
                      </w:rPr>
                      <m:t xml:space="preserve">for </m:t>
                    </m:r>
                    <m:r>
                      <w:rPr>
                        <w:rFonts w:ascii="Cambria Math" w:hAnsi="Cambria Math" w:cs="Times New Roman"/>
                        <w:sz w:val="20"/>
                        <w:szCs w:val="20"/>
                      </w:rPr>
                      <m:t xml:space="preserve">g=0 </m:t>
                    </m:r>
                    <m:r>
                      <m:rPr>
                        <m:nor/>
                      </m:rPr>
                      <w:rPr>
                        <w:rFonts w:cs="Times New Roman"/>
                        <w:sz w:val="20"/>
                        <w:szCs w:val="20"/>
                      </w:rPr>
                      <m:t>and</m:t>
                    </m:r>
                    <m:r>
                      <w:rPr>
                        <w:rFonts w:ascii="Cambria Math" w:hAnsi="Cambria Math" w:cs="Times New Roman"/>
                        <w:sz w:val="20"/>
                        <w:szCs w:val="20"/>
                      </w:rPr>
                      <m:t xml:space="preserve"> s=0, ∀t</m:t>
                    </m:r>
                  </m:e>
                </m:m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r>
                      <w:rPr>
                        <w:rFonts w:ascii="Cambria Math" w:hAnsi="Cambria Math" w:cs="Times New Roman"/>
                        <w:sz w:val="20"/>
                        <w:szCs w:val="20"/>
                      </w:rPr>
                      <m:t xml:space="preserve">z </m:t>
                    </m:r>
                    <m:r>
                      <m:rPr>
                        <m:nor/>
                      </m:rPr>
                      <w:rPr>
                        <w:rFonts w:cs="Times New Roman"/>
                        <w:sz w:val="20"/>
                        <w:szCs w:val="20"/>
                      </w:rPr>
                      <m:t xml:space="preserve">for </m:t>
                    </m:r>
                    <m:r>
                      <w:rPr>
                        <w:rFonts w:ascii="Cambria Math" w:hAnsi="Cambria Math" w:cs="Times New Roman"/>
                        <w:sz w:val="20"/>
                        <w:szCs w:val="20"/>
                      </w:rPr>
                      <m:t xml:space="preserve">g=1 </m:t>
                    </m:r>
                    <m:r>
                      <m:rPr>
                        <m:nor/>
                      </m:rPr>
                      <w:rPr>
                        <w:rFonts w:cs="Times New Roman"/>
                        <w:sz w:val="20"/>
                        <w:szCs w:val="20"/>
                      </w:rPr>
                      <m:t>and</m:t>
                    </m:r>
                    <m:r>
                      <w:rPr>
                        <w:rFonts w:ascii="Cambria Math" w:hAnsi="Cambria Math" w:cs="Times New Roman"/>
                        <w:sz w:val="20"/>
                        <w:szCs w:val="20"/>
                      </w:rPr>
                      <m:t xml:space="preserve"> s=0, ∀t</m:t>
                    </m:r>
                  </m:e>
                </m:mr>
                <m:mr>
                  <m:e>
                    <m:m>
                      <m:mPr>
                        <m:mcs>
                          <m:mc>
                            <m:mcPr>
                              <m:count m:val="1"/>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r>
                            <w:rPr>
                              <w:rFonts w:ascii="Cambria Math" w:hAnsi="Cambria Math" w:cs="Times New Roman"/>
                              <w:sz w:val="20"/>
                              <w:szCs w:val="20"/>
                            </w:rPr>
                            <m:t xml:space="preserve">h </m:t>
                          </m:r>
                          <m:r>
                            <m:rPr>
                              <m:nor/>
                            </m:rPr>
                            <w:rPr>
                              <w:rFonts w:cs="Times New Roman"/>
                              <w:sz w:val="20"/>
                              <w:szCs w:val="20"/>
                            </w:rPr>
                            <m:t xml:space="preserve">for </m:t>
                          </m:r>
                          <m:r>
                            <w:rPr>
                              <w:rFonts w:ascii="Cambria Math" w:hAnsi="Cambria Math" w:cs="Times New Roman"/>
                              <w:sz w:val="20"/>
                              <w:szCs w:val="20"/>
                            </w:rPr>
                            <m:t xml:space="preserve">g=0 </m:t>
                          </m:r>
                          <m:r>
                            <m:rPr>
                              <m:nor/>
                            </m:rPr>
                            <w:rPr>
                              <w:rFonts w:cs="Times New Roman"/>
                              <w:sz w:val="20"/>
                              <w:szCs w:val="20"/>
                            </w:rPr>
                            <m:t>and</m:t>
                          </m:r>
                          <m:r>
                            <w:rPr>
                              <w:rFonts w:ascii="Cambria Math" w:hAnsi="Cambria Math" w:cs="Times New Roman"/>
                              <w:sz w:val="20"/>
                              <w:szCs w:val="20"/>
                            </w:rPr>
                            <m:t xml:space="preserve"> s&gt;0, ∀t</m:t>
                          </m:r>
                        </m:e>
                      </m:mr>
                      <m:m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r>
                            <w:rPr>
                              <w:rFonts w:ascii="Cambria Math" w:hAnsi="Cambria Math" w:cs="Times New Roman"/>
                              <w:sz w:val="20"/>
                              <w:szCs w:val="20"/>
                            </w:rPr>
                            <m:t xml:space="preserve">zh </m:t>
                          </m:r>
                          <m:r>
                            <m:rPr>
                              <m:nor/>
                            </m:rPr>
                            <w:rPr>
                              <w:rFonts w:cs="Times New Roman"/>
                              <w:sz w:val="20"/>
                              <w:szCs w:val="20"/>
                            </w:rPr>
                            <m:t xml:space="preserve">for </m:t>
                          </m:r>
                          <m:r>
                            <w:rPr>
                              <w:rFonts w:ascii="Cambria Math" w:hAnsi="Cambria Math" w:cs="Times New Roman"/>
                              <w:sz w:val="20"/>
                              <w:szCs w:val="20"/>
                            </w:rPr>
                            <m:t xml:space="preserve">g=1 </m:t>
                          </m:r>
                          <m:r>
                            <m:rPr>
                              <m:nor/>
                            </m:rPr>
                            <w:rPr>
                              <w:rFonts w:cs="Times New Roman"/>
                              <w:sz w:val="20"/>
                              <w:szCs w:val="20"/>
                            </w:rPr>
                            <m:t>and</m:t>
                          </m:r>
                          <m:r>
                            <w:rPr>
                              <w:rFonts w:ascii="Cambria Math" w:hAnsi="Cambria Math" w:cs="Times New Roman"/>
                              <w:sz w:val="20"/>
                              <w:szCs w:val="20"/>
                            </w:rPr>
                            <m:t xml:space="preserve"> s&gt;0, ∀t</m:t>
                          </m:r>
                        </m:e>
                      </m:mr>
                    </m:m>
                  </m:e>
                </m:mr>
              </m:m>
            </m:e>
          </m:d>
        </m:oMath>
      </m:oMathPara>
    </w:p>
    <w:p w14:paraId="6EAE30F9" w14:textId="22CA93A6" w:rsidR="00B3179E" w:rsidRPr="00435469" w:rsidRDefault="007F101F" w:rsidP="00955FFB">
      <w:pPr>
        <w:spacing w:line="240" w:lineRule="auto"/>
        <w:rPr>
          <w:rFonts w:cs="Times New Roman"/>
          <w:sz w:val="20"/>
          <w:szCs w:val="20"/>
        </w:rPr>
      </w:pPr>
      <w:r w:rsidRPr="00435469">
        <w:rPr>
          <w:rFonts w:eastAsiaTheme="minorEastAsia"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oMath>
      <w:r w:rsidRPr="00435469">
        <w:rPr>
          <w:sz w:val="20"/>
          <w:szCs w:val="20"/>
        </w:rPr>
        <w:t xml:space="preserve"> </w:t>
      </w:r>
      <w:r w:rsidRPr="00435469">
        <w:rPr>
          <w:rFonts w:eastAsiaTheme="minorEastAsia" w:cs="Times New Roman"/>
          <w:sz w:val="20"/>
          <w:szCs w:val="20"/>
        </w:rPr>
        <w:t xml:space="preserve">represents the rate at which HIV-negative men in the general population seek treatment for TB-like symptoms that are not due to TB. </w:t>
      </w:r>
      <w:r w:rsidR="00F669F7" w:rsidRPr="00435469">
        <w:rPr>
          <w:rFonts w:eastAsiaTheme="minorEastAsia" w:cs="Times New Roman"/>
          <w:sz w:val="20"/>
          <w:szCs w:val="20"/>
        </w:rPr>
        <w:t xml:space="preserve">There are limited studies that show the proportions of individuals from the general population who attend health facilities due to TB-like symptoms only. </w:t>
      </w:r>
      <w:r w:rsidR="00F669F7" w:rsidRPr="00435469">
        <w:rPr>
          <w:rFonts w:cs="Times New Roman"/>
          <w:sz w:val="20"/>
          <w:szCs w:val="20"/>
        </w:rPr>
        <w:t xml:space="preserve">We expect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r>
          <m:rPr>
            <m:sty m:val="p"/>
          </m:rPr>
          <w:rPr>
            <w:rFonts w:ascii="Cambria Math" w:hAnsi="Cambria Math" w:cs="Times New Roman"/>
            <w:sz w:val="20"/>
            <w:szCs w:val="20"/>
          </w:rPr>
          <m:t>&gt;</m:t>
        </m:r>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r>
          <w:rPr>
            <w:rFonts w:ascii="Cambria Math" w:hAnsi="Cambria Math" w:cs="Times New Roman"/>
            <w:sz w:val="20"/>
            <w:szCs w:val="20"/>
          </w:rPr>
          <m:t xml:space="preserve"> </m:t>
        </m:r>
      </m:oMath>
      <w:r w:rsidR="00F669F7" w:rsidRPr="00435469">
        <w:rPr>
          <w:rFonts w:eastAsiaTheme="minorEastAsia" w:cs="Times New Roman"/>
          <w:sz w:val="20"/>
          <w:szCs w:val="20"/>
        </w:rPr>
        <w:t>– th</w:t>
      </w:r>
      <w:r w:rsidR="00F669F7" w:rsidRPr="00435469">
        <w:rPr>
          <w:rFonts w:cs="Times New Roman"/>
          <w:sz w:val="20"/>
          <w:szCs w:val="20"/>
        </w:rPr>
        <w:t>at is, the rate of health facility attendance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r>
          <m:rPr>
            <m:sty m:val="p"/>
          </m:rPr>
          <w:rPr>
            <w:rFonts w:ascii="Cambria Math" w:hAnsi="Cambria Math" w:cs="Times New Roman"/>
            <w:sz w:val="20"/>
            <w:szCs w:val="20"/>
          </w:rPr>
          <m:t xml:space="preserve">) </m:t>
        </m:r>
      </m:oMath>
      <w:r w:rsidR="00F669F7" w:rsidRPr="00435469">
        <w:rPr>
          <w:rFonts w:cs="Times New Roman"/>
          <w:sz w:val="20"/>
          <w:szCs w:val="20"/>
        </w:rPr>
        <w:t xml:space="preserve">will be greater than that for TB-like symptoms </w:t>
      </w:r>
      <w:r w:rsidR="00F669F7" w:rsidRPr="00435469">
        <w:rPr>
          <w:rFonts w:eastAsiaTheme="minorEastAsia"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r>
          <w:rPr>
            <w:rFonts w:ascii="Cambria Math" w:hAnsi="Cambria Math" w:cs="Times New Roman"/>
            <w:sz w:val="20"/>
            <w:szCs w:val="20"/>
          </w:rPr>
          <m:t>)</m:t>
        </m:r>
        <m:r>
          <m:rPr>
            <m:sty m:val="p"/>
          </m:rPr>
          <w:rPr>
            <w:rFonts w:ascii="Cambria Math" w:hAnsi="Cambria Math" w:cs="Times New Roman"/>
            <w:sz w:val="20"/>
            <w:szCs w:val="20"/>
          </w:rPr>
          <m:t xml:space="preserve">. </m:t>
        </m:r>
      </m:oMath>
      <w:r w:rsidR="00B3179E" w:rsidRPr="00435469">
        <w:rPr>
          <w:rFonts w:eastAsiaTheme="minorEastAsia" w:cs="Times New Roman"/>
          <w:sz w:val="20"/>
          <w:szCs w:val="20"/>
        </w:rPr>
        <w:t xml:space="preserve"> </w:t>
      </w:r>
      <w:r w:rsidR="00F669F7" w:rsidRPr="00435469">
        <w:rPr>
          <w:rFonts w:eastAsiaTheme="minorEastAsia" w:cs="Times New Roman"/>
          <w:sz w:val="20"/>
          <w:szCs w:val="20"/>
        </w:rPr>
        <w:t xml:space="preserve">Based on the South African General Household Survey in </w:t>
      </w:r>
      <w:r w:rsidR="0051462C" w:rsidRPr="00435469">
        <w:rPr>
          <w:rFonts w:eastAsiaTheme="minorEastAsia" w:cs="Times New Roman"/>
          <w:sz w:val="20"/>
          <w:szCs w:val="20"/>
        </w:rPr>
        <w:t xml:space="preserve">2011 </w:t>
      </w:r>
      <w:r w:rsidR="0051462C" w:rsidRPr="00435469">
        <w:rPr>
          <w:rFonts w:eastAsiaTheme="minorEastAsia" w:cs="Times New Roman"/>
          <w:sz w:val="20"/>
          <w:szCs w:val="20"/>
        </w:rPr>
        <w:fldChar w:fldCharType="begin" w:fldLock="1"/>
      </w:r>
      <w:r w:rsidR="007D02C3" w:rsidRPr="00435469">
        <w:rPr>
          <w:rFonts w:eastAsiaTheme="minorEastAsia" w:cs="Times New Roman"/>
          <w:sz w:val="20"/>
          <w:szCs w:val="20"/>
        </w:rPr>
        <w:instrText>ADDIN CSL_CITATION {"citationItems":[{"id":"ITEM-1","itemData":{"ISBN":"9780621417821","id":"ITEM-1","issued":{"date-parts":[["0"]]},"publisher":"Statistics South Africa. Pretoria, South Africa","title":"Use of health facilities and levels of selected health conditions in South Africa: Findings from the General Household Survey, 2011","type":"report"},"uris":["http://www.mendeley.com/documents/?uuid=a8580f18-97af-4cf5-a267-35fa7a5c5bed"]}],"mendeley":{"formattedCitation":"(53)","plainTextFormattedCitation":"(53)","previouslyFormattedCitation":"(53)"},"properties":{"noteIndex":0},"schema":"https://github.com/citation-style-language/schema/raw/master/csl-citation.json"}</w:instrText>
      </w:r>
      <w:r w:rsidR="0051462C" w:rsidRPr="00435469">
        <w:rPr>
          <w:rFonts w:eastAsiaTheme="minorEastAsia" w:cs="Times New Roman"/>
          <w:sz w:val="20"/>
          <w:szCs w:val="20"/>
        </w:rPr>
        <w:fldChar w:fldCharType="separate"/>
      </w:r>
      <w:r w:rsidR="00A142FF" w:rsidRPr="00435469">
        <w:rPr>
          <w:rFonts w:eastAsiaTheme="minorEastAsia" w:cs="Times New Roman"/>
          <w:noProof/>
          <w:sz w:val="20"/>
          <w:szCs w:val="20"/>
        </w:rPr>
        <w:t>(53)</w:t>
      </w:r>
      <w:r w:rsidR="0051462C" w:rsidRPr="00435469">
        <w:rPr>
          <w:rFonts w:eastAsiaTheme="minorEastAsia" w:cs="Times New Roman"/>
          <w:sz w:val="20"/>
          <w:szCs w:val="20"/>
        </w:rPr>
        <w:fldChar w:fldCharType="end"/>
      </w:r>
      <w:r w:rsidR="0051462C" w:rsidRPr="00435469">
        <w:rPr>
          <w:rFonts w:eastAsiaTheme="minorEastAsia" w:cs="Times New Roman"/>
          <w:sz w:val="20"/>
          <w:szCs w:val="20"/>
        </w:rPr>
        <w:t xml:space="preserve"> </w:t>
      </w:r>
      <w:r w:rsidR="00F669F7" w:rsidRPr="00435469">
        <w:rPr>
          <w:rFonts w:eastAsiaTheme="minorEastAsia" w:cs="Times New Roman"/>
          <w:sz w:val="20"/>
          <w:szCs w:val="20"/>
        </w:rPr>
        <w:t xml:space="preserve">on use of health facilities, </w:t>
      </w:r>
      <w:r w:rsidR="00F669F7" w:rsidRPr="00435469">
        <w:rPr>
          <w:rFonts w:eastAsia="Times New Roman" w:cs="Times New Roman"/>
          <w:sz w:val="20"/>
          <w:szCs w:val="20"/>
          <w:bdr w:val="none" w:sz="0" w:space="0" w:color="auto" w:frame="1"/>
          <w:lang w:eastAsia="en-ZA"/>
        </w:rPr>
        <w:t xml:space="preserve">9.6% of South Africans reported being ill or injured in the previous month, and 77.5% of these reported consulting a health worker. This suggests an annual health-seeking rate of approximately </w:t>
      </w:r>
      <w:r w:rsidR="00F669F7" w:rsidRPr="00435469">
        <w:rPr>
          <w:rFonts w:eastAsiaTheme="minorEastAsia" w:cs="Times New Roman"/>
          <w:sz w:val="20"/>
          <w:szCs w:val="20"/>
        </w:rPr>
        <w:t xml:space="preserve">0.89 (= 0.096 </w:t>
      </w:r>
      <m:oMath>
        <m:r>
          <w:rPr>
            <w:rFonts w:ascii="Cambria Math" w:eastAsiaTheme="minorEastAsia" w:hAnsi="Cambria Math" w:cs="Times New Roman"/>
            <w:sz w:val="20"/>
            <w:szCs w:val="20"/>
          </w:rPr>
          <m:t>×</m:t>
        </m:r>
      </m:oMath>
      <w:r w:rsidR="00F669F7" w:rsidRPr="00435469">
        <w:rPr>
          <w:rFonts w:eastAsiaTheme="minorEastAsia" w:cs="Times New Roman"/>
          <w:sz w:val="20"/>
          <w:szCs w:val="20"/>
        </w:rPr>
        <w:t xml:space="preserve"> 0.775 </w:t>
      </w:r>
      <m:oMath>
        <m:r>
          <w:rPr>
            <w:rFonts w:ascii="Cambria Math" w:eastAsiaTheme="minorEastAsia" w:hAnsi="Cambria Math" w:cs="Times New Roman"/>
            <w:sz w:val="20"/>
            <w:szCs w:val="20"/>
          </w:rPr>
          <m:t>×</m:t>
        </m:r>
      </m:oMath>
      <w:r w:rsidR="00F669F7" w:rsidRPr="00435469">
        <w:rPr>
          <w:rFonts w:eastAsiaTheme="minorEastAsia" w:cs="Times New Roman"/>
          <w:sz w:val="20"/>
          <w:szCs w:val="20"/>
        </w:rPr>
        <w:t xml:space="preserve"> 12) </w:t>
      </w:r>
      <w:r w:rsidR="00F669F7" w:rsidRPr="00435469">
        <w:rPr>
          <w:rFonts w:eastAsiaTheme="minorEastAsia" w:cs="Times New Roman"/>
          <w:sz w:val="20"/>
          <w:szCs w:val="20"/>
        </w:rPr>
        <w:fldChar w:fldCharType="begin" w:fldLock="1"/>
      </w:r>
      <w:r w:rsidR="007D02C3" w:rsidRPr="00435469">
        <w:rPr>
          <w:rFonts w:eastAsiaTheme="minorEastAsia" w:cs="Times New Roman"/>
          <w:sz w:val="20"/>
          <w:szCs w:val="20"/>
        </w:rPr>
        <w:instrText>ADDIN CSL_CITATION {"citationItems":[{"id":"ITEM-1","itemData":{"ISBN":"9780621417821","id":"ITEM-1","issued":{"date-parts":[["0"]]},"publisher":"Statistics South Africa. Pretoria, South Africa","title":"Use of health facilities and levels of selected health conditions in South Africa: Findings from the General Household Survey, 2011","type":"report"},"uris":["http://www.mendeley.com/documents/?uuid=a8580f18-97af-4cf5-a267-35fa7a5c5bed"]}],"mendeley":{"formattedCitation":"(53)","plainTextFormattedCitation":"(53)","previouslyFormattedCitation":"(53)"},"properties":{"noteIndex":0},"schema":"https://github.com/citation-style-language/schema/raw/master/csl-citation.json"}</w:instrText>
      </w:r>
      <w:r w:rsidR="00F669F7" w:rsidRPr="00435469">
        <w:rPr>
          <w:rFonts w:eastAsiaTheme="minorEastAsia" w:cs="Times New Roman"/>
          <w:sz w:val="20"/>
          <w:szCs w:val="20"/>
        </w:rPr>
        <w:fldChar w:fldCharType="separate"/>
      </w:r>
      <w:r w:rsidR="00A142FF" w:rsidRPr="00435469">
        <w:rPr>
          <w:rFonts w:eastAsiaTheme="minorEastAsia" w:cs="Times New Roman"/>
          <w:noProof/>
          <w:sz w:val="20"/>
          <w:szCs w:val="20"/>
        </w:rPr>
        <w:t>(53)</w:t>
      </w:r>
      <w:r w:rsidR="00F669F7" w:rsidRPr="00435469">
        <w:rPr>
          <w:rFonts w:eastAsiaTheme="minorEastAsia" w:cs="Times New Roman"/>
          <w:sz w:val="20"/>
          <w:szCs w:val="20"/>
        </w:rPr>
        <w:fldChar w:fldCharType="end"/>
      </w:r>
      <w:r w:rsidR="00F669F7" w:rsidRPr="00435469">
        <w:rPr>
          <w:rFonts w:eastAsiaTheme="minorEastAsia" w:cs="Times New Roman"/>
          <w:sz w:val="20"/>
          <w:szCs w:val="20"/>
        </w:rPr>
        <w:t xml:space="preserve">. Of the people who were ill or injured in the month before the survey, 63.7% reported having flu or </w:t>
      </w:r>
      <w:r w:rsidR="00F669F7" w:rsidRPr="00435469">
        <w:rPr>
          <w:rFonts w:cs="Times New Roman"/>
          <w:sz w:val="20"/>
          <w:szCs w:val="20"/>
        </w:rPr>
        <w:t>acute respiratory tract infections; and 2.9% reported having suffered from TB or severe cough with blood. From this, we approximate a lower bound of 0.0258</w:t>
      </w:r>
      <w:r w:rsidR="00F669F7" w:rsidRPr="00435469">
        <w:rPr>
          <w:rFonts w:eastAsiaTheme="minorEastAsia" w:cs="Times New Roman"/>
          <w:sz w:val="20"/>
          <w:szCs w:val="20"/>
        </w:rPr>
        <w:t xml:space="preserve"> (= 0.029 </w:t>
      </w:r>
      <m:oMath>
        <m:r>
          <w:rPr>
            <w:rFonts w:ascii="Cambria Math" w:eastAsiaTheme="minorEastAsia" w:hAnsi="Cambria Math" w:cs="Times New Roman"/>
            <w:sz w:val="20"/>
            <w:szCs w:val="20"/>
          </w:rPr>
          <m:t>×</m:t>
        </m:r>
      </m:oMath>
      <w:r w:rsidR="00F669F7" w:rsidRPr="00435469">
        <w:rPr>
          <w:rFonts w:eastAsiaTheme="minorEastAsia" w:cs="Times New Roman"/>
          <w:sz w:val="20"/>
          <w:szCs w:val="20"/>
        </w:rPr>
        <w:t xml:space="preserve"> 0.89) and an upper bound of 0.593 (= (0.637 + 0.029) </w:t>
      </w:r>
      <m:oMath>
        <m:r>
          <w:rPr>
            <w:rFonts w:ascii="Cambria Math" w:eastAsiaTheme="minorEastAsia" w:hAnsi="Cambria Math" w:cs="Times New Roman"/>
            <w:sz w:val="20"/>
            <w:szCs w:val="20"/>
          </w:rPr>
          <m:t>×</m:t>
        </m:r>
      </m:oMath>
      <w:r w:rsidR="00F669F7" w:rsidRPr="00435469">
        <w:rPr>
          <w:rFonts w:eastAsiaTheme="minorEastAsia" w:cs="Times New Roman"/>
          <w:sz w:val="20"/>
          <w:szCs w:val="20"/>
        </w:rPr>
        <w:t xml:space="preserve"> 0.89), recognising that there is substantial overlap between TB symptoms and flu/acute respiratory symptoms (although it is unlikely that all flu/respiratory symptoms would be attributable to TB). </w:t>
      </w:r>
      <w:r w:rsidR="00B3179E" w:rsidRPr="00435469">
        <w:rPr>
          <w:rFonts w:eastAsiaTheme="minorEastAsia" w:cs="Times New Roman"/>
          <w:sz w:val="20"/>
          <w:szCs w:val="20"/>
        </w:rPr>
        <w:t>W</w:t>
      </w:r>
      <w:r w:rsidR="00F669F7" w:rsidRPr="00435469">
        <w:rPr>
          <w:rFonts w:eastAsiaTheme="minorEastAsia" w:cs="Times New Roman"/>
          <w:sz w:val="20"/>
          <w:szCs w:val="20"/>
        </w:rPr>
        <w:t xml:space="preserve">e </w:t>
      </w:r>
      <w:r w:rsidR="000D161F" w:rsidRPr="00435469">
        <w:rPr>
          <w:rFonts w:eastAsiaTheme="minorEastAsia" w:cs="Times New Roman"/>
          <w:sz w:val="20"/>
          <w:szCs w:val="20"/>
        </w:rPr>
        <w:t xml:space="preserve">previously specified </w:t>
      </w:r>
      <w:r w:rsidR="00B3179E" w:rsidRPr="00435469">
        <w:rPr>
          <w:rFonts w:eastAsiaTheme="minorEastAsia" w:cs="Times New Roman"/>
          <w:sz w:val="20"/>
          <w:szCs w:val="20"/>
        </w:rPr>
        <w:t xml:space="preserve">a </w:t>
      </w:r>
      <w:r w:rsidR="00F669F7" w:rsidRPr="00435469">
        <w:rPr>
          <w:rFonts w:cs="Times New Roman"/>
          <w:sz w:val="20"/>
          <w:szCs w:val="20"/>
        </w:rPr>
        <w:t>Gamma (2.15;9.78) prior distribution with mean = 0.22 and standard deviation = 0.15</w:t>
      </w:r>
      <w:r w:rsidR="00B3179E" w:rsidRPr="00435469">
        <w:rPr>
          <w:rFonts w:cs="Times New Roman"/>
          <w:sz w:val="20"/>
          <w:szCs w:val="20"/>
        </w:rPr>
        <w:t xml:space="preserve"> </w:t>
      </w:r>
      <w:r w:rsidR="00A73613" w:rsidRPr="00435469">
        <w:rPr>
          <w:rFonts w:cs="Times New Roman"/>
          <w:sz w:val="20"/>
          <w:szCs w:val="20"/>
        </w:rPr>
        <w:t>to represent the certainty around</w:t>
      </w:r>
      <w:r w:rsidR="00E33B23" w:rsidRPr="00435469">
        <w:rPr>
          <w:rFonts w:eastAsiaTheme="minorEastAsia"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r>
          <w:rPr>
            <w:rFonts w:ascii="Cambria Math" w:hAnsi="Cambria Math" w:cs="Times New Roman"/>
            <w:sz w:val="20"/>
            <w:szCs w:val="20"/>
          </w:rPr>
          <m:t>.</m:t>
        </m:r>
      </m:oMath>
      <w:r w:rsidR="00E33B23" w:rsidRPr="00435469">
        <w:rPr>
          <w:rFonts w:eastAsiaTheme="minorEastAsia" w:cs="Times New Roman"/>
          <w:sz w:val="20"/>
          <w:szCs w:val="20"/>
        </w:rPr>
        <w:t xml:space="preserve"> </w:t>
      </w:r>
      <w:r w:rsidR="0065691C" w:rsidRPr="00435469">
        <w:rPr>
          <w:rFonts w:eastAsiaTheme="minorEastAsia" w:cs="Times New Roman"/>
          <w:sz w:val="20"/>
          <w:szCs w:val="20"/>
        </w:rPr>
        <w:t xml:space="preserve">In a previous calibration analysis, we estimated the posterior </w:t>
      </w:r>
      <w:r w:rsidR="002E2221" w:rsidRPr="00435469">
        <w:rPr>
          <w:rFonts w:eastAsiaTheme="minorEastAsia" w:cs="Times New Roman"/>
          <w:sz w:val="20"/>
          <w:szCs w:val="20"/>
        </w:rPr>
        <w:t xml:space="preserve">mean and 95% confidence interval </w:t>
      </w:r>
      <w:r w:rsidR="0065691C" w:rsidRPr="00435469">
        <w:rPr>
          <w:rFonts w:eastAsiaTheme="minorEastAsia" w:cs="Times New Roman"/>
          <w:sz w:val="20"/>
          <w:szCs w:val="20"/>
        </w:rPr>
        <w:t xml:space="preserve">for this parameter to be </w:t>
      </w:r>
      <w:r w:rsidR="00E03118" w:rsidRPr="00435469">
        <w:rPr>
          <w:rFonts w:eastAsiaTheme="minorEastAsia" w:cs="Times New Roman"/>
          <w:sz w:val="20"/>
          <w:szCs w:val="20"/>
          <w:lang w:val="en-ZA"/>
        </w:rPr>
        <w:t>0.196 (95% CI 0.163 - 0.224</w:t>
      </w:r>
      <w:r w:rsidR="0065691C" w:rsidRPr="00435469">
        <w:rPr>
          <w:rFonts w:eastAsiaTheme="minorEastAsia" w:cs="Times New Roman"/>
          <w:sz w:val="20"/>
          <w:szCs w:val="20"/>
          <w:lang w:val="en-ZA"/>
        </w:rPr>
        <w:t>)</w:t>
      </w:r>
      <w:r w:rsidR="0057162F" w:rsidRPr="00435469">
        <w:rPr>
          <w:rFonts w:eastAsiaTheme="minorEastAsia" w:cs="Times New Roman"/>
          <w:sz w:val="20"/>
          <w:szCs w:val="20"/>
          <w:lang w:val="en-ZA"/>
        </w:rPr>
        <w:t xml:space="preserve"> </w:t>
      </w:r>
      <w:r w:rsidR="0057162F" w:rsidRPr="00435469">
        <w:rPr>
          <w:rFonts w:eastAsia="Yu Mincho" w:cs="Times New Roman"/>
          <w:sz w:val="20"/>
          <w:szCs w:val="20"/>
        </w:rPr>
        <w:fldChar w:fldCharType="begin" w:fldLock="1"/>
      </w:r>
      <w:r w:rsidR="0057162F"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57162F" w:rsidRPr="00435469">
        <w:rPr>
          <w:rFonts w:eastAsia="Yu Mincho" w:cs="Times New Roman"/>
          <w:sz w:val="20"/>
          <w:szCs w:val="20"/>
        </w:rPr>
        <w:fldChar w:fldCharType="separate"/>
      </w:r>
      <w:r w:rsidR="0057162F" w:rsidRPr="00435469">
        <w:rPr>
          <w:rFonts w:eastAsia="Yu Mincho" w:cs="Times New Roman"/>
          <w:noProof/>
          <w:sz w:val="20"/>
          <w:szCs w:val="20"/>
        </w:rPr>
        <w:t>(6)</w:t>
      </w:r>
      <w:r w:rsidR="0057162F" w:rsidRPr="00435469">
        <w:rPr>
          <w:rFonts w:eastAsia="Yu Mincho" w:cs="Times New Roman"/>
          <w:sz w:val="20"/>
          <w:szCs w:val="20"/>
        </w:rPr>
        <w:fldChar w:fldCharType="end"/>
      </w:r>
      <w:r w:rsidR="0065691C" w:rsidRPr="00435469">
        <w:rPr>
          <w:rFonts w:eastAsiaTheme="minorEastAsia" w:cs="Times New Roman"/>
          <w:sz w:val="20"/>
          <w:szCs w:val="20"/>
          <w:lang w:val="en-ZA"/>
        </w:rPr>
        <w:t xml:space="preserve">. </w:t>
      </w:r>
      <w:r w:rsidR="004D3D27" w:rsidRPr="00435469">
        <w:rPr>
          <w:rFonts w:eastAsiaTheme="minorEastAsia" w:cs="Times New Roman"/>
          <w:sz w:val="20"/>
          <w:szCs w:val="20"/>
          <w:lang w:val="en-ZA"/>
        </w:rPr>
        <w:t xml:space="preserve">For this current analysis, we fixed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oMath>
      <w:r w:rsidR="004D3D27" w:rsidRPr="00435469">
        <w:rPr>
          <w:rFonts w:eastAsiaTheme="minorEastAsia" w:cs="Times New Roman"/>
          <w:sz w:val="20"/>
          <w:szCs w:val="20"/>
        </w:rPr>
        <w:t xml:space="preserve"> at this mean of 0.</w:t>
      </w:r>
      <w:r w:rsidR="0065691C" w:rsidRPr="00435469">
        <w:rPr>
          <w:rFonts w:eastAsiaTheme="minorEastAsia" w:cs="Times New Roman"/>
          <w:sz w:val="20"/>
          <w:szCs w:val="20"/>
        </w:rPr>
        <w:t>196</w:t>
      </w:r>
      <w:r w:rsidR="004D3D27" w:rsidRPr="00435469">
        <w:rPr>
          <w:rFonts w:eastAsiaTheme="minorEastAsia" w:cs="Times New Roman"/>
          <w:sz w:val="20"/>
          <w:szCs w:val="20"/>
        </w:rPr>
        <w:t>.</w:t>
      </w:r>
    </w:p>
    <w:p w14:paraId="13821859" w14:textId="014078D7" w:rsidR="00971F36" w:rsidRPr="00435469" w:rsidRDefault="00195A15" w:rsidP="00955FFB">
      <w:pPr>
        <w:pStyle w:val="Heading3"/>
        <w:rPr>
          <w:rFonts w:cs="Times New Roman"/>
          <w:color w:val="auto"/>
          <w:sz w:val="20"/>
          <w:szCs w:val="20"/>
        </w:rPr>
      </w:pPr>
      <w:bookmarkStart w:id="122" w:name="_Toc66458478"/>
      <w:bookmarkStart w:id="123" w:name="_Toc79099821"/>
      <w:bookmarkStart w:id="124" w:name="_Ref80351712"/>
      <w:bookmarkStart w:id="125" w:name="_Toc80352142"/>
      <w:bookmarkStart w:id="126" w:name="_Toc87863334"/>
      <w:bookmarkStart w:id="127" w:name="_Toc88488565"/>
      <w:bookmarkStart w:id="128" w:name="_Toc103252933"/>
      <w:bookmarkEnd w:id="121"/>
      <w:r w:rsidRPr="00435469">
        <w:rPr>
          <w:rFonts w:cs="Times New Roman"/>
          <w:color w:val="auto"/>
          <w:sz w:val="20"/>
          <w:szCs w:val="20"/>
        </w:rPr>
        <w:t>Specimens</w:t>
      </w:r>
      <w:r w:rsidR="00971F36" w:rsidRPr="00435469">
        <w:rPr>
          <w:rFonts w:cs="Times New Roman"/>
          <w:color w:val="auto"/>
          <w:sz w:val="20"/>
          <w:szCs w:val="20"/>
        </w:rPr>
        <w:t xml:space="preserve"> submitted for microbiological testing</w:t>
      </w:r>
      <w:bookmarkEnd w:id="122"/>
      <w:bookmarkEnd w:id="123"/>
      <w:bookmarkEnd w:id="124"/>
      <w:bookmarkEnd w:id="125"/>
      <w:bookmarkEnd w:id="126"/>
      <w:bookmarkEnd w:id="127"/>
      <w:bookmarkEnd w:id="128"/>
      <w:r w:rsidR="00971F36" w:rsidRPr="00435469">
        <w:rPr>
          <w:rFonts w:cs="Times New Roman"/>
          <w:color w:val="auto"/>
          <w:sz w:val="20"/>
          <w:szCs w:val="20"/>
        </w:rPr>
        <w:t xml:space="preserve"> </w:t>
      </w:r>
    </w:p>
    <w:p w14:paraId="165B796B" w14:textId="435AD53F" w:rsidR="000B5ADE" w:rsidRPr="00435469" w:rsidRDefault="00971F36" w:rsidP="003440F2">
      <w:pPr>
        <w:spacing w:line="240" w:lineRule="auto"/>
        <w:rPr>
          <w:rFonts w:cs="Times New Roman"/>
          <w:sz w:val="20"/>
          <w:szCs w:val="20"/>
        </w:rPr>
      </w:pPr>
      <w:r w:rsidRPr="00435469">
        <w:rPr>
          <w:rFonts w:cs="Times New Roman"/>
          <w:sz w:val="20"/>
          <w:szCs w:val="20"/>
        </w:rPr>
        <w:t xml:space="preserve">To estimate the proportions of individuals </w:t>
      </w:r>
      <w:r w:rsidR="00195A15" w:rsidRPr="00435469">
        <w:rPr>
          <w:rFonts w:cs="Times New Roman"/>
          <w:sz w:val="20"/>
          <w:szCs w:val="20"/>
        </w:rPr>
        <w:t xml:space="preserve">seeking treatment </w:t>
      </w:r>
      <w:r w:rsidRPr="00435469">
        <w:rPr>
          <w:rFonts w:cs="Times New Roman"/>
          <w:sz w:val="20"/>
          <w:szCs w:val="20"/>
        </w:rPr>
        <w:t xml:space="preserve">who </w:t>
      </w:r>
      <w:r w:rsidR="00195A15" w:rsidRPr="00435469">
        <w:rPr>
          <w:rFonts w:cs="Times New Roman"/>
          <w:sz w:val="20"/>
          <w:szCs w:val="20"/>
        </w:rPr>
        <w:t xml:space="preserve">are screened and </w:t>
      </w:r>
      <w:r w:rsidR="00680EAF" w:rsidRPr="00435469">
        <w:rPr>
          <w:rFonts w:cs="Times New Roman"/>
          <w:sz w:val="20"/>
          <w:szCs w:val="20"/>
        </w:rPr>
        <w:t>have their sputum samples collected by health care workers</w:t>
      </w:r>
      <w:r w:rsidRPr="00435469">
        <w:rPr>
          <w:rFonts w:cs="Times New Roman"/>
          <w:sz w:val="20"/>
          <w:szCs w:val="20"/>
        </w:rPr>
        <w:t xml:space="preserve"> for microbiological testing, we use estimates of the proportions reported in the few available empirical studies</w:t>
      </w:r>
      <w:r w:rsidR="00195A15" w:rsidRPr="00435469">
        <w:rPr>
          <w:rFonts w:cs="Times New Roman"/>
          <w:sz w:val="20"/>
          <w:szCs w:val="20"/>
        </w:rPr>
        <w:t xml:space="preserve"> from South Africa</w:t>
      </w:r>
      <w:r w:rsidRPr="00435469">
        <w:rPr>
          <w:rFonts w:cs="Times New Roman"/>
          <w:sz w:val="20"/>
          <w:szCs w:val="20"/>
        </w:rPr>
        <w:t xml:space="preserve">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{"citationItems":[{"id":"ITEM-1","itemData":{"DOI":"10.5588/ijtld.12.0506","ISSN":"10273719","abstract":"SETTING: This study was conducted in Cape Town in two primary health care facilities in a sub-district with a high prevalence of bacteriologically confirmed pulmonary tuberculosis (TB). OBJECTIVE: To determine the proportion of adults with respiratory symptoms who attend health care facilities but are not examined for nor diagnosed with TB in facilities where routine TB diagnosis depends on passive case finding. DESIGN: A total of 423 adults with respiratory symptoms exiting primary health care services were consecutively enrolled during April-July 2011. RESULTS: Twenty-one (5%) participants were diagnosed with culture-positive TB. None had sought care at the facility for their respiratory symptoms, none were asked about respiratory symptoms during their visit and none were asked to produce a sputum sample. Nine cases had attended the facility for reasons regarding their own health, while 12 cases were accompanying someone else attending the facility, or for another reason. CONCLUSION: Patients with infectious TB attend primary health care facilities, but are not recognised and diagnosed as cases. Health care staff should search actively within facilities for cases who attend the health care services to ensure that cases are not missed. Intensified case finding should start within the facility, and should not be limited to patients who report respiratory symptoms or who are human immunodeficiency virus positive. © 2013 The Union.","author":[{"dropping-particle":"","family":"Claassens","given":"Mareli Misha","non-dropping-particle":"","parse-names":false,"suffix":""},{"dropping-particle":"","family":"Jacobs","given":"E.","non-dropping-particle":"","parse-names":false,"suffix":""},{"dropping-particle":"","family":"Cyster","given":"E.","non-dropping-particle":"","parse-names":false,"suffix":""},{"dropping-particle":"","family":"Jennings","given":"K.","non-dropping-particle":"","parse-names":false,"suffix":""},{"dropping-particle":"","family":"James","given":"A.","non-dropping-particle":"","parse-names":false,"suffix":""},{"dropping-particle":"","family":"Dunbar","given":"R.","non-dropping-particle":"","parse-names":false,"suffix":""},{"dropping-particle":"","family":"Enarson","given":"D. A.","non-dropping-particle":"","parse-names":false,"suffix":""},{"dropping-particle":"","family":"Borgdorff","given":"M. W.","non-dropping-particle":"","parse-names":false,"suffix":""},{"dropping-particle":"","family":"Beyers","given":"N.","non-dropping-particle":"","parse-names":false,"suffix":""}],"container-title":"International Journal of Tuberculosis and Lung Disease","id":"ITEM-1","issue":"5","issued":{"date-parts":[["2013"]]},"page":"608-614","title":"Tuberculosis cases missed in primary health care facilities: Should we redefine case finding?","type":"article-journal","volume":"17"},"uris":["http://www.mendeley.com/documents/?uuid=f1b76c07-722d-4ac9-8945-07de83f6c41b"]},{"id":"ITEM-2","itemData":{"DOI":"10.5588/ijtld.17.0491","ISSN":"18157920","abstract":"SETTING: The present study was conducted at 20 randomly selected primary health clinics across Buffalo City Metropolitan Health District, a high TB burden district in South Africa. OBJECTIVE : To estimate the proportion of TB patients missed by primary health clinics. DESIGN: We enrolled 1255 TB-symptomatic individuals exiting primary health clinics between March and December 2015. Participants were interviewed and asked to provide sputum for Xpertw MTB/RIF testing. RESULT S : Clinic staff screened 79.1% of participants seeking care for TB-related symptoms and 21.9% of those attending a clinic for other reasons (P, 0.001). Of those screened by clinic staff, 21.5% reported submitting sputum, although only 9.8% had available results. Study staff tested sputum from 779 participants not tested by clinic staff. Of these, 39 (5.0%) individuals tested positive for TB, three of whom were rifampicinresistant; 15/39 (38.5%) were never screened and 24/39 (61.5%) were screened but not tested by clinic staff. We estimate that the health system missed 62.9-78.5% of TB patients attending primary health clinics for TBrelated symptoms and 89.5-100% of those attending a clinic for other reasons. CONCLUS ION: Low rates of TB screening and testing by the health system resulted in missed TB patients. Universal TB screening and testing of symptomatic individuals should be instituted in high TB burden communities in South Africa.","author":[{"dropping-particle":"","family":"Kweza","given":"P. F.","non-dropping-particle":"","parse-names":false,"suffix":""},{"dropping-particle":"","family":"Schalkwyk","given":"C.","non-dropping-particle":"Van","parse-names":false,"suffix":""},{"dropping-particle":"","family":"Abraham","given":"N.","non-dropping-particle":"","parse-names":false,"suffix":""},{"dropping-particle":"","family":"Uys","given":"M.","non-dropping-particle":"","parse-names":false,"suffix":""},{"dropping-particle":"","family":"Claassens","given":"M. M.","non-dropping-particle":"","parse-names":false,"suffix":""},{"dropping-particle":"","family":"Medina-Marino","given":"A.","non-dropping-particle":"","parse-names":false,"suffix":""}],"container-title":"International Journal of Tuberculosis and Lung Disease","id":"ITEM-2","issue":"3","issued":{"date-parts":[["2018"]]},"page":"264-272","title":"Estimating the magnitude of pulmonary tuberculosis patients missed by primary health care clinics in South Africa","type":"article-journal","volume":"22"},"uris":["http://www.mendeley.com/documents/?uuid=749c029e-d26b-4f12-9404-8d37f2001b2e"]},{"id":"ITEM-3","itemData":{"DOI":"10.1371/journal.pone.0138149","ISSN":"19326203","abstract":"Setting 40 primary health clinics (PHCs) in four provinces in South Africa, June 2012-February 2013. Objective To determine whether health care worker (HCW) practice in investigating people with TB symptoms was altered when the initial test for TB was changed from smear microscopy to Xpert MTB/RIF. Design Cross-sectional substudy at clinics participating in a pragmatic cluster randomised trial, Xpert for TB: Evaluating a New Diagnostic \"XTEND\", which evaluated the effect of Xpert MTB/RIF implementation in South Africa. Methods Consecutive adults exiting PHCs reporting at least one TB symptom (defined as any of cough, weight loss, night sweats and fever) were enrolled. The main outcome was the proportion who self-reported having sputum requested by HCW during the clinic encounter just completed. Results 3604 adults exiting PHCs (1676 in Xpert arm, 1928 in microscopy arm) were enrolled (median age 38 years, 71.4% female, 38.8%reported being HIV-positive, 70% reported cough). For 1267 participants (35.2%) the main reason for attending the clinic was TB symptom(s). Overall 2130/3604 (59.1%) said they reported their symptom(s) to HCW. 22.7% (818/3604) reported having been asked to give sputum for TB investigation. Though participants in the Xpert vs. microscopy arm were more likely to have sputum requested by HCW, this was not significantly different: overall (26.0% [436/1676] vs 19.8% [382/1928]; adjusted prevalence ratio [aPR] 1.31, [95% CI 0.78-2.20]) and when restricted to those presenting at clinics due to symptoms (49.1% [260/530] vs 29.9%[220/737]; aPR 1.38 [0.89-2.13]) and those reporting being HIV-positive (29.4% [190/647] vs 20.8%[156/749]; aPR 1.38[0.88-2.16]). Those attending clinic due to TB symptoms, were more likely to have sputum requested if they had increasing number of symptoms; longer duration of cough, unintentional weight loss and night sweats and if they reported symptoms to HCW. Conclusions A large proportion of people exiting PHCs reporting TB symptoms did not get tested. Implementation of Xpert MTB/RIF did not substantially change the probability of testing for TB. Better systems are needed to ensure that opportunities to identify active TB among PHC attendees are not missed. Copyright:","author":[{"dropping-particle":"","family":"Chihota","given":"Violet N.","non-dropping-particle":"","parse-names":false,"suffix":""},{"dropping-particle":"","family":"Ginindza","given":"Sibuse","non-dropping-particle":"","parse-names":false,"suffix":""},{"dropping-particle":"","family":"McCarthy","given":"Kerrigan","non-dropping-particle":"","parse-names":false,"suffix":""},{"dropping-particle":"","family":"Grant","given":"Alison D.","non-dropping-particle":"","parse-names":false,"suffix":""},{"dropping-particle":"","family":"Churchyard","given":"Gavin","non-dropping-particle":"","parse-names":false,"suffix":""},{"dropping-particle":"","family":"Fielding","given":"Katherine","non-dropping-particle":"","parse-names":false,"suffix":""}],"container-title":"PLoS ONE","id":"ITEM-3","issue":"9","issued":{"date-parts":[["2015"]]},"page":"1-11","title":"Missed opportunities for TB investigation in primary care clinics in South Africa: Experience from the XTEND trial","type":"article-journal","volume":"10"},"uris":["http://www.mendeley.com/documents/?uuid=0da145be-aa0b-466b-a729-2b9670f00b55"]}],"mendeley":{"formattedCitation":"(49–51)","plainTextFormattedCitation":"(49–51)","previouslyFormattedCitation":"(49–51)"},"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(49–51)</w:t>
      </w:r>
      <w:r w:rsidRPr="00435469">
        <w:rPr>
          <w:rFonts w:cs="Times New Roman"/>
          <w:sz w:val="20"/>
          <w:szCs w:val="20"/>
        </w:rPr>
        <w:fldChar w:fldCharType="end"/>
      </w:r>
      <w:r w:rsidRPr="00435469">
        <w:rPr>
          <w:rFonts w:cs="Times New Roman"/>
          <w:sz w:val="20"/>
          <w:szCs w:val="20"/>
        </w:rPr>
        <w:t>. We allow these proportions to depend on patients’ reasons for attending the health facility, i.e., TB symptoms or other health conditions reported by patients</w:t>
      </w:r>
      <w:r w:rsidR="00292482" w:rsidRPr="00435469">
        <w:rPr>
          <w:rFonts w:cs="Times New Roman"/>
          <w:sz w:val="20"/>
          <w:szCs w:val="20"/>
        </w:rPr>
        <w:t xml:space="preserve"> (</w:t>
      </w:r>
      <w:r w:rsidR="00292482" w:rsidRPr="00435469">
        <w:rPr>
          <w:rFonts w:cs="Times New Roman"/>
          <w:sz w:val="20"/>
          <w:szCs w:val="20"/>
        </w:rPr>
        <w:fldChar w:fldCharType="begin"/>
      </w:r>
      <w:r w:rsidR="00292482" w:rsidRPr="00435469">
        <w:rPr>
          <w:rFonts w:cs="Times New Roman"/>
          <w:sz w:val="20"/>
          <w:szCs w:val="20"/>
        </w:rPr>
        <w:instrText xml:space="preserve"> REF _Ref103318878 \h </w:instrText>
      </w:r>
      <w:r w:rsidR="00435469">
        <w:rPr>
          <w:rFonts w:cs="Times New Roman"/>
          <w:sz w:val="20"/>
          <w:szCs w:val="20"/>
        </w:rPr>
        <w:instrText xml:space="preserve"> \* MERGEFORMAT </w:instrText>
      </w:r>
      <w:r w:rsidR="00292482" w:rsidRPr="00435469">
        <w:rPr>
          <w:rFonts w:cs="Times New Roman"/>
          <w:sz w:val="20"/>
          <w:szCs w:val="20"/>
        </w:rPr>
      </w:r>
      <w:r w:rsidR="00292482"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6</w:t>
      </w:r>
      <w:r w:rsidR="00292482" w:rsidRPr="00435469">
        <w:rPr>
          <w:rFonts w:cs="Times New Roman"/>
          <w:sz w:val="20"/>
          <w:szCs w:val="20"/>
        </w:rPr>
        <w:fldChar w:fldCharType="end"/>
      </w:r>
      <w:r w:rsidR="00CF597C" w:rsidRPr="00435469">
        <w:rPr>
          <w:rFonts w:cs="Times New Roman"/>
          <w:sz w:val="20"/>
          <w:szCs w:val="20"/>
        </w:rPr>
        <w:t>)</w:t>
      </w:r>
      <w:r w:rsidRPr="00435469">
        <w:rPr>
          <w:rFonts w:cs="Times New Roman"/>
          <w:sz w:val="20"/>
          <w:szCs w:val="20"/>
        </w:rPr>
        <w:t xml:space="preserve">. Although all these studies rely heavily on patients' recall and may lead to biased assumptions, they give an idea of what happens at the health facility level. The </w:t>
      </w:r>
      <w:proofErr w:type="spellStart"/>
      <w:r w:rsidRPr="00435469">
        <w:rPr>
          <w:rFonts w:cs="Times New Roman"/>
          <w:sz w:val="20"/>
          <w:szCs w:val="20"/>
        </w:rPr>
        <w:t>Kweza</w:t>
      </w:r>
      <w:proofErr w:type="spellEnd"/>
      <w:r w:rsidRPr="00435469">
        <w:rPr>
          <w:rFonts w:cs="Times New Roman"/>
          <w:sz w:val="20"/>
          <w:szCs w:val="20"/>
        </w:rPr>
        <w:t xml:space="preserve"> </w:t>
      </w:r>
      <w:r w:rsidRPr="00435469">
        <w:rPr>
          <w:rFonts w:cs="Times New Roman"/>
          <w:i/>
          <w:iCs/>
          <w:sz w:val="20"/>
          <w:szCs w:val="20"/>
        </w:rPr>
        <w:t>et al</w:t>
      </w:r>
      <w:r w:rsidRPr="00435469">
        <w:rPr>
          <w:rFonts w:cs="Times New Roman"/>
          <w:sz w:val="20"/>
          <w:szCs w:val="20"/>
        </w:rPr>
        <w:t xml:space="preserve">. study was conducted across Eastern Cape district facilities, whereas the </w:t>
      </w:r>
      <w:proofErr w:type="spellStart"/>
      <w:r w:rsidRPr="00435469">
        <w:rPr>
          <w:rFonts w:cs="Times New Roman"/>
          <w:sz w:val="20"/>
          <w:szCs w:val="20"/>
        </w:rPr>
        <w:t>Claassens</w:t>
      </w:r>
      <w:proofErr w:type="spellEnd"/>
      <w:r w:rsidRPr="00435469">
        <w:rPr>
          <w:rFonts w:cs="Times New Roman"/>
          <w:sz w:val="20"/>
          <w:szCs w:val="20"/>
        </w:rPr>
        <w:t xml:space="preserve"> </w:t>
      </w:r>
      <w:r w:rsidRPr="00435469">
        <w:rPr>
          <w:rFonts w:cs="Times New Roman"/>
          <w:i/>
          <w:iCs/>
          <w:sz w:val="20"/>
          <w:szCs w:val="20"/>
        </w:rPr>
        <w:t>et al</w:t>
      </w:r>
      <w:r w:rsidRPr="00435469">
        <w:rPr>
          <w:rFonts w:cs="Times New Roman"/>
          <w:sz w:val="20"/>
          <w:szCs w:val="20"/>
        </w:rPr>
        <w:t xml:space="preserve">. study was limited to two primary health care facilities in one sub-district in the Western Cape. The </w:t>
      </w:r>
      <w:proofErr w:type="spellStart"/>
      <w:r w:rsidRPr="00435469">
        <w:rPr>
          <w:rFonts w:cs="Times New Roman"/>
          <w:sz w:val="20"/>
          <w:szCs w:val="20"/>
        </w:rPr>
        <w:t>Claassens</w:t>
      </w:r>
      <w:proofErr w:type="spellEnd"/>
      <w:r w:rsidRPr="00435469">
        <w:rPr>
          <w:rFonts w:cs="Times New Roman"/>
          <w:sz w:val="20"/>
          <w:szCs w:val="20"/>
        </w:rPr>
        <w:t xml:space="preserve"> </w:t>
      </w:r>
      <w:r w:rsidRPr="00435469">
        <w:rPr>
          <w:rFonts w:cs="Times New Roman"/>
          <w:i/>
          <w:iCs/>
          <w:sz w:val="20"/>
          <w:szCs w:val="20"/>
        </w:rPr>
        <w:t xml:space="preserve">et al. </w:t>
      </w:r>
      <w:r w:rsidRPr="00435469">
        <w:rPr>
          <w:rFonts w:cs="Times New Roman"/>
          <w:sz w:val="20"/>
          <w:szCs w:val="20"/>
        </w:rPr>
        <w:t xml:space="preserve">study also had a low response rate, suggesting it is less </w:t>
      </w:r>
      <w:proofErr w:type="spellStart"/>
      <w:r w:rsidRPr="00435469">
        <w:rPr>
          <w:rFonts w:cs="Times New Roman"/>
          <w:sz w:val="20"/>
          <w:szCs w:val="20"/>
        </w:rPr>
        <w:t>generalisable</w:t>
      </w:r>
      <w:proofErr w:type="spellEnd"/>
      <w:r w:rsidRPr="00435469">
        <w:rPr>
          <w:rFonts w:cs="Times New Roman"/>
          <w:sz w:val="20"/>
          <w:szCs w:val="20"/>
        </w:rPr>
        <w:t xml:space="preserve">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{"citationItems":[{"id":"ITEM-1","itemData":{"DOI":"10.5588/ijtld.12.0506","ISSN":"10273719","abstract":"SETTING: This study was conducted in Cape Town in two primary health care facilities in a sub-district with a high prevalence of bacteriologically confirmed pulmonary tuberculosis (TB). OBJECTIVE: To determine the proportion of adults with respiratory symptoms who attend health care facilities but are not examined for nor diagnosed with TB in facilities where routine TB diagnosis depends on passive case finding. DESIGN: A total of 423 adults with respiratory symptoms exiting primary health care services were consecutively enrolled during April-July 2011. RESULTS: Twenty-one (5%) participants were diagnosed with culture-positive TB. None had sought care at the facility for their respiratory symptoms, none were asked about respiratory symptoms during their visit and none were asked to produce a sputum sample. Nine cases had attended the facility for reasons regarding their own health, while 12 cases were accompanying someone else attending the facility, or for another reason. CONCLUSION: Patients with infectious TB attend primary health care facilities, but are not recognised and diagnosed as cases. Health care staff should search actively within facilities for cases who attend the health care services to ensure that cases are not missed. Intensified case finding should start within the facility, and should not be limited to patients who report respiratory symptoms or who are human immunodeficiency virus positive. © 2013 The Union.","author":[{"dropping-particle":"","family":"Claassens","given":"Mareli Misha","non-dropping-particle":"","parse-names":false,"suffix":""},{"dropping-particle":"","family":"Jacobs","given":"E.","non-dropping-particle":"","parse-names":false,"suffix":""},{"dropping-particle":"","family":"Cyster","given":"E.","non-dropping-particle":"","parse-names":false,"suffix":""},{"dropping-particle":"","family":"Jennings","given":"K.","non-dropping-particle":"","parse-names":false,"suffix":""},{"dropping-particle":"","family":"James","given":"A.","non-dropping-particle":"","parse-names":false,"suffix":""},{"dropping-particle":"","family":"Dunbar","given":"R.","non-dropping-particle":"","parse-names":false,"suffix":""},{"dropping-particle":"","family":"Enarson","given":"D. A.","non-dropping-particle":"","parse-names":false,"suffix":""},{"dropping-particle":"","family":"Borgdorff","given":"M. W.","non-dropping-particle":"","parse-names":false,"suffix":""},{"dropping-particle":"","family":"Beyers","given":"N.","non-dropping-particle":"","parse-names":false,"suffix":""}],"container-title":"International Journal of Tuberculosis and Lung Disease","id":"ITEM-1","issue":"5","issued":{"date-parts":[["2013"]]},"page":"608-614","title":"Tuberculosis cases missed in primary health care facilities: Should we redefine case finding?","type":"article-journal","volume":"17"},"uris":["http://www.mendeley.com/documents/?uuid=0cb2af0a-276f-48f5-99ef-5c7fa5141b4f"]}],"mendeley":{"formattedCitation":"(50)","plainTextFormattedCitation":"(50)","previouslyFormattedCitation":"(50)"},"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(50)</w:t>
      </w:r>
      <w:r w:rsidRPr="00435469">
        <w:rPr>
          <w:rFonts w:cs="Times New Roman"/>
          <w:sz w:val="20"/>
          <w:szCs w:val="20"/>
        </w:rPr>
        <w:fldChar w:fldCharType="end"/>
      </w:r>
      <w:r w:rsidR="00630201" w:rsidRPr="00435469">
        <w:rPr>
          <w:rFonts w:cs="Times New Roman"/>
          <w:sz w:val="20"/>
          <w:szCs w:val="20"/>
        </w:rPr>
        <w:t xml:space="preserve">. </w:t>
      </w:r>
      <w:r w:rsidR="006857DE" w:rsidRPr="00435469">
        <w:rPr>
          <w:rFonts w:cs="Times New Roman"/>
          <w:sz w:val="20"/>
          <w:szCs w:val="20"/>
        </w:rPr>
        <w:t xml:space="preserve">The </w:t>
      </w:r>
      <w:proofErr w:type="spellStart"/>
      <w:r w:rsidR="00630201" w:rsidRPr="00435469">
        <w:rPr>
          <w:sz w:val="20"/>
          <w:szCs w:val="20"/>
        </w:rPr>
        <w:t>Chihota</w:t>
      </w:r>
      <w:proofErr w:type="spellEnd"/>
      <w:r w:rsidR="006857DE" w:rsidRPr="00435469">
        <w:rPr>
          <w:sz w:val="20"/>
          <w:szCs w:val="20"/>
        </w:rPr>
        <w:t xml:space="preserve"> </w:t>
      </w:r>
      <w:r w:rsidR="006857DE" w:rsidRPr="00435469">
        <w:rPr>
          <w:i/>
          <w:iCs/>
          <w:sz w:val="20"/>
          <w:szCs w:val="20"/>
        </w:rPr>
        <w:t>et al.</w:t>
      </w:r>
      <w:r w:rsidR="00630201" w:rsidRPr="00435469">
        <w:rPr>
          <w:sz w:val="20"/>
          <w:szCs w:val="20"/>
        </w:rPr>
        <w:t xml:space="preserve"> study</w:t>
      </w:r>
      <w:r w:rsidR="006857DE" w:rsidRPr="00435469">
        <w:rPr>
          <w:sz w:val="20"/>
          <w:szCs w:val="20"/>
        </w:rPr>
        <w:t xml:space="preserve"> </w:t>
      </w:r>
      <w:r w:rsidR="00630201" w:rsidRPr="00435469">
        <w:rPr>
          <w:sz w:val="20"/>
          <w:szCs w:val="20"/>
        </w:rPr>
        <w:t xml:space="preserve">was a </w:t>
      </w:r>
      <w:r w:rsidR="00FD165B" w:rsidRPr="00435469">
        <w:rPr>
          <w:sz w:val="20"/>
          <w:szCs w:val="20"/>
          <w:lang w:val="en-ZA"/>
        </w:rPr>
        <w:t>pragmatic cluster randomised trial assessing</w:t>
      </w:r>
      <w:r w:rsidR="00AF1769" w:rsidRPr="00435469">
        <w:rPr>
          <w:sz w:val="20"/>
          <w:szCs w:val="20"/>
          <w:lang w:val="en-ZA"/>
        </w:rPr>
        <w:t xml:space="preserve"> whether health care worker practice in </w:t>
      </w:r>
      <w:r w:rsidR="00662951" w:rsidRPr="00435469">
        <w:rPr>
          <w:sz w:val="20"/>
          <w:szCs w:val="20"/>
          <w:lang w:val="en-ZA"/>
        </w:rPr>
        <w:t>examining</w:t>
      </w:r>
      <w:r w:rsidR="00AF1769" w:rsidRPr="00435469">
        <w:rPr>
          <w:sz w:val="20"/>
          <w:szCs w:val="20"/>
          <w:lang w:val="en-ZA"/>
        </w:rPr>
        <w:t xml:space="preserve"> people with TB</w:t>
      </w:r>
      <w:r w:rsidR="00580287" w:rsidRPr="00435469">
        <w:rPr>
          <w:sz w:val="20"/>
          <w:szCs w:val="20"/>
          <w:lang w:val="en-ZA"/>
        </w:rPr>
        <w:t xml:space="preserve"> </w:t>
      </w:r>
      <w:r w:rsidR="00AF1769" w:rsidRPr="00435469">
        <w:rPr>
          <w:sz w:val="20"/>
          <w:szCs w:val="20"/>
          <w:lang w:val="en-ZA"/>
        </w:rPr>
        <w:t xml:space="preserve">symptoms </w:t>
      </w:r>
      <w:r w:rsidR="004A42B3" w:rsidRPr="00435469">
        <w:rPr>
          <w:sz w:val="20"/>
          <w:szCs w:val="20"/>
          <w:lang w:val="en-ZA"/>
        </w:rPr>
        <w:t>changed</w:t>
      </w:r>
      <w:r w:rsidR="00AF1769" w:rsidRPr="00435469">
        <w:rPr>
          <w:sz w:val="20"/>
          <w:szCs w:val="20"/>
          <w:lang w:val="en-ZA"/>
        </w:rPr>
        <w:t xml:space="preserve"> when the initial test for TB </w:t>
      </w:r>
      <w:r w:rsidR="004A42B3" w:rsidRPr="00435469">
        <w:rPr>
          <w:sz w:val="20"/>
          <w:szCs w:val="20"/>
          <w:lang w:val="en-ZA"/>
        </w:rPr>
        <w:t>switched</w:t>
      </w:r>
      <w:r w:rsidR="00AF1769" w:rsidRPr="00435469">
        <w:rPr>
          <w:sz w:val="20"/>
          <w:szCs w:val="20"/>
          <w:lang w:val="en-ZA"/>
        </w:rPr>
        <w:t xml:space="preserve"> from smear microscopy to</w:t>
      </w:r>
      <w:r w:rsidR="00906C20" w:rsidRPr="00435469">
        <w:rPr>
          <w:sz w:val="20"/>
          <w:szCs w:val="20"/>
          <w:lang w:val="en-ZA"/>
        </w:rPr>
        <w:t xml:space="preserve"> </w:t>
      </w:r>
      <w:r w:rsidR="00B9165F" w:rsidRPr="00435469">
        <w:rPr>
          <w:sz w:val="20"/>
          <w:szCs w:val="20"/>
          <w:lang w:val="en-ZA"/>
        </w:rPr>
        <w:t>Gene</w:t>
      </w:r>
      <w:r w:rsidR="00AF1769" w:rsidRPr="00435469">
        <w:rPr>
          <w:sz w:val="20"/>
          <w:szCs w:val="20"/>
          <w:lang w:val="en-ZA"/>
        </w:rPr>
        <w:t>Xpert MTB/RIF</w:t>
      </w:r>
      <w:r w:rsidR="00906C20" w:rsidRPr="00435469">
        <w:rPr>
          <w:sz w:val="20"/>
          <w:szCs w:val="20"/>
          <w:lang w:val="en-ZA"/>
        </w:rPr>
        <w:t xml:space="preserve">, </w:t>
      </w:r>
      <w:r w:rsidR="00AF596D" w:rsidRPr="00435469">
        <w:rPr>
          <w:sz w:val="20"/>
          <w:szCs w:val="20"/>
          <w:lang w:val="en-ZA"/>
        </w:rPr>
        <w:t>so</w:t>
      </w:r>
      <w:r w:rsidR="00D8599F" w:rsidRPr="00435469">
        <w:rPr>
          <w:sz w:val="20"/>
          <w:szCs w:val="20"/>
          <w:lang w:val="en-ZA"/>
        </w:rPr>
        <w:t xml:space="preserve"> the</w:t>
      </w:r>
      <w:r w:rsidR="00AF596D" w:rsidRPr="00435469">
        <w:rPr>
          <w:sz w:val="20"/>
          <w:szCs w:val="20"/>
          <w:lang w:val="en-ZA"/>
        </w:rPr>
        <w:t xml:space="preserve"> </w:t>
      </w:r>
      <w:r w:rsidR="00630201" w:rsidRPr="00435469">
        <w:rPr>
          <w:sz w:val="20"/>
          <w:szCs w:val="20"/>
        </w:rPr>
        <w:t xml:space="preserve">results </w:t>
      </w:r>
      <w:r w:rsidR="00AF596D" w:rsidRPr="00435469">
        <w:rPr>
          <w:sz w:val="20"/>
          <w:szCs w:val="20"/>
        </w:rPr>
        <w:t>were</w:t>
      </w:r>
      <w:r w:rsidR="00630201" w:rsidRPr="00435469">
        <w:rPr>
          <w:sz w:val="20"/>
          <w:szCs w:val="20"/>
        </w:rPr>
        <w:t xml:space="preserve"> presented separately for the two trial arms</w:t>
      </w:r>
      <w:r w:rsidRPr="00435469">
        <w:rPr>
          <w:rFonts w:cs="Times New Roman"/>
          <w:sz w:val="20"/>
          <w:szCs w:val="20"/>
        </w:rPr>
        <w:t>.</w:t>
      </w:r>
      <w:bookmarkStart w:id="129" w:name="_Ref80178515"/>
      <w:bookmarkStart w:id="130" w:name="_Toc80352722"/>
      <w:bookmarkStart w:id="131" w:name="_Toc87863398"/>
    </w:p>
    <w:p w14:paraId="158097A0" w14:textId="6C260162" w:rsidR="00971F36" w:rsidRPr="00435469" w:rsidRDefault="00971F36" w:rsidP="002E4328">
      <w:pPr>
        <w:pStyle w:val="3CaptionBelowwithNote"/>
        <w:ind w:left="0" w:firstLine="0"/>
        <w:rPr>
          <w:iCs/>
          <w:sz w:val="20"/>
          <w:szCs w:val="20"/>
        </w:rPr>
      </w:pPr>
      <w:bookmarkStart w:id="132" w:name="_Ref103318878"/>
      <w:bookmarkStart w:id="133" w:name="_Toc103253659"/>
      <w:r w:rsidRPr="00435469">
        <w:rPr>
          <w:sz w:val="20"/>
          <w:szCs w:val="20"/>
        </w:rPr>
        <w:t xml:space="preserve">Table </w:t>
      </w:r>
      <w:r w:rsidRPr="00435469">
        <w:rPr>
          <w:iCs/>
          <w:noProof w:val="0"/>
          <w:sz w:val="20"/>
          <w:szCs w:val="20"/>
        </w:rPr>
        <w:fldChar w:fldCharType="begin"/>
      </w:r>
      <w:r w:rsidRPr="00435469">
        <w:rPr>
          <w:sz w:val="20"/>
          <w:szCs w:val="20"/>
        </w:rPr>
        <w:instrText xml:space="preserve"> SEQ Table \* ARABIC </w:instrText>
      </w:r>
      <w:r w:rsidRPr="00435469">
        <w:rPr>
          <w:iCs/>
          <w:noProof w:val="0"/>
          <w:sz w:val="20"/>
          <w:szCs w:val="20"/>
        </w:rPr>
        <w:fldChar w:fldCharType="separate"/>
      </w:r>
      <w:r w:rsidR="00186C2F" w:rsidRPr="00435469">
        <w:rPr>
          <w:sz w:val="20"/>
          <w:szCs w:val="20"/>
        </w:rPr>
        <w:t>6</w:t>
      </w:r>
      <w:r w:rsidRPr="00435469">
        <w:rPr>
          <w:iCs/>
          <w:sz w:val="20"/>
          <w:szCs w:val="20"/>
        </w:rPr>
        <w:fldChar w:fldCharType="end"/>
      </w:r>
      <w:bookmarkEnd w:id="129"/>
      <w:bookmarkEnd w:id="132"/>
      <w:r w:rsidRPr="00435469">
        <w:rPr>
          <w:sz w:val="20"/>
          <w:szCs w:val="20"/>
        </w:rPr>
        <w:t xml:space="preserve">: Proportions of patients with TB symptoms who </w:t>
      </w:r>
      <w:r w:rsidR="00CF597C" w:rsidRPr="00435469">
        <w:rPr>
          <w:sz w:val="20"/>
          <w:szCs w:val="20"/>
        </w:rPr>
        <w:t xml:space="preserve">are screened </w:t>
      </w:r>
      <w:r w:rsidR="001C1A1F" w:rsidRPr="00435469">
        <w:rPr>
          <w:sz w:val="20"/>
          <w:szCs w:val="20"/>
        </w:rPr>
        <w:t xml:space="preserve">and </w:t>
      </w:r>
      <w:r w:rsidRPr="00435469">
        <w:rPr>
          <w:sz w:val="20"/>
          <w:szCs w:val="20"/>
        </w:rPr>
        <w:t>submit sputum</w:t>
      </w:r>
      <w:bookmarkEnd w:id="130"/>
      <w:bookmarkEnd w:id="131"/>
      <w:r w:rsidR="001C1A1F" w:rsidRPr="00435469">
        <w:rPr>
          <w:sz w:val="20"/>
          <w:szCs w:val="20"/>
        </w:rPr>
        <w:t xml:space="preserve"> specimens</w:t>
      </w:r>
      <w:bookmarkEnd w:id="133"/>
      <w:r w:rsidRPr="00435469">
        <w:rPr>
          <w:sz w:val="20"/>
          <w:szCs w:val="20"/>
        </w:rPr>
        <w:t xml:space="preserve"> </w:t>
      </w:r>
    </w:p>
    <w:tbl>
      <w:tblPr>
        <w:tblW w:w="8188" w:type="dxa"/>
        <w:tblInd w:w="-108" w:type="dxa"/>
        <w:tblBorders>
          <w:top w:val="single" w:sz="4" w:space="0" w:color="auto"/>
          <w:bottom w:val="single" w:sz="4" w:space="0" w:color="auto"/>
        </w:tblBorders>
        <w:tblLook w:val="04A0" w:firstRow="1" w:lastRow="0" w:firstColumn="1" w:lastColumn="0" w:noHBand="0" w:noVBand="1"/>
      </w:tblPr>
      <w:tblGrid>
        <w:gridCol w:w="108"/>
        <w:gridCol w:w="2410"/>
        <w:gridCol w:w="1701"/>
        <w:gridCol w:w="1559"/>
        <w:gridCol w:w="230"/>
        <w:gridCol w:w="1844"/>
        <w:gridCol w:w="336"/>
      </w:tblGrid>
      <w:tr w:rsidR="00304411" w:rsidRPr="00435469" w14:paraId="4C345B13" w14:textId="77777777" w:rsidTr="00B6149B">
        <w:trPr>
          <w:gridBefore w:val="1"/>
          <w:gridAfter w:val="1"/>
          <w:wBefore w:w="108" w:type="dxa"/>
          <w:wAfter w:w="336" w:type="dxa"/>
          <w:trHeight w:val="283"/>
        </w:trPr>
        <w:tc>
          <w:tcPr>
            <w:tcW w:w="2410" w:type="dxa"/>
            <w:tcBorders>
              <w:bottom w:val="nil"/>
            </w:tcBorders>
            <w:shd w:val="clear" w:color="auto" w:fill="auto"/>
            <w:noWrap/>
            <w:vAlign w:val="bottom"/>
            <w:hideMark/>
          </w:tcPr>
          <w:p w14:paraId="01458C94" w14:textId="77777777" w:rsidR="00971F36" w:rsidRPr="00435469" w:rsidRDefault="00971F36" w:rsidP="00AD6E54">
            <w:pPr>
              <w:pStyle w:val="3TableData"/>
            </w:pPr>
          </w:p>
        </w:tc>
        <w:tc>
          <w:tcPr>
            <w:tcW w:w="3260" w:type="dxa"/>
            <w:gridSpan w:val="2"/>
            <w:tcBorders>
              <w:top w:val="single" w:sz="4" w:space="0" w:color="auto"/>
              <w:bottom w:val="single" w:sz="4" w:space="0" w:color="auto"/>
            </w:tcBorders>
            <w:shd w:val="clear" w:color="auto" w:fill="auto"/>
            <w:noWrap/>
            <w:vAlign w:val="bottom"/>
            <w:hideMark/>
          </w:tcPr>
          <w:p w14:paraId="642EB243" w14:textId="77777777" w:rsidR="00971F36" w:rsidRPr="00435469" w:rsidRDefault="00971F36" w:rsidP="00AD6E54">
            <w:pPr>
              <w:pStyle w:val="3TableData"/>
            </w:pPr>
            <w:r w:rsidRPr="00435469">
              <w:t>Reason for attending a health facility</w:t>
            </w:r>
          </w:p>
        </w:tc>
        <w:tc>
          <w:tcPr>
            <w:tcW w:w="2074" w:type="dxa"/>
            <w:gridSpan w:val="2"/>
            <w:tcBorders>
              <w:bottom w:val="nil"/>
            </w:tcBorders>
            <w:shd w:val="clear" w:color="auto" w:fill="auto"/>
            <w:noWrap/>
            <w:vAlign w:val="bottom"/>
            <w:hideMark/>
          </w:tcPr>
          <w:p w14:paraId="6E79A824" w14:textId="77777777" w:rsidR="00971F36" w:rsidRPr="00435469" w:rsidRDefault="00971F36" w:rsidP="00AD6E54">
            <w:pPr>
              <w:pStyle w:val="3TableData"/>
            </w:pPr>
          </w:p>
        </w:tc>
      </w:tr>
      <w:tr w:rsidR="00304411" w:rsidRPr="00435469" w14:paraId="2D121DD6" w14:textId="77777777" w:rsidTr="00637631">
        <w:trPr>
          <w:trHeight w:val="283"/>
        </w:trPr>
        <w:tc>
          <w:tcPr>
            <w:tcW w:w="2518" w:type="dxa"/>
            <w:gridSpan w:val="2"/>
            <w:tcBorders>
              <w:top w:val="nil"/>
              <w:bottom w:val="nil"/>
            </w:tcBorders>
            <w:shd w:val="clear" w:color="auto" w:fill="auto"/>
            <w:noWrap/>
            <w:vAlign w:val="bottom"/>
            <w:hideMark/>
          </w:tcPr>
          <w:p w14:paraId="0F96B442" w14:textId="77777777" w:rsidR="00971F36" w:rsidRPr="00435469" w:rsidRDefault="00971F36" w:rsidP="00AD6E54">
            <w:pPr>
              <w:pStyle w:val="3TableData"/>
            </w:pPr>
            <w:r w:rsidRPr="00435469">
              <w:t xml:space="preserve">Study </w:t>
            </w:r>
          </w:p>
        </w:tc>
        <w:tc>
          <w:tcPr>
            <w:tcW w:w="1701" w:type="dxa"/>
            <w:tcBorders>
              <w:top w:val="single" w:sz="4" w:space="0" w:color="auto"/>
              <w:bottom w:val="single" w:sz="4" w:space="0" w:color="auto"/>
            </w:tcBorders>
            <w:shd w:val="clear" w:color="auto" w:fill="auto"/>
            <w:noWrap/>
            <w:vAlign w:val="bottom"/>
            <w:hideMark/>
          </w:tcPr>
          <w:p w14:paraId="238DFEFA" w14:textId="77777777" w:rsidR="00971F36" w:rsidRPr="00435469" w:rsidRDefault="00971F36" w:rsidP="00AD6E54">
            <w:pPr>
              <w:pStyle w:val="3TableData"/>
            </w:pPr>
            <w:r w:rsidRPr="00435469">
              <w:t>TB symptoms</w:t>
            </w:r>
          </w:p>
          <w:p w14:paraId="197B7CBD" w14:textId="096A93C5" w:rsidR="00971F36" w:rsidRPr="00435469" w:rsidRDefault="00000000" w:rsidP="00AD6E54">
            <w:pPr>
              <w:pStyle w:val="3TableData"/>
            </w:pPr>
            <m:oMathPara>
              <m:oMathParaPr>
                <m:jc m:val="left"/>
              </m:oMathParaPr>
              <m:oMath>
                <m:sSub>
                  <m:sSubPr>
                    <m:ctrlPr>
                      <w:rPr>
                        <w:rFonts w:ascii="Cambria Math" w:hAnsi="Cambria Math"/>
                      </w:rPr>
                    </m:ctrlPr>
                  </m:sSubPr>
                  <m:e>
                    <m:r>
                      <m:rPr>
                        <m:sty m:val="bi"/>
                      </m:rPr>
                      <w:rPr>
                        <w:rFonts w:ascii="Cambria Math" w:hAnsi="Cambria Math"/>
                      </w:rPr>
                      <m:t>p</m:t>
                    </m:r>
                  </m:e>
                  <m:sub>
                    <m:r>
                      <m:rPr>
                        <m:sty m:val="b"/>
                      </m:rPr>
                      <w:rPr>
                        <w:rFonts w:ascii="Cambria Math" w:hAnsi="Cambria Math"/>
                      </w:rPr>
                      <m:t>1</m:t>
                    </m:r>
                  </m:sub>
                </m:sSub>
                <m:r>
                  <m:rPr>
                    <m:sty m:val="p"/>
                  </m:rPr>
                  <w:rPr>
                    <w:rFonts w:ascii="Cambria Math" w:hAnsi="Cambria Math"/>
                  </w:rPr>
                  <m:t>(</m:t>
                </m:r>
                <m:r>
                  <m:rPr>
                    <m:sty m:val="bi"/>
                  </m:rPr>
                  <w:rPr>
                    <w:rFonts w:ascii="Cambria Math" w:hAnsi="Cambria Math"/>
                  </w:rPr>
                  <m:t>t</m:t>
                </m:r>
                <m:r>
                  <m:rPr>
                    <m:sty m:val="p"/>
                  </m:rPr>
                  <w:rPr>
                    <w:rFonts w:ascii="Cambria Math" w:hAnsi="Cambria Math"/>
                  </w:rPr>
                  <m:t>)</m:t>
                </m:r>
              </m:oMath>
            </m:oMathPara>
          </w:p>
        </w:tc>
        <w:tc>
          <w:tcPr>
            <w:tcW w:w="1789" w:type="dxa"/>
            <w:gridSpan w:val="2"/>
            <w:tcBorders>
              <w:top w:val="single" w:sz="4" w:space="0" w:color="auto"/>
              <w:bottom w:val="single" w:sz="4" w:space="0" w:color="auto"/>
            </w:tcBorders>
            <w:shd w:val="clear" w:color="auto" w:fill="auto"/>
            <w:noWrap/>
            <w:vAlign w:val="bottom"/>
            <w:hideMark/>
          </w:tcPr>
          <w:p w14:paraId="316D0FD0" w14:textId="77777777" w:rsidR="00971F36" w:rsidRPr="00435469" w:rsidRDefault="00971F36" w:rsidP="00AD6E54">
            <w:pPr>
              <w:pStyle w:val="3TableData"/>
            </w:pPr>
            <w:r w:rsidRPr="00435469">
              <w:t>Other reasons</w:t>
            </w:r>
          </w:p>
          <w:p w14:paraId="40047E65" w14:textId="42EC4417" w:rsidR="00971F36" w:rsidRPr="00435469" w:rsidRDefault="00000000" w:rsidP="00AD6E54">
            <w:pPr>
              <w:pStyle w:val="3TableData"/>
            </w:pPr>
            <m:oMathPara>
              <m:oMathParaPr>
                <m:jc m:val="left"/>
              </m:oMathParaPr>
              <m:oMath>
                <m:sSub>
                  <m:sSubPr>
                    <m:ctrlPr>
                      <w:rPr>
                        <w:rFonts w:ascii="Cambria Math" w:hAnsi="Cambria Math"/>
                      </w:rPr>
                    </m:ctrlPr>
                  </m:sSubPr>
                  <m:e>
                    <m:r>
                      <m:rPr>
                        <m:sty m:val="bi"/>
                      </m:rPr>
                      <w:rPr>
                        <w:rFonts w:ascii="Cambria Math" w:hAnsi="Cambria Math"/>
                      </w:rPr>
                      <m:t>p</m:t>
                    </m:r>
                  </m:e>
                  <m:sub>
                    <m:r>
                      <m:rPr>
                        <m:sty m:val="b"/>
                      </m:rPr>
                      <w:rPr>
                        <w:rFonts w:ascii="Cambria Math" w:hAnsi="Cambria Math"/>
                      </w:rPr>
                      <m:t>2</m:t>
                    </m:r>
                  </m:sub>
                </m:sSub>
                <m:r>
                  <m:rPr>
                    <m:sty m:val="p"/>
                  </m:rPr>
                  <w:rPr>
                    <w:rFonts w:ascii="Cambria Math" w:hAnsi="Cambria Math"/>
                  </w:rPr>
                  <m:t>(</m:t>
                </m:r>
                <m:r>
                  <m:rPr>
                    <m:sty m:val="bi"/>
                  </m:rPr>
                  <w:rPr>
                    <w:rFonts w:ascii="Cambria Math" w:hAnsi="Cambria Math"/>
                  </w:rPr>
                  <m:t>t</m:t>
                </m:r>
                <m:r>
                  <m:rPr>
                    <m:sty m:val="p"/>
                  </m:rPr>
                  <w:rPr>
                    <w:rFonts w:ascii="Cambria Math" w:hAnsi="Cambria Math"/>
                  </w:rPr>
                  <m:t>)</m:t>
                </m:r>
              </m:oMath>
            </m:oMathPara>
          </w:p>
        </w:tc>
        <w:tc>
          <w:tcPr>
            <w:tcW w:w="2180" w:type="dxa"/>
            <w:gridSpan w:val="2"/>
            <w:tcBorders>
              <w:top w:val="nil"/>
              <w:bottom w:val="single" w:sz="4" w:space="0" w:color="auto"/>
            </w:tcBorders>
            <w:shd w:val="clear" w:color="auto" w:fill="auto"/>
            <w:noWrap/>
            <w:vAlign w:val="bottom"/>
            <w:hideMark/>
          </w:tcPr>
          <w:p w14:paraId="0771CEBF" w14:textId="77777777" w:rsidR="00971F36" w:rsidRPr="00435469" w:rsidRDefault="00971F36" w:rsidP="00AD6E54">
            <w:pPr>
              <w:pStyle w:val="3TableData"/>
            </w:pPr>
            <w:r w:rsidRPr="00435469">
              <w:t>Ratio</w:t>
            </w:r>
          </w:p>
          <w:p w14:paraId="34153800" w14:textId="197047DF" w:rsidR="00971F36" w:rsidRPr="00435469" w:rsidRDefault="00297EA3" w:rsidP="00AD6E54">
            <w:pPr>
              <w:pStyle w:val="3TableData"/>
            </w:pPr>
            <m:oMath>
              <m:r>
                <m:rPr>
                  <m:sty m:val="bi"/>
                </m:rPr>
                <w:rPr>
                  <w:rFonts w:ascii="Cambria Math" w:hAnsi="Cambria Math"/>
                </w:rPr>
                <m:t>r</m:t>
              </m:r>
              <m:r>
                <m:rPr>
                  <m:sty m:val="p"/>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
                    </m:rPr>
                    <w:rPr>
                      <w:rFonts w:ascii="Cambria Math" w:hAnsi="Cambria Math"/>
                    </w:rPr>
                    <m:t>1</m:t>
                  </m:r>
                </m:sub>
              </m:sSub>
              <m:r>
                <m:rPr>
                  <m:sty m:val="p"/>
                </m:rPr>
                <w:rPr>
                  <w:rFonts w:ascii="Cambria Math" w:hAnsi="Cambria Math"/>
                </w:rPr>
                <m:t>(</m:t>
              </m:r>
              <m:r>
                <m:rPr>
                  <m:sty m:val="bi"/>
                </m:rPr>
                <w:rPr>
                  <w:rFonts w:ascii="Cambria Math" w:hAnsi="Cambria Math"/>
                </w:rPr>
                <m:t>t</m:t>
              </m:r>
              <m:r>
                <m:rPr>
                  <m:sty m:val="p"/>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
                    </m:rPr>
                    <w:rPr>
                      <w:rFonts w:ascii="Cambria Math" w:hAnsi="Cambria Math"/>
                    </w:rPr>
                    <m:t>2</m:t>
                  </m:r>
                </m:sub>
              </m:sSub>
              <m:r>
                <m:rPr>
                  <m:sty m:val="p"/>
                </m:rPr>
                <w:rPr>
                  <w:rFonts w:ascii="Cambria Math" w:hAnsi="Cambria Math"/>
                </w:rPr>
                <m:t>(</m:t>
              </m:r>
              <m:r>
                <m:rPr>
                  <m:sty m:val="bi"/>
                </m:rPr>
                <w:rPr>
                  <w:rFonts w:ascii="Cambria Math" w:hAnsi="Cambria Math"/>
                </w:rPr>
                <m:t>t</m:t>
              </m:r>
              <m:r>
                <m:rPr>
                  <m:sty m:val="p"/>
                </m:rPr>
                <w:rPr>
                  <w:rFonts w:ascii="Cambria Math" w:hAnsi="Cambria Math"/>
                </w:rPr>
                <m:t>)</m:t>
              </m:r>
            </m:oMath>
            <w:r w:rsidR="000C21B5" w:rsidRPr="00435469">
              <w:rPr>
                <w:rFonts w:eastAsiaTheme="minorEastAsia"/>
              </w:rPr>
              <w:t xml:space="preserve"> </w:t>
            </w:r>
          </w:p>
        </w:tc>
      </w:tr>
      <w:tr w:rsidR="00304411" w:rsidRPr="00435469" w14:paraId="68483507" w14:textId="77777777" w:rsidTr="00637631">
        <w:trPr>
          <w:trHeight w:val="283"/>
        </w:trPr>
        <w:tc>
          <w:tcPr>
            <w:tcW w:w="2518" w:type="dxa"/>
            <w:gridSpan w:val="2"/>
            <w:tcBorders>
              <w:top w:val="nil"/>
              <w:bottom w:val="nil"/>
            </w:tcBorders>
            <w:shd w:val="clear" w:color="auto" w:fill="auto"/>
            <w:noWrap/>
            <w:vAlign w:val="bottom"/>
            <w:hideMark/>
          </w:tcPr>
          <w:p w14:paraId="2B0F594F" w14:textId="3C494AD8" w:rsidR="00971F36" w:rsidRPr="00435469" w:rsidRDefault="00971F36" w:rsidP="00AD6E54">
            <w:pPr>
              <w:pStyle w:val="3TableData"/>
            </w:pPr>
            <w:proofErr w:type="spellStart"/>
            <w:r w:rsidRPr="00435469">
              <w:t>Claassens</w:t>
            </w:r>
            <w:proofErr w:type="spellEnd"/>
            <w:r w:rsidRPr="00435469">
              <w:t xml:space="preserve"> et al. (2013) </w:t>
            </w:r>
            <w:r w:rsidRPr="00435469">
              <w:fldChar w:fldCharType="begin" w:fldLock="1"/>
            </w:r>
            <w:r w:rsidR="002F049E" w:rsidRPr="00435469">
              <w:instrText>ADDIN CSL_CITATION {"citationItems":[{"id":"ITEM-1","itemData":{"DOI":"10.5588/ijtld.12.0506","ISSN":"10273719","abstract":"SETTING: This study was conducted in Cape Town in two primary health care facilities in a sub-district with a high prevalence of bacteriologically confirmed pulmonary tuberculosis (TB). OBJECTIVE: To determine the proportion of adults with respiratory symptoms who attend health care facilities but are not examined for nor diagnosed with TB in facilities where routine TB diagnosis depends on passive case finding. DESIGN: A total of 423 adults with respiratory symptoms exiting primary health care services were consecutively enrolled during April-July 2011. RESULTS: Twenty-one (5%) participants were diagnosed with culture-positive TB. None had sought care at the facility for their respiratory symptoms, none were asked about respiratory symptoms during their visit and none were asked to produce a sputum sample. Nine cases had attended the facility for reasons regarding their own health, while 12 cases were accompanying someone else attending the facility, or for another reason. CONCLUSION: Patients with infectious TB attend primary health care facilities, but are not recognised and diagnosed as cases. Health care staff should search actively within facilities for cases who attend the health care services to ensure that cases are not missed. Intensified case finding should start within the facility, and should not be limited to patients who report respiratory symptoms or who are human immunodeficiency virus positive. © 2013 The Union.","author":[{"dropping-particle":"","family":"Claassens","given":"Mareli Misha","non-dropping-particle":"","parse-names":false,"suffix":""},{"dropping-particle":"","family":"Jacobs","given":"E.","non-dropping-particle":"","parse-names":false,"suffix":""},{"dropping-particle":"","family":"Cyster","given":"E.","non-dropping-particle":"","parse-names":false,"suffix":""},{"dropping-particle":"","family":"Jennings","given":"K.","non-dropping-particle":"","parse-names":false,"suffix":""},{"dropping-particle":"","family":"James","given":"A.","non-dropping-particle":"","parse-names":false,"suffix":""},{"dropping-particle":"","family":"Dunbar","given":"R.","non-dropping-particle":"","parse-names":false,"suffix":""},{"dropping-particle":"","family":"Enarson","given":"D. A.","non-dropping-particle":"","parse-names":false,"suffix":""},{"dropping-particle":"","family":"Borgdorff","given":"M. W.","non-dropping-particle":"","parse-names":false,"suffix":""},{"dropping-particle":"","family":"Beyers","given":"N.","non-dropping-particle":"","parse-names":false,"suffix":""}],"container-title":"International Journal of Tuberculosis and Lung Disease","id":"ITEM-1","issue":"5","issued":{"date-parts":[["2013"]]},"page":"608-614","title":"Tuberculosis cases missed in primary health care facilities: Should we redefine case finding?","type":"article-journal","volume":"17"},"uris":["http://www.mendeley.com/documents/?uuid=0cb2af0a-276f-48f5-99ef-5c7fa5141b4f"]}],"mendeley":{"formattedCitation":"(50)","plainTextFormattedCitation":"(50)","previouslyFormattedCitation":"(50)"},"properties":{"noteIndex":0},"schema":"https://github.com/citation-style-language/schema/raw/master/csl-citation.json"}</w:instrText>
            </w:r>
            <w:r w:rsidRPr="00435469">
              <w:fldChar w:fldCharType="separate"/>
            </w:r>
            <w:r w:rsidR="0063047A" w:rsidRPr="00435469">
              <w:rPr>
                <w:noProof/>
              </w:rPr>
              <w:t>(50)</w:t>
            </w:r>
            <w:r w:rsidRPr="00435469">
              <w:fldChar w:fldCharType="end"/>
            </w:r>
          </w:p>
        </w:tc>
        <w:tc>
          <w:tcPr>
            <w:tcW w:w="1701" w:type="dxa"/>
            <w:tcBorders>
              <w:top w:val="single" w:sz="4" w:space="0" w:color="auto"/>
            </w:tcBorders>
            <w:shd w:val="clear" w:color="auto" w:fill="auto"/>
            <w:noWrap/>
            <w:vAlign w:val="bottom"/>
            <w:hideMark/>
          </w:tcPr>
          <w:p w14:paraId="06E1F8E1" w14:textId="77777777" w:rsidR="00971F36" w:rsidRPr="00435469" w:rsidRDefault="00971F36" w:rsidP="00AD6E54">
            <w:pPr>
              <w:pStyle w:val="3TableData"/>
            </w:pPr>
            <w:r w:rsidRPr="00435469">
              <w:t>0.028</w:t>
            </w:r>
          </w:p>
        </w:tc>
        <w:tc>
          <w:tcPr>
            <w:tcW w:w="1789" w:type="dxa"/>
            <w:gridSpan w:val="2"/>
            <w:tcBorders>
              <w:top w:val="single" w:sz="4" w:space="0" w:color="auto"/>
            </w:tcBorders>
            <w:shd w:val="clear" w:color="auto" w:fill="auto"/>
            <w:noWrap/>
            <w:vAlign w:val="bottom"/>
            <w:hideMark/>
          </w:tcPr>
          <w:p w14:paraId="261586AA" w14:textId="77777777" w:rsidR="00971F36" w:rsidRPr="00435469" w:rsidRDefault="00971F36" w:rsidP="00AD6E54">
            <w:pPr>
              <w:pStyle w:val="3TableData"/>
            </w:pPr>
            <w:r w:rsidRPr="00435469">
              <w:t>0.003</w:t>
            </w:r>
          </w:p>
        </w:tc>
        <w:tc>
          <w:tcPr>
            <w:tcW w:w="2180" w:type="dxa"/>
            <w:gridSpan w:val="2"/>
            <w:tcBorders>
              <w:top w:val="single" w:sz="4" w:space="0" w:color="auto"/>
            </w:tcBorders>
            <w:shd w:val="clear" w:color="auto" w:fill="auto"/>
            <w:noWrap/>
            <w:vAlign w:val="bottom"/>
            <w:hideMark/>
          </w:tcPr>
          <w:p w14:paraId="22DBE0B5" w14:textId="77777777" w:rsidR="00971F36" w:rsidRPr="00435469" w:rsidRDefault="00971F36" w:rsidP="00AD6E54">
            <w:pPr>
              <w:pStyle w:val="3TableData"/>
            </w:pPr>
            <w:r w:rsidRPr="00435469">
              <w:t>10.750</w:t>
            </w:r>
          </w:p>
        </w:tc>
      </w:tr>
      <w:tr w:rsidR="00304411" w:rsidRPr="00435469" w14:paraId="3018FCDE" w14:textId="77777777" w:rsidTr="00637631">
        <w:trPr>
          <w:trHeight w:val="283"/>
        </w:trPr>
        <w:tc>
          <w:tcPr>
            <w:tcW w:w="2518" w:type="dxa"/>
            <w:gridSpan w:val="2"/>
            <w:tcBorders>
              <w:top w:val="nil"/>
            </w:tcBorders>
            <w:shd w:val="clear" w:color="auto" w:fill="auto"/>
            <w:noWrap/>
            <w:vAlign w:val="bottom"/>
            <w:hideMark/>
          </w:tcPr>
          <w:p w14:paraId="35272D01" w14:textId="1026176D" w:rsidR="00971F36" w:rsidRPr="00435469" w:rsidRDefault="00971F36" w:rsidP="00AD6E54">
            <w:pPr>
              <w:pStyle w:val="3TableData"/>
            </w:pPr>
            <w:proofErr w:type="spellStart"/>
            <w:r w:rsidRPr="00435469">
              <w:t>Chihota</w:t>
            </w:r>
            <w:proofErr w:type="spellEnd"/>
            <w:r w:rsidRPr="00435469">
              <w:t xml:space="preserve"> et al. (2015) </w:t>
            </w:r>
            <w:r w:rsidRPr="00435469">
              <w:fldChar w:fldCharType="begin" w:fldLock="1"/>
            </w:r>
            <w:r w:rsidR="002F049E" w:rsidRPr="00435469">
              <w:instrText>ADDIN CSL_CITATION {"citationItems":[{"id":"ITEM-1","itemData":{"DOI":"10.1371/journal.pone.0138149","ISSN":"19326203","abstract":"Setting 40 primary health clinics (PHCs) in four provinces in South Africa, June 2012-February 2013. Objective To determine whether health care worker (HCW) practice in investigating people with TB symptoms was altered when the initial test for TB was changed from smear microscopy to Xpert MTB/RIF. Design Cross-sectional substudy at clinics participating in a pragmatic cluster randomised trial, Xpert for TB: Evaluating a New Diagnostic \"XTEND\", which evaluated the effect of Xpert MTB/RIF implementation in South Africa. Methods Consecutive adults exiting PHCs reporting at least one TB symptom (defined as any of cough, weight loss, night sweats and fever) were enrolled. The main outcome was the proportion who self-reported having sputum requested by HCW during the clinic encounter just completed. Results 3604 adults exiting PHCs (1676 in Xpert arm, 1928 in microscopy arm) were enrolled (median age 38 years, 71.4% female, 38.8%reported being HIV-positive, 70% reported cough). For 1267 participants (35.2%) the main reason for attending the clinic was TB symptom(s). Overall 2130/3604 (59.1%) said they reported their symptom(s) to HCW. 22.7% (818/3604) reported having been asked to give sputum for TB investigation. Though participants in the Xpert vs. microscopy arm were more likely to have sputum requested by HCW, this was not significantly different: overall (26.0% [436/1676] vs 19.8% [382/1928]; adjusted prevalence ratio [aPR] 1.31, [95% CI 0.78-2.20]) and when restricted to those presenting at clinics due to symptoms (49.1% [260/530] vs 29.9%[220/737]; aPR 1.38 [0.89-2.13]) and those reporting being HIV-positive (29.4% [190/647] vs 20.8%[156/749]; aPR 1.38[0.88-2.16]). Those attending clinic due to TB symptoms, were more likely to have sputum requested if they had increasing number of symptoms; longer duration of cough, unintentional weight loss and night sweats and if they reported symptoms to HCW. Conclusions A large proportion of people exiting PHCs reporting TB symptoms did not get tested. Implementation of Xpert MTB/RIF did not substantially change the probability of testing for TB. Better systems are needed to ensure that opportunities to identify active TB among PHC attendees are not missed. Copyright:","author":[{"dropping-particle":"","family":"Chihota","given":"Violet N.","non-dropping-particle":"","parse-names":false,"suffix":""},{"dropping-particle":"","family":"Ginindza","given":"Sibuse","non-dropping-particle":"","parse-names":false,"suffix":""},{"dropping-particle":"","family":"McCarthy","given":"Kerrigan","non-dropping-particle":"","parse-names":false,"suffix":""},{"dropping-particle":"","family":"Grant","given":"Alison D.","non-dropping-particle":"","parse-names":false,"suffix":""},{"dropping-particle":"","family":"Churchyard","given":"Gavin","non-dropping-particle":"","parse-names":false,"suffix":""},{"dropping-particle":"","family":"Fielding","given":"Katherine","non-dropping-particle":"","parse-names":false,"suffix":""}],"container-title":"PLoS ONE","id":"ITEM-1","issue":"9","issued":{"date-parts":[["2015"]]},"page":"1-11","title":"Missed opportunities for TB investigation in primary care clinics in South Africa: Experience from the XTEND trial","type":"article-journal","volume":"10"},"uris":["http://www.mendeley.com/documents/?uuid=0da145be-aa0b-466b-a729-2b9670f00b55"]}],"mendeley":{"formattedCitation":"(51)","plainTextFormattedCitation":"(51)","previouslyFormattedCitation":"(51)"},"properties":{"noteIndex":0},"schema":"https://github.com/citation-style-language/schema/raw/master/csl-citation.json"}</w:instrText>
            </w:r>
            <w:r w:rsidRPr="00435469">
              <w:fldChar w:fldCharType="separate"/>
            </w:r>
            <w:r w:rsidR="0063047A" w:rsidRPr="00435469">
              <w:rPr>
                <w:noProof/>
              </w:rPr>
              <w:t>(51)</w:t>
            </w:r>
            <w:r w:rsidRPr="00435469">
              <w:fldChar w:fldCharType="end"/>
            </w:r>
          </w:p>
          <w:p w14:paraId="3AF64293" w14:textId="18E3F3A7" w:rsidR="00971F36" w:rsidRPr="00435469" w:rsidRDefault="00B9165F" w:rsidP="00AD6E54">
            <w:pPr>
              <w:pStyle w:val="3TableData"/>
            </w:pPr>
            <w:r w:rsidRPr="00435469">
              <w:t>Gene</w:t>
            </w:r>
            <w:r w:rsidR="00A84007" w:rsidRPr="00435469">
              <w:t>Xpert MTB/RIF</w:t>
            </w:r>
          </w:p>
        </w:tc>
        <w:tc>
          <w:tcPr>
            <w:tcW w:w="1701" w:type="dxa"/>
            <w:shd w:val="clear" w:color="auto" w:fill="auto"/>
            <w:noWrap/>
            <w:vAlign w:val="bottom"/>
            <w:hideMark/>
          </w:tcPr>
          <w:p w14:paraId="1464D89F" w14:textId="77777777" w:rsidR="00971F36" w:rsidRPr="00435469" w:rsidRDefault="00971F36" w:rsidP="00AD6E54">
            <w:pPr>
              <w:pStyle w:val="3TableData"/>
            </w:pPr>
            <w:r w:rsidRPr="00435469">
              <w:t>0.491</w:t>
            </w:r>
          </w:p>
        </w:tc>
        <w:tc>
          <w:tcPr>
            <w:tcW w:w="1789" w:type="dxa"/>
            <w:gridSpan w:val="2"/>
            <w:shd w:val="clear" w:color="auto" w:fill="auto"/>
            <w:noWrap/>
            <w:vAlign w:val="bottom"/>
            <w:hideMark/>
          </w:tcPr>
          <w:p w14:paraId="7BD70FB8" w14:textId="77777777" w:rsidR="00971F36" w:rsidRPr="00435469" w:rsidRDefault="00971F36" w:rsidP="00AD6E54">
            <w:pPr>
              <w:pStyle w:val="3TableData"/>
            </w:pPr>
            <w:r w:rsidRPr="00435469">
              <w:t>0.154</w:t>
            </w:r>
          </w:p>
        </w:tc>
        <w:tc>
          <w:tcPr>
            <w:tcW w:w="2180" w:type="dxa"/>
            <w:gridSpan w:val="2"/>
            <w:shd w:val="clear" w:color="auto" w:fill="auto"/>
            <w:noWrap/>
            <w:vAlign w:val="bottom"/>
            <w:hideMark/>
          </w:tcPr>
          <w:p w14:paraId="0482FC62" w14:textId="77777777" w:rsidR="00971F36" w:rsidRPr="00435469" w:rsidRDefault="00971F36" w:rsidP="00AD6E54">
            <w:pPr>
              <w:pStyle w:val="3TableData"/>
            </w:pPr>
            <w:r w:rsidRPr="00435469">
              <w:t>3.94</w:t>
            </w:r>
          </w:p>
        </w:tc>
      </w:tr>
      <w:tr w:rsidR="00304411" w:rsidRPr="00435469" w14:paraId="511C114E" w14:textId="77777777" w:rsidTr="00637631">
        <w:trPr>
          <w:trHeight w:val="283"/>
        </w:trPr>
        <w:tc>
          <w:tcPr>
            <w:tcW w:w="2518" w:type="dxa"/>
            <w:gridSpan w:val="2"/>
            <w:tcBorders>
              <w:top w:val="nil"/>
            </w:tcBorders>
            <w:shd w:val="clear" w:color="auto" w:fill="auto"/>
            <w:noWrap/>
            <w:vAlign w:val="bottom"/>
          </w:tcPr>
          <w:p w14:paraId="49A98C24" w14:textId="77777777" w:rsidR="00971F36" w:rsidRPr="00435469" w:rsidRDefault="00971F36" w:rsidP="00AD6E54">
            <w:pPr>
              <w:pStyle w:val="3TableData"/>
            </w:pPr>
            <w:r w:rsidRPr="00435469">
              <w:t>Microscopy</w:t>
            </w:r>
          </w:p>
        </w:tc>
        <w:tc>
          <w:tcPr>
            <w:tcW w:w="1701" w:type="dxa"/>
            <w:shd w:val="clear" w:color="auto" w:fill="auto"/>
            <w:noWrap/>
            <w:vAlign w:val="bottom"/>
          </w:tcPr>
          <w:p w14:paraId="08722376" w14:textId="77777777" w:rsidR="00971F36" w:rsidRPr="00435469" w:rsidRDefault="00971F36" w:rsidP="00AD6E54">
            <w:pPr>
              <w:pStyle w:val="3TableData"/>
            </w:pPr>
            <w:r w:rsidRPr="00435469">
              <w:t>0.299</w:t>
            </w:r>
          </w:p>
        </w:tc>
        <w:tc>
          <w:tcPr>
            <w:tcW w:w="1789" w:type="dxa"/>
            <w:gridSpan w:val="2"/>
            <w:shd w:val="clear" w:color="auto" w:fill="auto"/>
            <w:noWrap/>
            <w:vAlign w:val="bottom"/>
          </w:tcPr>
          <w:p w14:paraId="1DC72C4D" w14:textId="77777777" w:rsidR="00971F36" w:rsidRPr="00435469" w:rsidRDefault="00971F36" w:rsidP="00AD6E54">
            <w:pPr>
              <w:pStyle w:val="3TableData"/>
            </w:pPr>
            <w:r w:rsidRPr="00435469">
              <w:t>0.136</w:t>
            </w:r>
          </w:p>
        </w:tc>
        <w:tc>
          <w:tcPr>
            <w:tcW w:w="2180" w:type="dxa"/>
            <w:gridSpan w:val="2"/>
            <w:shd w:val="clear" w:color="auto" w:fill="auto"/>
            <w:noWrap/>
            <w:vAlign w:val="bottom"/>
          </w:tcPr>
          <w:p w14:paraId="7CFB55EB" w14:textId="77777777" w:rsidR="00971F36" w:rsidRPr="00435469" w:rsidRDefault="00971F36" w:rsidP="00AD6E54">
            <w:pPr>
              <w:pStyle w:val="3TableData"/>
            </w:pPr>
            <w:r w:rsidRPr="00435469">
              <w:t>2.195</w:t>
            </w:r>
          </w:p>
        </w:tc>
      </w:tr>
      <w:tr w:rsidR="00304411" w:rsidRPr="00435469" w14:paraId="3BD6FDE9" w14:textId="77777777" w:rsidTr="00637631">
        <w:trPr>
          <w:trHeight w:val="283"/>
        </w:trPr>
        <w:tc>
          <w:tcPr>
            <w:tcW w:w="2518" w:type="dxa"/>
            <w:gridSpan w:val="2"/>
            <w:shd w:val="clear" w:color="auto" w:fill="auto"/>
            <w:noWrap/>
            <w:vAlign w:val="bottom"/>
            <w:hideMark/>
          </w:tcPr>
          <w:p w14:paraId="3CD0BDC5" w14:textId="29BAB122" w:rsidR="00971F36" w:rsidRPr="00435469" w:rsidRDefault="00971F36" w:rsidP="00AD6E54">
            <w:pPr>
              <w:pStyle w:val="3TableData"/>
            </w:pPr>
            <w:proofErr w:type="spellStart"/>
            <w:r w:rsidRPr="00435469">
              <w:t>Kweza</w:t>
            </w:r>
            <w:proofErr w:type="spellEnd"/>
            <w:r w:rsidRPr="00435469">
              <w:t xml:space="preserve"> et al. (2018)  </w:t>
            </w:r>
            <w:r w:rsidRPr="00435469">
              <w:fldChar w:fldCharType="begin" w:fldLock="1"/>
            </w:r>
            <w:r w:rsidR="002F049E" w:rsidRPr="00435469">
              <w:instrText>ADDIN CSL_CITATION {"citationItems":[{"id":"ITEM-1","itemData":{"DOI":"10.5588/ijtld.17.0491","ISSN":"18157920","abstract":"SETTING: The present study was conducted at 20 randomly selected primary health clinics across Buffalo City Metropolitan Health District, a high TB burden district in South Africa. OBJECTIVE : To estimate the proportion of TB patients missed by primary health clinics. DESIGN: We enrolled 1255 TB-symptomatic individuals exiting primary health clinics between March and December 2015. Participants were interviewed and asked to provide sputum for Xpertw MTB/RIF testing. RESULT S : Clinic staff screened 79.1% of participants seeking care for TB-related symptoms and 21.9% of those attending a clinic for other reasons (P, 0.001). Of those screened by clinic staff, 21.5% reported submitting sputum, although only 9.8% had available results. Study staff tested sputum from 779 participants not tested by clinic staff. Of these, 39 (5.0%) individuals tested positive for TB, three of whom were rifampicinresistant; 15/39 (38.5%) were never screened and 24/39 (61.5%) were screened but not tested by clinic staff. We estimate that the health system missed 62.9-78.5% of TB patients attending primary health clinics for TBrelated symptoms and 89.5-100% of those attending a clinic for other reasons. CONCLUS ION: Low rates of TB screening and testing by the health system resulted in missed TB patients. Universal TB screening and testing of symptomatic individuals should be instituted in high TB burden communities in South Africa.","author":[{"dropping-particle":"","family":"Kweza","given":"P. F.","non-dropping-particle":"","parse-names":false,"suffix":""},{"dropping-particle":"","family":"Schalkwyk","given":"C.","non-dropping-particle":"Van","parse-names":false,"suffix":""},{"dropping-particle":"","family":"Abraham","given":"N.","non-dropping-particle":"","parse-names":false,"suffix":""},{"dropping-particle":"","family":"Uys","given":"M.","non-dropping-particle":"","parse-names":false,"suffix":""},{"dropping-particle":"","family":"Claassens","given":"M. M.","non-dropping-particle":"","parse-names":false,"suffix":""},{"dropping-particle":"","family":"Medina-Marino","given":"A.","non-dropping-particle":"","parse-names":false,"suffix":""}],"container-title":"International Journal of Tuberculosis and Lung Disease","id":"ITEM-1","issue":"3","issued":{"date-parts":[["2018"]]},"page":"264-272","title":"Estimating the magnitude of pulmonary tuberculosis patients missed by primary health care clinics in South Africa","type":"article-journal","volume":"22"},"uris":["http://www.mendeley.com/documents/?uuid=749c029e-d26b-4f12-9404-8d37f2001b2e"]}],"mendeley":{"formattedCitation":"(49)","plainTextFormattedCitation":"(49)","previouslyFormattedCitation":"(49)"},"properties":{"noteIndex":0},"schema":"https://github.com/citation-style-language/schema/raw/master/csl-citation.json"}</w:instrText>
            </w:r>
            <w:r w:rsidRPr="00435469">
              <w:fldChar w:fldCharType="separate"/>
            </w:r>
            <w:r w:rsidR="0063047A" w:rsidRPr="00435469">
              <w:rPr>
                <w:noProof/>
              </w:rPr>
              <w:t>(49)</w:t>
            </w:r>
            <w:r w:rsidRPr="00435469">
              <w:fldChar w:fldCharType="end"/>
            </w:r>
          </w:p>
        </w:tc>
        <w:tc>
          <w:tcPr>
            <w:tcW w:w="1701" w:type="dxa"/>
            <w:shd w:val="clear" w:color="auto" w:fill="auto"/>
            <w:noWrap/>
            <w:vAlign w:val="bottom"/>
            <w:hideMark/>
          </w:tcPr>
          <w:p w14:paraId="2F0CFFA4" w14:textId="77777777" w:rsidR="00971F36" w:rsidRPr="00435469" w:rsidRDefault="00971F36" w:rsidP="00AD6E54">
            <w:pPr>
              <w:pStyle w:val="3TableData"/>
            </w:pPr>
            <w:r w:rsidRPr="00435469">
              <w:t>0.181</w:t>
            </w:r>
          </w:p>
        </w:tc>
        <w:tc>
          <w:tcPr>
            <w:tcW w:w="1789" w:type="dxa"/>
            <w:gridSpan w:val="2"/>
            <w:shd w:val="clear" w:color="auto" w:fill="auto"/>
            <w:noWrap/>
            <w:vAlign w:val="bottom"/>
            <w:hideMark/>
          </w:tcPr>
          <w:p w14:paraId="20B7FE96" w14:textId="77777777" w:rsidR="00971F36" w:rsidRPr="00435469" w:rsidRDefault="00971F36" w:rsidP="00AD6E54">
            <w:pPr>
              <w:pStyle w:val="3TableData"/>
            </w:pPr>
            <w:r w:rsidRPr="00435469">
              <w:t>0.037</w:t>
            </w:r>
          </w:p>
        </w:tc>
        <w:tc>
          <w:tcPr>
            <w:tcW w:w="2180" w:type="dxa"/>
            <w:gridSpan w:val="2"/>
            <w:shd w:val="clear" w:color="auto" w:fill="auto"/>
            <w:noWrap/>
            <w:vAlign w:val="bottom"/>
            <w:hideMark/>
          </w:tcPr>
          <w:p w14:paraId="4DAE8952" w14:textId="77777777" w:rsidR="00971F36" w:rsidRPr="00435469" w:rsidRDefault="00971F36" w:rsidP="00AD6E54">
            <w:pPr>
              <w:pStyle w:val="3TableData"/>
            </w:pPr>
            <w:r w:rsidRPr="00435469">
              <w:t>4.893</w:t>
            </w:r>
          </w:p>
        </w:tc>
      </w:tr>
    </w:tbl>
    <w:p w14:paraId="75202067" w14:textId="5B21AACE" w:rsidR="00EB055F" w:rsidRPr="00435469" w:rsidRDefault="00971F36" w:rsidP="00955FFB">
      <w:pPr>
        <w:spacing w:line="240" w:lineRule="auto"/>
        <w:rPr>
          <w:rFonts w:cs="Times New Roman"/>
          <w:sz w:val="20"/>
          <w:szCs w:val="20"/>
        </w:rPr>
      </w:pPr>
      <w:r w:rsidRPr="00435469">
        <w:rPr>
          <w:rFonts w:cs="Times New Roman"/>
          <w:sz w:val="20"/>
          <w:szCs w:val="20"/>
        </w:rPr>
        <w:lastRenderedPageBreak/>
        <w:t xml:space="preserve">In these three studies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{"citationItems":[{"id":"ITEM-1","itemData":{"DOI":"10.5588/ijtld.12.0506","ISSN":"10273719","abstract":"SETTING: This study was conducted in Cape Town in two primary health care facilities in a sub-district with a high prevalence of bacteriologically confirmed pulmonary tuberculosis (TB). OBJECTIVE: To determine the proportion of adults with respiratory symptoms who attend health care facilities but are not examined for nor diagnosed with TB in facilities where routine TB diagnosis depends on passive case finding. DESIGN: A total of 423 adults with respiratory symptoms exiting primary health care services were consecutively enrolled during April-July 2011. RESULTS: Twenty-one (5%) participants were diagnosed with culture-positive TB. None had sought care at the facility for their respiratory symptoms, none were asked about respiratory symptoms during their visit and none were asked to produce a sputum sample. Nine cases had attended the facility for reasons regarding their own health, while 12 cases were accompanying someone else attending the facility, or for another reason. CONCLUSION: Patients with infectious TB attend primary health care facilities, but are not recognised and diagnosed as cases. Health care staff should search actively within facilities for cases who attend the health care services to ensure that cases are not missed. Intensified case finding should start within the facility, and should not be limited to patients who report respiratory symptoms or who are human immunodeficiency virus positive. © 2013 The Union.","author":[{"dropping-particle":"","family":"Claassens","given":"Mareli Misha","non-dropping-particle":"","parse-names":false,"suffix":""},{"dropping-particle":"","family":"Jacobs","given":"E.","non-dropping-particle":"","parse-names":false,"suffix":""},{"dropping-particle":"","family":"Cyster","given":"E.","non-dropping-particle":"","parse-names":false,"suffix":""},{"dropping-particle":"","family":"Jennings","given":"K.","non-dropping-particle":"","parse-names":false,"suffix":""},{"dropping-particle":"","family":"James","given":"A.","non-dropping-particle":"","parse-names":false,"suffix":""},{"dropping-particle":"","family":"Dunbar","given":"R.","non-dropping-particle":"","parse-names":false,"suffix":""},{"dropping-particle":"","family":"Enarson","given":"D. A.","non-dropping-particle":"","parse-names":false,"suffix":""},{"dropping-particle":"","family":"Borgdorff","given":"M. W.","non-dropping-particle":"","parse-names":false,"suffix":""},{"dropping-particle":"","family":"Beyers","given":"N.","non-dropping-particle":"","parse-names":false,"suffix":""}],"container-title":"International Journal of Tuberculosis and Lung Disease","id":"ITEM-1","issue":"5","issued":{"date-parts":[["2013"]]},"page":"608-614","title":"Tuberculosis cases missed in primary health care facilities: Should we redefine case finding?","type":"article-journal","volume":"17"},"uris":["http://www.mendeley.com/documents/?uuid=f1b76c07-722d-4ac9-8945-07de83f6c41b"]},{"id":"ITEM-2","itemData":{"DOI":"10.5588/ijtld.17.0491","ISSN":"18157920","abstract":"SETTING: The present study was conducted at 20 randomly selected primary health clinics across Buffalo City Metropolitan Health District, a high TB burden district in South Africa. OBJECTIVE : To estimate the proportion of TB patients missed by primary health clinics. DESIGN: We enrolled 1255 TB-symptomatic individuals exiting primary health clinics between March and December 2015. Participants were interviewed and asked to provide sputum for Xpertw MTB/RIF testing. RESULT S : Clinic staff screened 79.1% of participants seeking care for TB-related symptoms and 21.9% of those attending a clinic for other reasons (P, 0.001). Of those screened by clinic staff, 21.5% reported submitting sputum, although only 9.8% had available results. Study staff tested sputum from 779 participants not tested by clinic staff. Of these, 39 (5.0%) individuals tested positive for TB, three of whom were rifampicinresistant; 15/39 (38.5%) were never screened and 24/39 (61.5%) were screened but not tested by clinic staff. We estimate that the health system missed 62.9-78.5% of TB patients attending primary health clinics for TBrelated symptoms and 89.5-100% of those attending a clinic for other reasons. CONCLUS ION: Low rates of TB screening and testing by the health system resulted in missed TB patients. Universal TB screening and testing of symptomatic individuals should be instituted in high TB burden communities in South Africa.","author":[{"dropping-particle":"","family":"Kweza","given":"P. F.","non-dropping-particle":"","parse-names":false,"suffix":""},{"dropping-particle":"","family":"Schalkwyk","given":"C.","non-dropping-particle":"Van","parse-names":false,"suffix":""},{"dropping-particle":"","family":"Abraham","given":"N.","non-dropping-particle":"","parse-names":false,"suffix":""},{"dropping-particle":"","family":"Uys","given":"M.","non-dropping-particle":"","parse-names":false,"suffix":""},{"dropping-particle":"","family":"Claassens","given":"M. M.","non-dropping-particle":"","parse-names":false,"suffix":""},{"dropping-particle":"","family":"Medina-Marino","given":"A.","non-dropping-particle":"","parse-names":false,"suffix":""}],"container-title":"International Journal of Tuberculosis and Lung Disease","id":"ITEM-2","issue":"3","issued":{"date-parts":[["2018"]]},"page":"264-272","title":"Estimating the magnitude of pulmonary tuberculosis patients missed by primary health care clinics in South Africa","type":"article-journal","volume":"22"},"uris":["http://www.mendeley.com/documents/?uuid=749c029e-d26b-4f12-9404-8d37f2001b2e"]},{"id":"ITEM-3","itemData":{"DOI":"10.1371/journal.pone.0138149","ISSN":"19326203","abstract":"Setting 40 primary health clinics (PHCs) in four provinces in South Africa, June 2012-February 2013. Objective To determine whether health care worker (HCW) practice in investigating people with TB symptoms was altered when the initial test for TB was changed from smear microscopy to Xpert MTB/RIF. Design Cross-sectional substudy at clinics participating in a pragmatic cluster randomised trial, Xpert for TB: Evaluating a New Diagnostic \"XTEND\", which evaluated the effect of Xpert MTB/RIF implementation in South Africa. Methods Consecutive adults exiting PHCs reporting at least one TB symptom (defined as any of cough, weight loss, night sweats and fever) were enrolled. The main outcome was the proportion who self-reported having sputum requested by HCW during the clinic encounter just completed. Results 3604 adults exiting PHCs (1676 in Xpert arm, 1928 in microscopy arm) were enrolled (median age 38 years, 71.4% female, 38.8%reported being HIV-positive, 70% reported cough). For 1267 participants (35.2%) the main reason for attending the clinic was TB symptom(s). Overall 2130/3604 (59.1%) said they reported their symptom(s) to HCW. 22.7% (818/3604) reported having been asked to give sputum for TB investigation. Though participants in the Xpert vs. microscopy arm were more likely to have sputum requested by HCW, this was not significantly different: overall (26.0% [436/1676] vs 19.8% [382/1928]; adjusted prevalence ratio [aPR] 1.31, [95% CI 0.78-2.20]) and when restricted to those presenting at clinics due to symptoms (49.1% [260/530] vs 29.9%[220/737]; aPR 1.38 [0.89-2.13]) and those reporting being HIV-positive (29.4% [190/647] vs 20.8%[156/749]; aPR 1.38[0.88-2.16]). Those attending clinic due to TB symptoms, were more likely to have sputum requested if they had increasing number of symptoms; longer duration of cough, unintentional weight loss and night sweats and if they reported symptoms to HCW. Conclusions A large proportion of people exiting PHCs reporting TB symptoms did not get tested. Implementation of Xpert MTB/RIF did not substantially change the probability of testing for TB. Better systems are needed to ensure that opportunities to identify active TB among PHC attendees are not missed. Copyright:","author":[{"dropping-particle":"","family":"Chihota","given":"Violet N.","non-dropping-particle":"","parse-names":false,"suffix":""},{"dropping-particle":"","family":"Ginindza","given":"Sibuse","non-dropping-particle":"","parse-names":false,"suffix":""},{"dropping-particle":"","family":"McCarthy","given":"Kerrigan","non-dropping-particle":"","parse-names":false,"suffix":""},{"dropping-particle":"","family":"Grant","given":"Alison D.","non-dropping-particle":"","parse-names":false,"suffix":""},{"dropping-particle":"","family":"Churchyard","given":"Gavin","non-dropping-particle":"","parse-names":false,"suffix":""},{"dropping-particle":"","family":"Fielding","given":"Katherine","non-dropping-particle":"","parse-names":false,"suffix":""}],"container-title":"PLoS ONE","id":"ITEM-3","issue":"9","issued":{"date-parts":[["2015"]]},"page":"1-11","title":"Missed opportunities for TB investigation in primary care clinics in South Africa: Experience from the XTEND trial","type":"article-journal","volume":"10"},"uris":["http://www.mendeley.com/documents/?uuid=0da145be-aa0b-466b-a729-2b9670f00b55"]}],"mendeley":{"formattedCitation":"(49–51)","plainTextFormattedCitation":"(49–51)","previouslyFormattedCitation":"(49–51)"},"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(49–51)</w:t>
      </w:r>
      <w:r w:rsidRPr="00435469">
        <w:rPr>
          <w:rFonts w:cs="Times New Roman"/>
          <w:sz w:val="20"/>
          <w:szCs w:val="20"/>
        </w:rPr>
        <w:fldChar w:fldCharType="end"/>
      </w:r>
      <w:r w:rsidRPr="00435469">
        <w:rPr>
          <w:rFonts w:cs="Times New Roman"/>
          <w:sz w:val="20"/>
          <w:szCs w:val="20"/>
        </w:rPr>
        <w:t xml:space="preserve">, individuals were classified as attending health facilities due to TB-related (respiratory) symptoms if they reported having any symptoms, including cough, loss of weight, fever, </w:t>
      </w:r>
      <w:r w:rsidR="00134924" w:rsidRPr="00435469">
        <w:rPr>
          <w:rFonts w:cs="Times New Roman"/>
          <w:sz w:val="20"/>
          <w:szCs w:val="20"/>
        </w:rPr>
        <w:t xml:space="preserve">and </w:t>
      </w:r>
      <w:r w:rsidRPr="00435469">
        <w:rPr>
          <w:rFonts w:cs="Times New Roman"/>
          <w:sz w:val="20"/>
          <w:szCs w:val="20"/>
        </w:rPr>
        <w:t xml:space="preserve">night </w:t>
      </w:r>
      <w:r w:rsidR="00134924" w:rsidRPr="00435469">
        <w:rPr>
          <w:rFonts w:cs="Times New Roman"/>
          <w:sz w:val="20"/>
          <w:szCs w:val="20"/>
        </w:rPr>
        <w:t>sweats. This</w:t>
      </w:r>
      <w:r w:rsidRPr="00435469">
        <w:rPr>
          <w:rFonts w:cs="Times New Roman"/>
          <w:sz w:val="20"/>
          <w:szCs w:val="20"/>
        </w:rPr>
        <w:t xml:space="preserve"> is a less specific definition than we considered in defining symptomatic TB for the prevalence of TB symptoms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A</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G</m:t>
            </m:r>
          </m:sub>
        </m:sSub>
      </m:oMath>
      <w:r w:rsidRPr="00435469">
        <w:rPr>
          <w:rFonts w:cs="Times New Roman"/>
          <w:sz w:val="20"/>
          <w:szCs w:val="20"/>
        </w:rPr>
        <w:t xml:space="preserve">). As such, we note that the TB symptoms prevalence we use </w:t>
      </w:r>
      <w:r w:rsidR="001C1A1F" w:rsidRPr="00435469">
        <w:rPr>
          <w:rFonts w:cs="Times New Roman"/>
          <w:sz w:val="20"/>
          <w:szCs w:val="20"/>
        </w:rPr>
        <w:t xml:space="preserve">is </w:t>
      </w:r>
      <w:r w:rsidR="00EF6735" w:rsidRPr="00435469">
        <w:rPr>
          <w:sz w:val="20"/>
          <w:szCs w:val="20"/>
        </w:rPr>
        <w:t xml:space="preserve">an under-estimate of the true proportion of cases that </w:t>
      </w:r>
      <w:r w:rsidR="001C1A1F" w:rsidRPr="00435469">
        <w:rPr>
          <w:sz w:val="20"/>
          <w:szCs w:val="20"/>
        </w:rPr>
        <w:t xml:space="preserve">could be </w:t>
      </w:r>
      <w:r w:rsidR="00EF6735" w:rsidRPr="00435469">
        <w:rPr>
          <w:sz w:val="20"/>
          <w:szCs w:val="20"/>
        </w:rPr>
        <w:t>screened</w:t>
      </w:r>
      <w:r w:rsidRPr="00435469">
        <w:rPr>
          <w:rFonts w:cs="Times New Roman"/>
          <w:sz w:val="20"/>
          <w:szCs w:val="20"/>
        </w:rPr>
        <w:t>.</w:t>
      </w:r>
      <w:r w:rsidR="003E772D" w:rsidRPr="00435469">
        <w:rPr>
          <w:rFonts w:cs="Times New Roman"/>
          <w:sz w:val="20"/>
          <w:szCs w:val="20"/>
        </w:rPr>
        <w:t xml:space="preserve"> </w:t>
      </w:r>
    </w:p>
    <w:p w14:paraId="02E5A955" w14:textId="6495D508" w:rsidR="00DF1970" w:rsidRPr="00435469" w:rsidRDefault="00971F36" w:rsidP="00955FFB">
      <w:pPr>
        <w:spacing w:before="240" w:line="240" w:lineRule="auto"/>
        <w:rPr>
          <w:rFonts w:eastAsiaTheme="minorEastAsia" w:cs="Times New Roman"/>
          <w:i/>
          <w:sz w:val="20"/>
          <w:szCs w:val="20"/>
          <w:lang w:eastAsia="en-ZA"/>
        </w:rPr>
      </w:pPr>
      <w:r w:rsidRPr="00435469">
        <w:rPr>
          <w:rFonts w:eastAsiaTheme="minorEastAsia" w:cs="Times New Roman"/>
          <w:sz w:val="20"/>
          <w:szCs w:val="20"/>
        </w:rPr>
        <w:t xml:space="preserve">We defined </w:t>
      </w:r>
      <m:oMath>
        <m:r>
          <w:rPr>
            <w:rFonts w:ascii="Cambria Math" w:hAnsi="Cambria Math" w:cs="Times New Roman"/>
            <w:sz w:val="20"/>
            <w:szCs w:val="20"/>
          </w:rPr>
          <m:t>r(t)=</m:t>
        </m:r>
        <m:r>
          <w:rPr>
            <w:rFonts w:ascii="Cambria Math" w:eastAsiaTheme="minorEastAsia" w:hAnsi="Cambria Math" w:cs="Times New Roman"/>
            <w:sz w:val="20"/>
            <w:szCs w:val="20"/>
          </w:rPr>
          <m:t xml:space="preserve"> </m:t>
        </m:r>
        <m:sSub>
          <m:sSubPr>
            <m:ctrlPr>
              <w:rPr>
                <w:rFonts w:ascii="Cambria Math" w:hAnsi="Cambria Math"/>
                <w:sz w:val="20"/>
                <w:szCs w:val="20"/>
              </w:rPr>
            </m:ctrlPr>
          </m:sSubPr>
          <m:e>
            <m:r>
              <w:rPr>
                <w:rFonts w:ascii="Cambria Math" w:hAnsi="Cambria Math"/>
                <w:sz w:val="20"/>
                <w:szCs w:val="20"/>
              </w:rPr>
              <m:t>p</m:t>
            </m:r>
          </m:e>
          <m:sub>
            <m:r>
              <m:rPr>
                <m:sty m:val="p"/>
              </m:rPr>
              <w:rPr>
                <w:rFonts w:ascii="Cambria Math" w:hAnsi="Cambria Math"/>
                <w:sz w:val="20"/>
                <w:szCs w:val="20"/>
              </w:rPr>
              <m:t>1</m:t>
            </m:r>
          </m:sub>
        </m:sSub>
        <m:r>
          <m:rPr>
            <m:sty m:val="p"/>
          </m:rPr>
          <w:rPr>
            <w:rFonts w:ascii="Cambria Math" w:hAnsi="Cambria Math"/>
            <w:sz w:val="20"/>
            <w:szCs w:val="20"/>
          </w:rPr>
          <m:t>(t)/</m:t>
        </m:r>
        <m:sSub>
          <m:sSubPr>
            <m:ctrlPr>
              <w:rPr>
                <w:rFonts w:ascii="Cambria Math" w:hAnsi="Cambria Math"/>
                <w:sz w:val="20"/>
                <w:szCs w:val="20"/>
              </w:rPr>
            </m:ctrlPr>
          </m:sSubPr>
          <m:e>
            <m:r>
              <w:rPr>
                <w:rFonts w:ascii="Cambria Math" w:hAnsi="Cambria Math"/>
                <w:sz w:val="20"/>
                <w:szCs w:val="20"/>
              </w:rPr>
              <m:t>p</m:t>
            </m:r>
          </m:e>
          <m:sub>
            <m:r>
              <m:rPr>
                <m:sty m:val="p"/>
              </m:rPr>
              <w:rPr>
                <w:rFonts w:ascii="Cambria Math" w:hAnsi="Cambria Math"/>
                <w:sz w:val="20"/>
                <w:szCs w:val="20"/>
              </w:rPr>
              <m:t>2</m:t>
            </m:r>
          </m:sub>
        </m:sSub>
        <m:r>
          <w:rPr>
            <w:rFonts w:ascii="Cambria Math" w:hAnsi="Cambria Math"/>
            <w:sz w:val="20"/>
            <w:szCs w:val="20"/>
          </w:rPr>
          <m:t>(t)</m:t>
        </m:r>
      </m:oMath>
      <w:r w:rsidRPr="00435469">
        <w:rPr>
          <w:rFonts w:eastAsiaTheme="minorEastAsia" w:cs="Times New Roman"/>
          <w:sz w:val="20"/>
          <w:szCs w:val="20"/>
        </w:rPr>
        <w:t xml:space="preserve"> to be t</w:t>
      </w:r>
      <w:r w:rsidRPr="00435469">
        <w:rPr>
          <w:rFonts w:cs="Times New Roman"/>
          <w:sz w:val="20"/>
          <w:szCs w:val="20"/>
        </w:rPr>
        <w:t>he ratio of microbiological testing in symptomatic individuals seeking treatment for TB symptoms compared to those seeking treatment for other reasons</w:t>
      </w:r>
      <w:r w:rsidR="00932B1F" w:rsidRPr="00435469">
        <w:rPr>
          <w:rFonts w:cs="Times New Roman"/>
          <w:sz w:val="20"/>
          <w:szCs w:val="20"/>
        </w:rPr>
        <w:t xml:space="preserve"> (who coincidentally have TB-like symptoms)</w:t>
      </w:r>
      <w:r w:rsidR="001C1A1F" w:rsidRPr="00435469">
        <w:rPr>
          <w:rFonts w:cs="Times New Roman"/>
          <w:sz w:val="20"/>
          <w:szCs w:val="20"/>
        </w:rPr>
        <w:t xml:space="preserve"> in year t</w:t>
      </w:r>
      <w:r w:rsidRPr="00435469">
        <w:rPr>
          <w:rFonts w:cs="Times New Roman"/>
          <w:sz w:val="20"/>
          <w:szCs w:val="20"/>
        </w:rPr>
        <w:t xml:space="preserve">. </w:t>
      </w:r>
      <w:r w:rsidRPr="00435469">
        <w:rPr>
          <w:rFonts w:eastAsiaTheme="minorEastAsia" w:cs="Times New Roman"/>
          <w:sz w:val="20"/>
          <w:szCs w:val="20"/>
        </w:rPr>
        <w:t xml:space="preserve">We let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represent the proportion of </w:t>
      </w:r>
      <w:r w:rsidRPr="00435469">
        <w:rPr>
          <w:rFonts w:cs="Times New Roman"/>
          <w:sz w:val="20"/>
          <w:szCs w:val="20"/>
        </w:rPr>
        <w:t xml:space="preserve">individuals with active TB seeking treatment for their </w:t>
      </w:r>
      <w:r w:rsidRPr="00435469">
        <w:rPr>
          <w:rFonts w:eastAsiaTheme="minorEastAsia" w:cs="Times New Roman"/>
          <w:sz w:val="20"/>
          <w:szCs w:val="20"/>
        </w:rPr>
        <w:t xml:space="preserve">TB symptoms who </w:t>
      </w:r>
      <w:r w:rsidR="00932B1F" w:rsidRPr="00435469">
        <w:rPr>
          <w:rFonts w:eastAsiaTheme="minorEastAsia" w:cs="Times New Roman"/>
          <w:sz w:val="20"/>
          <w:szCs w:val="20"/>
        </w:rPr>
        <w:t>get</w:t>
      </w:r>
      <w:r w:rsidRPr="00435469">
        <w:rPr>
          <w:rFonts w:eastAsiaTheme="minorEastAsia" w:cs="Times New Roman"/>
          <w:sz w:val="20"/>
          <w:szCs w:val="20"/>
        </w:rPr>
        <w:t xml:space="preserve"> tested microbiologically, and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the proportion of individuals with TB-like respiratory symptoms</w:t>
      </w:r>
      <w:r w:rsidRPr="00435469">
        <w:rPr>
          <w:rFonts w:cs="Times New Roman"/>
          <w:sz w:val="20"/>
          <w:szCs w:val="20"/>
        </w:rPr>
        <w:t xml:space="preserve"> seeking treatment for other conditions </w:t>
      </w:r>
      <w:r w:rsidR="00932B1F" w:rsidRPr="00435469">
        <w:rPr>
          <w:rFonts w:cs="Times New Roman"/>
          <w:sz w:val="20"/>
          <w:szCs w:val="20"/>
        </w:rPr>
        <w:t>who</w:t>
      </w:r>
      <w:r w:rsidR="00932B1F" w:rsidRPr="00435469">
        <w:rPr>
          <w:rFonts w:eastAsiaTheme="minorEastAsia" w:cs="Times New Roman"/>
          <w:sz w:val="20"/>
          <w:szCs w:val="20"/>
        </w:rPr>
        <w:t xml:space="preserve"> </w:t>
      </w:r>
      <w:r w:rsidRPr="00435469">
        <w:rPr>
          <w:rFonts w:eastAsiaTheme="minorEastAsia" w:cs="Times New Roman"/>
          <w:sz w:val="20"/>
          <w:szCs w:val="20"/>
        </w:rPr>
        <w:t>get microbiologically tested</w:t>
      </w:r>
      <w:r w:rsidRPr="00435469">
        <w:rPr>
          <w:rFonts w:eastAsiaTheme="minorEastAsia" w:cs="Times New Roman"/>
          <w:i/>
          <w:sz w:val="20"/>
          <w:szCs w:val="20"/>
          <w:lang w:eastAsia="en-ZA"/>
        </w:rPr>
        <w:t xml:space="preserve">. </w:t>
      </w:r>
    </w:p>
    <w:p w14:paraId="175CF65F" w14:textId="1CB61CEB" w:rsidR="00DE250F" w:rsidRPr="00435469" w:rsidRDefault="00AE7B4F" w:rsidP="0029600C">
      <w:pPr>
        <w:spacing w:before="240" w:line="240" w:lineRule="auto"/>
        <w:rPr>
          <w:sz w:val="20"/>
          <w:szCs w:val="20"/>
        </w:rPr>
      </w:pPr>
      <w:r w:rsidRPr="00435469">
        <w:rPr>
          <w:rFonts w:cs="Times New Roman"/>
          <w:sz w:val="20"/>
          <w:szCs w:val="20"/>
        </w:rPr>
        <w:t xml:space="preserve">There is limited data and evidence to show how </w:t>
      </w:r>
      <m:oMath>
        <m:r>
          <w:rPr>
            <w:rFonts w:ascii="Cambria Math" w:hAnsi="Cambria Math" w:cs="Times New Roman"/>
            <w:sz w:val="20"/>
            <w:szCs w:val="20"/>
          </w:rPr>
          <m:t>r(t)</m:t>
        </m:r>
      </m:oMath>
      <w:r w:rsidRPr="00435469">
        <w:rPr>
          <w:rFonts w:eastAsiaTheme="minorEastAsia" w:cs="Times New Roman"/>
          <w:sz w:val="20"/>
          <w:szCs w:val="20"/>
        </w:rPr>
        <w:t xml:space="preserve"> has changed over tim</w:t>
      </w:r>
      <w:r w:rsidR="00D53620" w:rsidRPr="00435469">
        <w:rPr>
          <w:rFonts w:eastAsiaTheme="minorEastAsia" w:cs="Times New Roman"/>
          <w:sz w:val="20"/>
          <w:szCs w:val="20"/>
        </w:rPr>
        <w:t>e.</w:t>
      </w:r>
      <w:r w:rsidR="005A35D5" w:rsidRPr="00435469">
        <w:rPr>
          <w:rFonts w:eastAsiaTheme="minorEastAsia" w:cs="Times New Roman"/>
          <w:sz w:val="20"/>
          <w:szCs w:val="20"/>
        </w:rPr>
        <w:t xml:space="preserve"> However, the </w:t>
      </w:r>
      <m:oMath>
        <m:r>
          <w:rPr>
            <w:rFonts w:ascii="Cambria Math" w:hAnsi="Cambria Math" w:cs="Times New Roman"/>
            <w:sz w:val="20"/>
            <w:szCs w:val="20"/>
          </w:rPr>
          <m:t>r(t)</m:t>
        </m:r>
      </m:oMath>
      <w:r w:rsidR="005A35D5" w:rsidRPr="00435469">
        <w:rPr>
          <w:rFonts w:eastAsiaTheme="minorEastAsia" w:cs="Times New Roman"/>
          <w:sz w:val="20"/>
          <w:szCs w:val="20"/>
        </w:rPr>
        <w:t xml:space="preserve"> estimates i</w:t>
      </w:r>
      <w:r w:rsidR="00CA1A69" w:rsidRPr="00435469">
        <w:rPr>
          <w:rFonts w:eastAsiaTheme="minorEastAsia" w:cs="Times New Roman"/>
          <w:sz w:val="20"/>
          <w:szCs w:val="20"/>
        </w:rPr>
        <w:t xml:space="preserve">n </w:t>
      </w:r>
      <w:r w:rsidR="00CA1A69" w:rsidRPr="00435469">
        <w:rPr>
          <w:rFonts w:eastAsiaTheme="minorEastAsia" w:cs="Times New Roman"/>
          <w:sz w:val="20"/>
          <w:szCs w:val="20"/>
        </w:rPr>
        <w:fldChar w:fldCharType="begin"/>
      </w:r>
      <w:r w:rsidR="00CA1A69" w:rsidRPr="00435469">
        <w:rPr>
          <w:rFonts w:eastAsiaTheme="minorEastAsia" w:cs="Times New Roman"/>
          <w:sz w:val="20"/>
          <w:szCs w:val="20"/>
        </w:rPr>
        <w:instrText xml:space="preserve"> REF _Ref103318878 \h </w:instrText>
      </w:r>
      <w:r w:rsidR="00435469">
        <w:rPr>
          <w:rFonts w:eastAsiaTheme="minorEastAsia" w:cs="Times New Roman"/>
          <w:sz w:val="20"/>
          <w:szCs w:val="20"/>
        </w:rPr>
        <w:instrText xml:space="preserve"> \* MERGEFORMAT </w:instrText>
      </w:r>
      <w:r w:rsidR="00CA1A69" w:rsidRPr="00435469">
        <w:rPr>
          <w:rFonts w:eastAsiaTheme="minorEastAsia" w:cs="Times New Roman"/>
          <w:sz w:val="20"/>
          <w:szCs w:val="20"/>
        </w:rPr>
      </w:r>
      <w:r w:rsidR="00CA1A69" w:rsidRPr="00435469">
        <w:rPr>
          <w:rFonts w:eastAsiaTheme="minorEastAsia" w:cs="Times New Roman"/>
          <w:sz w:val="20"/>
          <w:szCs w:val="20"/>
        </w:rPr>
        <w:fldChar w:fldCharType="separate"/>
      </w:r>
      <w:r w:rsidR="00186C2F" w:rsidRPr="00435469">
        <w:rPr>
          <w:sz w:val="20"/>
          <w:szCs w:val="20"/>
        </w:rPr>
        <w:t xml:space="preserve">Table </w:t>
      </w:r>
      <w:r w:rsidR="00186C2F" w:rsidRPr="00435469">
        <w:rPr>
          <w:noProof/>
          <w:sz w:val="20"/>
          <w:szCs w:val="20"/>
        </w:rPr>
        <w:t>6</w:t>
      </w:r>
      <w:r w:rsidR="00CA1A69" w:rsidRPr="00435469">
        <w:rPr>
          <w:rFonts w:eastAsiaTheme="minorEastAsia" w:cs="Times New Roman"/>
          <w:sz w:val="20"/>
          <w:szCs w:val="20"/>
        </w:rPr>
        <w:fldChar w:fldCharType="end"/>
      </w:r>
      <w:r w:rsidR="006C46E2" w:rsidRPr="00435469">
        <w:rPr>
          <w:rFonts w:cs="Times New Roman"/>
          <w:sz w:val="20"/>
          <w:szCs w:val="20"/>
        </w:rPr>
        <w:t xml:space="preserve"> </w:t>
      </w:r>
      <w:r w:rsidR="005A35D5" w:rsidRPr="00435469">
        <w:rPr>
          <w:rFonts w:eastAsiaTheme="minorEastAsia" w:cs="Times New Roman"/>
          <w:sz w:val="20"/>
          <w:szCs w:val="20"/>
        </w:rPr>
        <w:t xml:space="preserve">are highest when screening rates are lowest, suggesting that </w:t>
      </w:r>
      <m:oMath>
        <m:r>
          <w:rPr>
            <w:rFonts w:ascii="Cambria Math" w:hAnsi="Cambria Math" w:cs="Times New Roman"/>
            <w:sz w:val="20"/>
            <w:szCs w:val="20"/>
          </w:rPr>
          <m:t>r(t)</m:t>
        </m:r>
      </m:oMath>
      <w:r w:rsidR="005A35D5" w:rsidRPr="00435469">
        <w:rPr>
          <w:rFonts w:eastAsiaTheme="minorEastAsia" w:cs="Times New Roman"/>
          <w:sz w:val="20"/>
          <w:szCs w:val="20"/>
        </w:rPr>
        <w:t xml:space="preserve"> has declined as the intensity of screening has increased.</w:t>
      </w:r>
      <w:r w:rsidR="00D53620" w:rsidRPr="00435469">
        <w:rPr>
          <w:rFonts w:eastAsiaTheme="minorEastAsia" w:cs="Times New Roman"/>
          <w:sz w:val="20"/>
          <w:szCs w:val="20"/>
        </w:rPr>
        <w:t xml:space="preserve"> </w:t>
      </w:r>
      <w:r w:rsidR="0037605C" w:rsidRPr="00435469">
        <w:rPr>
          <w:rFonts w:eastAsiaTheme="minorEastAsia" w:cs="Times New Roman"/>
          <w:sz w:val="20"/>
          <w:szCs w:val="20"/>
        </w:rPr>
        <w:t>W</w:t>
      </w:r>
      <w:r w:rsidR="00D53620" w:rsidRPr="00435469">
        <w:rPr>
          <w:sz w:val="20"/>
          <w:szCs w:val="20"/>
        </w:rPr>
        <w:t>e use</w:t>
      </w:r>
      <w:r w:rsidR="00333F74" w:rsidRPr="00435469">
        <w:rPr>
          <w:sz w:val="20"/>
          <w:szCs w:val="20"/>
        </w:rPr>
        <w:t>d</w:t>
      </w:r>
      <w:r w:rsidR="00D53620" w:rsidRPr="00435469">
        <w:rPr>
          <w:sz w:val="20"/>
          <w:szCs w:val="20"/>
        </w:rPr>
        <w:t xml:space="preserve"> a piecewise-linear function to represent the change in </w:t>
      </w:r>
      <m:oMath>
        <m:r>
          <w:rPr>
            <w:rFonts w:ascii="Cambria Math" w:hAnsi="Cambria Math" w:cs="Times New Roman"/>
            <w:sz w:val="20"/>
            <w:szCs w:val="20"/>
          </w:rPr>
          <m:t>r(t)</m:t>
        </m:r>
      </m:oMath>
      <w:r w:rsidR="005849CA" w:rsidRPr="00435469">
        <w:rPr>
          <w:rFonts w:eastAsiaTheme="minorEastAsia"/>
          <w:sz w:val="20"/>
          <w:szCs w:val="20"/>
        </w:rPr>
        <w:t xml:space="preserve"> </w:t>
      </w:r>
      <w:r w:rsidR="00D53620" w:rsidRPr="00435469">
        <w:rPr>
          <w:sz w:val="20"/>
          <w:szCs w:val="20"/>
        </w:rPr>
        <w:t>over time</w:t>
      </w:r>
      <w:r w:rsidR="00A71BC0" w:rsidRPr="00435469">
        <w:rPr>
          <w:sz w:val="20"/>
          <w:szCs w:val="20"/>
        </w:rPr>
        <w:t>.</w:t>
      </w:r>
      <w:r w:rsidR="00DD124A" w:rsidRPr="00435469">
        <w:rPr>
          <w:sz w:val="20"/>
          <w:szCs w:val="20"/>
        </w:rPr>
        <w:t xml:space="preserve"> First, we assume a constant ratio up to 2005. For this period, the</w:t>
      </w:r>
      <w:r w:rsidR="00DD124A" w:rsidRPr="00435469">
        <w:rPr>
          <w:rFonts w:cs="Times New Roman"/>
          <w:sz w:val="20"/>
          <w:szCs w:val="20"/>
        </w:rPr>
        <w:t xml:space="preserve"> ratio </w:t>
      </w:r>
      <m:oMath>
        <m:r>
          <w:rPr>
            <w:rFonts w:ascii="Cambria Math" w:hAnsi="Cambria Math" w:cs="Times New Roman"/>
            <w:sz w:val="20"/>
            <w:szCs w:val="20"/>
          </w:rPr>
          <m:t>r(t)</m:t>
        </m:r>
      </m:oMath>
      <w:r w:rsidR="00DD124A" w:rsidRPr="00435469">
        <w:rPr>
          <w:rFonts w:cs="Times New Roman"/>
          <w:sz w:val="20"/>
          <w:szCs w:val="20"/>
        </w:rPr>
        <w:t xml:space="preserve"> was estimated by a fitting function </w:t>
      </w:r>
      <w:r w:rsidR="00B07FE4" w:rsidRPr="00435469">
        <w:rPr>
          <w:rFonts w:cs="Times New Roman"/>
          <w:sz w:val="20"/>
          <w:szCs w:val="20"/>
        </w:rPr>
        <w:t>(</w:t>
      </w:r>
      <m:oMath>
        <m:func>
          <m:funcPr>
            <m:ctrlPr>
              <w:rPr>
                <w:rFonts w:ascii="Cambria Math" w:hAnsi="Cambria Math"/>
                <w:i/>
                <w:sz w:val="20"/>
                <w:szCs w:val="20"/>
                <w:lang w:val="en-GB"/>
              </w:rPr>
            </m:ctrlPr>
          </m:funcPr>
          <m:fName>
            <m:r>
              <m:rPr>
                <m:sty m:val="p"/>
              </m:rPr>
              <w:rPr>
                <w:rFonts w:ascii="Cambria Math" w:hAnsi="Cambria Math"/>
                <w:sz w:val="20"/>
                <w:szCs w:val="20"/>
                <w:lang w:val="en-GB"/>
              </w:rPr>
              <m:t>exp</m:t>
            </m:r>
          </m:fName>
          <m:e>
            <m:d>
              <m:dPr>
                <m:ctrlPr>
                  <w:rPr>
                    <w:rFonts w:ascii="Cambria Math" w:hAnsi="Cambria Math"/>
                    <w:i/>
                    <w:sz w:val="20"/>
                    <w:szCs w:val="20"/>
                    <w:lang w:val="en-GB"/>
                  </w:rPr>
                </m:ctrlPr>
              </m:dPr>
              <m:e>
                <m:r>
                  <m:rPr>
                    <m:sty m:val="p"/>
                  </m:rPr>
                  <w:rPr>
                    <w:rFonts w:ascii="Cambria Math" w:hAnsi="Cambria Math"/>
                    <w:sz w:val="20"/>
                    <w:szCs w:val="20"/>
                    <w:lang w:val="en-GB"/>
                  </w:rPr>
                  <m:t>2.04 –10.84</m:t>
                </m:r>
                <m:r>
                  <m:rPr>
                    <m:sty m:val="p"/>
                  </m:rPr>
                  <w:rPr>
                    <w:rFonts w:ascii="Cambria Math" w:hAnsi="Cambria Math" w:cs="Times New Roman"/>
                    <w:sz w:val="20"/>
                    <w:szCs w:val="20"/>
                    <w:lang w:val="en-GB"/>
                  </w:rPr>
                  <m:t>×</m:t>
                </m:r>
                <m:sSub>
                  <m:sSubPr>
                    <m:ctrlPr>
                      <w:rPr>
                        <w:rFonts w:ascii="Cambria Math" w:hAnsi="Cambria Math"/>
                        <w:sz w:val="20"/>
                        <w:szCs w:val="20"/>
                      </w:rPr>
                    </m:ctrlPr>
                  </m:sSubPr>
                  <m:e>
                    <m:r>
                      <w:rPr>
                        <w:rFonts w:ascii="Cambria Math" w:hAnsi="Cambria Math"/>
                        <w:sz w:val="20"/>
                        <w:szCs w:val="20"/>
                      </w:rPr>
                      <m:t>p</m:t>
                    </m:r>
                  </m:e>
                  <m:sub>
                    <m:r>
                      <m:rPr>
                        <m:sty m:val="p"/>
                      </m:rPr>
                      <w:rPr>
                        <w:rFonts w:ascii="Cambria Math" w:hAnsi="Cambria Math"/>
                        <w:sz w:val="20"/>
                        <w:szCs w:val="20"/>
                      </w:rPr>
                      <m:t>2</m:t>
                    </m:r>
                  </m:sub>
                </m:sSub>
                <m:r>
                  <m:rPr>
                    <m:sty m:val="p"/>
                  </m:rPr>
                  <w:rPr>
                    <w:rFonts w:ascii="Cambria Math" w:hAnsi="Cambria Math"/>
                    <w:sz w:val="20"/>
                    <w:szCs w:val="20"/>
                  </w:rPr>
                  <m:t>(t)</m:t>
                </m:r>
              </m:e>
            </m:d>
          </m:e>
        </m:func>
        <m:r>
          <w:rPr>
            <w:rFonts w:ascii="Cambria Math" w:hAnsi="Cambria Math"/>
            <w:sz w:val="20"/>
            <w:szCs w:val="20"/>
            <w:lang w:val="en-GB"/>
          </w:rPr>
          <m:t>+1</m:t>
        </m:r>
      </m:oMath>
      <w:r w:rsidR="00B07FE4" w:rsidRPr="00435469">
        <w:rPr>
          <w:rFonts w:cs="Times New Roman"/>
          <w:sz w:val="20"/>
          <w:szCs w:val="20"/>
        </w:rPr>
        <w:t xml:space="preserve">) </w:t>
      </w:r>
      <w:r w:rsidR="00DD124A" w:rsidRPr="00435469">
        <w:rPr>
          <w:rFonts w:cs="Times New Roman"/>
          <w:sz w:val="20"/>
          <w:szCs w:val="20"/>
        </w:rPr>
        <w:t>for the relationship between the ratio and the screening rates</w:t>
      </w:r>
      <w:r w:rsidR="008A7AF9" w:rsidRPr="00435469">
        <w:rPr>
          <w:rFonts w:cs="Times New Roman"/>
          <w:sz w:val="20"/>
          <w:szCs w:val="20"/>
        </w:rPr>
        <w:t xml:space="preserve"> in Table 6,</w:t>
      </w:r>
      <w:r w:rsidR="00DD124A" w:rsidRPr="00435469">
        <w:rPr>
          <w:rFonts w:cs="Times New Roman"/>
          <w:sz w:val="20"/>
          <w:szCs w:val="20"/>
        </w:rPr>
        <w:t xml:space="preserve"> which </w:t>
      </w:r>
      <w:r w:rsidR="0080272E" w:rsidRPr="00435469">
        <w:rPr>
          <w:rFonts w:cs="Times New Roman"/>
          <w:sz w:val="20"/>
          <w:szCs w:val="20"/>
        </w:rPr>
        <w:t>gives</w:t>
      </w:r>
      <w:r w:rsidR="00DD124A" w:rsidRPr="00435469">
        <w:rPr>
          <w:rFonts w:cs="Times New Roman"/>
          <w:sz w:val="20"/>
          <w:szCs w:val="20"/>
        </w:rPr>
        <w:t xml:space="preserve"> 8.71</w:t>
      </w:r>
      <w:r w:rsidR="008A7AF9" w:rsidRPr="00435469">
        <w:rPr>
          <w:rFonts w:cs="Times New Roman"/>
          <w:sz w:val="20"/>
          <w:szCs w:val="20"/>
        </w:rPr>
        <w:t xml:space="preserve"> when </w:t>
      </w:r>
      <m:oMath>
        <m:sSub>
          <m:sSubPr>
            <m:ctrlPr>
              <w:rPr>
                <w:rFonts w:ascii="Cambria Math" w:hAnsi="Cambria Math"/>
                <w:sz w:val="20"/>
                <w:szCs w:val="20"/>
              </w:rPr>
            </m:ctrlPr>
          </m:sSubPr>
          <m:e>
            <m:r>
              <w:rPr>
                <w:rFonts w:ascii="Cambria Math" w:hAnsi="Cambria Math"/>
                <w:sz w:val="20"/>
                <w:szCs w:val="20"/>
              </w:rPr>
              <m:t>p</m:t>
            </m:r>
          </m:e>
          <m:sub>
            <m:r>
              <m:rPr>
                <m:sty m:val="p"/>
              </m:rPr>
              <w:rPr>
                <w:rFonts w:ascii="Cambria Math" w:hAnsi="Cambria Math"/>
                <w:sz w:val="20"/>
                <w:szCs w:val="20"/>
              </w:rPr>
              <m:t>2</m:t>
            </m:r>
          </m:sub>
        </m:sSub>
        <m:r>
          <m:rPr>
            <m:sty m:val="p"/>
          </m:rPr>
          <w:rPr>
            <w:rFonts w:ascii="Cambria Math" w:hAnsi="Cambria Math"/>
            <w:sz w:val="20"/>
            <w:szCs w:val="20"/>
          </w:rPr>
          <m:t>(t)</m:t>
        </m:r>
      </m:oMath>
      <w:r w:rsidR="008A7AF9" w:rsidRPr="00435469">
        <w:rPr>
          <w:rFonts w:cs="Times New Roman"/>
          <w:sz w:val="20"/>
          <w:szCs w:val="20"/>
        </w:rPr>
        <w:t xml:space="preserve"> = 0</w:t>
      </w:r>
      <w:r w:rsidR="00DD124A" w:rsidRPr="00435469">
        <w:rPr>
          <w:rFonts w:cs="Times New Roman"/>
          <w:sz w:val="20"/>
          <w:szCs w:val="20"/>
        </w:rPr>
        <w:t xml:space="preserve">. </w:t>
      </w:r>
      <w:r w:rsidR="008A1670" w:rsidRPr="00435469">
        <w:rPr>
          <w:rFonts w:eastAsiaTheme="minorEastAsia" w:cs="Times New Roman"/>
          <w:sz w:val="20"/>
          <w:szCs w:val="20"/>
        </w:rPr>
        <w:t>In a previous calibration analysis</w:t>
      </w:r>
      <w:r w:rsidR="00072469" w:rsidRPr="00435469">
        <w:rPr>
          <w:rFonts w:eastAsiaTheme="minorEastAsia" w:cs="Times New Roman"/>
          <w:sz w:val="20"/>
          <w:szCs w:val="20"/>
        </w:rPr>
        <w:t xml:space="preserve"> </w:t>
      </w:r>
      <w:r w:rsidR="00072469" w:rsidRPr="00435469">
        <w:rPr>
          <w:rFonts w:cs="Times New Roman"/>
          <w:sz w:val="20"/>
          <w:szCs w:val="20"/>
        </w:rPr>
        <w:fldChar w:fldCharType="begin" w:fldLock="1"/>
      </w:r>
      <w:r w:rsidR="002F049E" w:rsidRPr="00435469">
        <w:rPr>
          <w:rFonts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072469" w:rsidRPr="00435469">
        <w:rPr>
          <w:rFonts w:cs="Times New Roman"/>
          <w:sz w:val="20"/>
          <w:szCs w:val="20"/>
        </w:rPr>
        <w:fldChar w:fldCharType="separate"/>
      </w:r>
      <w:r w:rsidR="0063047A" w:rsidRPr="00435469">
        <w:rPr>
          <w:rFonts w:cs="Times New Roman"/>
          <w:noProof/>
          <w:sz w:val="20"/>
          <w:szCs w:val="20"/>
        </w:rPr>
        <w:t>(6)</w:t>
      </w:r>
      <w:r w:rsidR="00072469" w:rsidRPr="00435469">
        <w:rPr>
          <w:rFonts w:cs="Times New Roman"/>
          <w:sz w:val="20"/>
          <w:szCs w:val="20"/>
        </w:rPr>
        <w:fldChar w:fldCharType="end"/>
      </w:r>
      <w:r w:rsidR="008A1670" w:rsidRPr="00435469">
        <w:rPr>
          <w:rFonts w:eastAsiaTheme="minorEastAsia" w:cs="Times New Roman"/>
          <w:sz w:val="20"/>
          <w:szCs w:val="20"/>
        </w:rPr>
        <w:t xml:space="preserve">, we </w:t>
      </w:r>
      <w:r w:rsidR="00DD124A" w:rsidRPr="00435469">
        <w:rPr>
          <w:rFonts w:cs="Times New Roman"/>
          <w:sz w:val="20"/>
          <w:szCs w:val="20"/>
        </w:rPr>
        <w:t xml:space="preserve">assigned a Gamma (12.14; 1.394) prior distribution with a mean of 8.71 and a standard deviation of 2.5 for </w:t>
      </w:r>
      <m:oMath>
        <m:r>
          <w:rPr>
            <w:rFonts w:ascii="Cambria Math" w:hAnsi="Cambria Math" w:cs="Times New Roman"/>
            <w:sz w:val="20"/>
            <w:szCs w:val="20"/>
          </w:rPr>
          <m:t>r(t)</m:t>
        </m:r>
      </m:oMath>
      <w:r w:rsidR="0080272E" w:rsidRPr="00435469">
        <w:rPr>
          <w:rFonts w:cs="Times New Roman"/>
          <w:sz w:val="20"/>
          <w:szCs w:val="20"/>
        </w:rPr>
        <w:t xml:space="preserve"> in the period up to 2005 (</w:t>
      </w:r>
      <w:r w:rsidR="00CC3189" w:rsidRPr="00435469">
        <w:rPr>
          <w:rFonts w:cs="Times New Roman"/>
          <w:sz w:val="20"/>
          <w:szCs w:val="20"/>
        </w:rPr>
        <w:t>i.e.,</w:t>
      </w:r>
      <w:r w:rsidR="0080272E" w:rsidRPr="00435469">
        <w:rPr>
          <w:rFonts w:cs="Times New Roman"/>
          <w:sz w:val="20"/>
          <w:szCs w:val="20"/>
        </w:rPr>
        <w:t xml:space="preserve"> assuming screening rates were close to zero</w:t>
      </w:r>
      <w:r w:rsidR="000D161F" w:rsidRPr="00435469">
        <w:rPr>
          <w:rFonts w:cs="Times New Roman"/>
          <w:sz w:val="20"/>
          <w:szCs w:val="20"/>
        </w:rPr>
        <w:t xml:space="preserve"> in people attending health facilities for reasons unrelated to TB symptoms</w:t>
      </w:r>
      <w:r w:rsidR="0080272E" w:rsidRPr="00435469">
        <w:rPr>
          <w:rFonts w:cs="Times New Roman"/>
          <w:sz w:val="20"/>
          <w:szCs w:val="20"/>
        </w:rPr>
        <w:t xml:space="preserve"> in the period before 2005)</w:t>
      </w:r>
      <w:r w:rsidR="009F1E13" w:rsidRPr="00435469">
        <w:rPr>
          <w:rFonts w:cs="Times New Roman"/>
          <w:sz w:val="20"/>
          <w:szCs w:val="20"/>
        </w:rPr>
        <w:t xml:space="preserve"> </w:t>
      </w:r>
      <w:r w:rsidR="0016391D" w:rsidRPr="00435469">
        <w:rPr>
          <w:rFonts w:cs="Times New Roman"/>
          <w:sz w:val="20"/>
          <w:szCs w:val="20"/>
        </w:rPr>
        <w:fldChar w:fldCharType="begin" w:fldLock="1"/>
      </w:r>
      <w:r w:rsidR="002F049E" w:rsidRPr="00435469">
        <w:rPr>
          <w:rFonts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16391D" w:rsidRPr="00435469">
        <w:rPr>
          <w:rFonts w:cs="Times New Roman"/>
          <w:sz w:val="20"/>
          <w:szCs w:val="20"/>
        </w:rPr>
        <w:fldChar w:fldCharType="separate"/>
      </w:r>
      <w:r w:rsidR="0063047A" w:rsidRPr="00435469">
        <w:rPr>
          <w:rFonts w:cs="Times New Roman"/>
          <w:noProof/>
          <w:sz w:val="20"/>
          <w:szCs w:val="20"/>
        </w:rPr>
        <w:t>(6)</w:t>
      </w:r>
      <w:r w:rsidR="0016391D" w:rsidRPr="00435469">
        <w:rPr>
          <w:rFonts w:cs="Times New Roman"/>
          <w:sz w:val="20"/>
          <w:szCs w:val="20"/>
        </w:rPr>
        <w:fldChar w:fldCharType="end"/>
      </w:r>
      <w:r w:rsidR="00733B53" w:rsidRPr="00435469">
        <w:rPr>
          <w:rFonts w:eastAsiaTheme="minorEastAsia" w:cs="Times New Roman"/>
          <w:sz w:val="20"/>
          <w:szCs w:val="20"/>
        </w:rPr>
        <w:t xml:space="preserve"> In </w:t>
      </w:r>
      <w:r w:rsidR="008A1670" w:rsidRPr="00435469">
        <w:rPr>
          <w:rFonts w:eastAsiaTheme="minorEastAsia" w:cs="Times New Roman"/>
          <w:sz w:val="20"/>
          <w:szCs w:val="20"/>
        </w:rPr>
        <w:t xml:space="preserve">this </w:t>
      </w:r>
      <w:r w:rsidR="00733B53" w:rsidRPr="00435469">
        <w:rPr>
          <w:rFonts w:eastAsiaTheme="minorEastAsia" w:cs="Times New Roman"/>
          <w:sz w:val="20"/>
          <w:szCs w:val="20"/>
        </w:rPr>
        <w:t>previous calibration analysis, we estimated the posterior mean</w:t>
      </w:r>
      <w:r w:rsidR="007C611E" w:rsidRPr="00435469">
        <w:rPr>
          <w:rFonts w:eastAsiaTheme="minorEastAsia" w:cs="Times New Roman"/>
          <w:sz w:val="20"/>
          <w:szCs w:val="20"/>
        </w:rPr>
        <w:t xml:space="preserve"> and 95% confidence interval</w:t>
      </w:r>
      <w:r w:rsidR="00733B53" w:rsidRPr="00435469">
        <w:rPr>
          <w:rFonts w:eastAsiaTheme="minorEastAsia" w:cs="Times New Roman"/>
          <w:sz w:val="20"/>
          <w:szCs w:val="20"/>
        </w:rPr>
        <w:t xml:space="preserve"> for this parameter to be </w:t>
      </w:r>
      <w:r w:rsidR="004D3333" w:rsidRPr="00435469">
        <w:rPr>
          <w:rFonts w:eastAsiaTheme="minorEastAsia" w:cs="Times New Roman"/>
          <w:sz w:val="20"/>
          <w:szCs w:val="20"/>
          <w:lang w:val="en-ZA"/>
        </w:rPr>
        <w:t>11.10 (95% CI 9.73 - 12.47)</w:t>
      </w:r>
      <w:r w:rsidR="00733B53" w:rsidRPr="00435469">
        <w:rPr>
          <w:rFonts w:eastAsiaTheme="minorEastAsia" w:cs="Times New Roman"/>
          <w:sz w:val="20"/>
          <w:szCs w:val="20"/>
        </w:rPr>
        <w:t xml:space="preserve">. </w:t>
      </w:r>
      <w:r w:rsidR="00733B53" w:rsidRPr="00435469">
        <w:rPr>
          <w:rFonts w:eastAsiaTheme="minorEastAsia" w:cs="Times New Roman"/>
          <w:sz w:val="20"/>
          <w:szCs w:val="20"/>
          <w:lang w:val="en-ZA"/>
        </w:rPr>
        <w:t>For this current analysis, we fixed</w:t>
      </w:r>
      <w:r w:rsidR="00733B53" w:rsidRPr="00435469">
        <w:rPr>
          <w:rFonts w:eastAsiaTheme="minorEastAsia" w:cs="Times New Roman"/>
          <w:sz w:val="20"/>
          <w:szCs w:val="20"/>
        </w:rPr>
        <w:t xml:space="preserve"> </w:t>
      </w:r>
      <w:r w:rsidR="007D221E" w:rsidRPr="00435469">
        <w:rPr>
          <w:rFonts w:eastAsiaTheme="minorEastAsia" w:cs="Times New Roman"/>
          <w:sz w:val="20"/>
          <w:szCs w:val="20"/>
        </w:rPr>
        <w:t xml:space="preserve">this parameter </w:t>
      </w:r>
      <w:r w:rsidR="00733B53" w:rsidRPr="00435469">
        <w:rPr>
          <w:rFonts w:eastAsiaTheme="minorEastAsia" w:cs="Times New Roman"/>
          <w:sz w:val="20"/>
          <w:szCs w:val="20"/>
        </w:rPr>
        <w:t xml:space="preserve">at this mean of </w:t>
      </w:r>
      <w:r w:rsidR="00FB0F32" w:rsidRPr="00435469">
        <w:rPr>
          <w:rFonts w:eastAsiaTheme="minorEastAsia" w:cs="Times New Roman"/>
          <w:sz w:val="20"/>
          <w:szCs w:val="20"/>
        </w:rPr>
        <w:t>11.1</w:t>
      </w:r>
      <w:r w:rsidR="00733B53" w:rsidRPr="00435469">
        <w:rPr>
          <w:rFonts w:eastAsiaTheme="minorEastAsia" w:cs="Times New Roman"/>
          <w:sz w:val="20"/>
          <w:szCs w:val="20"/>
        </w:rPr>
        <w:t>.</w:t>
      </w:r>
      <w:r w:rsidR="00DD67C6" w:rsidRPr="00435469">
        <w:rPr>
          <w:rFonts w:cs="Times New Roman"/>
          <w:sz w:val="20"/>
          <w:szCs w:val="20"/>
        </w:rPr>
        <w:t xml:space="preserve"> </w:t>
      </w:r>
      <w:r w:rsidR="00A67A93" w:rsidRPr="00435469">
        <w:rPr>
          <w:rFonts w:cs="Times New Roman"/>
          <w:sz w:val="20"/>
          <w:szCs w:val="20"/>
        </w:rPr>
        <w:t xml:space="preserve">We then </w:t>
      </w:r>
      <w:r w:rsidR="00A67A93" w:rsidRPr="00435469">
        <w:rPr>
          <w:sz w:val="20"/>
          <w:szCs w:val="20"/>
        </w:rPr>
        <w:t>linearly interpolate</w:t>
      </w:r>
      <w:r w:rsidR="009F6F95" w:rsidRPr="00435469">
        <w:rPr>
          <w:sz w:val="20"/>
          <w:szCs w:val="20"/>
        </w:rPr>
        <w:t>d</w:t>
      </w:r>
      <w:r w:rsidR="00A67A93" w:rsidRPr="00435469">
        <w:rPr>
          <w:sz w:val="20"/>
          <w:szCs w:val="20"/>
        </w:rPr>
        <w:t xml:space="preserve"> between the 200</w:t>
      </w:r>
      <w:r w:rsidR="00B8424F" w:rsidRPr="00435469">
        <w:rPr>
          <w:sz w:val="20"/>
          <w:szCs w:val="20"/>
        </w:rPr>
        <w:t>6</w:t>
      </w:r>
      <w:r w:rsidR="00A67A93" w:rsidRPr="00435469">
        <w:rPr>
          <w:sz w:val="20"/>
          <w:szCs w:val="20"/>
        </w:rPr>
        <w:t xml:space="preserve"> and 201</w:t>
      </w:r>
      <w:r w:rsidR="00B8424F" w:rsidRPr="00435469">
        <w:rPr>
          <w:sz w:val="20"/>
          <w:szCs w:val="20"/>
        </w:rPr>
        <w:t>1</w:t>
      </w:r>
      <w:r w:rsidR="00A67A93" w:rsidRPr="00435469">
        <w:rPr>
          <w:sz w:val="20"/>
          <w:szCs w:val="20"/>
        </w:rPr>
        <w:t xml:space="preserve"> ratios for the intervening years</w:t>
      </w:r>
      <w:r w:rsidR="00E90AE9" w:rsidRPr="00435469">
        <w:rPr>
          <w:sz w:val="20"/>
          <w:szCs w:val="20"/>
        </w:rPr>
        <w:t>;</w:t>
      </w:r>
      <w:r w:rsidR="000C4431" w:rsidRPr="00435469">
        <w:rPr>
          <w:sz w:val="20"/>
          <w:szCs w:val="20"/>
        </w:rPr>
        <w:t xml:space="preserve"> and assign</w:t>
      </w:r>
      <w:r w:rsidR="009F6F95" w:rsidRPr="00435469">
        <w:rPr>
          <w:sz w:val="20"/>
          <w:szCs w:val="20"/>
        </w:rPr>
        <w:t>ed</w:t>
      </w:r>
      <w:r w:rsidR="000C4431" w:rsidRPr="00435469">
        <w:rPr>
          <w:sz w:val="20"/>
          <w:szCs w:val="20"/>
        </w:rPr>
        <w:t xml:space="preserve"> </w:t>
      </w:r>
      <m:oMath>
        <m:r>
          <w:rPr>
            <w:rFonts w:ascii="Cambria Math" w:hAnsi="Cambria Math" w:cs="Times New Roman"/>
            <w:sz w:val="20"/>
            <w:szCs w:val="20"/>
          </w:rPr>
          <m:t>r(t)</m:t>
        </m:r>
      </m:oMath>
      <w:r w:rsidR="000C4431" w:rsidRPr="00435469">
        <w:rPr>
          <w:rFonts w:eastAsiaTheme="minorEastAsia"/>
          <w:sz w:val="20"/>
          <w:szCs w:val="20"/>
        </w:rPr>
        <w:t xml:space="preserve"> a </w:t>
      </w:r>
      <w:r w:rsidR="00E76F12" w:rsidRPr="00435469">
        <w:rPr>
          <w:rFonts w:cs="Times New Roman"/>
          <w:sz w:val="20"/>
          <w:szCs w:val="20"/>
        </w:rPr>
        <w:t>Gamma (1</w:t>
      </w:r>
      <w:r w:rsidR="00E305C0" w:rsidRPr="00435469">
        <w:rPr>
          <w:rFonts w:cs="Times New Roman"/>
          <w:sz w:val="20"/>
          <w:szCs w:val="20"/>
        </w:rPr>
        <w:t>1</w:t>
      </w:r>
      <w:r w:rsidR="00E76F12" w:rsidRPr="00435469">
        <w:rPr>
          <w:rFonts w:cs="Times New Roman"/>
          <w:sz w:val="20"/>
          <w:szCs w:val="20"/>
        </w:rPr>
        <w:t>.1</w:t>
      </w:r>
      <w:r w:rsidR="00E305C0" w:rsidRPr="00435469">
        <w:rPr>
          <w:rFonts w:cs="Times New Roman"/>
          <w:sz w:val="20"/>
          <w:szCs w:val="20"/>
        </w:rPr>
        <w:t>1</w:t>
      </w:r>
      <w:r w:rsidR="00E76F12" w:rsidRPr="00435469">
        <w:rPr>
          <w:rFonts w:cs="Times New Roman"/>
          <w:sz w:val="20"/>
          <w:szCs w:val="20"/>
        </w:rPr>
        <w:t xml:space="preserve">; </w:t>
      </w:r>
      <w:r w:rsidR="00E305C0" w:rsidRPr="00435469">
        <w:rPr>
          <w:rFonts w:cs="Times New Roman"/>
          <w:sz w:val="20"/>
          <w:szCs w:val="20"/>
        </w:rPr>
        <w:t>2.78)</w:t>
      </w:r>
      <w:r w:rsidR="00E76F12" w:rsidRPr="00435469">
        <w:rPr>
          <w:rFonts w:cs="Times New Roman"/>
          <w:sz w:val="20"/>
          <w:szCs w:val="20"/>
        </w:rPr>
        <w:t xml:space="preserve"> prior distribution with a mean of </w:t>
      </w:r>
      <w:r w:rsidR="00E472BF" w:rsidRPr="00435469">
        <w:rPr>
          <w:rFonts w:cs="Times New Roman"/>
          <w:sz w:val="20"/>
          <w:szCs w:val="20"/>
        </w:rPr>
        <w:t>4</w:t>
      </w:r>
      <w:r w:rsidR="00E76F12" w:rsidRPr="00435469">
        <w:rPr>
          <w:rFonts w:cs="Times New Roman"/>
          <w:sz w:val="20"/>
          <w:szCs w:val="20"/>
        </w:rPr>
        <w:t xml:space="preserve"> and a standard deviation of </w:t>
      </w:r>
      <w:r w:rsidR="00E472BF" w:rsidRPr="00435469">
        <w:rPr>
          <w:rFonts w:cs="Times New Roman"/>
          <w:sz w:val="20"/>
          <w:szCs w:val="20"/>
        </w:rPr>
        <w:t>1.2</w:t>
      </w:r>
      <w:r w:rsidR="005A35D5" w:rsidRPr="00435469">
        <w:rPr>
          <w:rFonts w:cs="Times New Roman"/>
          <w:sz w:val="20"/>
          <w:szCs w:val="20"/>
        </w:rPr>
        <w:t xml:space="preserve"> for the period from 2012</w:t>
      </w:r>
      <w:r w:rsidR="00E472BF" w:rsidRPr="00435469">
        <w:rPr>
          <w:rFonts w:cs="Times New Roman"/>
          <w:sz w:val="20"/>
          <w:szCs w:val="20"/>
        </w:rPr>
        <w:t>.</w:t>
      </w:r>
      <w:r w:rsidR="005A35D5" w:rsidRPr="00435469">
        <w:rPr>
          <w:rFonts w:cs="Times New Roman"/>
          <w:sz w:val="20"/>
          <w:szCs w:val="20"/>
        </w:rPr>
        <w:t xml:space="preserve"> The latter prior distribution is based on the studies summarized in</w:t>
      </w:r>
      <w:r w:rsidR="00232AC2" w:rsidRPr="00435469">
        <w:rPr>
          <w:rFonts w:cs="Times New Roman"/>
          <w:sz w:val="20"/>
          <w:szCs w:val="20"/>
        </w:rPr>
        <w:t xml:space="preserve"> </w:t>
      </w:r>
      <w:r w:rsidR="00232AC2" w:rsidRPr="00435469">
        <w:rPr>
          <w:rFonts w:cs="Times New Roman"/>
          <w:sz w:val="20"/>
          <w:szCs w:val="20"/>
        </w:rPr>
        <w:fldChar w:fldCharType="begin"/>
      </w:r>
      <w:r w:rsidR="00232AC2" w:rsidRPr="00435469">
        <w:rPr>
          <w:rFonts w:cs="Times New Roman"/>
          <w:sz w:val="20"/>
          <w:szCs w:val="20"/>
        </w:rPr>
        <w:instrText xml:space="preserve"> REF _Ref103318878 \h </w:instrText>
      </w:r>
      <w:r w:rsidR="00435469">
        <w:rPr>
          <w:rFonts w:cs="Times New Roman"/>
          <w:sz w:val="20"/>
          <w:szCs w:val="20"/>
        </w:rPr>
        <w:instrText xml:space="preserve"> \* MERGEFORMAT </w:instrText>
      </w:r>
      <w:r w:rsidR="00232AC2" w:rsidRPr="00435469">
        <w:rPr>
          <w:rFonts w:cs="Times New Roman"/>
          <w:sz w:val="20"/>
          <w:szCs w:val="20"/>
        </w:rPr>
      </w:r>
      <w:r w:rsidR="00232AC2"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6</w:t>
      </w:r>
      <w:r w:rsidR="00232AC2" w:rsidRPr="00435469">
        <w:rPr>
          <w:rFonts w:cs="Times New Roman"/>
          <w:sz w:val="20"/>
          <w:szCs w:val="20"/>
        </w:rPr>
        <w:fldChar w:fldCharType="end"/>
      </w:r>
      <w:r w:rsidR="005A35D5" w:rsidRPr="00435469">
        <w:rPr>
          <w:rFonts w:cs="Times New Roman"/>
          <w:sz w:val="20"/>
          <w:szCs w:val="20"/>
        </w:rPr>
        <w:t>, which were mostly conducted in the period after 2011.</w:t>
      </w:r>
      <w:r w:rsidR="00DE250F" w:rsidRPr="00435469">
        <w:rPr>
          <w:rFonts w:eastAsiaTheme="minorEastAsia" w:cs="Times New Roman"/>
          <w:sz w:val="20"/>
          <w:szCs w:val="20"/>
        </w:rPr>
        <w:t xml:space="preserve"> </w:t>
      </w:r>
      <w:r w:rsidR="007E64AF" w:rsidRPr="00435469">
        <w:rPr>
          <w:rFonts w:eastAsiaTheme="minorEastAsia" w:cs="Times New Roman"/>
          <w:sz w:val="20"/>
          <w:szCs w:val="20"/>
        </w:rPr>
        <w:t xml:space="preserve">We similarly fixed this parameter </w:t>
      </w:r>
      <w:r w:rsidR="00D33D77" w:rsidRPr="00435469">
        <w:rPr>
          <w:rFonts w:eastAsiaTheme="minorEastAsia" w:cs="Times New Roman"/>
          <w:sz w:val="20"/>
          <w:szCs w:val="20"/>
        </w:rPr>
        <w:t xml:space="preserve">at </w:t>
      </w:r>
      <w:r w:rsidR="00DB1731" w:rsidRPr="00435469">
        <w:rPr>
          <w:rFonts w:eastAsiaTheme="minorEastAsia" w:cs="Times New Roman"/>
          <w:sz w:val="20"/>
          <w:szCs w:val="20"/>
        </w:rPr>
        <w:t>the posterior mean</w:t>
      </w:r>
      <w:r w:rsidR="00E928AD" w:rsidRPr="00435469">
        <w:rPr>
          <w:rFonts w:eastAsiaTheme="minorEastAsia" w:cs="Times New Roman"/>
          <w:sz w:val="20"/>
          <w:szCs w:val="20"/>
        </w:rPr>
        <w:t xml:space="preserve"> of </w:t>
      </w:r>
      <w:r w:rsidR="00E928AD" w:rsidRPr="00435469">
        <w:rPr>
          <w:rFonts w:eastAsiaTheme="minorEastAsia" w:cs="Times New Roman"/>
          <w:sz w:val="20"/>
          <w:szCs w:val="20"/>
          <w:lang w:val="en-ZA"/>
        </w:rPr>
        <w:t>3.84,</w:t>
      </w:r>
      <w:r w:rsidR="00247C89" w:rsidRPr="00435469">
        <w:rPr>
          <w:rFonts w:eastAsiaTheme="minorEastAsia" w:cs="Times New Roman"/>
          <w:sz w:val="20"/>
          <w:szCs w:val="20"/>
        </w:rPr>
        <w:t xml:space="preserve"> </w:t>
      </w:r>
      <w:r w:rsidR="00DB1731" w:rsidRPr="00435469">
        <w:rPr>
          <w:rFonts w:eastAsiaTheme="minorEastAsia" w:cs="Times New Roman"/>
          <w:sz w:val="20"/>
          <w:szCs w:val="20"/>
        </w:rPr>
        <w:t xml:space="preserve">estimated in </w:t>
      </w:r>
      <w:r w:rsidR="000D161F" w:rsidRPr="00435469">
        <w:rPr>
          <w:rFonts w:eastAsiaTheme="minorEastAsia" w:cs="Times New Roman"/>
          <w:sz w:val="20"/>
          <w:szCs w:val="20"/>
        </w:rPr>
        <w:t xml:space="preserve">the </w:t>
      </w:r>
      <w:r w:rsidR="00DB1731" w:rsidRPr="00435469">
        <w:rPr>
          <w:rFonts w:eastAsiaTheme="minorEastAsia" w:cs="Times New Roman"/>
          <w:sz w:val="20"/>
          <w:szCs w:val="20"/>
        </w:rPr>
        <w:t xml:space="preserve">previous </w:t>
      </w:r>
      <w:r w:rsidR="00247C89" w:rsidRPr="00435469">
        <w:rPr>
          <w:rFonts w:eastAsiaTheme="minorEastAsia" w:cs="Times New Roman"/>
          <w:sz w:val="20"/>
          <w:szCs w:val="20"/>
        </w:rPr>
        <w:t xml:space="preserve">calibration </w:t>
      </w:r>
      <w:r w:rsidR="00DB1731" w:rsidRPr="00435469">
        <w:rPr>
          <w:rFonts w:eastAsiaTheme="minorEastAsia" w:cs="Times New Roman"/>
          <w:sz w:val="20"/>
          <w:szCs w:val="20"/>
        </w:rPr>
        <w:t>analysis</w:t>
      </w:r>
      <w:r w:rsidR="00147E60" w:rsidRPr="00435469">
        <w:rPr>
          <w:rFonts w:eastAsiaTheme="minorEastAsia" w:cs="Times New Roman"/>
          <w:sz w:val="20"/>
          <w:szCs w:val="20"/>
        </w:rPr>
        <w:t xml:space="preserve"> </w:t>
      </w:r>
      <w:r w:rsidR="00247C89" w:rsidRPr="00435469">
        <w:rPr>
          <w:rFonts w:eastAsiaTheme="minorEastAsia" w:cs="Times New Roman"/>
          <w:sz w:val="20"/>
          <w:szCs w:val="20"/>
        </w:rPr>
        <w:t>(mean</w:t>
      </w:r>
      <w:r w:rsidR="00737D91" w:rsidRPr="00435469">
        <w:rPr>
          <w:rFonts w:eastAsiaTheme="minorEastAsia" w:cs="Times New Roman"/>
          <w:sz w:val="20"/>
          <w:szCs w:val="20"/>
        </w:rPr>
        <w:t>=</w:t>
      </w:r>
      <w:r w:rsidR="00DB1731" w:rsidRPr="00435469">
        <w:rPr>
          <w:rFonts w:eastAsiaTheme="minorEastAsia" w:cs="Times New Roman"/>
          <w:sz w:val="20"/>
          <w:szCs w:val="20"/>
          <w:lang w:val="en-ZA"/>
        </w:rPr>
        <w:t>3.84</w:t>
      </w:r>
      <w:r w:rsidR="00DD67C6" w:rsidRPr="00435469">
        <w:rPr>
          <w:rFonts w:eastAsiaTheme="minorEastAsia" w:cs="Times New Roman"/>
          <w:sz w:val="20"/>
          <w:szCs w:val="20"/>
          <w:lang w:val="en-ZA"/>
        </w:rPr>
        <w:t xml:space="preserve">, </w:t>
      </w:r>
      <w:r w:rsidR="00DB1731" w:rsidRPr="00435469">
        <w:rPr>
          <w:rFonts w:eastAsiaTheme="minorEastAsia" w:cs="Times New Roman"/>
          <w:sz w:val="20"/>
          <w:szCs w:val="20"/>
          <w:lang w:val="en-ZA"/>
        </w:rPr>
        <w:t>95% CI 3.27 - 4.52)</w:t>
      </w:r>
      <w:r w:rsidR="00437D72" w:rsidRPr="00435469">
        <w:rPr>
          <w:rFonts w:eastAsiaTheme="minorEastAsia" w:cs="Times New Roman"/>
          <w:sz w:val="20"/>
          <w:szCs w:val="20"/>
          <w:lang w:val="en-ZA"/>
        </w:rPr>
        <w:t xml:space="preserve"> </w:t>
      </w:r>
      <w:r w:rsidR="00437D72" w:rsidRPr="00435469">
        <w:rPr>
          <w:rFonts w:eastAsia="Yu Mincho" w:cs="Times New Roman"/>
          <w:sz w:val="20"/>
          <w:szCs w:val="20"/>
        </w:rPr>
        <w:fldChar w:fldCharType="begin" w:fldLock="1"/>
      </w:r>
      <w:r w:rsidR="00650727"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437D72" w:rsidRPr="00435469">
        <w:rPr>
          <w:rFonts w:eastAsia="Yu Mincho" w:cs="Times New Roman"/>
          <w:sz w:val="20"/>
          <w:szCs w:val="20"/>
        </w:rPr>
        <w:fldChar w:fldCharType="separate"/>
      </w:r>
      <w:r w:rsidR="00437D72" w:rsidRPr="00435469">
        <w:rPr>
          <w:rFonts w:eastAsia="Yu Mincho" w:cs="Times New Roman"/>
          <w:noProof/>
          <w:sz w:val="20"/>
          <w:szCs w:val="20"/>
        </w:rPr>
        <w:t>(6)</w:t>
      </w:r>
      <w:r w:rsidR="00437D72" w:rsidRPr="00435469">
        <w:rPr>
          <w:rFonts w:eastAsia="Yu Mincho" w:cs="Times New Roman"/>
          <w:sz w:val="20"/>
          <w:szCs w:val="20"/>
        </w:rPr>
        <w:fldChar w:fldCharType="end"/>
      </w:r>
      <w:r w:rsidR="00DB1731" w:rsidRPr="00435469">
        <w:rPr>
          <w:rFonts w:eastAsiaTheme="minorEastAsia" w:cs="Times New Roman"/>
          <w:sz w:val="20"/>
          <w:szCs w:val="20"/>
          <w:lang w:val="en-ZA"/>
        </w:rPr>
        <w:t xml:space="preserve">. </w:t>
      </w:r>
    </w:p>
    <w:p w14:paraId="09944679" w14:textId="102033A2" w:rsidR="00F76414" w:rsidRPr="00435469" w:rsidRDefault="00971F36" w:rsidP="007470B0">
      <w:pPr>
        <w:spacing w:before="240" w:line="240" w:lineRule="auto"/>
        <w:rPr>
          <w:rFonts w:eastAsia="Times New Roman" w:cs="Times New Roman"/>
          <w:sz w:val="20"/>
          <w:szCs w:val="20"/>
          <w:lang w:eastAsia="en-ZA"/>
        </w:rPr>
      </w:pPr>
      <w:r w:rsidRPr="00435469">
        <w:rPr>
          <w:rFonts w:cs="Times New Roman"/>
          <w:sz w:val="20"/>
          <w:szCs w:val="20"/>
        </w:rPr>
        <w:t xml:space="preserve">Then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cs="Times New Roman"/>
          <w:sz w:val="20"/>
          <w:szCs w:val="20"/>
        </w:rPr>
        <w:t xml:space="preserve"> will be estimated from</w:t>
      </w:r>
      <w:r w:rsidR="00D343AE" w:rsidRPr="00435469">
        <w:rPr>
          <w:rFonts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oMath>
      <w:r w:rsidR="00D33FB4" w:rsidRPr="00435469">
        <w:rPr>
          <w:rFonts w:eastAsiaTheme="minorEastAsia" w:cs="Times New Roman"/>
          <w:sz w:val="20"/>
          <w:szCs w:val="20"/>
        </w:rPr>
        <w:t>,</w:t>
      </w:r>
      <w:r w:rsidR="00C7309F" w:rsidRPr="00435469">
        <w:rPr>
          <w:rFonts w:eastAsiaTheme="minorEastAsia" w:cs="Times New Roman"/>
          <w:sz w:val="20"/>
          <w:szCs w:val="20"/>
        </w:rPr>
        <w:t xml:space="preserve"> </w:t>
      </w:r>
      <w:r w:rsidRPr="00435469">
        <w:rPr>
          <w:rFonts w:cs="Times New Roman"/>
          <w:sz w:val="20"/>
          <w:szCs w:val="20"/>
        </w:rPr>
        <w:t xml:space="preserve">the total number of </w:t>
      </w:r>
      <w:r w:rsidR="00465899" w:rsidRPr="00435469">
        <w:rPr>
          <w:rFonts w:cs="Times New Roman"/>
          <w:sz w:val="20"/>
          <w:szCs w:val="20"/>
        </w:rPr>
        <w:t xml:space="preserve">positive tests </w:t>
      </w:r>
      <w:r w:rsidRPr="00435469">
        <w:rPr>
          <w:rFonts w:cs="Times New Roman"/>
          <w:sz w:val="20"/>
          <w:szCs w:val="20"/>
        </w:rPr>
        <w:t xml:space="preserve">in year </w:t>
      </w:r>
      <m:oMath>
        <m:r>
          <w:rPr>
            <w:rFonts w:ascii="Cambria Math" w:hAnsi="Cambria Math" w:cs="Times New Roman"/>
            <w:sz w:val="20"/>
            <w:szCs w:val="20"/>
          </w:rPr>
          <m:t>t</m:t>
        </m:r>
      </m:oMath>
      <w:r w:rsidR="00CD1889" w:rsidRPr="00435469">
        <w:rPr>
          <w:rFonts w:cs="Times New Roman"/>
          <w:sz w:val="20"/>
          <w:szCs w:val="20"/>
        </w:rPr>
        <w:t xml:space="preserve">, by rearranging the terms in </w:t>
      </w:r>
      <w:r w:rsidR="00D343AE" w:rsidRPr="00435469">
        <w:rPr>
          <w:rFonts w:cs="Times New Roman"/>
          <w:sz w:val="20"/>
          <w:szCs w:val="20"/>
        </w:rPr>
        <w:fldChar w:fldCharType="begin"/>
      </w:r>
      <w:r w:rsidR="00D343AE" w:rsidRPr="00435469">
        <w:rPr>
          <w:rFonts w:cs="Times New Roman"/>
          <w:sz w:val="20"/>
          <w:szCs w:val="20"/>
        </w:rPr>
        <w:instrText xml:space="preserve"> REF _Ref90446547 \h </w:instrText>
      </w:r>
      <w:r w:rsidR="00DC6D47" w:rsidRPr="00435469">
        <w:rPr>
          <w:rFonts w:cs="Times New Roman"/>
          <w:sz w:val="20"/>
          <w:szCs w:val="20"/>
        </w:rPr>
        <w:instrText xml:space="preserve"> \* MERGEFORMAT </w:instrText>
      </w:r>
      <w:r w:rsidR="00D343AE" w:rsidRPr="00435469">
        <w:rPr>
          <w:rFonts w:cs="Times New Roman"/>
          <w:sz w:val="20"/>
          <w:szCs w:val="20"/>
        </w:rPr>
      </w:r>
      <w:r w:rsidR="00D343AE" w:rsidRPr="00435469">
        <w:rPr>
          <w:rFonts w:cs="Times New Roman"/>
          <w:sz w:val="20"/>
          <w:szCs w:val="20"/>
        </w:rPr>
        <w:fldChar w:fldCharType="separate"/>
      </w:r>
      <w:r w:rsidR="00186C2F" w:rsidRPr="00435469">
        <w:rPr>
          <w:sz w:val="20"/>
          <w:szCs w:val="20"/>
        </w:rPr>
        <w:t xml:space="preserve">Equation </w:t>
      </w:r>
      <w:r w:rsidR="00186C2F" w:rsidRPr="00435469">
        <w:rPr>
          <w:noProof/>
          <w:sz w:val="20"/>
          <w:szCs w:val="20"/>
        </w:rPr>
        <w:t>4</w:t>
      </w:r>
      <w:r w:rsidR="00D343AE" w:rsidRPr="00435469">
        <w:rPr>
          <w:rFonts w:cs="Times New Roman"/>
          <w:sz w:val="20"/>
          <w:szCs w:val="20"/>
        </w:rPr>
        <w:fldChar w:fldCharType="end"/>
      </w:r>
      <w:r w:rsidR="004D0475" w:rsidRPr="00435469">
        <w:rPr>
          <w:rFonts w:cs="Times New Roman"/>
          <w:sz w:val="20"/>
          <w:szCs w:val="20"/>
        </w:rPr>
        <w:t>,</w:t>
      </w:r>
      <w:r w:rsidRPr="00435469">
        <w:rPr>
          <w:rFonts w:cs="Times New Roman"/>
          <w:sz w:val="20"/>
          <w:szCs w:val="20"/>
        </w:rPr>
        <w:t xml:space="preserve"> </w:t>
      </w:r>
      <w:r w:rsidR="00F76414" w:rsidRPr="00435469">
        <w:rPr>
          <w:rFonts w:cs="Times New Roman"/>
          <w:sz w:val="20"/>
          <w:szCs w:val="20"/>
        </w:rPr>
        <w:t xml:space="preserve">as </w:t>
      </w:r>
      <w:r w:rsidR="004D0475" w:rsidRPr="00435469">
        <w:rPr>
          <w:rFonts w:cs="Times New Roman"/>
          <w:sz w:val="20"/>
          <w:szCs w:val="20"/>
        </w:rPr>
        <w:t xml:space="preserve">shown </w:t>
      </w:r>
      <w:r w:rsidR="00F76414" w:rsidRPr="00435469">
        <w:rPr>
          <w:rFonts w:cs="Times New Roman"/>
          <w:sz w:val="20"/>
          <w:szCs w:val="20"/>
        </w:rPr>
        <w:t xml:space="preserve">in </w:t>
      </w:r>
      <w:r w:rsidR="00F76414" w:rsidRPr="00435469">
        <w:rPr>
          <w:rFonts w:cs="Times New Roman"/>
          <w:sz w:val="20"/>
          <w:szCs w:val="20"/>
        </w:rPr>
        <w:fldChar w:fldCharType="begin"/>
      </w:r>
      <w:r w:rsidR="00F76414" w:rsidRPr="00435469">
        <w:rPr>
          <w:rFonts w:cs="Times New Roman"/>
          <w:sz w:val="20"/>
          <w:szCs w:val="20"/>
        </w:rPr>
        <w:instrText xml:space="preserve"> REF _Ref99361115 \h </w:instrText>
      </w:r>
      <w:r w:rsidR="00955FFB" w:rsidRPr="00435469">
        <w:rPr>
          <w:rFonts w:cs="Times New Roman"/>
          <w:sz w:val="20"/>
          <w:szCs w:val="20"/>
        </w:rPr>
        <w:instrText xml:space="preserve"> \* MERGEFORMAT </w:instrText>
      </w:r>
      <w:r w:rsidR="00F76414" w:rsidRPr="00435469">
        <w:rPr>
          <w:rFonts w:cs="Times New Roman"/>
          <w:sz w:val="20"/>
          <w:szCs w:val="20"/>
        </w:rPr>
      </w:r>
      <w:r w:rsidR="00F76414" w:rsidRPr="00435469">
        <w:rPr>
          <w:rFonts w:cs="Times New Roman"/>
          <w:sz w:val="20"/>
          <w:szCs w:val="20"/>
        </w:rPr>
        <w:fldChar w:fldCharType="separate"/>
      </w:r>
      <w:r w:rsidR="00186C2F" w:rsidRPr="00435469">
        <w:rPr>
          <w:sz w:val="20"/>
          <w:szCs w:val="20"/>
        </w:rPr>
        <w:t xml:space="preserve">Equation </w:t>
      </w:r>
      <w:r w:rsidR="00186C2F" w:rsidRPr="00435469">
        <w:rPr>
          <w:noProof/>
          <w:sz w:val="20"/>
          <w:szCs w:val="20"/>
        </w:rPr>
        <w:t>5</w:t>
      </w:r>
      <w:r w:rsidR="00F76414" w:rsidRPr="00435469">
        <w:rPr>
          <w:rFonts w:cs="Times New Roman"/>
          <w:sz w:val="20"/>
          <w:szCs w:val="20"/>
        </w:rPr>
        <w:fldChar w:fldCharType="end"/>
      </w:r>
      <w:r w:rsidR="00F76414" w:rsidRPr="00435469">
        <w:rPr>
          <w:rFonts w:cs="Times New Roman"/>
          <w:sz w:val="20"/>
          <w:szCs w:val="20"/>
        </w:rPr>
        <w:t xml:space="preserve">. </w:t>
      </w:r>
      <w:r w:rsidR="00F76414" w:rsidRPr="00435469">
        <w:rPr>
          <w:rFonts w:eastAsiaTheme="minorEastAsia" w:cs="Times New Roman"/>
          <w:sz w:val="20"/>
          <w:szCs w:val="20"/>
        </w:rPr>
        <w:t>We relied on the National Institute for Communicable Diseases data (2004-2019) for the numbers of microbiological diagnoses</w:t>
      </w:r>
      <w:r w:rsidR="001B608A" w:rsidRPr="00435469">
        <w:rPr>
          <w:rFonts w:eastAsiaTheme="minorEastAsia" w:cs="Times New Roman"/>
          <w:sz w:val="20"/>
          <w:szCs w:val="20"/>
        </w:rPr>
        <w:t xml:space="preserve"> (</w:t>
      </w:r>
      <w:r w:rsidR="008C762F" w:rsidRPr="00435469">
        <w:rPr>
          <w:rFonts w:eastAsiaTheme="minorEastAsia" w:cs="Times New Roman"/>
          <w:sz w:val="20"/>
          <w:szCs w:val="20"/>
        </w:rPr>
        <w:fldChar w:fldCharType="begin"/>
      </w:r>
      <w:r w:rsidR="008C762F" w:rsidRPr="00435469">
        <w:rPr>
          <w:rFonts w:eastAsiaTheme="minorEastAsia" w:cs="Times New Roman"/>
          <w:sz w:val="20"/>
          <w:szCs w:val="20"/>
        </w:rPr>
        <w:instrText xml:space="preserve"> REF _Ref103319016 \h </w:instrText>
      </w:r>
      <w:r w:rsidR="007470B0" w:rsidRPr="00435469">
        <w:rPr>
          <w:rFonts w:eastAsiaTheme="minorEastAsia" w:cs="Times New Roman"/>
          <w:sz w:val="20"/>
          <w:szCs w:val="20"/>
        </w:rPr>
        <w:instrText xml:space="preserve"> \* MERGEFORMAT </w:instrText>
      </w:r>
      <w:r w:rsidR="008C762F" w:rsidRPr="00435469">
        <w:rPr>
          <w:rFonts w:eastAsiaTheme="minorEastAsia" w:cs="Times New Roman"/>
          <w:sz w:val="20"/>
          <w:szCs w:val="20"/>
        </w:rPr>
      </w:r>
      <w:r w:rsidR="008C762F" w:rsidRPr="00435469">
        <w:rPr>
          <w:rFonts w:eastAsiaTheme="minorEastAsia" w:cs="Times New Roman"/>
          <w:sz w:val="20"/>
          <w:szCs w:val="20"/>
        </w:rPr>
        <w:fldChar w:fldCharType="separate"/>
      </w:r>
      <w:r w:rsidR="00186C2F" w:rsidRPr="00435469">
        <w:rPr>
          <w:sz w:val="20"/>
          <w:szCs w:val="20"/>
        </w:rPr>
        <w:t xml:space="preserve">Table </w:t>
      </w:r>
      <w:r w:rsidR="00186C2F" w:rsidRPr="00435469">
        <w:rPr>
          <w:noProof/>
          <w:sz w:val="20"/>
          <w:szCs w:val="20"/>
        </w:rPr>
        <w:t>7</w:t>
      </w:r>
      <w:r w:rsidR="008C762F" w:rsidRPr="00435469">
        <w:rPr>
          <w:rFonts w:eastAsiaTheme="minorEastAsia" w:cs="Times New Roman"/>
          <w:sz w:val="20"/>
          <w:szCs w:val="20"/>
        </w:rPr>
        <w:fldChar w:fldCharType="end"/>
      </w:r>
      <w:r w:rsidR="008C762F" w:rsidRPr="00435469">
        <w:rPr>
          <w:rFonts w:eastAsiaTheme="minorEastAsia" w:cs="Times New Roman"/>
          <w:sz w:val="20"/>
          <w:szCs w:val="20"/>
        </w:rPr>
        <w:t xml:space="preserve">) </w:t>
      </w:r>
      <w:r w:rsidR="00F76414" w:rsidRPr="00435469">
        <w:rPr>
          <w:rFonts w:eastAsia="Times New Roman" w:cs="Times New Roman"/>
          <w:sz w:val="20"/>
          <w:szCs w:val="20"/>
          <w:lang w:eastAsia="en-ZA"/>
        </w:rPr>
        <w:fldChar w:fldCharType="begin" w:fldLock="1"/>
      </w:r>
      <w:r w:rsidR="00A142FF" w:rsidRPr="00435469">
        <w:rPr>
          <w:rFonts w:eastAsia="Times New Roman" w:cs="Times New Roman"/>
          <w:sz w:val="20"/>
          <w:szCs w:val="20"/>
          <w:lang w:eastAsia="en-ZA"/>
        </w:rPr>
        <w:instrText>ADDIN CSL_CITATION {"citationItems":[{"id":"ITEM-1","itemData":{"DOI":"10.1016/S1473-3099(15)00147-4","ISBN":"1474-4457 (Electronic) 1473-3099 (Linking)","ISSN":"14744457","PMID":"26112077","abstract":"Background: South Africa has the highest incidence of tuberculosis in the world, largely resulting from a high population prevalence of HIV infection. We investigated the incidence of microbiologically confirmed pulmonary tuberculosis, and new cases of pulmonary tuberculosis registered for treatment, nationally and provincially in South Africa from 2004 to 2012, during which time there were changes in antiretroviral therapy (ART) coverage among individuals with HIV infection. Methods: We identified cases of microbiologically confirmed pulmonary tuberculosis from 2004 to 2012 from the National Health Laboratory Service Corporate Data Warehouse. New cases registered for treatment were identified from National Department of Health electronic registries. A time series analysis, using autoregressive models, was undertaken on incidence of microbiologically confirmed pulmonary disease nationally and provincially; this trend was also examined relative to ART coverage of adults with HIV infection. Findings: During the 9-year period, 3 523 371 cases of microbiologically confirmed pulmonary tuberculosis were recorded nationally. Annual incidence (per 100 000 population) increased from 650 (95% CI 648-652) in 2004 to 848 (845-850) in 2008, declining to 774 (771-776) by 2012 (9% decrease from 2008 to 2012). Incidence varied by age-group, sex, and province. There was an inverse association between incidence of microbiologically confirmed disease and ART coverage among HIV-infected individuals nationally and provincially. Trends in incidence of tuberculosis cases registered for treatment mirrored those of microbiologically confirmed cases nationally and provincially; however, incidence of microbiologically confirmed cases was consistently higher than cases registered for treatment nationally and in seven of nine provinces. Interpretation: Since its peak in 2008, the incidence of microbiologically confirmed pulmonary tuberculosis in South Africa had declined by 2012; this decline is associated with an increase in ART coverage. Future integration of registries for microbiologically confirmed cases and new cases registered for treatment would improve the assessment of the burden of pulmonary tuberculosis in South Africa. Funding: National Institute for Communicable Diseases: Division of the National Health Laboratory Service, South Africa.","author":[{"dropping-particle":"","family":"Nanoo","given":"Ananta","non-dropping-particle":"","parse-names":false,"suffix":""},{"dropping-particle":"","family":"Izu","given":"Alane","non-dropping-particle":"","parse-names":false,"suffix":""},{"dropping-particle":"","family":"Ismail","given":"Nazir A.","non-dropping-particle":"","parse-names":false,"suffix":""},{"dropping-particle":"","family":"Ihekweazu","given":"Chikwe","non-dropping-particle":"","parse-names":false,"suffix":""},{"dropping-particle":"","family":"Abubakar","given":"Ibrahim","non-dropping-particle":"","parse-names":false,"suffix":""},{"dropping-particle":"","family":"Mametja","given":"David","non-dropping-particle":"","parse-names":false,"suffix":""},{"dropping-particle":"","family":"Madhi","given":"Shabir A.","non-dropping-particle":"","parse-names":false,"suffix":""}],"container-title":"The Lancet Infectious Diseases","id":"ITEM-1","issue":"9","issued":{"date-parts":[["2015"]]},"page":"1066-1076","publisher":"Elsevier Ltd","title":"Nationwide and regional incidence of microbiologically confirmed pulmonary tuberculosis in South Africa, 2004-12: A time series analysis","type":"article-journal","volume":"15"},"uris":["http://www.mendeley.com/documents/?uuid=4ddc49e3-1211-47ad-972c-b7877933ac26"]}],"mendeley":{"formattedCitation":"(54)","plainTextFormattedCitation":"(54)","previouslyFormattedCitation":"(54)"},"properties":{"noteIndex":0},"schema":"https://github.com/citation-style-language/schema/raw/master/csl-citation.json"}</w:instrText>
      </w:r>
      <w:r w:rsidR="00F76414" w:rsidRPr="00435469">
        <w:rPr>
          <w:rFonts w:eastAsia="Times New Roman" w:cs="Times New Roman"/>
          <w:sz w:val="20"/>
          <w:szCs w:val="20"/>
          <w:lang w:eastAsia="en-ZA"/>
        </w:rPr>
        <w:fldChar w:fldCharType="separate"/>
      </w:r>
      <w:r w:rsidR="0016391D" w:rsidRPr="00435469">
        <w:rPr>
          <w:rFonts w:eastAsia="Times New Roman" w:cs="Times New Roman"/>
          <w:noProof/>
          <w:sz w:val="20"/>
          <w:szCs w:val="20"/>
          <w:lang w:eastAsia="en-ZA"/>
        </w:rPr>
        <w:t>(54)</w:t>
      </w:r>
      <w:r w:rsidR="00F76414" w:rsidRPr="00435469">
        <w:rPr>
          <w:rFonts w:eastAsia="Times New Roman" w:cs="Times New Roman"/>
          <w:sz w:val="20"/>
          <w:szCs w:val="20"/>
          <w:lang w:eastAsia="en-ZA"/>
        </w:rPr>
        <w:fldChar w:fldCharType="end"/>
      </w:r>
      <w:r w:rsidR="00F76414" w:rsidRPr="00435469">
        <w:rPr>
          <w:rFonts w:eastAsiaTheme="minorEastAsia" w:cs="Times New Roman"/>
          <w:sz w:val="20"/>
          <w:szCs w:val="20"/>
        </w:rPr>
        <w:t>. We assumed the testing rates in 1985</w:t>
      </w:r>
      <w:r w:rsidR="00D55E31" w:rsidRPr="00435469">
        <w:rPr>
          <w:rFonts w:eastAsiaTheme="minorEastAsia" w:cs="Times New Roman"/>
          <w:sz w:val="20"/>
          <w:szCs w:val="20"/>
        </w:rPr>
        <w:t xml:space="preserve"> (when the model was initiated)</w:t>
      </w:r>
      <w:r w:rsidR="00F76414" w:rsidRPr="00435469">
        <w:rPr>
          <w:rFonts w:eastAsiaTheme="minorEastAsia" w:cs="Times New Roman"/>
          <w:sz w:val="20"/>
          <w:szCs w:val="20"/>
        </w:rPr>
        <w:t xml:space="preserve"> were half of the 2004 testing rates</w:t>
      </w:r>
      <w:r w:rsidR="002376FC" w:rsidRPr="00435469">
        <w:rPr>
          <w:rFonts w:eastAsiaTheme="minorEastAsia" w:cs="Times New Roman"/>
          <w:sz w:val="20"/>
          <w:szCs w:val="20"/>
        </w:rPr>
        <w:t>;</w:t>
      </w:r>
      <w:r w:rsidR="00F76414" w:rsidRPr="00435469">
        <w:rPr>
          <w:rFonts w:eastAsiaTheme="minorEastAsia" w:cs="Times New Roman"/>
          <w:sz w:val="20"/>
          <w:szCs w:val="20"/>
        </w:rPr>
        <w:t xml:space="preserve"> </w:t>
      </w:r>
      <w:r w:rsidR="002376FC" w:rsidRPr="00435469">
        <w:rPr>
          <w:rFonts w:eastAsiaTheme="minorEastAsia" w:cs="Times New Roman"/>
          <w:sz w:val="20"/>
          <w:szCs w:val="20"/>
        </w:rPr>
        <w:t>and assumed that for</w:t>
      </w:r>
      <w:r w:rsidR="00F76414" w:rsidRPr="00435469">
        <w:rPr>
          <w:rFonts w:eastAsiaTheme="minorEastAsia" w:cs="Times New Roman"/>
          <w:sz w:val="20"/>
          <w:szCs w:val="20"/>
        </w:rPr>
        <w:t xml:space="preserve"> the period 1985-2004</w:t>
      </w:r>
      <w:r w:rsidR="002376FC" w:rsidRPr="00435469">
        <w:rPr>
          <w:rFonts w:eastAsiaTheme="minorEastAsia" w:cs="Times New Roman"/>
          <w:sz w:val="20"/>
          <w:szCs w:val="20"/>
        </w:rPr>
        <w:t xml:space="preserve">, the </w:t>
      </w:r>
      <w:r w:rsidR="00F76414" w:rsidRPr="00435469">
        <w:rPr>
          <w:rFonts w:eastAsiaTheme="minorEastAsia" w:cs="Times New Roman"/>
          <w:sz w:val="20"/>
          <w:szCs w:val="20"/>
        </w:rPr>
        <w:t xml:space="preserve">screening rates increased linearly. </w:t>
      </w:r>
      <w:r w:rsidR="00F76414" w:rsidRPr="00435469">
        <w:rPr>
          <w:rFonts w:eastAsia="Times New Roman" w:cs="Times New Roman"/>
          <w:sz w:val="20"/>
          <w:szCs w:val="20"/>
          <w:lang w:eastAsia="en-ZA"/>
        </w:rPr>
        <w:t xml:space="preserve"> </w:t>
      </w:r>
    </w:p>
    <w:p w14:paraId="18603D5E" w14:textId="4D6644ED" w:rsidR="00F76414" w:rsidRPr="00435469" w:rsidRDefault="00F76414" w:rsidP="00955FFB">
      <w:pPr>
        <w:pStyle w:val="Caption"/>
        <w:keepNext/>
        <w:rPr>
          <w:color w:val="auto"/>
          <w:sz w:val="20"/>
          <w:szCs w:val="20"/>
        </w:rPr>
      </w:pPr>
      <w:bookmarkStart w:id="134" w:name="_Ref99361115"/>
      <w:r w:rsidRPr="00435469">
        <w:rPr>
          <w:color w:val="auto"/>
          <w:sz w:val="20"/>
          <w:szCs w:val="20"/>
        </w:rPr>
        <w:t xml:space="preserve">Equation </w:t>
      </w:r>
      <w:r w:rsidRPr="00435469">
        <w:rPr>
          <w:color w:val="auto"/>
          <w:sz w:val="20"/>
          <w:szCs w:val="20"/>
        </w:rPr>
        <w:fldChar w:fldCharType="begin"/>
      </w:r>
      <w:r w:rsidRPr="00435469">
        <w:rPr>
          <w:color w:val="auto"/>
          <w:sz w:val="20"/>
          <w:szCs w:val="20"/>
        </w:rPr>
        <w:instrText xml:space="preserve"> SEQ Equation \* ARABIC </w:instrText>
      </w:r>
      <w:r w:rsidRPr="00435469">
        <w:rPr>
          <w:color w:val="auto"/>
          <w:sz w:val="20"/>
          <w:szCs w:val="20"/>
        </w:rPr>
        <w:fldChar w:fldCharType="separate"/>
      </w:r>
      <w:r w:rsidR="00186C2F" w:rsidRPr="00435469">
        <w:rPr>
          <w:noProof/>
          <w:color w:val="auto"/>
          <w:sz w:val="20"/>
          <w:szCs w:val="20"/>
        </w:rPr>
        <w:t>5</w:t>
      </w:r>
      <w:r w:rsidRPr="00435469">
        <w:rPr>
          <w:color w:val="auto"/>
          <w:sz w:val="20"/>
          <w:szCs w:val="20"/>
        </w:rPr>
        <w:fldChar w:fldCharType="end"/>
      </w:r>
      <w:bookmarkEnd w:id="134"/>
      <w:r w:rsidRPr="00435469">
        <w:rPr>
          <w:color w:val="auto"/>
          <w:sz w:val="20"/>
          <w:szCs w:val="20"/>
        </w:rPr>
        <w:t>: proportion of individuals with active TB</w:t>
      </w:r>
      <w:r w:rsidR="00F156F5" w:rsidRPr="00435469">
        <w:rPr>
          <w:color w:val="auto"/>
          <w:sz w:val="20"/>
          <w:szCs w:val="20"/>
        </w:rPr>
        <w:t xml:space="preserve"> who</w:t>
      </w:r>
      <w:r w:rsidRPr="00435469">
        <w:rPr>
          <w:color w:val="auto"/>
          <w:sz w:val="20"/>
          <w:szCs w:val="20"/>
        </w:rPr>
        <w:t xml:space="preserve"> seek treatment for their TB symptoms who get tested microbiologically</w:t>
      </w:r>
    </w:p>
    <w:p w14:paraId="306B59C4" w14:textId="7B771EB3" w:rsidR="002774F3" w:rsidRPr="00435469" w:rsidRDefault="00000000" w:rsidP="00955FFB">
      <w:pPr>
        <w:spacing w:line="240" w:lineRule="auto"/>
        <w:rPr>
          <w:rFonts w:eastAsiaTheme="minorEastAsia"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t</m:t>
              </m:r>
            </m:e>
          </m:d>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s</m:t>
                          </m:r>
                        </m:sub>
                        <m:sup/>
                        <m:e>
                          <m:r>
                            <w:rPr>
                              <w:rFonts w:ascii="Cambria Math" w:hAnsi="Cambria Math" w:cs="Times New Roman"/>
                              <w:sz w:val="20"/>
                              <w:szCs w:val="20"/>
                            </w:rPr>
                            <m:t>N</m:t>
                          </m:r>
                          <m:d>
                            <m:dPr>
                              <m:ctrlPr>
                                <w:rPr>
                                  <w:rFonts w:ascii="Cambria Math" w:hAnsi="Cambria Math" w:cs="Times New Roman"/>
                                  <w:i/>
                                  <w:sz w:val="20"/>
                                  <w:szCs w:val="20"/>
                                </w:rPr>
                              </m:ctrlPr>
                            </m:dPr>
                            <m:e>
                              <m:r>
                                <w:rPr>
                                  <w:rFonts w:ascii="Cambria Math" w:hAnsi="Cambria Math" w:cs="Times New Roman"/>
                                  <w:sz w:val="20"/>
                                  <w:szCs w:val="20"/>
                                </w:rPr>
                                <m:t>g,s,t</m:t>
                              </m:r>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g,s,t</m:t>
                                  </m:r>
                                </m:e>
                              </m:d>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G</m:t>
                                  </m:r>
                                </m:sub>
                              </m:sSub>
                              <m:r>
                                <w:rPr>
                                  <w:rFonts w:ascii="Cambria Math" w:hAnsi="Cambria Math" w:cs="Times New Roman"/>
                                  <w:sz w:val="20"/>
                                  <w:szCs w:val="20"/>
                                </w:rPr>
                                <m:t>r</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t</m:t>
                                      </m:r>
                                    </m:e>
                                  </m:d>
                                </m:e>
                                <m:sup>
                                  <m:r>
                                    <w:rPr>
                                      <w:rFonts w:ascii="Cambria Math" w:hAnsi="Cambria Math" w:cs="Times New Roman"/>
                                      <w:sz w:val="20"/>
                                      <w:szCs w:val="20"/>
                                    </w:rPr>
                                    <m:t>-1</m:t>
                                  </m:r>
                                </m:sup>
                              </m:s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3</m:t>
                                  </m:r>
                                </m:sub>
                              </m:sSub>
                              <m:d>
                                <m:dPr>
                                  <m:ctrlPr>
                                    <w:rPr>
                                      <w:rFonts w:ascii="Cambria Math" w:hAnsi="Cambria Math" w:cs="Times New Roman"/>
                                      <w:i/>
                                      <w:sz w:val="20"/>
                                      <w:szCs w:val="20"/>
                                    </w:rPr>
                                  </m:ctrlPr>
                                </m:dPr>
                                <m:e>
                                  <m:r>
                                    <w:rPr>
                                      <w:rFonts w:ascii="Cambria Math" w:hAnsi="Cambria Math" w:cs="Times New Roman"/>
                                      <w:sz w:val="20"/>
                                      <w:szCs w:val="20"/>
                                    </w:rPr>
                                    <m:t>g,s,t</m:t>
                                  </m:r>
                                </m:e>
                              </m:d>
                            </m:e>
                          </m:d>
                          <m:d>
                            <m:dPr>
                              <m:ctrlPr>
                                <w:rPr>
                                  <w:rFonts w:ascii="Cambria Math" w:hAnsi="Cambria Math" w:cs="Times New Roman"/>
                                  <w:i/>
                                  <w:sz w:val="20"/>
                                  <w:szCs w:val="20"/>
                                </w:rPr>
                              </m:ctrlPr>
                            </m:dPr>
                            <m:e>
                              <m:r>
                                <w:rPr>
                                  <w:rFonts w:ascii="Cambria Math" w:hAnsi="Cambria Math" w:cs="Times New Roman"/>
                                  <w:sz w:val="20"/>
                                  <w:szCs w:val="20"/>
                                </w:rPr>
                                <m:t>1-Sp</m:t>
                              </m:r>
                              <m:d>
                                <m:dPr>
                                  <m:ctrlPr>
                                    <w:rPr>
                                      <w:rFonts w:ascii="Cambria Math" w:hAnsi="Cambria Math" w:cs="Times New Roman"/>
                                      <w:i/>
                                      <w:sz w:val="20"/>
                                      <w:szCs w:val="20"/>
                                    </w:rPr>
                                  </m:ctrlPr>
                                </m:dPr>
                                <m:e>
                                  <m:r>
                                    <w:rPr>
                                      <w:rFonts w:ascii="Cambria Math" w:hAnsi="Cambria Math" w:cs="Times New Roman"/>
                                      <w:sz w:val="20"/>
                                      <w:szCs w:val="20"/>
                                    </w:rPr>
                                    <m:t>t</m:t>
                                  </m:r>
                                </m:e>
                              </m:d>
                            </m:e>
                          </m:d>
                          <m:r>
                            <w:rPr>
                              <w:rFonts w:ascii="Cambria Math" w:hAnsi="Cambria Math" w:cs="Times New Roman"/>
                              <w:sz w:val="20"/>
                              <w:szCs w:val="20"/>
                            </w:rPr>
                            <m:t xml:space="preserve">+            </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a</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s</m:t>
                                      </m:r>
                                    </m:sub>
                                    <m:sup/>
                                    <m:e>
                                      <m:r>
                                        <w:rPr>
                                          <w:rFonts w:ascii="Cambria Math" w:hAnsi="Cambria Math" w:cs="Times New Roman"/>
                                          <w:sz w:val="20"/>
                                          <w:szCs w:val="20"/>
                                        </w:rPr>
                                        <m:t>A</m:t>
                                      </m:r>
                                      <m:d>
                                        <m:dPr>
                                          <m:ctrlPr>
                                            <w:rPr>
                                              <w:rFonts w:ascii="Cambria Math" w:hAnsi="Cambria Math" w:cs="Times New Roman"/>
                                              <w:i/>
                                              <w:sz w:val="20"/>
                                              <w:szCs w:val="20"/>
                                            </w:rPr>
                                          </m:ctrlPr>
                                        </m:dPr>
                                        <m:e>
                                          <m:r>
                                            <w:rPr>
                                              <w:rFonts w:ascii="Cambria Math" w:hAnsi="Cambria Math" w:cs="Times New Roman"/>
                                              <w:sz w:val="20"/>
                                              <w:szCs w:val="20"/>
                                            </w:rPr>
                                            <m:t>a,g,s,t</m:t>
                                          </m:r>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g,s,t</m:t>
                                              </m:r>
                                            </m:e>
                                          </m:d>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A</m:t>
                                              </m:r>
                                            </m:sub>
                                          </m:sSub>
                                          <m:d>
                                            <m:dPr>
                                              <m:ctrlPr>
                                                <w:rPr>
                                                  <w:rFonts w:ascii="Cambria Math" w:hAnsi="Cambria Math" w:cs="Times New Roman"/>
                                                  <w:i/>
                                                  <w:sz w:val="20"/>
                                                  <w:szCs w:val="20"/>
                                                </w:rPr>
                                              </m:ctrlPr>
                                            </m:dPr>
                                            <m:e>
                                              <m:r>
                                                <w:rPr>
                                                  <w:rFonts w:ascii="Cambria Math" w:hAnsi="Cambria Math" w:cs="Times New Roman"/>
                                                  <w:sz w:val="20"/>
                                                  <w:szCs w:val="20"/>
                                                </w:rPr>
                                                <m:t>a</m:t>
                                              </m:r>
                                            </m:e>
                                          </m:d>
                                          <m:r>
                                            <w:rPr>
                                              <w:rFonts w:ascii="Cambria Math" w:hAnsi="Cambria Math" w:cs="Times New Roman"/>
                                              <w:sz w:val="20"/>
                                              <w:szCs w:val="20"/>
                                            </w:rPr>
                                            <m:t>r</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t</m:t>
                                                  </m:r>
                                                </m:e>
                                              </m:d>
                                            </m:e>
                                            <m:sup>
                                              <m:r>
                                                <w:rPr>
                                                  <w:rFonts w:ascii="Cambria Math" w:hAnsi="Cambria Math" w:cs="Times New Roman"/>
                                                  <w:sz w:val="20"/>
                                                  <w:szCs w:val="20"/>
                                                </w:rPr>
                                                <m:t>-1</m:t>
                                              </m:r>
                                            </m:sup>
                                          </m:s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1</m:t>
                                              </m:r>
                                            </m:sub>
                                          </m:sSub>
                                          <m:d>
                                            <m:dPr>
                                              <m:ctrlPr>
                                                <w:rPr>
                                                  <w:rFonts w:ascii="Cambria Math" w:hAnsi="Cambria Math" w:cs="Times New Roman"/>
                                                  <w:i/>
                                                  <w:sz w:val="20"/>
                                                  <w:szCs w:val="20"/>
                                                </w:rPr>
                                              </m:ctrlPr>
                                            </m:dPr>
                                            <m:e>
                                              <m:r>
                                                <w:rPr>
                                                  <w:rFonts w:ascii="Cambria Math" w:hAnsi="Cambria Math" w:cs="Times New Roman"/>
                                                  <w:sz w:val="20"/>
                                                  <w:szCs w:val="20"/>
                                                </w:rPr>
                                                <m:t>a,g,s,t</m:t>
                                              </m:r>
                                            </m:e>
                                          </m:d>
                                        </m:e>
                                      </m:d>
                                      <m:r>
                                        <w:rPr>
                                          <w:rFonts w:ascii="Cambria Math" w:hAnsi="Cambria Math" w:cs="Times New Roman"/>
                                          <w:sz w:val="20"/>
                                          <w:szCs w:val="20"/>
                                        </w:rPr>
                                        <m:t>Se</m:t>
                                      </m:r>
                                      <m:d>
                                        <m:dPr>
                                          <m:ctrlPr>
                                            <w:rPr>
                                              <w:rFonts w:ascii="Cambria Math" w:hAnsi="Cambria Math" w:cs="Times New Roman"/>
                                              <w:i/>
                                              <w:sz w:val="20"/>
                                              <w:szCs w:val="20"/>
                                            </w:rPr>
                                          </m:ctrlPr>
                                        </m:dPr>
                                        <m:e>
                                          <m:r>
                                            <w:rPr>
                                              <w:rFonts w:ascii="Cambria Math" w:hAnsi="Cambria Math" w:cs="Times New Roman"/>
                                              <w:sz w:val="20"/>
                                              <w:szCs w:val="20"/>
                                            </w:rPr>
                                            <m:t>a,t,s</m:t>
                                          </m:r>
                                        </m:e>
                                      </m:d>
                                    </m:e>
                                  </m:nary>
                                </m:e>
                              </m:nary>
                            </m:e>
                          </m:nary>
                        </m:e>
                      </m:nary>
                    </m:e>
                  </m:nary>
                </m:e>
              </m:d>
            </m:e>
            <m:sup>
              <m:r>
                <w:rPr>
                  <w:rFonts w:ascii="Cambria Math" w:hAnsi="Cambria Math" w:cs="Times New Roman"/>
                  <w:sz w:val="20"/>
                  <w:szCs w:val="20"/>
                </w:rPr>
                <m:t>-1</m:t>
              </m:r>
            </m:sup>
          </m:sSup>
        </m:oMath>
      </m:oMathPara>
    </w:p>
    <w:p w14:paraId="78CE026F" w14:textId="77777777" w:rsidR="007470B0" w:rsidRPr="00435469" w:rsidRDefault="007470B0" w:rsidP="00955FFB">
      <w:pPr>
        <w:spacing w:line="240" w:lineRule="auto"/>
        <w:rPr>
          <w:rFonts w:eastAsiaTheme="minorEastAsia" w:cs="Times New Roman"/>
          <w:sz w:val="20"/>
          <w:szCs w:val="20"/>
        </w:rPr>
      </w:pPr>
    </w:p>
    <w:p w14:paraId="3C3CDBA4" w14:textId="77777777" w:rsidR="007470B0" w:rsidRPr="00435469" w:rsidRDefault="007470B0" w:rsidP="00955FFB">
      <w:pPr>
        <w:spacing w:line="240" w:lineRule="auto"/>
        <w:rPr>
          <w:rFonts w:eastAsiaTheme="minorEastAsia" w:cs="Times New Roman"/>
          <w:sz w:val="20"/>
          <w:szCs w:val="20"/>
        </w:rPr>
      </w:pPr>
    </w:p>
    <w:p w14:paraId="46A2C0DC" w14:textId="77777777" w:rsidR="007470B0" w:rsidRPr="00435469" w:rsidRDefault="007470B0" w:rsidP="00955FFB">
      <w:pPr>
        <w:spacing w:line="240" w:lineRule="auto"/>
        <w:rPr>
          <w:rFonts w:eastAsiaTheme="minorEastAsia" w:cs="Times New Roman"/>
          <w:sz w:val="20"/>
          <w:szCs w:val="20"/>
        </w:rPr>
      </w:pPr>
    </w:p>
    <w:p w14:paraId="048B26C6" w14:textId="77777777" w:rsidR="007470B0" w:rsidRPr="00435469" w:rsidRDefault="007470B0" w:rsidP="00955FFB">
      <w:pPr>
        <w:spacing w:line="240" w:lineRule="auto"/>
        <w:rPr>
          <w:rFonts w:eastAsiaTheme="minorEastAsia" w:cs="Times New Roman"/>
          <w:sz w:val="20"/>
          <w:szCs w:val="20"/>
        </w:rPr>
      </w:pPr>
    </w:p>
    <w:p w14:paraId="713E1F67" w14:textId="77777777" w:rsidR="007470B0" w:rsidRPr="00435469" w:rsidRDefault="007470B0" w:rsidP="00955FFB">
      <w:pPr>
        <w:spacing w:line="240" w:lineRule="auto"/>
        <w:rPr>
          <w:rFonts w:eastAsiaTheme="minorEastAsia" w:cs="Times New Roman"/>
          <w:sz w:val="20"/>
          <w:szCs w:val="20"/>
        </w:rPr>
      </w:pPr>
    </w:p>
    <w:p w14:paraId="4AE1E2F2" w14:textId="77777777" w:rsidR="007470B0" w:rsidRPr="00435469" w:rsidRDefault="007470B0" w:rsidP="00955FFB">
      <w:pPr>
        <w:spacing w:line="240" w:lineRule="auto"/>
        <w:rPr>
          <w:rFonts w:eastAsiaTheme="minorEastAsia" w:cs="Times New Roman"/>
          <w:sz w:val="20"/>
          <w:szCs w:val="20"/>
        </w:rPr>
      </w:pPr>
    </w:p>
    <w:p w14:paraId="49D18D81" w14:textId="77777777" w:rsidR="007470B0" w:rsidRDefault="007470B0" w:rsidP="00955FFB">
      <w:pPr>
        <w:spacing w:line="240" w:lineRule="auto"/>
        <w:rPr>
          <w:rFonts w:eastAsiaTheme="minorEastAsia" w:cs="Times New Roman"/>
          <w:sz w:val="20"/>
          <w:szCs w:val="20"/>
        </w:rPr>
      </w:pPr>
    </w:p>
    <w:p w14:paraId="3E3A5084" w14:textId="77777777" w:rsidR="00690900" w:rsidRPr="00435469" w:rsidRDefault="00690900" w:rsidP="00955FFB">
      <w:pPr>
        <w:spacing w:line="240" w:lineRule="auto"/>
        <w:rPr>
          <w:rFonts w:eastAsiaTheme="minorEastAsia" w:cs="Times New Roman"/>
          <w:sz w:val="20"/>
          <w:szCs w:val="20"/>
        </w:rPr>
      </w:pPr>
    </w:p>
    <w:p w14:paraId="7473C910" w14:textId="1367A535" w:rsidR="009760FB" w:rsidRPr="008A059E" w:rsidRDefault="00A52AE0" w:rsidP="00AD6E54">
      <w:pPr>
        <w:pStyle w:val="3TableHead"/>
        <w:rPr>
          <w:sz w:val="20"/>
          <w:szCs w:val="18"/>
        </w:rPr>
      </w:pPr>
      <w:bookmarkStart w:id="135" w:name="_Ref100003719"/>
      <w:bookmarkStart w:id="136" w:name="_Ref103319016"/>
      <w:bookmarkStart w:id="137" w:name="_Toc103253660"/>
      <w:r w:rsidRPr="008A059E">
        <w:rPr>
          <w:sz w:val="20"/>
          <w:szCs w:val="18"/>
        </w:rPr>
        <w:lastRenderedPageBreak/>
        <w:t xml:space="preserve">Table </w:t>
      </w:r>
      <w:r w:rsidR="00AB530B" w:rsidRPr="008A059E">
        <w:rPr>
          <w:sz w:val="20"/>
          <w:szCs w:val="18"/>
        </w:rPr>
        <w:fldChar w:fldCharType="begin"/>
      </w:r>
      <w:r w:rsidR="00AB530B" w:rsidRPr="008A059E">
        <w:rPr>
          <w:sz w:val="20"/>
          <w:szCs w:val="18"/>
        </w:rPr>
        <w:instrText xml:space="preserve"> SEQ Table \* ARABIC </w:instrText>
      </w:r>
      <w:r w:rsidR="00AB530B" w:rsidRPr="008A059E">
        <w:rPr>
          <w:sz w:val="20"/>
          <w:szCs w:val="18"/>
        </w:rPr>
        <w:fldChar w:fldCharType="separate"/>
      </w:r>
      <w:r w:rsidR="00186C2F" w:rsidRPr="008A059E">
        <w:rPr>
          <w:noProof/>
          <w:sz w:val="20"/>
          <w:szCs w:val="18"/>
        </w:rPr>
        <w:t>7</w:t>
      </w:r>
      <w:r w:rsidR="00AB530B" w:rsidRPr="008A059E">
        <w:rPr>
          <w:noProof/>
          <w:sz w:val="20"/>
          <w:szCs w:val="18"/>
        </w:rPr>
        <w:fldChar w:fldCharType="end"/>
      </w:r>
      <w:bookmarkEnd w:id="135"/>
      <w:bookmarkEnd w:id="136"/>
      <w:r w:rsidR="00690637" w:rsidRPr="008A059E">
        <w:rPr>
          <w:sz w:val="20"/>
          <w:szCs w:val="18"/>
        </w:rPr>
        <w:t>: Recorded numbers of labora</w:t>
      </w:r>
      <w:r w:rsidRPr="008A059E">
        <w:rPr>
          <w:sz w:val="20"/>
          <w:szCs w:val="18"/>
        </w:rPr>
        <w:t>to</w:t>
      </w:r>
      <w:r w:rsidR="00690637" w:rsidRPr="008A059E">
        <w:rPr>
          <w:sz w:val="20"/>
          <w:szCs w:val="18"/>
        </w:rPr>
        <w:t>ry confirmed tuberculosis cases by year</w:t>
      </w:r>
      <w:bookmarkEnd w:id="137"/>
    </w:p>
    <w:tbl>
      <w:tblPr>
        <w:tblW w:w="7088" w:type="dxa"/>
        <w:tblBorders>
          <w:top w:val="single" w:sz="4" w:space="0" w:color="auto"/>
          <w:bottom w:val="single" w:sz="4" w:space="0" w:color="auto"/>
        </w:tblBorders>
        <w:tblLook w:val="04A0" w:firstRow="1" w:lastRow="0" w:firstColumn="1" w:lastColumn="0" w:noHBand="0" w:noVBand="1"/>
      </w:tblPr>
      <w:tblGrid>
        <w:gridCol w:w="1482"/>
        <w:gridCol w:w="5606"/>
      </w:tblGrid>
      <w:tr w:rsidR="00304411" w:rsidRPr="00435469" w14:paraId="4FA7D83C" w14:textId="77777777" w:rsidTr="003415B1">
        <w:trPr>
          <w:trHeight w:val="348"/>
        </w:trPr>
        <w:tc>
          <w:tcPr>
            <w:tcW w:w="1482" w:type="dxa"/>
            <w:tcBorders>
              <w:top w:val="single" w:sz="4" w:space="0" w:color="auto"/>
              <w:bottom w:val="single" w:sz="4" w:space="0" w:color="auto"/>
            </w:tcBorders>
            <w:shd w:val="clear" w:color="auto" w:fill="auto"/>
            <w:noWrap/>
            <w:vAlign w:val="center"/>
          </w:tcPr>
          <w:p w14:paraId="18F56326" w14:textId="20E6E1B7" w:rsidR="009760FB" w:rsidRPr="00435469" w:rsidRDefault="009760FB" w:rsidP="006F233E">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Year</w:t>
            </w:r>
          </w:p>
        </w:tc>
        <w:tc>
          <w:tcPr>
            <w:tcW w:w="5606" w:type="dxa"/>
            <w:tcBorders>
              <w:top w:val="single" w:sz="4" w:space="0" w:color="auto"/>
              <w:bottom w:val="single" w:sz="4" w:space="0" w:color="auto"/>
            </w:tcBorders>
            <w:shd w:val="clear" w:color="auto" w:fill="auto"/>
            <w:vAlign w:val="bottom"/>
          </w:tcPr>
          <w:p w14:paraId="18E977DB" w14:textId="0BEC57B4" w:rsidR="009760FB" w:rsidRPr="00435469" w:rsidRDefault="009760FB"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Estimated number of microbiologically confirmed TB</w:t>
            </w:r>
            <w:r w:rsidR="00CD1889" w:rsidRPr="00435469">
              <w:rPr>
                <w:rFonts w:eastAsia="Times New Roman" w:cs="Times New Roman"/>
                <w:b/>
                <w:bCs/>
                <w:sz w:val="16"/>
                <w:szCs w:val="16"/>
                <w:lang w:val="en-ZA" w:eastAsia="en-ZA"/>
              </w:rPr>
              <w:t xml:space="preserve"> cases</w:t>
            </w:r>
          </w:p>
        </w:tc>
      </w:tr>
      <w:tr w:rsidR="00304411" w:rsidRPr="00435469" w14:paraId="4F2F3545" w14:textId="77777777" w:rsidTr="003415B1">
        <w:trPr>
          <w:trHeight w:val="262"/>
        </w:trPr>
        <w:tc>
          <w:tcPr>
            <w:tcW w:w="1482" w:type="dxa"/>
            <w:tcBorders>
              <w:top w:val="single" w:sz="4" w:space="0" w:color="auto"/>
            </w:tcBorders>
            <w:shd w:val="clear" w:color="auto" w:fill="auto"/>
            <w:noWrap/>
            <w:vAlign w:val="center"/>
            <w:hideMark/>
          </w:tcPr>
          <w:p w14:paraId="751F612B"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2004</w:t>
            </w:r>
          </w:p>
        </w:tc>
        <w:tc>
          <w:tcPr>
            <w:tcW w:w="5606" w:type="dxa"/>
            <w:tcBorders>
              <w:top w:val="single" w:sz="4" w:space="0" w:color="auto"/>
            </w:tcBorders>
            <w:shd w:val="clear" w:color="auto" w:fill="auto"/>
            <w:noWrap/>
            <w:vAlign w:val="bottom"/>
            <w:hideMark/>
          </w:tcPr>
          <w:p w14:paraId="4FDF93A0"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307385</w:t>
            </w:r>
          </w:p>
        </w:tc>
      </w:tr>
      <w:tr w:rsidR="00304411" w:rsidRPr="00435469" w14:paraId="7B178B03" w14:textId="77777777" w:rsidTr="003415B1">
        <w:trPr>
          <w:trHeight w:val="262"/>
        </w:trPr>
        <w:tc>
          <w:tcPr>
            <w:tcW w:w="1482" w:type="dxa"/>
            <w:shd w:val="clear" w:color="auto" w:fill="auto"/>
            <w:noWrap/>
            <w:vAlign w:val="center"/>
            <w:hideMark/>
          </w:tcPr>
          <w:p w14:paraId="611B713B"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2005</w:t>
            </w:r>
          </w:p>
        </w:tc>
        <w:tc>
          <w:tcPr>
            <w:tcW w:w="5606" w:type="dxa"/>
            <w:shd w:val="clear" w:color="auto" w:fill="auto"/>
            <w:noWrap/>
            <w:vAlign w:val="bottom"/>
            <w:hideMark/>
          </w:tcPr>
          <w:p w14:paraId="74D3C41D"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345694</w:t>
            </w:r>
          </w:p>
        </w:tc>
      </w:tr>
      <w:tr w:rsidR="00304411" w:rsidRPr="00435469" w14:paraId="33854E80" w14:textId="77777777" w:rsidTr="003415B1">
        <w:trPr>
          <w:trHeight w:val="262"/>
        </w:trPr>
        <w:tc>
          <w:tcPr>
            <w:tcW w:w="1482" w:type="dxa"/>
            <w:shd w:val="clear" w:color="auto" w:fill="auto"/>
            <w:noWrap/>
            <w:vAlign w:val="center"/>
            <w:hideMark/>
          </w:tcPr>
          <w:p w14:paraId="513CE34E"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2006</w:t>
            </w:r>
          </w:p>
        </w:tc>
        <w:tc>
          <w:tcPr>
            <w:tcW w:w="5606" w:type="dxa"/>
            <w:shd w:val="clear" w:color="auto" w:fill="auto"/>
            <w:noWrap/>
            <w:vAlign w:val="bottom"/>
            <w:hideMark/>
          </w:tcPr>
          <w:p w14:paraId="27E912DC"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385496</w:t>
            </w:r>
          </w:p>
        </w:tc>
      </w:tr>
      <w:tr w:rsidR="00304411" w:rsidRPr="00435469" w14:paraId="056DEA86" w14:textId="77777777" w:rsidTr="003415B1">
        <w:trPr>
          <w:trHeight w:val="262"/>
        </w:trPr>
        <w:tc>
          <w:tcPr>
            <w:tcW w:w="1482" w:type="dxa"/>
            <w:shd w:val="clear" w:color="auto" w:fill="auto"/>
            <w:noWrap/>
            <w:vAlign w:val="center"/>
            <w:hideMark/>
          </w:tcPr>
          <w:p w14:paraId="1C215068"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2007</w:t>
            </w:r>
          </w:p>
        </w:tc>
        <w:tc>
          <w:tcPr>
            <w:tcW w:w="5606" w:type="dxa"/>
            <w:shd w:val="clear" w:color="auto" w:fill="auto"/>
            <w:noWrap/>
            <w:vAlign w:val="bottom"/>
            <w:hideMark/>
          </w:tcPr>
          <w:p w14:paraId="45165955"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395907</w:t>
            </w:r>
          </w:p>
        </w:tc>
      </w:tr>
      <w:tr w:rsidR="00304411" w:rsidRPr="00435469" w14:paraId="055D92F4" w14:textId="77777777" w:rsidTr="003415B1">
        <w:trPr>
          <w:trHeight w:val="262"/>
        </w:trPr>
        <w:tc>
          <w:tcPr>
            <w:tcW w:w="1482" w:type="dxa"/>
            <w:shd w:val="clear" w:color="auto" w:fill="auto"/>
            <w:noWrap/>
            <w:vAlign w:val="center"/>
            <w:hideMark/>
          </w:tcPr>
          <w:p w14:paraId="64CAC595"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2008</w:t>
            </w:r>
          </w:p>
        </w:tc>
        <w:tc>
          <w:tcPr>
            <w:tcW w:w="5606" w:type="dxa"/>
            <w:shd w:val="clear" w:color="auto" w:fill="auto"/>
            <w:noWrap/>
            <w:vAlign w:val="bottom"/>
            <w:hideMark/>
          </w:tcPr>
          <w:p w14:paraId="520ADA17"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422134</w:t>
            </w:r>
          </w:p>
        </w:tc>
      </w:tr>
      <w:tr w:rsidR="00304411" w:rsidRPr="00435469" w14:paraId="68608AE4" w14:textId="77777777" w:rsidTr="003415B1">
        <w:trPr>
          <w:trHeight w:val="262"/>
        </w:trPr>
        <w:tc>
          <w:tcPr>
            <w:tcW w:w="1482" w:type="dxa"/>
            <w:shd w:val="clear" w:color="auto" w:fill="auto"/>
            <w:noWrap/>
            <w:hideMark/>
          </w:tcPr>
          <w:p w14:paraId="71DB5203"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2009</w:t>
            </w:r>
          </w:p>
        </w:tc>
        <w:tc>
          <w:tcPr>
            <w:tcW w:w="5606" w:type="dxa"/>
            <w:shd w:val="clear" w:color="auto" w:fill="auto"/>
            <w:noWrap/>
            <w:vAlign w:val="bottom"/>
            <w:hideMark/>
          </w:tcPr>
          <w:p w14:paraId="05E61FD9"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321558</w:t>
            </w:r>
          </w:p>
        </w:tc>
      </w:tr>
      <w:tr w:rsidR="00304411" w:rsidRPr="00435469" w14:paraId="44838652" w14:textId="77777777" w:rsidTr="003415B1">
        <w:trPr>
          <w:trHeight w:val="262"/>
        </w:trPr>
        <w:tc>
          <w:tcPr>
            <w:tcW w:w="1482" w:type="dxa"/>
            <w:shd w:val="clear" w:color="auto" w:fill="auto"/>
            <w:noWrap/>
            <w:hideMark/>
          </w:tcPr>
          <w:p w14:paraId="5ABD3C78"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2010</w:t>
            </w:r>
          </w:p>
        </w:tc>
        <w:tc>
          <w:tcPr>
            <w:tcW w:w="5606" w:type="dxa"/>
            <w:shd w:val="clear" w:color="auto" w:fill="auto"/>
            <w:noWrap/>
            <w:vAlign w:val="bottom"/>
            <w:hideMark/>
          </w:tcPr>
          <w:p w14:paraId="28C5BA29"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320125</w:t>
            </w:r>
          </w:p>
        </w:tc>
      </w:tr>
      <w:tr w:rsidR="00304411" w:rsidRPr="00435469" w14:paraId="46566316" w14:textId="77777777" w:rsidTr="003415B1">
        <w:trPr>
          <w:trHeight w:val="262"/>
        </w:trPr>
        <w:tc>
          <w:tcPr>
            <w:tcW w:w="1482" w:type="dxa"/>
            <w:shd w:val="clear" w:color="auto" w:fill="auto"/>
            <w:noWrap/>
            <w:hideMark/>
          </w:tcPr>
          <w:p w14:paraId="04C4BFF3"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2011</w:t>
            </w:r>
          </w:p>
        </w:tc>
        <w:tc>
          <w:tcPr>
            <w:tcW w:w="5606" w:type="dxa"/>
            <w:shd w:val="clear" w:color="auto" w:fill="auto"/>
            <w:noWrap/>
            <w:vAlign w:val="bottom"/>
            <w:hideMark/>
          </w:tcPr>
          <w:p w14:paraId="0B047DAF"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348400</w:t>
            </w:r>
          </w:p>
        </w:tc>
      </w:tr>
      <w:tr w:rsidR="00304411" w:rsidRPr="00435469" w14:paraId="6FAC9535" w14:textId="77777777" w:rsidTr="003415B1">
        <w:trPr>
          <w:trHeight w:val="262"/>
        </w:trPr>
        <w:tc>
          <w:tcPr>
            <w:tcW w:w="1482" w:type="dxa"/>
            <w:shd w:val="clear" w:color="auto" w:fill="auto"/>
            <w:noWrap/>
            <w:hideMark/>
          </w:tcPr>
          <w:p w14:paraId="7B242BE3"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2012</w:t>
            </w:r>
          </w:p>
        </w:tc>
        <w:tc>
          <w:tcPr>
            <w:tcW w:w="5606" w:type="dxa"/>
            <w:shd w:val="clear" w:color="auto" w:fill="auto"/>
            <w:noWrap/>
            <w:vAlign w:val="bottom"/>
            <w:hideMark/>
          </w:tcPr>
          <w:p w14:paraId="35B4AF0F"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321206</w:t>
            </w:r>
          </w:p>
        </w:tc>
      </w:tr>
      <w:tr w:rsidR="00304411" w:rsidRPr="00435469" w14:paraId="6C59AA55" w14:textId="77777777" w:rsidTr="003415B1">
        <w:trPr>
          <w:trHeight w:val="262"/>
        </w:trPr>
        <w:tc>
          <w:tcPr>
            <w:tcW w:w="1482" w:type="dxa"/>
            <w:shd w:val="clear" w:color="auto" w:fill="auto"/>
            <w:noWrap/>
            <w:hideMark/>
          </w:tcPr>
          <w:p w14:paraId="4AE50C63"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2013</w:t>
            </w:r>
          </w:p>
        </w:tc>
        <w:tc>
          <w:tcPr>
            <w:tcW w:w="5606" w:type="dxa"/>
            <w:shd w:val="clear" w:color="auto" w:fill="auto"/>
            <w:noWrap/>
            <w:vAlign w:val="bottom"/>
            <w:hideMark/>
          </w:tcPr>
          <w:p w14:paraId="50190ECD"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313013</w:t>
            </w:r>
          </w:p>
        </w:tc>
      </w:tr>
      <w:tr w:rsidR="00304411" w:rsidRPr="00435469" w14:paraId="526B5A82" w14:textId="77777777" w:rsidTr="003415B1">
        <w:trPr>
          <w:trHeight w:val="262"/>
        </w:trPr>
        <w:tc>
          <w:tcPr>
            <w:tcW w:w="1482" w:type="dxa"/>
            <w:shd w:val="clear" w:color="auto" w:fill="auto"/>
            <w:noWrap/>
            <w:hideMark/>
          </w:tcPr>
          <w:p w14:paraId="46E8733E"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2014</w:t>
            </w:r>
          </w:p>
        </w:tc>
        <w:tc>
          <w:tcPr>
            <w:tcW w:w="5606" w:type="dxa"/>
            <w:shd w:val="clear" w:color="auto" w:fill="auto"/>
            <w:noWrap/>
            <w:vAlign w:val="bottom"/>
            <w:hideMark/>
          </w:tcPr>
          <w:p w14:paraId="5E99EECF"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298389</w:t>
            </w:r>
          </w:p>
        </w:tc>
      </w:tr>
      <w:tr w:rsidR="00304411" w:rsidRPr="00435469" w14:paraId="4CB693BF" w14:textId="77777777" w:rsidTr="003415B1">
        <w:trPr>
          <w:trHeight w:val="262"/>
        </w:trPr>
        <w:tc>
          <w:tcPr>
            <w:tcW w:w="1482" w:type="dxa"/>
            <w:shd w:val="clear" w:color="auto" w:fill="auto"/>
            <w:noWrap/>
            <w:hideMark/>
          </w:tcPr>
          <w:p w14:paraId="7B7C08DC"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2015</w:t>
            </w:r>
          </w:p>
        </w:tc>
        <w:tc>
          <w:tcPr>
            <w:tcW w:w="5606" w:type="dxa"/>
            <w:shd w:val="clear" w:color="auto" w:fill="auto"/>
            <w:noWrap/>
            <w:vAlign w:val="bottom"/>
            <w:hideMark/>
          </w:tcPr>
          <w:p w14:paraId="606CE5BE"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289136</w:t>
            </w:r>
          </w:p>
        </w:tc>
      </w:tr>
      <w:tr w:rsidR="00304411" w:rsidRPr="00435469" w14:paraId="331BE1E7" w14:textId="77777777" w:rsidTr="003415B1">
        <w:trPr>
          <w:trHeight w:val="262"/>
        </w:trPr>
        <w:tc>
          <w:tcPr>
            <w:tcW w:w="1482" w:type="dxa"/>
            <w:shd w:val="clear" w:color="auto" w:fill="auto"/>
            <w:noWrap/>
            <w:hideMark/>
          </w:tcPr>
          <w:p w14:paraId="134EEB8B"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2016</w:t>
            </w:r>
          </w:p>
        </w:tc>
        <w:tc>
          <w:tcPr>
            <w:tcW w:w="5606" w:type="dxa"/>
            <w:shd w:val="clear" w:color="auto" w:fill="auto"/>
            <w:noWrap/>
            <w:vAlign w:val="bottom"/>
            <w:hideMark/>
          </w:tcPr>
          <w:p w14:paraId="55AEEF37"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262454</w:t>
            </w:r>
          </w:p>
        </w:tc>
      </w:tr>
      <w:tr w:rsidR="00304411" w:rsidRPr="00435469" w14:paraId="7FC99992" w14:textId="77777777" w:rsidTr="003415B1">
        <w:trPr>
          <w:trHeight w:val="262"/>
        </w:trPr>
        <w:tc>
          <w:tcPr>
            <w:tcW w:w="1482" w:type="dxa"/>
            <w:shd w:val="clear" w:color="auto" w:fill="auto"/>
            <w:noWrap/>
            <w:hideMark/>
          </w:tcPr>
          <w:p w14:paraId="4FB63B5A"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2017</w:t>
            </w:r>
          </w:p>
        </w:tc>
        <w:tc>
          <w:tcPr>
            <w:tcW w:w="5606" w:type="dxa"/>
            <w:shd w:val="clear" w:color="auto" w:fill="auto"/>
            <w:noWrap/>
            <w:vAlign w:val="bottom"/>
            <w:hideMark/>
          </w:tcPr>
          <w:p w14:paraId="1D0FBCC5"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249090</w:t>
            </w:r>
          </w:p>
        </w:tc>
      </w:tr>
      <w:tr w:rsidR="00304411" w:rsidRPr="00435469" w14:paraId="78CC4472" w14:textId="77777777" w:rsidTr="003415B1">
        <w:trPr>
          <w:trHeight w:val="262"/>
        </w:trPr>
        <w:tc>
          <w:tcPr>
            <w:tcW w:w="1482" w:type="dxa"/>
            <w:shd w:val="clear" w:color="auto" w:fill="auto"/>
            <w:noWrap/>
            <w:hideMark/>
          </w:tcPr>
          <w:p w14:paraId="7415653B"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2018</w:t>
            </w:r>
          </w:p>
        </w:tc>
        <w:tc>
          <w:tcPr>
            <w:tcW w:w="5606" w:type="dxa"/>
            <w:shd w:val="clear" w:color="auto" w:fill="auto"/>
            <w:noWrap/>
            <w:vAlign w:val="bottom"/>
            <w:hideMark/>
          </w:tcPr>
          <w:p w14:paraId="73D9778D"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261743</w:t>
            </w:r>
          </w:p>
        </w:tc>
      </w:tr>
      <w:tr w:rsidR="00304411" w:rsidRPr="00435469" w14:paraId="731C3A9A" w14:textId="77777777" w:rsidTr="003415B1">
        <w:trPr>
          <w:trHeight w:val="262"/>
        </w:trPr>
        <w:tc>
          <w:tcPr>
            <w:tcW w:w="1482" w:type="dxa"/>
            <w:shd w:val="clear" w:color="auto" w:fill="auto"/>
            <w:noWrap/>
            <w:hideMark/>
          </w:tcPr>
          <w:p w14:paraId="4F6ABCBA"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2019</w:t>
            </w:r>
          </w:p>
        </w:tc>
        <w:tc>
          <w:tcPr>
            <w:tcW w:w="5606" w:type="dxa"/>
            <w:shd w:val="clear" w:color="auto" w:fill="auto"/>
            <w:noWrap/>
            <w:vAlign w:val="bottom"/>
            <w:hideMark/>
          </w:tcPr>
          <w:p w14:paraId="4CD71A64" w14:textId="77777777" w:rsidR="009760FB" w:rsidRPr="00435469" w:rsidRDefault="009760FB"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232483</w:t>
            </w:r>
          </w:p>
        </w:tc>
      </w:tr>
    </w:tbl>
    <w:p w14:paraId="75D85E62" w14:textId="3ADC0486" w:rsidR="009760FB" w:rsidRPr="00435469" w:rsidRDefault="001D2021" w:rsidP="00955FFB">
      <w:pPr>
        <w:spacing w:line="240" w:lineRule="auto"/>
        <w:rPr>
          <w:rFonts w:cs="Times New Roman"/>
          <w:sz w:val="20"/>
          <w:szCs w:val="20"/>
        </w:rPr>
      </w:pPr>
      <w:r w:rsidRPr="00435469">
        <w:rPr>
          <w:rFonts w:cs="Times New Roman"/>
          <w:sz w:val="20"/>
          <w:szCs w:val="20"/>
        </w:rPr>
        <w:t xml:space="preserve">Sources: Data for years 2004-2008 obtained from </w:t>
      </w:r>
      <w:proofErr w:type="spellStart"/>
      <w:r w:rsidRPr="00435469">
        <w:rPr>
          <w:rFonts w:cs="Times New Roman"/>
          <w:sz w:val="20"/>
          <w:szCs w:val="20"/>
        </w:rPr>
        <w:t>Nanoo</w:t>
      </w:r>
      <w:proofErr w:type="spellEnd"/>
      <w:r w:rsidRPr="00435469">
        <w:rPr>
          <w:rFonts w:cs="Times New Roman"/>
          <w:sz w:val="20"/>
          <w:szCs w:val="20"/>
        </w:rPr>
        <w:t xml:space="preserve"> et al </w:t>
      </w:r>
      <w:r w:rsidRPr="00435469">
        <w:rPr>
          <w:rFonts w:eastAsia="Times New Roman" w:cs="Times New Roman"/>
          <w:sz w:val="20"/>
          <w:szCs w:val="20"/>
          <w:lang w:eastAsia="en-ZA"/>
        </w:rPr>
        <w:fldChar w:fldCharType="begin" w:fldLock="1"/>
      </w:r>
      <w:r w:rsidR="00A142FF" w:rsidRPr="00435469">
        <w:rPr>
          <w:rFonts w:eastAsia="Times New Roman" w:cs="Times New Roman"/>
          <w:sz w:val="20"/>
          <w:szCs w:val="20"/>
          <w:lang w:eastAsia="en-ZA"/>
        </w:rPr>
        <w:instrText>ADDIN CSL_CITATION {"citationItems":[{"id":"ITEM-1","itemData":{"DOI":"10.1016/S1473-3099(15)00147-4","ISBN":"1474-4457 (Electronic) 1473-3099 (Linking)","ISSN":"14744457","PMID":"26112077","abstract":"Background: South Africa has the highest incidence of tuberculosis in the world, largely resulting from a high population prevalence of HIV infection. We investigated the incidence of microbiologically confirmed pulmonary tuberculosis, and new cases of pulmonary tuberculosis registered for treatment, nationally and provincially in South Africa from 2004 to 2012, during which time there were changes in antiretroviral therapy (ART) coverage among individuals with HIV infection. Methods: We identified cases of microbiologically confirmed pulmonary tuberculosis from 2004 to 2012 from the National Health Laboratory Service Corporate Data Warehouse. New cases registered for treatment were identified from National Department of Health electronic registries. A time series analysis, using autoregressive models, was undertaken on incidence of microbiologically confirmed pulmonary disease nationally and provincially; this trend was also examined relative to ART coverage of adults with HIV infection. Findings: During the 9-year period, 3 523 371 cases of microbiologically confirmed pulmonary tuberculosis were recorded nationally. Annual incidence (per 100 000 population) increased from 650 (95% CI 648-652) in 2004 to 848 (845-850) in 2008, declining to 774 (771-776) by 2012 (9% decrease from 2008 to 2012). Incidence varied by age-group, sex, and province. There was an inverse association between incidence of microbiologically confirmed disease and ART coverage among HIV-infected individuals nationally and provincially. Trends in incidence of tuberculosis cases registered for treatment mirrored those of microbiologically confirmed cases nationally and provincially; however, incidence of microbiologically confirmed cases was consistently higher than cases registered for treatment nationally and in seven of nine provinces. Interpretation: Since its peak in 2008, the incidence of microbiologically confirmed pulmonary tuberculosis in South Africa had declined by 2012; this decline is associated with an increase in ART coverage. Future integration of registries for microbiologically confirmed cases and new cases registered for treatment would improve the assessment of the burden of pulmonary tuberculosis in South Africa. Funding: National Institute for Communicable Diseases: Division of the National Health Laboratory Service, South Africa.","author":[{"dropping-particle":"","family":"Nanoo","given":"Ananta","non-dropping-particle":"","parse-names":false,"suffix":""},{"dropping-particle":"","family":"Izu","given":"Alane","non-dropping-particle":"","parse-names":false,"suffix":""},{"dropping-particle":"","family":"Ismail","given":"Nazir A.","non-dropping-particle":"","parse-names":false,"suffix":""},{"dropping-particle":"","family":"Ihekweazu","given":"Chikwe","non-dropping-particle":"","parse-names":false,"suffix":""},{"dropping-particle":"","family":"Abubakar","given":"Ibrahim","non-dropping-particle":"","parse-names":false,"suffix":""},{"dropping-particle":"","family":"Mametja","given":"David","non-dropping-particle":"","parse-names":false,"suffix":""},{"dropping-particle":"","family":"Madhi","given":"Shabir A.","non-dropping-particle":"","parse-names":false,"suffix":""}],"container-title":"The Lancet Infectious Diseases","id":"ITEM-1","issue":"9","issued":{"date-parts":[["2015"]]},"page":"1066-1076","publisher":"Elsevier Ltd","title":"Nationwide and regional incidence of microbiologically confirmed pulmonary tuberculosis in South Africa, 2004-12: A time series analysis","type":"article-journal","volume":"15"},"uris":["http://www.mendeley.com/documents/?uuid=4ddc49e3-1211-47ad-972c-b7877933ac26"]}],"mendeley":{"formattedCitation":"(54)","plainTextFormattedCitation":"(54)","previouslyFormattedCitation":"(54)"},"properties":{"noteIndex":0},"schema":"https://github.com/citation-style-language/schema/raw/master/csl-citation.json"}</w:instrText>
      </w:r>
      <w:r w:rsidRPr="00435469">
        <w:rPr>
          <w:rFonts w:eastAsia="Times New Roman" w:cs="Times New Roman"/>
          <w:sz w:val="20"/>
          <w:szCs w:val="20"/>
          <w:lang w:eastAsia="en-ZA"/>
        </w:rPr>
        <w:fldChar w:fldCharType="separate"/>
      </w:r>
      <w:r w:rsidR="0016391D" w:rsidRPr="00435469">
        <w:rPr>
          <w:rFonts w:eastAsia="Times New Roman" w:cs="Times New Roman"/>
          <w:noProof/>
          <w:sz w:val="20"/>
          <w:szCs w:val="20"/>
          <w:lang w:eastAsia="en-ZA"/>
        </w:rPr>
        <w:t>(54)</w:t>
      </w:r>
      <w:r w:rsidRPr="00435469">
        <w:rPr>
          <w:rFonts w:eastAsia="Times New Roman" w:cs="Times New Roman"/>
          <w:sz w:val="20"/>
          <w:szCs w:val="20"/>
          <w:lang w:eastAsia="en-ZA"/>
        </w:rPr>
        <w:fldChar w:fldCharType="end"/>
      </w:r>
      <w:r w:rsidRPr="00435469">
        <w:rPr>
          <w:rFonts w:eastAsia="Times New Roman" w:cs="Times New Roman"/>
          <w:sz w:val="20"/>
          <w:szCs w:val="20"/>
          <w:lang w:eastAsia="en-ZA"/>
        </w:rPr>
        <w:t xml:space="preserve"> and adjusted for 10%  </w:t>
      </w:r>
      <w:r w:rsidR="00582728" w:rsidRPr="00435469">
        <w:rPr>
          <w:rFonts w:eastAsia="Times New Roman" w:cs="Times New Roman"/>
          <w:sz w:val="20"/>
          <w:szCs w:val="20"/>
          <w:lang w:eastAsia="en-ZA"/>
        </w:rPr>
        <w:t xml:space="preserve">probable </w:t>
      </w:r>
      <w:r w:rsidRPr="00435469">
        <w:rPr>
          <w:rFonts w:eastAsia="Times New Roman" w:cs="Times New Roman"/>
          <w:sz w:val="20"/>
          <w:szCs w:val="20"/>
          <w:lang w:eastAsia="en-ZA"/>
        </w:rPr>
        <w:t>overcounting</w:t>
      </w:r>
      <w:r w:rsidRPr="00435469">
        <w:rPr>
          <w:rFonts w:cs="Times New Roman"/>
          <w:sz w:val="20"/>
          <w:szCs w:val="20"/>
        </w:rPr>
        <w:t xml:space="preserve">. Data for years 2009-2019 obtained from the </w:t>
      </w:r>
      <w:r w:rsidR="00DE7F50" w:rsidRPr="00435469">
        <w:rPr>
          <w:rFonts w:cs="Times New Roman"/>
          <w:sz w:val="20"/>
          <w:szCs w:val="20"/>
        </w:rPr>
        <w:t>National Institute for Communicable Diseases (NICD)</w:t>
      </w:r>
      <w:r w:rsidRPr="00435469">
        <w:rPr>
          <w:rFonts w:cs="Times New Roman"/>
          <w:sz w:val="20"/>
          <w:szCs w:val="20"/>
        </w:rPr>
        <w:t xml:space="preserve"> dashboard: </w:t>
      </w:r>
      <w:hyperlink r:id="rId13" w:history="1">
        <w:r w:rsidR="009760FB" w:rsidRPr="00435469">
          <w:rPr>
            <w:rStyle w:val="Hyperlink"/>
            <w:color w:val="auto"/>
            <w:sz w:val="20"/>
            <w:szCs w:val="20"/>
          </w:rPr>
          <w:t>https://mstrweb.nicd.ac.za/MicroStrategy/asp/Main.aspx?Server=NICDSANDMSTRI01&amp;Project=Surveillance&amp;Port=0&amp;evt=2048001&amp;src=Main.aspx.2048001&amp;documentID=4236FF364F683E2F257DA5AC647F5BA6&amp;currentViewMedia=1&amp;visMode</w:t>
        </w:r>
      </w:hyperlink>
      <w:r w:rsidR="009760FB" w:rsidRPr="00435469">
        <w:rPr>
          <w:rFonts w:cs="Times New Roman"/>
          <w:sz w:val="20"/>
          <w:szCs w:val="20"/>
        </w:rPr>
        <w:t xml:space="preserve"> </w:t>
      </w:r>
    </w:p>
    <w:p w14:paraId="1A2B257D" w14:textId="77777777" w:rsidR="00971F36" w:rsidRPr="00435469" w:rsidRDefault="00971F36" w:rsidP="00955FFB">
      <w:pPr>
        <w:pStyle w:val="Heading3"/>
        <w:rPr>
          <w:rFonts w:cs="Times New Roman"/>
          <w:color w:val="auto"/>
          <w:sz w:val="20"/>
          <w:szCs w:val="20"/>
        </w:rPr>
      </w:pPr>
      <w:bookmarkStart w:id="138" w:name="_Toc66458479"/>
      <w:bookmarkStart w:id="139" w:name="_Toc79099822"/>
      <w:bookmarkStart w:id="140" w:name="_Toc80352143"/>
      <w:bookmarkStart w:id="141" w:name="_Toc87863335"/>
      <w:bookmarkStart w:id="142" w:name="_Toc88488566"/>
      <w:bookmarkStart w:id="143" w:name="_Toc103252934"/>
      <w:bookmarkStart w:id="144" w:name="_Ref45702478"/>
      <w:bookmarkStart w:id="145" w:name="_Ref45702510"/>
      <w:bookmarkStart w:id="146" w:name="_Ref45702520"/>
      <w:bookmarkStart w:id="147" w:name="_Ref45702547"/>
      <w:bookmarkStart w:id="148" w:name="_Ref65746057"/>
      <w:bookmarkStart w:id="149" w:name="_Toc66458480"/>
      <w:bookmarkStart w:id="150" w:name="_Toc79099823"/>
      <w:bookmarkStart w:id="151" w:name="_Toc80352144"/>
      <w:r w:rsidRPr="00435469">
        <w:rPr>
          <w:rFonts w:cs="Times New Roman"/>
          <w:color w:val="auto"/>
          <w:sz w:val="20"/>
          <w:szCs w:val="20"/>
        </w:rPr>
        <w:t>Sensitivity and specificity</w:t>
      </w:r>
      <w:bookmarkEnd w:id="138"/>
      <w:r w:rsidRPr="00435469">
        <w:rPr>
          <w:rFonts w:cs="Times New Roman"/>
          <w:color w:val="auto"/>
          <w:sz w:val="20"/>
          <w:szCs w:val="20"/>
        </w:rPr>
        <w:t xml:space="preserve"> of diagnostic algorithms</w:t>
      </w:r>
      <w:bookmarkEnd w:id="139"/>
      <w:bookmarkEnd w:id="140"/>
      <w:bookmarkEnd w:id="141"/>
      <w:bookmarkEnd w:id="142"/>
      <w:bookmarkEnd w:id="143"/>
      <w:r w:rsidRPr="00435469">
        <w:rPr>
          <w:rFonts w:cs="Times New Roman"/>
          <w:color w:val="auto"/>
          <w:sz w:val="20"/>
          <w:szCs w:val="20"/>
        </w:rPr>
        <w:t xml:space="preserve"> </w:t>
      </w:r>
    </w:p>
    <w:p w14:paraId="1A5F088A" w14:textId="365EA783" w:rsidR="00BD2918" w:rsidRPr="00435469" w:rsidRDefault="00971F36" w:rsidP="00955FFB">
      <w:pPr>
        <w:spacing w:line="240" w:lineRule="auto"/>
        <w:rPr>
          <w:rFonts w:cs="Times New Roman"/>
          <w:sz w:val="20"/>
          <w:szCs w:val="20"/>
        </w:rPr>
      </w:pPr>
      <w:bookmarkStart w:id="152" w:name="_Ref74651993"/>
      <w:r w:rsidRPr="00435469">
        <w:rPr>
          <w:rFonts w:cs="Times New Roman"/>
          <w:sz w:val="20"/>
          <w:szCs w:val="20"/>
        </w:rPr>
        <w:t xml:space="preserve">In the model, we assumed sputum smear microscopy </w:t>
      </w:r>
      <w:r w:rsidR="005573C9" w:rsidRPr="00435469">
        <w:rPr>
          <w:rFonts w:cs="Times New Roman"/>
          <w:sz w:val="20"/>
          <w:szCs w:val="20"/>
        </w:rPr>
        <w:t>was</w:t>
      </w:r>
      <w:r w:rsidRPr="00435469">
        <w:rPr>
          <w:rFonts w:cs="Times New Roman"/>
          <w:sz w:val="20"/>
          <w:szCs w:val="20"/>
        </w:rPr>
        <w:t xml:space="preserve"> the first-line diagnostic test before 2010. From 2011, we assume a gradual phase-in of </w:t>
      </w:r>
      <w:r w:rsidR="00B9165F" w:rsidRPr="00435469">
        <w:rPr>
          <w:rFonts w:cs="Times New Roman"/>
          <w:sz w:val="20"/>
          <w:szCs w:val="20"/>
        </w:rPr>
        <w:t>Gene</w:t>
      </w:r>
      <w:r w:rsidR="00E4404B" w:rsidRPr="00435469">
        <w:rPr>
          <w:rFonts w:cs="Times New Roman"/>
          <w:sz w:val="20"/>
          <w:szCs w:val="20"/>
        </w:rPr>
        <w:t>Xpert MTB/RIF</w:t>
      </w:r>
      <w:r w:rsidR="00E4404B" w:rsidRPr="00435469" w:rsidDel="00E4404B">
        <w:rPr>
          <w:rFonts w:cs="Times New Roman"/>
          <w:sz w:val="20"/>
          <w:szCs w:val="20"/>
        </w:rPr>
        <w:t xml:space="preserve"> </w:t>
      </w:r>
      <w:r w:rsidRPr="00435469">
        <w:rPr>
          <w:rFonts w:cs="Times New Roman"/>
          <w:sz w:val="20"/>
          <w:szCs w:val="20"/>
        </w:rPr>
        <w:t>as</w:t>
      </w:r>
      <w:r w:rsidR="005573C9" w:rsidRPr="00435469">
        <w:rPr>
          <w:rFonts w:cs="Times New Roman"/>
          <w:sz w:val="20"/>
          <w:szCs w:val="20"/>
        </w:rPr>
        <w:t xml:space="preserve"> the</w:t>
      </w:r>
      <w:r w:rsidRPr="00435469">
        <w:rPr>
          <w:rFonts w:cs="Times New Roman"/>
          <w:sz w:val="20"/>
          <w:szCs w:val="20"/>
        </w:rPr>
        <w:t xml:space="preserve"> recommended first-line test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{"citationItems":[{"id":"ITEM-1","itemData":{"ISSN":"0899-823X","PMID":"7890925","id":"ITEM-1","issued":{"date-parts":[["2009"]]},"publisher-place":"Department of Health. Pretoroia, South Africa","title":"National Tuberculosis Management Guidelines","type":"report"},"uris":["http://www.mendeley.com/documents/?uuid=1e685922-9430-4276-b434-64205b23f2c9"]}],"mendeley":{"formattedCitation":"(55)","plainTextFormattedCitation":"(55)","previouslyFormattedCitation":"(55)"},"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(55)</w:t>
      </w:r>
      <w:r w:rsidRPr="00435469">
        <w:rPr>
          <w:rFonts w:cs="Times New Roman"/>
          <w:sz w:val="20"/>
          <w:szCs w:val="20"/>
        </w:rPr>
        <w:fldChar w:fldCharType="end"/>
      </w:r>
      <w:r w:rsidRPr="00435469">
        <w:rPr>
          <w:rFonts w:cs="Times New Roman"/>
          <w:sz w:val="20"/>
          <w:szCs w:val="20"/>
        </w:rPr>
        <w:t xml:space="preserve">. We let </w:t>
      </w:r>
      <m:oMath>
        <m:r>
          <w:rPr>
            <w:rFonts w:ascii="Cambria Math" w:eastAsiaTheme="minorEastAsia" w:hAnsi="Cambria Math" w:cs="Times New Roman"/>
            <w:sz w:val="20"/>
            <w:szCs w:val="20"/>
          </w:rPr>
          <m:t>M</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t</m:t>
            </m:r>
          </m:e>
        </m:d>
      </m:oMath>
      <w:r w:rsidRPr="00435469">
        <w:rPr>
          <w:rFonts w:cs="Times New Roman"/>
          <w:sz w:val="20"/>
          <w:szCs w:val="20"/>
        </w:rPr>
        <w:t xml:space="preserve"> be the proportion of individuals tested microbiologically by smear microscopy</w:t>
      </w:r>
      <w:r w:rsidR="00CD1889" w:rsidRPr="00435469">
        <w:rPr>
          <w:rFonts w:cs="Times New Roman"/>
          <w:sz w:val="20"/>
          <w:szCs w:val="20"/>
        </w:rPr>
        <w:t xml:space="preserve"> in year t</w:t>
      </w:r>
      <w:r w:rsidRPr="00435469">
        <w:rPr>
          <w:rFonts w:cs="Times New Roman"/>
          <w:sz w:val="20"/>
          <w:szCs w:val="20"/>
        </w:rPr>
        <w:t>. The remainder (</w:t>
      </w:r>
      <m:oMath>
        <m:r>
          <w:rPr>
            <w:rFonts w:ascii="Cambria Math" w:eastAsiaTheme="minorEastAsia" w:hAnsi="Cambria Math" w:cs="Times New Roman"/>
            <w:sz w:val="20"/>
            <w:szCs w:val="20"/>
          </w:rPr>
          <m:t>1-M</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t</m:t>
            </m:r>
          </m:e>
        </m:d>
      </m:oMath>
      <w:r w:rsidRPr="00435469">
        <w:rPr>
          <w:rFonts w:eastAsiaTheme="minorEastAsia" w:cs="Times New Roman"/>
          <w:sz w:val="20"/>
          <w:szCs w:val="20"/>
        </w:rPr>
        <w:t>)</w:t>
      </w:r>
      <w:r w:rsidRPr="00435469">
        <w:rPr>
          <w:rFonts w:cs="Times New Roman"/>
          <w:sz w:val="20"/>
          <w:szCs w:val="20"/>
        </w:rPr>
        <w:t xml:space="preserve"> is the fraction who have an initial test by </w:t>
      </w:r>
      <w:r w:rsidR="00B9165F" w:rsidRPr="00435469">
        <w:rPr>
          <w:rFonts w:cs="Times New Roman"/>
          <w:sz w:val="20"/>
          <w:szCs w:val="20"/>
        </w:rPr>
        <w:t>Gene</w:t>
      </w:r>
      <w:r w:rsidR="00854156" w:rsidRPr="00435469">
        <w:rPr>
          <w:rFonts w:cs="Times New Roman"/>
          <w:sz w:val="20"/>
          <w:szCs w:val="20"/>
        </w:rPr>
        <w:t>Xpert MTB/RIF</w:t>
      </w:r>
      <w:r w:rsidRPr="00435469">
        <w:rPr>
          <w:rFonts w:cs="Times New Roman"/>
          <w:sz w:val="20"/>
          <w:szCs w:val="20"/>
        </w:rPr>
        <w:t xml:space="preserve">. Thus </w:t>
      </w:r>
      <m:oMath>
        <m:r>
          <w:rPr>
            <w:rFonts w:ascii="Cambria Math" w:eastAsiaTheme="minorEastAsia" w:hAnsi="Cambria Math" w:cs="Times New Roman"/>
            <w:sz w:val="20"/>
            <w:szCs w:val="20"/>
          </w:rPr>
          <m:t>M</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t</m:t>
            </m:r>
          </m:e>
        </m:d>
      </m:oMath>
      <w:r w:rsidRPr="00435469">
        <w:rPr>
          <w:rFonts w:cs="Times New Roman"/>
          <w:sz w:val="20"/>
          <w:szCs w:val="20"/>
        </w:rPr>
        <w:t xml:space="preserve"> varies with time depending on </w:t>
      </w:r>
      <w:r w:rsidR="00B9165F" w:rsidRPr="00435469">
        <w:rPr>
          <w:rFonts w:cs="Times New Roman"/>
          <w:sz w:val="20"/>
          <w:szCs w:val="20"/>
        </w:rPr>
        <w:t>Gene</w:t>
      </w:r>
      <w:r w:rsidR="00E4404B" w:rsidRPr="00435469">
        <w:rPr>
          <w:rFonts w:cs="Times New Roman"/>
          <w:sz w:val="20"/>
          <w:szCs w:val="20"/>
        </w:rPr>
        <w:t>Xpert MTB/RIF</w:t>
      </w:r>
      <w:r w:rsidRPr="00435469">
        <w:rPr>
          <w:rFonts w:cs="Times New Roman"/>
          <w:sz w:val="20"/>
          <w:szCs w:val="20"/>
        </w:rPr>
        <w:t xml:space="preserve"> </w:t>
      </w:r>
      <w:proofErr w:type="spellStart"/>
      <w:r w:rsidRPr="00435469">
        <w:rPr>
          <w:rFonts w:cs="Times New Roman"/>
          <w:sz w:val="20"/>
          <w:szCs w:val="20"/>
        </w:rPr>
        <w:t>utilisation</w:t>
      </w:r>
      <w:proofErr w:type="spellEnd"/>
      <w:r w:rsidRPr="00435469">
        <w:rPr>
          <w:rFonts w:cs="Times New Roman"/>
          <w:sz w:val="20"/>
          <w:szCs w:val="20"/>
        </w:rPr>
        <w:t xml:space="preserve"> as the first-line tool for diagnosing TB in South Africa. For 2010 and years before, we assume the level of </w:t>
      </w:r>
      <w:r w:rsidR="00B9165F" w:rsidRPr="00435469">
        <w:rPr>
          <w:rFonts w:cs="Times New Roman"/>
          <w:sz w:val="20"/>
          <w:szCs w:val="20"/>
        </w:rPr>
        <w:t>Gene</w:t>
      </w:r>
      <w:r w:rsidR="00854156" w:rsidRPr="00435469">
        <w:rPr>
          <w:rFonts w:cs="Times New Roman"/>
          <w:sz w:val="20"/>
          <w:szCs w:val="20"/>
        </w:rPr>
        <w:t>Xpert MTB/RIF</w:t>
      </w:r>
      <w:r w:rsidRPr="00435469">
        <w:rPr>
          <w:rFonts w:cs="Times New Roman"/>
          <w:sz w:val="20"/>
          <w:szCs w:val="20"/>
        </w:rPr>
        <w:t xml:space="preserve"> </w:t>
      </w:r>
      <w:proofErr w:type="spellStart"/>
      <w:r w:rsidRPr="00435469">
        <w:rPr>
          <w:rFonts w:cs="Times New Roman"/>
          <w:sz w:val="20"/>
          <w:szCs w:val="20"/>
        </w:rPr>
        <w:t>utilisation</w:t>
      </w:r>
      <w:proofErr w:type="spellEnd"/>
      <w:r w:rsidRPr="00435469">
        <w:rPr>
          <w:rFonts w:cs="Times New Roman"/>
          <w:sz w:val="20"/>
          <w:szCs w:val="20"/>
        </w:rPr>
        <w:t xml:space="preserve"> was 0% and gradually phased in over time. These proportions were </w:t>
      </w:r>
      <w:r w:rsidR="00E03969" w:rsidRPr="00435469">
        <w:rPr>
          <w:rFonts w:cs="Times New Roman"/>
          <w:sz w:val="20"/>
          <w:szCs w:val="20"/>
        </w:rPr>
        <w:t>set to be the same as those assumed</w:t>
      </w:r>
      <w:r w:rsidRPr="00435469">
        <w:rPr>
          <w:rFonts w:cs="Times New Roman"/>
          <w:sz w:val="20"/>
          <w:szCs w:val="20"/>
        </w:rPr>
        <w:t xml:space="preserve"> by Sumner </w:t>
      </w:r>
      <w:r w:rsidRPr="00435469">
        <w:rPr>
          <w:rFonts w:cs="Times New Roman"/>
          <w:i/>
          <w:iCs/>
          <w:sz w:val="20"/>
          <w:szCs w:val="20"/>
        </w:rPr>
        <w:t>et al</w:t>
      </w:r>
      <w:r w:rsidRPr="00435469">
        <w:rPr>
          <w:rFonts w:cs="Times New Roman"/>
          <w:sz w:val="20"/>
          <w:szCs w:val="20"/>
        </w:rPr>
        <w:t xml:space="preserve">. and </w:t>
      </w:r>
      <w:proofErr w:type="spellStart"/>
      <w:r w:rsidRPr="00435469">
        <w:rPr>
          <w:rFonts w:cs="Times New Roman"/>
          <w:sz w:val="20"/>
          <w:szCs w:val="20"/>
        </w:rPr>
        <w:t>Hippner</w:t>
      </w:r>
      <w:proofErr w:type="spellEnd"/>
      <w:r w:rsidRPr="00435469">
        <w:rPr>
          <w:rFonts w:cs="Times New Roman"/>
          <w:sz w:val="20"/>
          <w:szCs w:val="20"/>
        </w:rPr>
        <w:t xml:space="preserve"> </w:t>
      </w:r>
      <w:r w:rsidRPr="00435469">
        <w:rPr>
          <w:rFonts w:cs="Times New Roman"/>
          <w:i/>
          <w:iCs/>
          <w:sz w:val="20"/>
          <w:szCs w:val="20"/>
        </w:rPr>
        <w:t>et al</w:t>
      </w:r>
      <w:r w:rsidRPr="00435469">
        <w:rPr>
          <w:rFonts w:cs="Times New Roman"/>
          <w:sz w:val="20"/>
          <w:szCs w:val="20"/>
        </w:rPr>
        <w:t xml:space="preserve">. </w:t>
      </w:r>
      <w:r w:rsidR="00E03969" w:rsidRPr="00435469">
        <w:rPr>
          <w:rFonts w:cs="Times New Roman"/>
          <w:sz w:val="20"/>
          <w:szCs w:val="20"/>
        </w:rPr>
        <w:t>based on expert opinion</w:t>
      </w:r>
      <w:r w:rsidRPr="00435469">
        <w:rPr>
          <w:rFonts w:cs="Times New Roman"/>
          <w:sz w:val="20"/>
          <w:szCs w:val="20"/>
        </w:rPr>
        <w:t xml:space="preserve">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{"citationItems":[{"id":"ITEM-1","itemData":{"DOI":"10.1371/journal.pone.0209320","ISBN":"1111111111","ISSN":"19326203","PMID":"30682028","abstract":"South Africa has the highest tuberculosis (TB) disease incidence rate in the world, and TB is the leading infectious cause of death. Decisions on, and funding for, TB prevention and care policies are decentralised to the provincial governments and therefore, tools to inform policy need to operate at this level. We describe the use of a mathematical model planning tool at provincial level in a high HIV and TB burden country, to estimate the impact on TB burden of achieving the 90-(90)-90 targets of the Stop TB Partnership Global Plan to End TB. “TIME Impact” is a freely available, user-friendly TB modelling tool. In collaboration with provincial TB programme staff, and the South African National TB Programme, models for three (of nine) provinces were calibrated to TB notifications, incidence, and screening data. Reported levels of TB programme activities were used as baseline inputs into the models, which were used to estimate the impact of scale-up of interventions focusing on screening, linkage to care and treatment success. All baseline models predicted a trend of decreasing TB incidence and mortality, consistent with recent data from South Africa. The projected impacts of the interventions differed by province and were greatly influenced by assumed current coverage levels. The absence of provincial TB burden estimates and uncertainty in current activity coverage levels were key data gaps. A user-friendly modelling tool allows TB burden and intervention impact projection at the sub-national level. Key sub-national data gaps should be addressed to improve the quality of sub-national model predictions.","author":[{"dropping-particle":"","family":"Hippner","given":"Piotr","non-dropping-particle":"","parse-names":false,"suffix":""},{"dropping-particle":"","family":"Sumner","given":"Tom","non-dropping-particle":"","parse-names":false,"suffix":""},{"dropping-particle":"","family":"Houben","given":"Rein M.G.J.","non-dropping-particle":"","parse-names":false,"suffix":""},{"dropping-particle":"","family":"Cardenas","given":"Vicky","non-dropping-particle":"","parse-names":false,"suffix":""},{"dropping-particle":"","family":"Vassall","given":"Anna","non-dropping-particle":"","parse-names":false,"suffix":""},{"dropping-particle":"","family":"Bozzani","given":"Fiammetta","non-dropping-particle":"","parse-names":false,"suffix":""},{"dropping-particle":"","family":"Mudzengi","given":"Don","non-dropping-particle":"","parse-names":false,"suffix":""},{"dropping-particle":"","family":"Mvusi","given":"Lindiwe","non-dropping-particle":"","parse-names":false,"suffix":""},{"dropping-particle":"","family":"Churchyard","given":"Gavin","non-dropping-particle":"","parse-names":false,"suffix":""},{"dropping-particle":"","family":"White","given":"Richard G.","non-dropping-particle":"","parse-names":false,"suffix":""}],"container-title":"PLoS ONE","id":"ITEM-1","issue":"1","issued":{"date-parts":[["2019"]]},"page":"1-11","title":"Application of provincial data in mathematical modelling to inform sub-national tuberculosis program decision-making in South Africa","type":"article-journal","volume":"14"},"uris":["http://www.mendeley.com/documents/?uuid=e0ac282d-0b9e-47a1-a6d4-50970e080fce"]},{"id":"ITEM-2","itemData":{"DOI":"10.1093/aje/kwz038","ISSN":"14766256","abstract":"Mathematical models are increasingly being used to compare strategies for tuberculosis (TB) control and inform policy decisions. Models often do not consider financial and other constraints on implementation and may overestimate the impact that can be achieved.We developed a pragmatic approach for incorporating resource constraints into mathematical models of TB. Using a TB transmission model calibrated for South Africa, we estimated the epidemiologic impact and resource requirements (financial, human resource (HR), and diagnostic) of 9 case-finding interventions.We compared the model-estimated resources with scenarios of future resource availability and estimated the impact of interventions under these constraints. Without constraints, symptom screening in public health clinics and among persons receiving care for human immunodeficiency virus infection was predicted to lead to larger reductions in TB incidence (9.5% (2.5th-97.5th percentile range (PR), 8.6-12.2) and 14.5%(2.5th-97.5th PR, 12.2-16.3), respectively) than improved adherence to diagnostic guidelines (2.7%; 2.5th-97.5th PR, 1.6-4.1). However, symptom screening required large increases in resources, exceeding future HR capacity. Even under our most optimistic HR scenario, the reduction in TB incidence from clinic symptom screening was 0.2%-0.9%-less than that of improved adherence to diagnostic guidelines. Ignoring resource constraints may result in incorrect conclusions about an intervention's impact andmay lead to suboptimal policy decisions. Models used for decision-making should consider resource constraints.","author":[{"dropping-particle":"","family":"Sumner","given":"Thomas","non-dropping-particle":"","parse-names":false,"suffix":""},{"dropping-particle":"","family":"Bozzani","given":"Fiammetta","non-dropping-particle":"","parse-names":false,"suffix":""},{"dropping-particle":"","family":"Mudzengi","given":"Don","non-dropping-particle":"","parse-names":false,"suffix":""},{"dropping-particle":"","family":"Hippner","given":"Piotr","non-dropping-particle":"","parse-names":false,"suffix":""},{"dropping-particle":"","family":"Houben","given":"Rein M.","non-dropping-particle":"","parse-names":false,"suffix":""},{"dropping-particle":"","family":"Cardenas","given":"Vicky","non-dropping-particle":"","parse-names":false,"suffix":""},{"dropping-particle":"","family":"Vassall","given":"Anna","non-dropping-particle":"","parse-names":false,"suffix":""},{"dropping-particle":"","family":"White","given":"Richard G.","non-dropping-particle":"","parse-names":false,"suffix":""}],"container-title":"American Journal of Epidemiology","id":"ITEM-2","issue":"6","issued":{"date-parts":[["2019"]]},"page":"1155-1164","title":"Estimating the Impact of Tuberculosis Case Detection in Constrained Health Systems: An Example of Case-Finding in South Africa","type":"article-journal","volume":"188"},"uris":["http://www.mendeley.com/documents/?uuid=1ea98f52-6500-4b30-adcd-22ae6cf1b8e2"]}],"mendeley":{"formattedCitation":"(56,57)","plainTextFormattedCitation":"(56,57)","previouslyFormattedCitation":"(56,57)"},"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(56,57)</w:t>
      </w:r>
      <w:r w:rsidRPr="00435469">
        <w:rPr>
          <w:rFonts w:cs="Times New Roman"/>
          <w:sz w:val="20"/>
          <w:szCs w:val="20"/>
        </w:rPr>
        <w:fldChar w:fldCharType="end"/>
      </w:r>
      <w:r w:rsidR="00E03969" w:rsidRPr="00435469">
        <w:rPr>
          <w:rFonts w:cs="Times New Roman"/>
          <w:sz w:val="20"/>
          <w:szCs w:val="20"/>
        </w:rPr>
        <w:t xml:space="preserve"> (</w:t>
      </w:r>
      <w:r w:rsidR="00C76E5A" w:rsidRPr="00435469">
        <w:rPr>
          <w:rFonts w:cs="Times New Roman"/>
          <w:sz w:val="20"/>
          <w:szCs w:val="20"/>
        </w:rPr>
        <w:fldChar w:fldCharType="begin"/>
      </w:r>
      <w:r w:rsidR="00C76E5A" w:rsidRPr="00435469">
        <w:rPr>
          <w:rFonts w:cs="Times New Roman"/>
          <w:sz w:val="20"/>
          <w:szCs w:val="20"/>
        </w:rPr>
        <w:instrText xml:space="preserve"> REF _Ref80375615 \h </w:instrText>
      </w:r>
      <w:r w:rsidR="00955FFB" w:rsidRPr="00435469">
        <w:rPr>
          <w:rFonts w:cs="Times New Roman"/>
          <w:sz w:val="20"/>
          <w:szCs w:val="20"/>
        </w:rPr>
        <w:instrText xml:space="preserve"> \* MERGEFORMAT </w:instrText>
      </w:r>
      <w:r w:rsidR="00C76E5A" w:rsidRPr="00435469">
        <w:rPr>
          <w:rFonts w:cs="Times New Roman"/>
          <w:sz w:val="20"/>
          <w:szCs w:val="20"/>
        </w:rPr>
      </w:r>
      <w:r w:rsidR="00C76E5A"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8</w:t>
      </w:r>
      <w:r w:rsidR="00C76E5A" w:rsidRPr="00435469">
        <w:rPr>
          <w:rFonts w:cs="Times New Roman"/>
          <w:sz w:val="20"/>
          <w:szCs w:val="20"/>
        </w:rPr>
        <w:fldChar w:fldCharType="end"/>
      </w:r>
      <w:r w:rsidR="00E03969" w:rsidRPr="00435469">
        <w:rPr>
          <w:rFonts w:cs="Times New Roman"/>
          <w:sz w:val="20"/>
          <w:szCs w:val="20"/>
        </w:rPr>
        <w:t>)</w:t>
      </w:r>
      <w:r w:rsidRPr="00435469">
        <w:rPr>
          <w:rFonts w:cs="Times New Roman"/>
          <w:sz w:val="20"/>
          <w:szCs w:val="20"/>
        </w:rPr>
        <w:t>.</w:t>
      </w:r>
      <w:bookmarkStart w:id="153" w:name="_Toc80352807"/>
    </w:p>
    <w:p w14:paraId="0E12C1B0" w14:textId="4B3C34EE" w:rsidR="006D4107" w:rsidRPr="00435469" w:rsidRDefault="006D4107" w:rsidP="00955FFB">
      <w:pPr>
        <w:pStyle w:val="3CaptionBelowwithNote"/>
        <w:rPr>
          <w:iCs/>
          <w:sz w:val="20"/>
          <w:szCs w:val="20"/>
        </w:rPr>
      </w:pPr>
      <w:bookmarkStart w:id="154" w:name="_Ref80375615"/>
      <w:bookmarkStart w:id="155" w:name="_Toc80352724"/>
      <w:bookmarkStart w:id="156" w:name="_Toc87863399"/>
      <w:bookmarkStart w:id="157" w:name="_Toc103253661"/>
      <w:r w:rsidRPr="00435469">
        <w:rPr>
          <w:sz w:val="20"/>
          <w:szCs w:val="20"/>
        </w:rPr>
        <w:t xml:space="preserve">Table </w:t>
      </w:r>
      <w:r w:rsidRPr="00435469">
        <w:rPr>
          <w:iCs/>
          <w:noProof w:val="0"/>
          <w:sz w:val="20"/>
          <w:szCs w:val="20"/>
        </w:rPr>
        <w:fldChar w:fldCharType="begin"/>
      </w:r>
      <w:r w:rsidRPr="00435469">
        <w:rPr>
          <w:sz w:val="20"/>
          <w:szCs w:val="20"/>
        </w:rPr>
        <w:instrText xml:space="preserve"> SEQ Table \* ARABIC </w:instrText>
      </w:r>
      <w:r w:rsidRPr="00435469">
        <w:rPr>
          <w:iCs/>
          <w:noProof w:val="0"/>
          <w:sz w:val="20"/>
          <w:szCs w:val="20"/>
        </w:rPr>
        <w:fldChar w:fldCharType="separate"/>
      </w:r>
      <w:r w:rsidR="00186C2F" w:rsidRPr="00435469">
        <w:rPr>
          <w:sz w:val="20"/>
          <w:szCs w:val="20"/>
        </w:rPr>
        <w:t>8</w:t>
      </w:r>
      <w:r w:rsidRPr="00435469">
        <w:rPr>
          <w:iCs/>
          <w:sz w:val="20"/>
          <w:szCs w:val="20"/>
        </w:rPr>
        <w:fldChar w:fldCharType="end"/>
      </w:r>
      <w:bookmarkEnd w:id="154"/>
      <w:r w:rsidRPr="00435469">
        <w:rPr>
          <w:sz w:val="20"/>
          <w:szCs w:val="20"/>
        </w:rPr>
        <w:t xml:space="preserve">: Utilisation of </w:t>
      </w:r>
      <w:r w:rsidR="00400696" w:rsidRPr="00435469">
        <w:rPr>
          <w:sz w:val="20"/>
          <w:szCs w:val="20"/>
        </w:rPr>
        <w:t>Gene</w:t>
      </w:r>
      <w:r w:rsidR="00854156" w:rsidRPr="00435469">
        <w:rPr>
          <w:sz w:val="20"/>
          <w:szCs w:val="20"/>
        </w:rPr>
        <w:t>Xpert MTB/RIF</w:t>
      </w:r>
      <w:r w:rsidR="00854156" w:rsidRPr="00435469" w:rsidDel="00854156">
        <w:rPr>
          <w:sz w:val="20"/>
          <w:szCs w:val="20"/>
        </w:rPr>
        <w:t xml:space="preserve"> </w:t>
      </w:r>
      <w:r w:rsidRPr="00435469">
        <w:rPr>
          <w:sz w:val="20"/>
          <w:szCs w:val="20"/>
        </w:rPr>
        <w:t>as a first-line diagnostic test in South Africa</w:t>
      </w:r>
      <w:bookmarkEnd w:id="155"/>
      <w:bookmarkEnd w:id="156"/>
      <w:bookmarkEnd w:id="15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686"/>
      </w:tblGrid>
      <w:tr w:rsidR="00304411" w:rsidRPr="00435469" w14:paraId="2AAD33DA" w14:textId="77777777" w:rsidTr="00E84FC8">
        <w:tc>
          <w:tcPr>
            <w:tcW w:w="1696" w:type="dxa"/>
            <w:tcBorders>
              <w:top w:val="single" w:sz="4" w:space="0" w:color="auto"/>
              <w:bottom w:val="single" w:sz="4" w:space="0" w:color="auto"/>
            </w:tcBorders>
            <w:hideMark/>
          </w:tcPr>
          <w:p w14:paraId="009D2F38" w14:textId="77777777" w:rsidR="006D4107" w:rsidRPr="00435469" w:rsidRDefault="006D4107" w:rsidP="00AD6E54">
            <w:pPr>
              <w:pStyle w:val="3TableData"/>
            </w:pPr>
            <w:r w:rsidRPr="00435469">
              <w:t>Year</w:t>
            </w:r>
          </w:p>
        </w:tc>
        <w:tc>
          <w:tcPr>
            <w:tcW w:w="3686" w:type="dxa"/>
            <w:tcBorders>
              <w:top w:val="single" w:sz="4" w:space="0" w:color="auto"/>
              <w:bottom w:val="single" w:sz="4" w:space="0" w:color="auto"/>
            </w:tcBorders>
            <w:hideMark/>
          </w:tcPr>
          <w:p w14:paraId="29292640" w14:textId="4678BC91" w:rsidR="006D4107" w:rsidRPr="00435469" w:rsidRDefault="006D4107" w:rsidP="00AD6E54">
            <w:pPr>
              <w:pStyle w:val="3TableData"/>
            </w:pPr>
            <w:r w:rsidRPr="00435469">
              <w:t xml:space="preserve">% </w:t>
            </w:r>
            <w:r w:rsidR="009B4A3E" w:rsidRPr="00435469">
              <w:t>Gene</w:t>
            </w:r>
            <w:r w:rsidRPr="00435469">
              <w:t>Xpert</w:t>
            </w:r>
            <w:r w:rsidR="00921DD2" w:rsidRPr="00435469">
              <w:t xml:space="preserve"> MTB/RIF</w:t>
            </w:r>
            <w:r w:rsidRPr="00435469">
              <w:t xml:space="preserve"> used (</w:t>
            </w:r>
            <m:oMath>
              <m:r>
                <m:rPr>
                  <m:sty m:val="bi"/>
                </m:rPr>
                <w:rPr>
                  <w:rFonts w:ascii="Cambria Math" w:hAnsi="Cambria Math"/>
                </w:rPr>
                <m:t>1</m:t>
              </m:r>
              <m:r>
                <w:rPr>
                  <w:rFonts w:ascii="Cambria Math" w:hAnsi="Cambria Math"/>
                </w:rPr>
                <m:t>-</m:t>
              </m:r>
              <m:r>
                <m:rPr>
                  <m:sty m:val="bi"/>
                </m:rPr>
                <w:rPr>
                  <w:rFonts w:ascii="Cambria Math" w:hAnsi="Cambria Math"/>
                </w:rPr>
                <m:t>M</m:t>
              </m:r>
              <m:d>
                <m:dPr>
                  <m:ctrlPr>
                    <w:rPr>
                      <w:rFonts w:ascii="Cambria Math" w:hAnsi="Cambria Math"/>
                    </w:rPr>
                  </m:ctrlPr>
                </m:dPr>
                <m:e>
                  <m:r>
                    <m:rPr>
                      <m:sty m:val="bi"/>
                    </m:rPr>
                    <w:rPr>
                      <w:rFonts w:ascii="Cambria Math" w:hAnsi="Cambria Math"/>
                    </w:rPr>
                    <m:t>t</m:t>
                  </m:r>
                </m:e>
              </m:d>
              <m:r>
                <w:rPr>
                  <w:rFonts w:ascii="Cambria Math" w:hAnsi="Cambria Math"/>
                </w:rPr>
                <m:t>)</m:t>
              </m:r>
            </m:oMath>
          </w:p>
        </w:tc>
      </w:tr>
      <w:tr w:rsidR="00304411" w:rsidRPr="00435469" w14:paraId="494FEEE3" w14:textId="77777777" w:rsidTr="00E84FC8">
        <w:tc>
          <w:tcPr>
            <w:tcW w:w="1696" w:type="dxa"/>
            <w:tcBorders>
              <w:top w:val="single" w:sz="4" w:space="0" w:color="auto"/>
            </w:tcBorders>
            <w:hideMark/>
          </w:tcPr>
          <w:p w14:paraId="51AB05ED" w14:textId="77777777" w:rsidR="006D4107" w:rsidRPr="00435469" w:rsidRDefault="006D4107" w:rsidP="00AD6E54">
            <w:pPr>
              <w:pStyle w:val="3TableData"/>
            </w:pPr>
            <w:r w:rsidRPr="00435469">
              <w:t>2010 and before</w:t>
            </w:r>
          </w:p>
        </w:tc>
        <w:tc>
          <w:tcPr>
            <w:tcW w:w="3686" w:type="dxa"/>
            <w:tcBorders>
              <w:top w:val="single" w:sz="4" w:space="0" w:color="auto"/>
            </w:tcBorders>
            <w:hideMark/>
          </w:tcPr>
          <w:p w14:paraId="290F417C" w14:textId="77777777" w:rsidR="006D4107" w:rsidRPr="00435469" w:rsidRDefault="006D4107" w:rsidP="00AD6E54">
            <w:pPr>
              <w:pStyle w:val="3TableData"/>
            </w:pPr>
            <w:r w:rsidRPr="00435469">
              <w:t>0</w:t>
            </w:r>
          </w:p>
        </w:tc>
      </w:tr>
      <w:tr w:rsidR="00304411" w:rsidRPr="00435469" w14:paraId="41C29090" w14:textId="77777777" w:rsidTr="00E84FC8">
        <w:tc>
          <w:tcPr>
            <w:tcW w:w="1696" w:type="dxa"/>
            <w:hideMark/>
          </w:tcPr>
          <w:p w14:paraId="1A8C6730" w14:textId="77777777" w:rsidR="006D4107" w:rsidRPr="00435469" w:rsidRDefault="006D4107" w:rsidP="00AD6E54">
            <w:pPr>
              <w:pStyle w:val="3TableData"/>
            </w:pPr>
            <w:r w:rsidRPr="00435469">
              <w:t>2011</w:t>
            </w:r>
          </w:p>
        </w:tc>
        <w:tc>
          <w:tcPr>
            <w:tcW w:w="3686" w:type="dxa"/>
            <w:hideMark/>
          </w:tcPr>
          <w:p w14:paraId="175F656C" w14:textId="77777777" w:rsidR="006D4107" w:rsidRPr="00435469" w:rsidRDefault="006D4107" w:rsidP="00AD6E54">
            <w:pPr>
              <w:pStyle w:val="3TableData"/>
            </w:pPr>
            <w:r w:rsidRPr="00435469">
              <w:t>22</w:t>
            </w:r>
          </w:p>
        </w:tc>
      </w:tr>
      <w:tr w:rsidR="00304411" w:rsidRPr="00435469" w14:paraId="5EDD25A3" w14:textId="77777777" w:rsidTr="00E84FC8">
        <w:tc>
          <w:tcPr>
            <w:tcW w:w="1696" w:type="dxa"/>
            <w:hideMark/>
          </w:tcPr>
          <w:p w14:paraId="6030C438" w14:textId="77777777" w:rsidR="006D4107" w:rsidRPr="00435469" w:rsidRDefault="006D4107" w:rsidP="00AD6E54">
            <w:pPr>
              <w:pStyle w:val="3TableData"/>
            </w:pPr>
            <w:r w:rsidRPr="00435469">
              <w:t>2012</w:t>
            </w:r>
          </w:p>
        </w:tc>
        <w:tc>
          <w:tcPr>
            <w:tcW w:w="3686" w:type="dxa"/>
            <w:hideMark/>
          </w:tcPr>
          <w:p w14:paraId="49E4855D" w14:textId="77777777" w:rsidR="006D4107" w:rsidRPr="00435469" w:rsidRDefault="006D4107" w:rsidP="00AD6E54">
            <w:pPr>
              <w:pStyle w:val="3TableData"/>
            </w:pPr>
            <w:r w:rsidRPr="00435469">
              <w:t>43</w:t>
            </w:r>
          </w:p>
        </w:tc>
      </w:tr>
      <w:tr w:rsidR="00304411" w:rsidRPr="00435469" w14:paraId="43FDCE88" w14:textId="77777777" w:rsidTr="00E84FC8">
        <w:tc>
          <w:tcPr>
            <w:tcW w:w="1696" w:type="dxa"/>
            <w:hideMark/>
          </w:tcPr>
          <w:p w14:paraId="64F9CAC9" w14:textId="77777777" w:rsidR="006D4107" w:rsidRPr="00435469" w:rsidRDefault="006D4107" w:rsidP="00AD6E54">
            <w:pPr>
              <w:pStyle w:val="3TableData"/>
            </w:pPr>
            <w:r w:rsidRPr="00435469">
              <w:t>2013</w:t>
            </w:r>
          </w:p>
        </w:tc>
        <w:tc>
          <w:tcPr>
            <w:tcW w:w="3686" w:type="dxa"/>
            <w:hideMark/>
          </w:tcPr>
          <w:p w14:paraId="5DE5626D" w14:textId="77777777" w:rsidR="006D4107" w:rsidRPr="00435469" w:rsidRDefault="006D4107" w:rsidP="00AD6E54">
            <w:pPr>
              <w:pStyle w:val="3TableData"/>
            </w:pPr>
            <w:r w:rsidRPr="00435469">
              <w:t>65</w:t>
            </w:r>
          </w:p>
        </w:tc>
      </w:tr>
      <w:tr w:rsidR="00304411" w:rsidRPr="00435469" w14:paraId="1716F8A7" w14:textId="77777777" w:rsidTr="00E84FC8">
        <w:tc>
          <w:tcPr>
            <w:tcW w:w="1696" w:type="dxa"/>
            <w:hideMark/>
          </w:tcPr>
          <w:p w14:paraId="7AE91690" w14:textId="77777777" w:rsidR="006D4107" w:rsidRPr="00435469" w:rsidRDefault="006D4107" w:rsidP="00AD6E54">
            <w:pPr>
              <w:pStyle w:val="3TableData"/>
            </w:pPr>
            <w:r w:rsidRPr="00435469">
              <w:t>2014</w:t>
            </w:r>
          </w:p>
        </w:tc>
        <w:tc>
          <w:tcPr>
            <w:tcW w:w="3686" w:type="dxa"/>
            <w:hideMark/>
          </w:tcPr>
          <w:p w14:paraId="5B138660" w14:textId="77777777" w:rsidR="006D4107" w:rsidRPr="00435469" w:rsidRDefault="006D4107" w:rsidP="00AD6E54">
            <w:pPr>
              <w:pStyle w:val="3TableData"/>
            </w:pPr>
            <w:r w:rsidRPr="00435469">
              <w:t>73</w:t>
            </w:r>
          </w:p>
        </w:tc>
      </w:tr>
      <w:tr w:rsidR="00304411" w:rsidRPr="00435469" w14:paraId="1F460EE4" w14:textId="77777777" w:rsidTr="00E84FC8">
        <w:tc>
          <w:tcPr>
            <w:tcW w:w="1696" w:type="dxa"/>
            <w:hideMark/>
          </w:tcPr>
          <w:p w14:paraId="674DE818" w14:textId="77777777" w:rsidR="006D4107" w:rsidRPr="00435469" w:rsidRDefault="006D4107" w:rsidP="00AD6E54">
            <w:pPr>
              <w:pStyle w:val="3TableData"/>
            </w:pPr>
            <w:r w:rsidRPr="00435469">
              <w:t>2015</w:t>
            </w:r>
          </w:p>
        </w:tc>
        <w:tc>
          <w:tcPr>
            <w:tcW w:w="3686" w:type="dxa"/>
            <w:hideMark/>
          </w:tcPr>
          <w:p w14:paraId="32CDE139" w14:textId="77777777" w:rsidR="006D4107" w:rsidRPr="00435469" w:rsidRDefault="006D4107" w:rsidP="00AD6E54">
            <w:pPr>
              <w:pStyle w:val="3TableData"/>
            </w:pPr>
            <w:r w:rsidRPr="00435469">
              <w:t>80</w:t>
            </w:r>
          </w:p>
        </w:tc>
      </w:tr>
      <w:tr w:rsidR="00610572" w:rsidRPr="00435469" w14:paraId="3DEB40D9" w14:textId="77777777" w:rsidTr="00E84FC8">
        <w:tc>
          <w:tcPr>
            <w:tcW w:w="1696" w:type="dxa"/>
            <w:tcBorders>
              <w:bottom w:val="single" w:sz="4" w:space="0" w:color="auto"/>
            </w:tcBorders>
            <w:hideMark/>
          </w:tcPr>
          <w:p w14:paraId="5DB609BB" w14:textId="77777777" w:rsidR="006D4107" w:rsidRPr="00435469" w:rsidRDefault="006D4107" w:rsidP="00AD6E54">
            <w:pPr>
              <w:pStyle w:val="3TableData"/>
            </w:pPr>
            <w:r w:rsidRPr="00435469">
              <w:t>2016 and onwards</w:t>
            </w:r>
          </w:p>
        </w:tc>
        <w:tc>
          <w:tcPr>
            <w:tcW w:w="3686" w:type="dxa"/>
            <w:tcBorders>
              <w:bottom w:val="single" w:sz="4" w:space="0" w:color="auto"/>
            </w:tcBorders>
            <w:hideMark/>
          </w:tcPr>
          <w:p w14:paraId="2BA04106" w14:textId="77777777" w:rsidR="006D4107" w:rsidRPr="00435469" w:rsidRDefault="006D4107" w:rsidP="00AD6E54">
            <w:pPr>
              <w:pStyle w:val="3TableData"/>
            </w:pPr>
            <w:r w:rsidRPr="00435469">
              <w:t>80</w:t>
            </w:r>
          </w:p>
        </w:tc>
      </w:tr>
    </w:tbl>
    <w:p w14:paraId="7C29C9E5" w14:textId="77777777" w:rsidR="006D4107" w:rsidRPr="00435469" w:rsidRDefault="006D4107" w:rsidP="00955FFB">
      <w:pPr>
        <w:pStyle w:val="Caption"/>
        <w:rPr>
          <w:rFonts w:cs="Times New Roman"/>
          <w:color w:val="auto"/>
          <w:sz w:val="20"/>
          <w:szCs w:val="20"/>
        </w:rPr>
      </w:pPr>
      <w:bookmarkStart w:id="158" w:name="_Toc87863371"/>
    </w:p>
    <w:p w14:paraId="2340E166" w14:textId="7EA00C64" w:rsidR="00971F36" w:rsidRPr="00435469" w:rsidRDefault="00971F36" w:rsidP="00955FFB">
      <w:pPr>
        <w:pStyle w:val="3CaptionAbove"/>
        <w:rPr>
          <w:sz w:val="20"/>
          <w:szCs w:val="20"/>
        </w:rPr>
      </w:pPr>
      <w:bookmarkStart w:id="159" w:name="_Toc103253001"/>
      <w:r w:rsidRPr="00435469">
        <w:rPr>
          <w:sz w:val="20"/>
          <w:szCs w:val="20"/>
        </w:rPr>
        <w:lastRenderedPageBreak/>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4</w:t>
      </w:r>
      <w:r w:rsidRPr="00435469">
        <w:rPr>
          <w:sz w:val="20"/>
          <w:szCs w:val="20"/>
        </w:rPr>
        <w:fldChar w:fldCharType="end"/>
      </w:r>
      <w:bookmarkEnd w:id="152"/>
      <w:r w:rsidRPr="00435469">
        <w:rPr>
          <w:sz w:val="20"/>
          <w:szCs w:val="20"/>
        </w:rPr>
        <w:t>: Simplified diagnostic algorithm considered in the model</w:t>
      </w:r>
      <w:bookmarkEnd w:id="153"/>
      <w:bookmarkEnd w:id="158"/>
      <w:bookmarkEnd w:id="159"/>
    </w:p>
    <w:p w14:paraId="3BD5529E" w14:textId="3EAC2A17" w:rsidR="00F34786" w:rsidRPr="00435469" w:rsidRDefault="00971F36" w:rsidP="00955FFB">
      <w:pPr>
        <w:spacing w:line="240" w:lineRule="auto"/>
        <w:rPr>
          <w:rFonts w:eastAsiaTheme="minorEastAsia" w:cs="Times New Roman"/>
          <w:sz w:val="20"/>
          <w:szCs w:val="20"/>
        </w:rPr>
      </w:pPr>
      <w:r w:rsidRPr="00435469">
        <w:rPr>
          <w:rFonts w:cs="Times New Roman"/>
          <w:noProof/>
          <w:sz w:val="20"/>
          <w:szCs w:val="20"/>
        </w:rPr>
        <w:drawing>
          <wp:anchor distT="0" distB="0" distL="114300" distR="114300" simplePos="0" relativeHeight="251658240" behindDoc="0" locked="0" layoutInCell="1" allowOverlap="1" wp14:anchorId="042E8782" wp14:editId="440DD993">
            <wp:simplePos x="0" y="0"/>
            <wp:positionH relativeFrom="column">
              <wp:posOffset>1181735</wp:posOffset>
            </wp:positionH>
            <wp:positionV relativeFrom="paragraph">
              <wp:posOffset>4445</wp:posOffset>
            </wp:positionV>
            <wp:extent cx="2803525" cy="2977515"/>
            <wp:effectExtent l="0" t="0" r="0" b="0"/>
            <wp:wrapSquare wrapText="bothSides"/>
            <wp:docPr id="7" name="Picture 1" descr="Diagram&#10;&#10;Description automatically generated">
              <a:extLst xmlns:a="http://schemas.openxmlformats.org/drawingml/2006/main">
                <a:ext uri="{FF2B5EF4-FFF2-40B4-BE49-F238E27FC236}">
                  <a16:creationId xmlns:a16="http://schemas.microsoft.com/office/drawing/2014/main" id="{80CF807F-918F-44F5-9048-4CCC9F709C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Diagram&#10;&#10;Description automatically generated">
                      <a:extLst>
                        <a:ext uri="{FF2B5EF4-FFF2-40B4-BE49-F238E27FC236}">
                          <a16:creationId xmlns:a16="http://schemas.microsoft.com/office/drawing/2014/main" id="{80CF807F-918F-44F5-9048-4CCC9F709C6A}"/>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803525" cy="2977515"/>
                    </a:xfrm>
                    <a:prstGeom prst="rect">
                      <a:avLst/>
                    </a:prstGeom>
                  </pic:spPr>
                </pic:pic>
              </a:graphicData>
            </a:graphic>
            <wp14:sizeRelH relativeFrom="margin">
              <wp14:pctWidth>0</wp14:pctWidth>
            </wp14:sizeRelH>
            <wp14:sizeRelV relativeFrom="margin">
              <wp14:pctHeight>0</wp14:pctHeight>
            </wp14:sizeRelV>
          </wp:anchor>
        </w:drawing>
      </w:r>
      <w:r w:rsidR="00105A4D" w:rsidRPr="00435469">
        <w:rPr>
          <w:rFonts w:cs="Times New Roman"/>
          <w:sz w:val="20"/>
          <w:szCs w:val="20"/>
        </w:rPr>
        <w:br w:type="textWrapping" w:clear="all"/>
      </w:r>
      <w:r w:rsidR="00300490" w:rsidRPr="00435469">
        <w:rPr>
          <w:rFonts w:eastAsiaTheme="minorEastAsia" w:cs="Times New Roman"/>
          <w:sz w:val="20"/>
          <w:szCs w:val="20"/>
        </w:rPr>
        <w:t>N</w:t>
      </w:r>
      <w:r w:rsidR="009D7EDB" w:rsidRPr="00435469">
        <w:rPr>
          <w:rFonts w:eastAsiaTheme="minorEastAsia" w:cs="Times New Roman"/>
          <w:sz w:val="20"/>
          <w:szCs w:val="20"/>
        </w:rPr>
        <w:t>ote</w:t>
      </w:r>
      <w:r w:rsidR="00300490" w:rsidRPr="00435469">
        <w:rPr>
          <w:rFonts w:eastAsiaTheme="minorEastAsia" w:cs="Times New Roman"/>
          <w:sz w:val="20"/>
          <w:szCs w:val="20"/>
        </w:rPr>
        <w:t>: second test</w:t>
      </w:r>
      <w:r w:rsidR="0025098D" w:rsidRPr="00435469">
        <w:rPr>
          <w:rFonts w:eastAsiaTheme="minorEastAsia" w:cs="Times New Roman"/>
          <w:sz w:val="20"/>
          <w:szCs w:val="20"/>
        </w:rPr>
        <w:t>s by culture mostly appl</w:t>
      </w:r>
      <w:r w:rsidR="009D7EDB" w:rsidRPr="00435469">
        <w:rPr>
          <w:rFonts w:eastAsiaTheme="minorEastAsia" w:cs="Times New Roman"/>
          <w:sz w:val="20"/>
          <w:szCs w:val="20"/>
        </w:rPr>
        <w:t>y</w:t>
      </w:r>
      <w:r w:rsidR="0025098D" w:rsidRPr="00435469">
        <w:rPr>
          <w:rFonts w:eastAsiaTheme="minorEastAsia" w:cs="Times New Roman"/>
          <w:sz w:val="20"/>
          <w:szCs w:val="20"/>
        </w:rPr>
        <w:t xml:space="preserve"> </w:t>
      </w:r>
      <w:r w:rsidR="00636052" w:rsidRPr="00435469">
        <w:rPr>
          <w:rFonts w:eastAsiaTheme="minorEastAsia" w:cs="Times New Roman"/>
          <w:sz w:val="20"/>
          <w:szCs w:val="20"/>
        </w:rPr>
        <w:t xml:space="preserve">to </w:t>
      </w:r>
      <w:r w:rsidR="001A50E2" w:rsidRPr="00435469">
        <w:rPr>
          <w:rFonts w:eastAsiaTheme="minorEastAsia" w:cs="Times New Roman"/>
          <w:sz w:val="20"/>
          <w:szCs w:val="20"/>
        </w:rPr>
        <w:t>HIV-positive individuals who are suspected to have TB disease and those with a history of TB treatment</w:t>
      </w:r>
      <w:r w:rsidR="009D7EDB" w:rsidRPr="00435469">
        <w:rPr>
          <w:rFonts w:eastAsiaTheme="minorEastAsia" w:cs="Times New Roman"/>
          <w:sz w:val="20"/>
          <w:szCs w:val="20"/>
        </w:rPr>
        <w:t>, but</w:t>
      </w:r>
      <w:r w:rsidR="00D2750E" w:rsidRPr="00435469">
        <w:rPr>
          <w:rFonts w:eastAsiaTheme="minorEastAsia" w:cs="Times New Roman"/>
          <w:sz w:val="20"/>
          <w:szCs w:val="20"/>
        </w:rPr>
        <w:t xml:space="preserve"> who</w:t>
      </w:r>
      <w:r w:rsidR="009D7EDB" w:rsidRPr="00435469">
        <w:rPr>
          <w:rFonts w:eastAsiaTheme="minorEastAsia" w:cs="Times New Roman"/>
          <w:sz w:val="20"/>
          <w:szCs w:val="20"/>
        </w:rPr>
        <w:t xml:space="preserve"> test negative at the initial test.</w:t>
      </w:r>
    </w:p>
    <w:p w14:paraId="4691A3C6" w14:textId="19DDCFDF" w:rsidR="00D13C13" w:rsidRPr="00435469" w:rsidRDefault="000C16B8" w:rsidP="001322FC">
      <w:pPr>
        <w:spacing w:line="240" w:lineRule="auto"/>
        <w:rPr>
          <w:rFonts w:cs="Times New Roman"/>
          <w:sz w:val="20"/>
          <w:szCs w:val="20"/>
        </w:rPr>
      </w:pPr>
      <w:r w:rsidRPr="00435469">
        <w:rPr>
          <w:rFonts w:eastAsiaTheme="minorEastAsia" w:cs="Times New Roman"/>
          <w:sz w:val="20"/>
          <w:szCs w:val="20"/>
        </w:rPr>
        <w:t>As per the national TB guidelines (2008, 2009 and 2014), following a negative test result, it is recommended that some patients (i.e., HIV-positive individuals who are suspected to have TB disease</w:t>
      </w:r>
      <w:r w:rsidR="005405B5" w:rsidRPr="00435469">
        <w:rPr>
          <w:rFonts w:eastAsiaTheme="minorEastAsia" w:cs="Times New Roman"/>
          <w:sz w:val="20"/>
          <w:szCs w:val="20"/>
        </w:rPr>
        <w:t xml:space="preserve"> and</w:t>
      </w:r>
      <w:r w:rsidRPr="00435469">
        <w:rPr>
          <w:rFonts w:eastAsiaTheme="minorEastAsia" w:cs="Times New Roman"/>
          <w:sz w:val="20"/>
          <w:szCs w:val="20"/>
        </w:rPr>
        <w:t xml:space="preserve"> those with a history of TB treatment) be followed up for second tests by culture </w:t>
      </w:r>
      <w:r w:rsidRPr="00435469">
        <w:rPr>
          <w:rFonts w:eastAsiaTheme="minorEastAsia" w:cs="Times New Roman"/>
          <w:sz w:val="20"/>
          <w:szCs w:val="20"/>
        </w:rPr>
        <w:fldChar w:fldCharType="begin" w:fldLock="1"/>
      </w:r>
      <w:r w:rsidR="002F049E" w:rsidRPr="00435469">
        <w:rPr>
          <w:rFonts w:eastAsiaTheme="minorEastAsia" w:cs="Times New Roman"/>
          <w:sz w:val="20"/>
          <w:szCs w:val="20"/>
        </w:rPr>
        <w:instrText>ADDIN CSL_CITATION {"citationItems":[{"id":"ITEM-1","itemData":{"ISBN":"9781920031824","id":"ITEM-1","issued":{"date-parts":[["2008"]]},"publisher-place":"Department of Health, Republic of South Africa 2014","title":"Department of Health. National Tuberculosis Management Guidelines 2008","type":"report"},"uris":["http://www.mendeley.com/documents/?uuid=ec2dc008-3842-4321-a1e2-459b2543c885"]},{"id":"ITEM-2","itemData":{"ISBN":"9781920031824","id":"ITEM-2","issued":{"date-parts":[["2014"]]},"title":"National Tuberculosis Management Guidelines 2014","type":"report"},"uris":["http://www.mendeley.com/documents/?uuid=b372627a-f61a-4fb0-8c39-102550d37921"]},{"id":"ITEM-3","itemData":{"ISSN":"0899-823X","PMID":"7890925","id":"ITEM-3","issued":{"date-parts":[["2009"]]},"publisher-place":"Department of Health. Pretoroia, South Africa","title":"National Tuberculosis Management Guidelines","type":"report"},"uris":["http://www.mendeley.com/documents/?uuid=1e685922-9430-4276-b434-64205b23f2c9"]}],"mendeley":{"formattedCitation":"(42,55,58)","plainTextFormattedCitation":"(42,55,58)","previouslyFormattedCitation":"(42,55,58)"},"properties":{"noteIndex":0},"schema":"https://github.com/citation-style-language/schema/raw/master/csl-citation.json"}</w:instrText>
      </w:r>
      <w:r w:rsidRPr="00435469">
        <w:rPr>
          <w:rFonts w:eastAsiaTheme="minorEastAsia" w:cs="Times New Roman"/>
          <w:sz w:val="20"/>
          <w:szCs w:val="20"/>
        </w:rPr>
        <w:fldChar w:fldCharType="separate"/>
      </w:r>
      <w:r w:rsidR="0063047A" w:rsidRPr="00435469">
        <w:rPr>
          <w:rFonts w:eastAsiaTheme="minorEastAsia" w:cs="Times New Roman"/>
          <w:noProof/>
          <w:sz w:val="20"/>
          <w:szCs w:val="20"/>
        </w:rPr>
        <w:t>(42,55,58)</w:t>
      </w:r>
      <w:r w:rsidRPr="00435469">
        <w:rPr>
          <w:rFonts w:eastAsiaTheme="minorEastAsia" w:cs="Times New Roman"/>
          <w:sz w:val="20"/>
          <w:szCs w:val="20"/>
        </w:rPr>
        <w:fldChar w:fldCharType="end"/>
      </w:r>
      <w:r w:rsidRPr="00435469">
        <w:rPr>
          <w:rFonts w:eastAsiaTheme="minorEastAsia" w:cs="Times New Roman"/>
          <w:sz w:val="20"/>
          <w:szCs w:val="20"/>
        </w:rPr>
        <w:t xml:space="preserve">. </w:t>
      </w:r>
      <w:r w:rsidRPr="00435469">
        <w:rPr>
          <w:rFonts w:cs="Times New Roman"/>
          <w:sz w:val="20"/>
          <w:szCs w:val="20"/>
        </w:rPr>
        <w:t>In the model, we let</w:t>
      </w:r>
      <w:r w:rsidRPr="00435469">
        <w:rPr>
          <w:rFonts w:eastAsiaTheme="minorEastAsia" w:cs="Times New Roman"/>
          <w:sz w:val="20"/>
          <w:szCs w:val="20"/>
        </w:rPr>
        <w:t xml:space="preserve"> the proportion of active TB cases of any smear status </w:t>
      </w:r>
      <m:oMath>
        <m:r>
          <w:rPr>
            <w:rFonts w:ascii="Cambria Math" w:eastAsiaTheme="minorEastAsia" w:hAnsi="Cambria Math" w:cs="Times New Roman"/>
            <w:sz w:val="20"/>
            <w:szCs w:val="20"/>
          </w:rPr>
          <m:t>a</m:t>
        </m:r>
      </m:oMath>
      <w:r w:rsidRPr="00435469">
        <w:rPr>
          <w:rFonts w:eastAsiaTheme="minorEastAsia" w:cs="Times New Roman"/>
          <w:sz w:val="20"/>
          <w:szCs w:val="20"/>
        </w:rPr>
        <w:t xml:space="preserve">, who have further culture tests performed after an initial negative </w:t>
      </w:r>
      <w:r w:rsidR="009B4A3E" w:rsidRPr="00435469">
        <w:rPr>
          <w:rFonts w:eastAsiaTheme="minorEastAsia" w:cs="Times New Roman"/>
          <w:sz w:val="20"/>
          <w:szCs w:val="20"/>
        </w:rPr>
        <w:t>Gene</w:t>
      </w:r>
      <w:r w:rsidR="00854156" w:rsidRPr="00435469">
        <w:rPr>
          <w:rFonts w:eastAsiaTheme="minorEastAsia" w:cs="Times New Roman"/>
          <w:sz w:val="20"/>
          <w:szCs w:val="20"/>
        </w:rPr>
        <w:t>Xpert MTB/RIF</w:t>
      </w:r>
      <w:r w:rsidRPr="00435469">
        <w:rPr>
          <w:rFonts w:eastAsiaTheme="minorEastAsia" w:cs="Times New Roman"/>
          <w:sz w:val="20"/>
          <w:szCs w:val="20"/>
        </w:rPr>
        <w:t xml:space="preserve"> test, be represented by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G</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a,s,t</m:t>
            </m:r>
          </m:e>
        </m:d>
      </m:oMath>
      <w:r w:rsidRPr="00435469">
        <w:rPr>
          <w:rFonts w:eastAsiaTheme="minorEastAsia" w:cs="Times New Roman"/>
          <w:sz w:val="20"/>
          <w:szCs w:val="20"/>
        </w:rPr>
        <w:t xml:space="preser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M</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s,t</m:t>
            </m:r>
          </m:e>
        </m:d>
      </m:oMath>
      <w:r w:rsidRPr="00435469">
        <w:rPr>
          <w:rFonts w:eastAsiaTheme="minorEastAsia" w:cs="Times New Roman"/>
          <w:sz w:val="20"/>
          <w:szCs w:val="20"/>
        </w:rPr>
        <w:t xml:space="preserve"> represents the proportion </w:t>
      </w:r>
      <w:r w:rsidRPr="00435469">
        <w:rPr>
          <w:rFonts w:cs="Times New Roman"/>
          <w:sz w:val="20"/>
          <w:szCs w:val="20"/>
        </w:rPr>
        <w:t>of smear-negative active TB cases with further culture testing after an initial negative smear microscopy test. These proportions of individuals followed up for second tests are based on studies which have evaluated follow-up tests by culture</w:t>
      </w:r>
      <w:r w:rsidR="005354D6" w:rsidRPr="00435469">
        <w:rPr>
          <w:rFonts w:cs="Times New Roman"/>
          <w:sz w:val="20"/>
          <w:szCs w:val="20"/>
        </w:rPr>
        <w:t xml:space="preserve"> </w:t>
      </w:r>
      <w:r w:rsidR="0018464B" w:rsidRPr="00435469">
        <w:rPr>
          <w:rFonts w:cs="Times New Roman"/>
          <w:sz w:val="20"/>
          <w:szCs w:val="20"/>
        </w:rPr>
        <w:t>(</w:t>
      </w:r>
      <w:r w:rsidR="0018464B" w:rsidRPr="00435469">
        <w:rPr>
          <w:rFonts w:cs="Times New Roman"/>
          <w:sz w:val="20"/>
          <w:szCs w:val="20"/>
        </w:rPr>
        <w:fldChar w:fldCharType="begin"/>
      </w:r>
      <w:r w:rsidR="0018464B" w:rsidRPr="00435469">
        <w:rPr>
          <w:rFonts w:cs="Times New Roman"/>
          <w:sz w:val="20"/>
          <w:szCs w:val="20"/>
        </w:rPr>
        <w:instrText xml:space="preserve"> REF _Ref101935246 \h </w:instrText>
      </w:r>
      <w:r w:rsidR="00955FFB" w:rsidRPr="00435469">
        <w:rPr>
          <w:rFonts w:cs="Times New Roman"/>
          <w:sz w:val="20"/>
          <w:szCs w:val="20"/>
        </w:rPr>
        <w:instrText xml:space="preserve"> \* MERGEFORMAT </w:instrText>
      </w:r>
      <w:r w:rsidR="0018464B" w:rsidRPr="00435469">
        <w:rPr>
          <w:rFonts w:cs="Times New Roman"/>
          <w:sz w:val="20"/>
          <w:szCs w:val="20"/>
        </w:rPr>
      </w:r>
      <w:r w:rsidR="0018464B"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9</w:t>
      </w:r>
      <w:r w:rsidR="0018464B" w:rsidRPr="00435469">
        <w:rPr>
          <w:rFonts w:cs="Times New Roman"/>
          <w:sz w:val="20"/>
          <w:szCs w:val="20"/>
        </w:rPr>
        <w:fldChar w:fldCharType="end"/>
      </w:r>
      <w:r w:rsidR="0018464B" w:rsidRPr="00435469">
        <w:rPr>
          <w:rFonts w:cs="Times New Roman"/>
          <w:sz w:val="20"/>
          <w:szCs w:val="20"/>
        </w:rPr>
        <w:t xml:space="preserve">)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{"citationItems":[{"id":"ITEM-1","itemData":{"DOI":"10.1016/S2214-109X(17)30205-X","ISSN":"2214109X","PMID":"28619229","abstract":"Background In 2010 a new diagnostic test for tuberculosis, Xpert MTB/RIF, received a conditional programmatic recommendation from WHO. Several model-based economic evaluations predicted that Xpert would be cost-effective across sub-Saharan Africa. We investigated the cost-effectiveness of Xpert in the real world during national roll-out in South Africa. Methods For this real-world cost analysis and economic evaluation, we applied extensive primary cost and patient event data from the XTEND study, a pragmatic trial examining Xpert introduction for people investigated for tuberculosis in 40 primary health facilities (20 clusters) in South Africa enrolled between June 8, and Nov 16, 2012, to estimate the costs and cost per disability-adjusted life-year averted of introducing Xpert as the initial diagnostic test for tuberculosis, compared with sputum smear microscopy (the standard of care). Findings The mean total cost per study participant for tuberculosis investigation and treatment was US$312·58 (95% CI 252·46–372·70) in the Xpert group and $298·58 (246·35–350·82) in the microscopy group. The mean health service (provider) cost per study participant was $168·79 (149·16–188·42) for the Xpert group and $160·46 (143·24–177·68) for the microscopy group of the study. Considering uncertainty in both cost and effect using a wide range of willingness to pay thresholds, we found less than 3% probability that Xpert introduction improved the cost-effectiveness of tuberculosis diagnostics. Interpretation After analysing extensive primary data collection during roll-out, we found that Xpert introduction in South Africa was cost-neutral, but found no evidence that Xpert improved the cost-effectiveness of tuberculosis diagnosis. Our study highlights the importance of considering implementation constraints, when predicting and evaluating the cost-effectiveness of new tuberculosis diagnostics in South Africa. Funding Bill &amp; Melinda Gates Foundation.","author":[{"dropping-particle":"","family":"Vassall","given":"Anna","non-dropping-particle":"","parse-names":false,"suffix":""},{"dropping-particle":"","family":"Siapka","given":"Mariana","non-dropping-particle":"","parse-names":false,"suffix":""},{"dropping-particle":"","family":"Foster","given":"Nicola","non-dropping-particle":"","parse-names":false,"suffix":""},{"dropping-particle":"","family":"Cunnama","given":"Lucy","non-dropping-particle":"","parse-names":false,"suffix":""},{"dropping-particle":"","family":"Ramma","given":"Lebogang","non-dropping-particle":"","parse-names":false,"suffix":""},{"dropping-particle":"","family":"Fielding","given":"Katherine","non-dropping-particle":"","parse-names":false,"suffix":""},{"dropping-particle":"","family":"McCarthy","given":"Kerrigan","non-dropping-particle":"","parse-names":false,"suffix":""},{"dropping-particle":"","family":"Churchyard","given":"Gavin","non-dropping-particle":"","parse-names":false,"suffix":""},{"dropping-particle":"","family":"Grant","given":"Alison","non-dropping-particle":"","parse-names":false,"suffix":""},{"dropping-particle":"","family":"Sinanovic","given":"Edina","non-dropping-particle":"","parse-names":false,"suffix":""}],"container-title":"The Lancet Global Health","id":"ITEM-1","issue":"7","issued":{"date-parts":[["2017"]]},"page":"e710-e719","publisher":"The Author(s). Published by Elsevier Ltd. This is an Open Access article under the CC BY 4.0 license","title":"Cost-effectiveness of Xpert MTB/RIF for tuberculosis diagnosis in South Africa: a real-world cost analysis and economic evaluation","type":"article-journal","volume":"5"},"uris":["http://www.mendeley.com/documents/?uuid=cebf0504-e47d-4f96-ab20-2edb5e6f5807"]},{"id":"ITEM-2","itemData":{"DOI":"10.1097/QAI.0000000000000907","ISSN":"10779450","abstract":"Introduction and Background: Diagnostic tests for tuberculosis (TB) using sputum have suboptimal sensitivity among HIV-positive persons. We assessed health care worker adherence to TB diagnostic algorithms after negative sputum test results. Methods: The XTEND (Xpert for TB-Evaluating a New Diagnostic) trial compared outcomes among people tested for TB in primary care clinics using Xpert MTB/RIF vs. smear microscopy as the initial test. We analyzed data from XTEND participants who were HIV positive or HIV status unknown, whose initial sputum Xpert MTB/RIF or microscopy result was negative. If chest radiography, sputum culture, or hospital referral took place, the algorithm for TB diagnosis was considered followed. Analysis of intervention (Xpert MTB/RIF) effect on algorithm adherence used methods for clusterrandomized trials with small number of clusters. Results: Among 4037 XTEND participants with initial negative test results, 2155 (53%) reported being or testing HIV positive and 540 (14%) had unknown HIV status. Among 2155 HIV-positive participants [684 (32%) male, mean age 37 years (range, 18-79 years)], there was evidence of algorithm adherence among 515 (24%). Adherence was less likely among persons tested initially with Xpert MTB/RIF vs. smear [14% (142/1031) vs. 32% (364/1122), adjusted risk ratio 0.34 (95% CI: 0.17 to 0.65)] and for participants with unknown vs. positive HIV status [59/540 (11%) vs. 507/2155 (24%)]. Conclusions: We observed poorer adherence to TB diagnostic algorithms among HIV-positive persons tested initially with Xpert MTB/RIF vs. microscopy. Poor adherence to TB diagnostic algorithms and incomplete coverage of HIV testing represents a missed opportunity to diagnose TB and HIV, and may contribute to TB mortality.","author":[{"dropping-particle":"","family":"McCarthy","given":"K. M.","non-dropping-particle":"","parse-names":false,"suffix":""},{"dropping-particle":"","family":"Grant","given":"A. D.","non-dropping-particle":"","parse-names":false,"suffix":""},{"dropping-particle":"","family":"Chihota","given":"V.","non-dropping-particle":"","parse-names":false,"suffix":""},{"dropping-particle":"","family":"Ginindza","given":"S.","non-dropping-particle":"","parse-names":false,"suffix":""},{"dropping-particle":"","family":"Mvusi","given":"L.","non-dropping-particle":"","parse-names":false,"suffix":""},{"dropping-particle":"","family":"Churchyard","given":"G. J.","non-dropping-particle":"","parse-names":false,"suffix":""},{"dropping-particle":"","family":"Fielding","given":"K. L.","non-dropping-particle":"","parse-names":false,"suffix":""}],"container-title":"Journal of Acquired Immune Deficiency Syndromes","id":"ITEM-2","issue":"5","issued":{"date-parts":[["2016"]]},"page":"e119-e126","title":"What happens after a negative test for tuberculosis? Evaluating adherence to TB diagnostic algorithms in South African primary health clinics","type":"article-journal","volume":"71"},"uris":["http://www.mendeley.com/documents/?uuid=913c249c-354c-4bf9-82ef-cbfefb14e58a"]},{"id":"ITEM-3","itemData":{"DOI":"10.1371/journal.pone.0150487","ISSN":"19326203","PMID":"26930400","abstract":"Study Aim To compare tuberculosis (TB) diagnostic yield in an existing smear/culture-based and a newly introduced Xpert1 MTB/RIF-based algorithm. Methods TB diagnostic yield (the proportion of presumptive TB cases with a laboratory diagnosis of TB) was assessed using a non-randomised stepped-wedge design as sites transitioned to the Xpert® based algorithm. We identified the full sequence of sputum tests recorded in the electronic laboratory database for presumptive TB cases from 60 primary health sites during seven one-month time-points, six months apart. Differences in TB yield and temporal trends were estimated using a binomial regression model. Results TB yield was 20.9%(95% CI 19.9%to 22.0%) in the smear/culture-based algorithm compared to 17.9%(95%CI 16.4%to 19.5%) in the Xpert® based algorithm. There was a decline in TB yield over time with a mean risk difference of-0.9% (95% CI-1.2% to-0.6%) (p&lt;0.001) per time-point. When estimates were adjusted for the temporal trend, TB yield was 19.1% (95% CI 17.6% to 20.5%) in the smear/culture-based algorithm compared to 19.3% (95% CI 17.7% to 20.9%) in the Xpert® based algorithm with a risk difference of 0.3% (95% CI-1.8% to 2.3%) (p = 0.796). Culture tests were undertaken for 35.5% of smear-negative compared to 17.9% of Xpert® negative low MDR-TB risk cases and for 82.6% of smear-negative compared to 40.5% of Xpert® negative high MDR-TB risk cases in respective algorithms. Conclusion Introduction of an Xpert® based algorithm did not produce the expected increase in TB diagnostic yield. Studies are required to assess whether improving adherence to the Xpert® negative algorithm for HIV-infected individuals will increase yield. In light of the high cost of Xpert®, a review of its role as a screening test for all presumptive TB cases may be warranted.","author":[{"dropping-particle":"","family":"Naidoo","given":"Pren","non-dropping-particle":"","parse-names":false,"suffix":""},{"dropping-particle":"","family":"Dunbar","given":"Rory","non-dropping-particle":"","parse-names":false,"suffix":""},{"dropping-particle":"","family":"Lombard","given":"Carl","non-dropping-particle":"","parse-names":false,"suffix":""},{"dropping-particle":"","family":"Toit","given":"Elizabeth","non-dropping-particle":"Du","parse-names":false,"suffix":""},{"dropping-particle":"","family":"Caldwell","given":"Judy","non-dropping-particle":"","parse-names":false,"suffix":""},{"dropping-particle":"","family":"Detjen","given":"Anne","non-dropping-particle":"","parse-names":false,"suffix":""},{"dropping-particle":"","family":"Bertel Squire","given":"S.","non-dropping-particle":"","parse-names":false,"suffix":""},{"dropping-particle":"","family":"Enarson","given":"Donald A.","non-dropping-particle":"","parse-names":false,"suffix":""},{"dropping-particle":"","family":"Beyers","given":"Nulda","non-dropping-particle":"","parse-names":false,"suffix":""}],"container-title":"PLoS ONE","id":"ITEM-3","issue":"3","issued":{"date-parts":[["2016"]]},"page":"1-13","title":"Comparing tuberculosis diagnostic yield in smear/culture and xpert1 MTB/RIF-based algorithms using a non-randomised stepped-wedge design","type":"article-journal","volume":"11"},"uris":["http://www.mendeley.com/documents/?uuid=53f7111e-ea46-4d4e-8093-187f8dbd2047"]}],"mendeley":{"formattedCitation":"(59–61)","plainTextFormattedCitation":"(59–61)","previouslyFormattedCitation":"(59–61)"},"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(59–61)</w:t>
      </w:r>
      <w:r w:rsidRPr="00435469">
        <w:rPr>
          <w:rFonts w:cs="Times New Roman"/>
          <w:sz w:val="20"/>
          <w:szCs w:val="20"/>
        </w:rPr>
        <w:fldChar w:fldCharType="end"/>
      </w:r>
      <w:r w:rsidR="00B635FE" w:rsidRPr="00435469">
        <w:rPr>
          <w:rFonts w:cs="Times New Roman"/>
          <w:sz w:val="20"/>
          <w:szCs w:val="20"/>
        </w:rPr>
        <w:t>.</w:t>
      </w:r>
    </w:p>
    <w:p w14:paraId="0388343D" w14:textId="658326AC" w:rsidR="00561A2E" w:rsidRPr="00F43BF7" w:rsidRDefault="00245476" w:rsidP="00AD6E54">
      <w:pPr>
        <w:pStyle w:val="3TableHead"/>
        <w:rPr>
          <w:rFonts w:cs="Times New Roman"/>
          <w:sz w:val="20"/>
          <w:szCs w:val="18"/>
        </w:rPr>
      </w:pPr>
      <w:bookmarkStart w:id="160" w:name="_Ref90630097"/>
      <w:bookmarkStart w:id="161" w:name="_Ref101935246"/>
      <w:bookmarkStart w:id="162" w:name="_Toc103253662"/>
      <w:r w:rsidRPr="00F43BF7">
        <w:rPr>
          <w:sz w:val="20"/>
          <w:szCs w:val="18"/>
        </w:rPr>
        <w:t xml:space="preserve">Table </w:t>
      </w:r>
      <w:r w:rsidR="00AB530B" w:rsidRPr="00F43BF7">
        <w:rPr>
          <w:sz w:val="20"/>
          <w:szCs w:val="18"/>
        </w:rPr>
        <w:fldChar w:fldCharType="begin"/>
      </w:r>
      <w:r w:rsidR="00AB530B" w:rsidRPr="00F43BF7">
        <w:rPr>
          <w:sz w:val="20"/>
          <w:szCs w:val="18"/>
        </w:rPr>
        <w:instrText xml:space="preserve"> SEQ Table \* ARABIC </w:instrText>
      </w:r>
      <w:r w:rsidR="00AB530B" w:rsidRPr="00F43BF7">
        <w:rPr>
          <w:sz w:val="20"/>
          <w:szCs w:val="18"/>
        </w:rPr>
        <w:fldChar w:fldCharType="separate"/>
      </w:r>
      <w:r w:rsidR="00186C2F" w:rsidRPr="00F43BF7">
        <w:rPr>
          <w:noProof/>
          <w:sz w:val="20"/>
          <w:szCs w:val="18"/>
        </w:rPr>
        <w:t>9</w:t>
      </w:r>
      <w:r w:rsidR="00AB530B" w:rsidRPr="00F43BF7">
        <w:rPr>
          <w:noProof/>
          <w:sz w:val="20"/>
          <w:szCs w:val="18"/>
        </w:rPr>
        <w:fldChar w:fldCharType="end"/>
      </w:r>
      <w:bookmarkEnd w:id="160"/>
      <w:bookmarkEnd w:id="161"/>
      <w:r w:rsidRPr="00F43BF7">
        <w:rPr>
          <w:sz w:val="20"/>
          <w:szCs w:val="18"/>
        </w:rPr>
        <w:t xml:space="preserve">: </w:t>
      </w:r>
      <w:r w:rsidR="00464C17" w:rsidRPr="00F43BF7">
        <w:rPr>
          <w:sz w:val="20"/>
          <w:szCs w:val="18"/>
        </w:rPr>
        <w:t xml:space="preserve">Assumptions on </w:t>
      </w:r>
      <w:r w:rsidR="003B66CF" w:rsidRPr="00F43BF7">
        <w:rPr>
          <w:sz w:val="20"/>
          <w:szCs w:val="18"/>
        </w:rPr>
        <w:t>follow-up tests by culture</w:t>
      </w:r>
      <w:bookmarkEnd w:id="162"/>
      <w:r w:rsidR="00AA2BE8" w:rsidRPr="00F43BF7">
        <w:rPr>
          <w:sz w:val="20"/>
          <w:szCs w:val="18"/>
        </w:rPr>
        <w:t xml:space="preserve"> </w:t>
      </w:r>
    </w:p>
    <w:tbl>
      <w:tblPr>
        <w:tblW w:w="9498" w:type="dxa"/>
        <w:tblLook w:val="04A0" w:firstRow="1" w:lastRow="0" w:firstColumn="1" w:lastColumn="0" w:noHBand="0" w:noVBand="1"/>
      </w:tblPr>
      <w:tblGrid>
        <w:gridCol w:w="1460"/>
        <w:gridCol w:w="1375"/>
        <w:gridCol w:w="4605"/>
        <w:gridCol w:w="2058"/>
      </w:tblGrid>
      <w:tr w:rsidR="00304411" w:rsidRPr="00435469" w14:paraId="1315C782" w14:textId="77777777" w:rsidTr="009A0C35">
        <w:trPr>
          <w:trHeight w:val="300"/>
        </w:trPr>
        <w:tc>
          <w:tcPr>
            <w:tcW w:w="1460" w:type="dxa"/>
            <w:tcBorders>
              <w:top w:val="single" w:sz="4" w:space="0" w:color="auto"/>
              <w:left w:val="nil"/>
              <w:bottom w:val="single" w:sz="4" w:space="0" w:color="auto"/>
              <w:right w:val="nil"/>
            </w:tcBorders>
            <w:shd w:val="clear" w:color="auto" w:fill="auto"/>
          </w:tcPr>
          <w:p w14:paraId="229424C2" w14:textId="7A1FFA91" w:rsidR="00DD037C" w:rsidRPr="00435469" w:rsidRDefault="001C62A3"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Initial t</w:t>
            </w:r>
            <w:r w:rsidR="00E53860" w:rsidRPr="00435469">
              <w:rPr>
                <w:rFonts w:eastAsia="Times New Roman" w:cs="Times New Roman"/>
                <w:b/>
                <w:bCs/>
                <w:sz w:val="16"/>
                <w:szCs w:val="16"/>
                <w:lang w:val="en-ZA" w:eastAsia="en-ZA"/>
              </w:rPr>
              <w:t xml:space="preserve">est </w:t>
            </w:r>
          </w:p>
        </w:tc>
        <w:tc>
          <w:tcPr>
            <w:tcW w:w="1375" w:type="dxa"/>
            <w:tcBorders>
              <w:top w:val="single" w:sz="4" w:space="0" w:color="auto"/>
              <w:left w:val="nil"/>
              <w:bottom w:val="single" w:sz="4" w:space="0" w:color="auto"/>
              <w:right w:val="nil"/>
            </w:tcBorders>
            <w:shd w:val="clear" w:color="auto" w:fill="auto"/>
          </w:tcPr>
          <w:p w14:paraId="2852DDB3" w14:textId="64033C27" w:rsidR="00DD037C" w:rsidRPr="00435469" w:rsidRDefault="00E53860"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HIV status </w:t>
            </w:r>
          </w:p>
        </w:tc>
        <w:tc>
          <w:tcPr>
            <w:tcW w:w="4605" w:type="dxa"/>
            <w:tcBorders>
              <w:top w:val="single" w:sz="4" w:space="0" w:color="auto"/>
              <w:left w:val="nil"/>
              <w:bottom w:val="single" w:sz="4" w:space="0" w:color="auto"/>
              <w:right w:val="nil"/>
            </w:tcBorders>
            <w:shd w:val="clear" w:color="auto" w:fill="auto"/>
          </w:tcPr>
          <w:p w14:paraId="0E0FF0D9" w14:textId="7C456965" w:rsidR="00DD037C" w:rsidRPr="00435469" w:rsidRDefault="009220F6"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Data sources description </w:t>
            </w:r>
          </w:p>
        </w:tc>
        <w:tc>
          <w:tcPr>
            <w:tcW w:w="2058" w:type="dxa"/>
            <w:tcBorders>
              <w:top w:val="single" w:sz="4" w:space="0" w:color="auto"/>
              <w:left w:val="nil"/>
              <w:bottom w:val="single" w:sz="4" w:space="0" w:color="auto"/>
              <w:right w:val="nil"/>
            </w:tcBorders>
            <w:shd w:val="clear" w:color="auto" w:fill="auto"/>
          </w:tcPr>
          <w:p w14:paraId="14977FFD" w14:textId="14302A7D" w:rsidR="00DD037C" w:rsidRPr="00435469" w:rsidRDefault="00B65436"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Parameter value </w:t>
            </w:r>
          </w:p>
        </w:tc>
      </w:tr>
      <w:tr w:rsidR="00304411" w:rsidRPr="00435469" w14:paraId="314E0AD2" w14:textId="77777777" w:rsidTr="009A0C35">
        <w:trPr>
          <w:trHeight w:val="300"/>
        </w:trPr>
        <w:tc>
          <w:tcPr>
            <w:tcW w:w="1460" w:type="dxa"/>
            <w:tcBorders>
              <w:top w:val="single" w:sz="4" w:space="0" w:color="auto"/>
              <w:left w:val="nil"/>
              <w:bottom w:val="single" w:sz="4" w:space="0" w:color="auto"/>
              <w:right w:val="nil"/>
            </w:tcBorders>
            <w:shd w:val="clear" w:color="auto" w:fill="auto"/>
          </w:tcPr>
          <w:p w14:paraId="433A5025" w14:textId="66E625F8" w:rsidR="009C10F3" w:rsidRPr="00435469" w:rsidRDefault="009C10F3" w:rsidP="00955FFB">
            <w:pPr>
              <w:spacing w:after="0" w:line="240" w:lineRule="auto"/>
              <w:rPr>
                <w:rFonts w:eastAsia="Times New Roman" w:cs="Times New Roman"/>
                <w:b/>
                <w:bCs/>
                <w:sz w:val="16"/>
                <w:szCs w:val="16"/>
                <w:lang w:val="en-ZA" w:eastAsia="en-ZA"/>
              </w:rPr>
            </w:pPr>
            <w:r w:rsidRPr="00435469">
              <w:rPr>
                <w:rFonts w:eastAsia="Times New Roman" w:cs="Times New Roman"/>
                <w:sz w:val="16"/>
                <w:szCs w:val="16"/>
                <w:lang w:val="en-ZA" w:eastAsia="en-ZA"/>
              </w:rPr>
              <w:t xml:space="preserve">Smear negative </w:t>
            </w:r>
          </w:p>
        </w:tc>
        <w:tc>
          <w:tcPr>
            <w:tcW w:w="1375" w:type="dxa"/>
            <w:tcBorders>
              <w:top w:val="single" w:sz="4" w:space="0" w:color="auto"/>
              <w:left w:val="nil"/>
              <w:bottom w:val="single" w:sz="4" w:space="0" w:color="auto"/>
              <w:right w:val="nil"/>
            </w:tcBorders>
            <w:shd w:val="clear" w:color="auto" w:fill="auto"/>
          </w:tcPr>
          <w:p w14:paraId="2F216552" w14:textId="264B784E" w:rsidR="009C10F3" w:rsidRPr="00435469" w:rsidRDefault="009C10F3" w:rsidP="00955FFB">
            <w:pPr>
              <w:spacing w:after="0" w:line="240" w:lineRule="auto"/>
              <w:rPr>
                <w:rFonts w:eastAsia="Times New Roman" w:cs="Times New Roman"/>
                <w:b/>
                <w:bCs/>
                <w:sz w:val="16"/>
                <w:szCs w:val="16"/>
                <w:lang w:val="en-ZA" w:eastAsia="en-ZA"/>
              </w:rPr>
            </w:pPr>
            <w:r w:rsidRPr="00435469">
              <w:rPr>
                <w:rFonts w:eastAsia="Times New Roman" w:cs="Times New Roman"/>
                <w:sz w:val="16"/>
                <w:szCs w:val="16"/>
                <w:lang w:val="en-ZA" w:eastAsia="en-ZA"/>
              </w:rPr>
              <w:t xml:space="preserve">HIV-negative </w:t>
            </w:r>
          </w:p>
        </w:tc>
        <w:tc>
          <w:tcPr>
            <w:tcW w:w="4605" w:type="dxa"/>
            <w:tcBorders>
              <w:top w:val="single" w:sz="4" w:space="0" w:color="auto"/>
              <w:left w:val="nil"/>
              <w:bottom w:val="single" w:sz="4" w:space="0" w:color="auto"/>
              <w:right w:val="nil"/>
            </w:tcBorders>
            <w:shd w:val="clear" w:color="auto" w:fill="auto"/>
          </w:tcPr>
          <w:p w14:paraId="2F38D860" w14:textId="7EB9E69C" w:rsidR="009C10F3" w:rsidRPr="00435469" w:rsidRDefault="009C10F3" w:rsidP="00955FFB">
            <w:pPr>
              <w:spacing w:after="0" w:line="240" w:lineRule="auto"/>
              <w:rPr>
                <w:rFonts w:eastAsia="Times New Roman" w:cs="Times New Roman"/>
                <w:b/>
                <w:bCs/>
                <w:sz w:val="16"/>
                <w:szCs w:val="16"/>
                <w:lang w:val="en-ZA" w:eastAsia="en-ZA"/>
              </w:rPr>
            </w:pPr>
            <w:r w:rsidRPr="00435469">
              <w:rPr>
                <w:rFonts w:eastAsia="Times New Roman" w:cs="Times New Roman"/>
                <w:sz w:val="16"/>
                <w:szCs w:val="16"/>
                <w:lang w:val="en-ZA" w:eastAsia="en-ZA"/>
              </w:rPr>
              <w:t xml:space="preserve">Based on the ~30% fraction of retreatment cases from various studies conducted in the Western Cape, and a roughly 80% rate of culture testing in retreatment cases who are smear-negative and HIV-negative </w:t>
            </w:r>
            <w:r w:rsidRPr="00435469">
              <w:rPr>
                <w:rFonts w:eastAsia="Times New Roman" w:cs="Times New Roman"/>
                <w:sz w:val="16"/>
                <w:szCs w:val="16"/>
                <w:lang w:val="en-ZA" w:eastAsia="en-ZA"/>
              </w:rPr>
              <w:fldChar w:fldCharType="begin" w:fldLock="1"/>
            </w:r>
            <w:r w:rsidR="00A142FF" w:rsidRPr="00435469">
              <w:rPr>
                <w:rFonts w:eastAsia="Times New Roman" w:cs="Times New Roman"/>
                <w:sz w:val="16"/>
                <w:szCs w:val="16"/>
                <w:lang w:val="en-ZA" w:eastAsia="en-ZA"/>
              </w:rPr>
              <w:instrText>ADDIN CSL_CITATION {"citationItems":[{"id":"ITEM-1","itemData":{"DOI":"10.1371/journal.pone.0150487","ISSN":"19326203","PMID":"26930400","abstract":"Study Aim To compare tuberculosis (TB) diagnostic yield in an existing smear/culture-based and a newly introduced Xpert1 MTB/RIF-based algorithm. Methods TB diagnostic yield (the proportion of presumptive TB cases with a laboratory diagnosis of TB) was assessed using a non-randomised stepped-wedge design as sites transitioned to the Xpert® based algorithm. We identified the full sequence of sputum tests recorded in the electronic laboratory database for presumptive TB cases from 60 primary health sites during seven one-month time-points, six months apart. Differences in TB yield and temporal trends were estimated using a binomial regression model. Results TB yield was 20.9%(95% CI 19.9%to 22.0%) in the smear/culture-based algorithm compared to 17.9%(95%CI 16.4%to 19.5%) in the Xpert® based algorithm. There was a decline in TB yield over time with a mean risk difference of-0.9% (95% CI-1.2% to-0.6%) (p&lt;0.001) per time-point. When estimates were adjusted for the temporal trend, TB yield was 19.1% (95% CI 17.6% to 20.5%) in the smear/culture-based algorithm compared to 19.3% (95% CI 17.7% to 20.9%) in the Xpert® based algorithm with a risk difference of 0.3% (95% CI-1.8% to 2.3%) (p = 0.796). Culture tests were undertaken for 35.5% of smear-negative compared to 17.9% of Xpert® negative low MDR-TB risk cases and for 82.6% of smear-negative compared to 40.5% of Xpert® negative high MDR-TB risk cases in respective algorithms. Conclusion Introduction of an Xpert® based algorithm did not produce the expected increase in TB diagnostic yield. Studies are required to assess whether improving adherence to the Xpert® negative algorithm for HIV-infected individuals will increase yield. In light of the high cost of Xpert®, a review of its role as a screening test for all presumptive TB cases may be warranted.","author":[{"dropping-particle":"","family":"Naidoo","given":"Pren","non-dropping-particle":"","parse-names":false,"suffix":""},{"dropping-particle":"","family":"Dunbar","given":"Rory","non-dropping-particle":"","parse-names":false,"suffix":""},{"dropping-particle":"","family":"Lombard","given":"Carl","non-dropping-particle":"","parse-names":false,"suffix":""},{"dropping-particle":"","family":"Toit","given":"Elizabeth","non-dropping-particle":"Du","parse-names":false,"suffix":""},{"dropping-particle":"","family":"Caldwell","given":"Judy","non-dropping-particle":"","parse-names":false,"suffix":""},{"dropping-particle":"","family":"Detjen","given":"Anne","non-dropping-particle":"","parse-names":false,"suffix":""},{"dropping-particle":"","family":"Bertel Squire","given":"S.","non-dropping-particle":"","parse-names":false,"suffix":""},{"dropping-particle":"","family":"Enarson","given":"Donald A.","non-dropping-particle":"","parse-names":false,"suffix":""},{"dropping-particle":"","family":"Beyers","given":"Nulda","non-dropping-particle":"","parse-names":false,"suffix":""}],"container-title":"PLoS ONE","id":"ITEM-1","issue":"3","issued":{"date-parts":[["2016"]]},"page":"1-13","title":"Comparing tuberculosis diagnostic yield in smear/culture and xpert1 MTB/RIF-based algorithms using a non-randomised stepped-wedge design","type":"article-journal","volume":"11"},"uris":["http://www.mendeley.com/documents/?uuid=53f7111e-ea46-4d4e-8093-187f8dbd2047"]},{"id":"ITEM-2","itemData":{"DOI":"10.1097/QAI.0000000000000907","ISSN":"10779450","abstract":"Introduction and Background: Diagnostic tests for tuberculosis (TB) using sputum have suboptimal sensitivity among HIV-positive persons. We assessed health care worker adherence to TB diagnostic algorithms after negative sputum test results. Methods: The XTEND (Xpert for TB-Evaluating a New Diagnostic) trial compared outcomes among people tested for TB in primary care clinics using Xpert MTB/RIF vs. smear microscopy as the initial test. We analyzed data from XTEND participants who were HIV positive or HIV status unknown, whose initial sputum Xpert MTB/RIF or microscopy result was negative. If chest radiography, sputum culture, or hospital referral took place, the algorithm for TB diagnosis was considered followed. Analysis of intervention (Xpert MTB/RIF) effect on algorithm adherence used methods for clusterrandomized trials with small number of clusters. Results: Among 4037 XTEND participants with initial negative test results, 2155 (53%) reported being or testing HIV positive and 540 (14%) had unknown HIV status. Among 2155 HIV-positive participants [684 (32%) male, mean age 37 years (range, 18-79 years)], there was evidence of algorithm adherence among 515 (24%). Adherence was less likely among persons tested initially with Xpert MTB/RIF vs. smear [14% (142/1031) vs. 32% (364/1122), adjusted risk ratio 0.34 (95% CI: 0.17 to 0.65)] and for participants with unknown vs. positive HIV status [59/540 (11%) vs. 507/2155 (24%)]. Conclusions: We observed poorer adherence to TB diagnostic algorithms among HIV-positive persons tested initially with Xpert MTB/RIF vs. microscopy. Poor adherence to TB diagnostic algorithms and incomplete coverage of HIV testing represents a missed opportunity to diagnose TB and HIV, and may contribute to TB mortality.","author":[{"dropping-particle":"","family":"McCarthy","given":"K. M.","non-dropping-particle":"","parse-names":false,"suffix":""},{"dropping-particle":"","family":"Grant","given":"A. D.","non-dropping-particle":"","parse-names":false,"suffix":""},{"dropping-particle":"","family":"Chihota","given":"V.","non-dropping-particle":"","parse-names":false,"suffix":""},{"dropping-particle":"","family":"Ginindza","given":"S.","non-dropping-particle":"","parse-names":false,"suffix":""},{"dropping-particle":"","family":"Mvusi","given":"L.","non-dropping-particle":"","parse-names":false,"suffix":""},{"dropping-particle":"","family":"Churchyard","given":"G. J.","non-dropping-particle":"","parse-names":false,"suffix":""},{"dropping-particle":"","family":"Fielding","given":"K. L.","non-dropping-particle":"","parse-names":false,"suffix":""}],"container-title":"Journal of Acquired Immune Deficiency Syndromes","id":"ITEM-2","issue":"5","issued":{"date-parts":[["2016"]]},"page":"e119-e126","title":"What happens after a negative test for tuberculosis? Evaluating adherence to TB diagnostic algorithms in South African primary health clinics","type":"article-journal","volume":"71"},"uris":["http://www.mendeley.com/documents/?uuid=913c249c-354c-4bf9-82ef-cbfefb14e58a"]}],"mendeley":{"formattedCitation":"(60,61)","plainTextFormattedCitation":"(60,61)","previouslyFormattedCitation":"(60,61)"},"properties":{"noteIndex":0},"schema":"https://github.com/citation-style-language/schema/raw/master/csl-citation.json"}</w:instrText>
            </w:r>
            <w:r w:rsidRPr="00435469">
              <w:rPr>
                <w:rFonts w:eastAsia="Times New Roman" w:cs="Times New Roman"/>
                <w:sz w:val="16"/>
                <w:szCs w:val="16"/>
                <w:lang w:val="en-ZA" w:eastAsia="en-ZA"/>
              </w:rPr>
              <w:fldChar w:fldCharType="separate"/>
            </w:r>
            <w:r w:rsidR="0016391D" w:rsidRPr="00435469">
              <w:rPr>
                <w:rFonts w:eastAsia="Times New Roman" w:cs="Times New Roman"/>
                <w:noProof/>
                <w:sz w:val="16"/>
                <w:szCs w:val="16"/>
                <w:lang w:val="en-ZA" w:eastAsia="en-ZA"/>
              </w:rPr>
              <w:t>(60,61)</w:t>
            </w:r>
            <w:r w:rsidRPr="00435469">
              <w:rPr>
                <w:rFonts w:eastAsia="Times New Roman" w:cs="Times New Roman"/>
                <w:sz w:val="16"/>
                <w:szCs w:val="16"/>
                <w:lang w:val="en-ZA" w:eastAsia="en-ZA"/>
              </w:rPr>
              <w:fldChar w:fldCharType="end"/>
            </w:r>
            <w:r w:rsidRPr="00435469">
              <w:rPr>
                <w:rFonts w:eastAsia="Times New Roman" w:cs="Times New Roman"/>
                <w:sz w:val="16"/>
                <w:szCs w:val="16"/>
                <w:lang w:val="en-ZA" w:eastAsia="en-ZA"/>
              </w:rPr>
              <w:t>.</w:t>
            </w:r>
          </w:p>
        </w:tc>
        <w:tc>
          <w:tcPr>
            <w:tcW w:w="2058" w:type="dxa"/>
            <w:tcBorders>
              <w:top w:val="single" w:sz="4" w:space="0" w:color="auto"/>
              <w:left w:val="nil"/>
              <w:bottom w:val="single" w:sz="4" w:space="0" w:color="auto"/>
              <w:right w:val="nil"/>
            </w:tcBorders>
            <w:shd w:val="clear" w:color="auto" w:fill="auto"/>
          </w:tcPr>
          <w:p w14:paraId="32D1AFB2" w14:textId="495DC389" w:rsidR="009C10F3" w:rsidRPr="00435469" w:rsidRDefault="00000000" w:rsidP="00955FFB">
            <w:pPr>
              <w:spacing w:after="0" w:line="240" w:lineRule="auto"/>
              <w:rPr>
                <w:rFonts w:eastAsia="Times New Roman" w:cs="Times New Roman"/>
                <w:b/>
                <w:bCs/>
                <w:sz w:val="16"/>
                <w:szCs w:val="16"/>
                <w:lang w:val="en-ZA" w:eastAsia="en-ZA"/>
              </w:rPr>
            </w:pPr>
            <m:oMath>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C</m:t>
                  </m:r>
                </m:e>
                <m:sub>
                  <m:r>
                    <w:rPr>
                      <w:rFonts w:ascii="Cambria Math" w:eastAsiaTheme="minorEastAsia" w:hAnsi="Cambria Math" w:cs="Times New Roman"/>
                      <w:sz w:val="16"/>
                      <w:szCs w:val="16"/>
                    </w:rPr>
                    <m:t>M</m:t>
                  </m:r>
                </m:sub>
              </m:sSub>
              <m:d>
                <m:dPr>
                  <m:ctrlPr>
                    <w:rPr>
                      <w:rFonts w:ascii="Cambria Math" w:eastAsiaTheme="minorEastAsia" w:hAnsi="Cambria Math" w:cs="Times New Roman"/>
                      <w:i/>
                      <w:sz w:val="16"/>
                      <w:szCs w:val="16"/>
                    </w:rPr>
                  </m:ctrlPr>
                </m:dPr>
                <m:e>
                  <m:r>
                    <w:rPr>
                      <w:rFonts w:ascii="Cambria Math" w:eastAsiaTheme="minorEastAsia" w:hAnsi="Cambria Math" w:cs="Times New Roman"/>
                      <w:sz w:val="16"/>
                      <w:szCs w:val="16"/>
                    </w:rPr>
                    <m:t>s=0,t</m:t>
                  </m:r>
                </m:e>
              </m:d>
            </m:oMath>
            <w:r w:rsidR="009C10F3" w:rsidRPr="00435469">
              <w:rPr>
                <w:rFonts w:cs="Times New Roman"/>
                <w:sz w:val="16"/>
                <w:szCs w:val="16"/>
              </w:rPr>
              <w:t xml:space="preserve"> = </w:t>
            </w:r>
            <w:r w:rsidR="009C10F3" w:rsidRPr="00435469">
              <w:rPr>
                <w:rFonts w:eastAsia="Times New Roman" w:cs="Times New Roman"/>
                <w:sz w:val="16"/>
                <w:szCs w:val="16"/>
                <w:lang w:val="en-ZA" w:eastAsia="en-ZA"/>
              </w:rPr>
              <w:t>0.24</w:t>
            </w:r>
            <w:r w:rsidR="00822898" w:rsidRPr="00435469">
              <w:rPr>
                <w:rFonts w:eastAsia="Times New Roman" w:cs="Times New Roman"/>
                <w:sz w:val="16"/>
                <w:szCs w:val="16"/>
                <w:lang w:val="en-ZA" w:eastAsia="en-ZA"/>
              </w:rPr>
              <w:t xml:space="preserve"> </w:t>
            </w:r>
          </w:p>
        </w:tc>
      </w:tr>
      <w:tr w:rsidR="00304411" w:rsidRPr="00435469" w14:paraId="452A8F2A" w14:textId="77777777" w:rsidTr="009A0C35">
        <w:trPr>
          <w:trHeight w:val="300"/>
        </w:trPr>
        <w:tc>
          <w:tcPr>
            <w:tcW w:w="1460" w:type="dxa"/>
            <w:tcBorders>
              <w:top w:val="single" w:sz="4" w:space="0" w:color="auto"/>
              <w:left w:val="nil"/>
              <w:bottom w:val="single" w:sz="4" w:space="0" w:color="auto"/>
              <w:right w:val="nil"/>
            </w:tcBorders>
            <w:shd w:val="clear" w:color="auto" w:fill="auto"/>
          </w:tcPr>
          <w:p w14:paraId="6326454E" w14:textId="77777777" w:rsidR="009C10F3" w:rsidRPr="00435469" w:rsidRDefault="009C10F3" w:rsidP="00955FFB">
            <w:pPr>
              <w:spacing w:after="0" w:line="240" w:lineRule="auto"/>
              <w:rPr>
                <w:rFonts w:eastAsia="Times New Roman" w:cs="Times New Roman"/>
                <w:b/>
                <w:bCs/>
                <w:sz w:val="16"/>
                <w:szCs w:val="16"/>
                <w:lang w:val="en-ZA" w:eastAsia="en-ZA"/>
              </w:rPr>
            </w:pPr>
          </w:p>
        </w:tc>
        <w:tc>
          <w:tcPr>
            <w:tcW w:w="1375" w:type="dxa"/>
            <w:tcBorders>
              <w:top w:val="single" w:sz="4" w:space="0" w:color="auto"/>
              <w:left w:val="nil"/>
              <w:bottom w:val="single" w:sz="4" w:space="0" w:color="auto"/>
              <w:right w:val="nil"/>
            </w:tcBorders>
            <w:shd w:val="clear" w:color="auto" w:fill="auto"/>
          </w:tcPr>
          <w:p w14:paraId="4E3DA85D" w14:textId="32685565" w:rsidR="009C10F3" w:rsidRPr="00435469" w:rsidRDefault="009C10F3" w:rsidP="00955FFB">
            <w:pPr>
              <w:spacing w:after="0" w:line="240" w:lineRule="auto"/>
              <w:rPr>
                <w:rFonts w:eastAsia="Times New Roman" w:cs="Times New Roman"/>
                <w:b/>
                <w:bCs/>
                <w:sz w:val="16"/>
                <w:szCs w:val="16"/>
                <w:lang w:val="en-ZA" w:eastAsia="en-ZA"/>
              </w:rPr>
            </w:pPr>
            <w:r w:rsidRPr="00435469">
              <w:rPr>
                <w:rFonts w:eastAsia="Times New Roman" w:cs="Times New Roman"/>
                <w:sz w:val="16"/>
                <w:szCs w:val="16"/>
                <w:lang w:val="en-ZA" w:eastAsia="en-ZA"/>
              </w:rPr>
              <w:t xml:space="preserve">HIV-positive </w:t>
            </w:r>
          </w:p>
        </w:tc>
        <w:tc>
          <w:tcPr>
            <w:tcW w:w="4605" w:type="dxa"/>
            <w:tcBorders>
              <w:top w:val="single" w:sz="4" w:space="0" w:color="auto"/>
              <w:left w:val="nil"/>
              <w:bottom w:val="single" w:sz="4" w:space="0" w:color="auto"/>
              <w:right w:val="nil"/>
            </w:tcBorders>
            <w:shd w:val="clear" w:color="auto" w:fill="auto"/>
          </w:tcPr>
          <w:p w14:paraId="2E70C842" w14:textId="4C6218AC" w:rsidR="009C10F3" w:rsidRPr="00435469" w:rsidRDefault="009C10F3" w:rsidP="00955FFB">
            <w:pPr>
              <w:spacing w:after="0" w:line="240" w:lineRule="auto"/>
              <w:rPr>
                <w:rFonts w:eastAsia="Times New Roman" w:cs="Times New Roman"/>
                <w:b/>
                <w:bCs/>
                <w:sz w:val="16"/>
                <w:szCs w:val="16"/>
                <w:lang w:val="en-ZA" w:eastAsia="en-ZA"/>
              </w:rPr>
            </w:pPr>
            <w:r w:rsidRPr="00435469">
              <w:rPr>
                <w:rFonts w:eastAsia="Times New Roman" w:cs="Times New Roman"/>
                <w:sz w:val="16"/>
                <w:szCs w:val="16"/>
                <w:lang w:val="en-ZA" w:eastAsia="en-ZA"/>
              </w:rPr>
              <w:t>Based on the average of the low rate (28%) in the McCarthy</w:t>
            </w:r>
            <w:r w:rsidR="00A95C43" w:rsidRPr="00435469">
              <w:rPr>
                <w:rFonts w:eastAsia="Times New Roman" w:cs="Times New Roman"/>
                <w:sz w:val="16"/>
                <w:szCs w:val="16"/>
                <w:lang w:val="en-ZA" w:eastAsia="en-ZA"/>
              </w:rPr>
              <w:t xml:space="preserve"> </w:t>
            </w:r>
            <w:r w:rsidR="00A95C43" w:rsidRPr="00435469">
              <w:rPr>
                <w:rFonts w:eastAsia="Times New Roman" w:cs="Times New Roman"/>
                <w:i/>
                <w:iCs/>
                <w:sz w:val="16"/>
                <w:szCs w:val="16"/>
                <w:lang w:val="en-ZA" w:eastAsia="en-ZA"/>
              </w:rPr>
              <w:t>et al</w:t>
            </w:r>
            <w:r w:rsidRPr="00435469">
              <w:rPr>
                <w:rFonts w:eastAsia="Times New Roman" w:cs="Times New Roman"/>
                <w:sz w:val="16"/>
                <w:szCs w:val="16"/>
                <w:lang w:val="en-ZA" w:eastAsia="en-ZA"/>
              </w:rPr>
              <w:t xml:space="preserve"> study</w:t>
            </w:r>
            <w:r w:rsidR="00065A57" w:rsidRPr="00435469">
              <w:rPr>
                <w:rFonts w:eastAsia="Times New Roman" w:cs="Times New Roman"/>
                <w:sz w:val="16"/>
                <w:szCs w:val="16"/>
                <w:lang w:val="en-ZA" w:eastAsia="en-ZA"/>
              </w:rPr>
              <w:t xml:space="preserve"> </w:t>
            </w:r>
            <w:r w:rsidR="00065A57" w:rsidRPr="00435469">
              <w:rPr>
                <w:rFonts w:eastAsia="Times New Roman" w:cs="Times New Roman"/>
                <w:sz w:val="16"/>
                <w:szCs w:val="16"/>
                <w:lang w:val="en-ZA" w:eastAsia="en-ZA"/>
              </w:rPr>
              <w:fldChar w:fldCharType="begin" w:fldLock="1"/>
            </w:r>
            <w:r w:rsidR="00A142FF" w:rsidRPr="00435469">
              <w:rPr>
                <w:rFonts w:eastAsia="Times New Roman" w:cs="Times New Roman"/>
                <w:sz w:val="16"/>
                <w:szCs w:val="16"/>
                <w:lang w:val="en-ZA" w:eastAsia="en-ZA"/>
              </w:rPr>
              <w:instrText>ADDIN CSL_CITATION {"citationItems":[{"id":"ITEM-1","itemData":{"DOI":"10.1097/QAI.0000000000000907","ISSN":"10779450","abstract":"Introduction and Background: Diagnostic tests for tuberculosis (TB) using sputum have suboptimal sensitivity among HIV-positive persons. We assessed health care worker adherence to TB diagnostic algorithms after negative sputum test results. Methods: The XTEND (Xpert for TB-Evaluating a New Diagnostic) trial compared outcomes among people tested for TB in primary care clinics using Xpert MTB/RIF vs. smear microscopy as the initial test. We analyzed data from XTEND participants who were HIV positive or HIV status unknown, whose initial sputum Xpert MTB/RIF or microscopy result was negative. If chest radiography, sputum culture, or hospital referral took place, the algorithm for TB diagnosis was considered followed. Analysis of intervention (Xpert MTB/RIF) effect on algorithm adherence used methods for clusterrandomized trials with small number of clusters. Results: Among 4037 XTEND participants with initial negative test results, 2155 (53%) reported being or testing HIV positive and 540 (14%) had unknown HIV status. Among 2155 HIV-positive participants [684 (32%) male, mean age 37 years (range, 18-79 years)], there was evidence of algorithm adherence among 515 (24%). Adherence was less likely among persons tested initially with Xpert MTB/RIF vs. smear [14% (142/1031) vs. 32% (364/1122), adjusted risk ratio 0.34 (95% CI: 0.17 to 0.65)] and for participants with unknown vs. positive HIV status [59/540 (11%) vs. 507/2155 (24%)]. Conclusions: We observed poorer adherence to TB diagnostic algorithms among HIV-positive persons tested initially with Xpert MTB/RIF vs. microscopy. Poor adherence to TB diagnostic algorithms and incomplete coverage of HIV testing represents a missed opportunity to diagnose TB and HIV, and may contribute to TB mortality.","author":[{"dropping-particle":"","family":"McCarthy","given":"K. M.","non-dropping-particle":"","parse-names":false,"suffix":""},{"dropping-particle":"","family":"Grant","given":"A. D.","non-dropping-particle":"","parse-names":false,"suffix":""},{"dropping-particle":"","family":"Chihota","given":"V.","non-dropping-particle":"","parse-names":false,"suffix":""},{"dropping-particle":"","family":"Ginindza","given":"S.","non-dropping-particle":"","parse-names":false,"suffix":""},{"dropping-particle":"","family":"Mvusi","given":"L.","non-dropping-particle":"","parse-names":false,"suffix":""},{"dropping-particle":"","family":"Churchyard","given":"G. J.","non-dropping-particle":"","parse-names":false,"suffix":""},{"dropping-particle":"","family":"Fielding","given":"K. L.","non-dropping-particle":"","parse-names":false,"suffix":""}],"container-title":"Journal of Acquired Immune Deficiency Syndromes","id":"ITEM-1","issue":"5","issued":{"date-parts":[["2016"]]},"page":"e119-e126","title":"What happens after a negative test for tuberculosis? Evaluating adherence to TB diagnostic algorithms in South African primary health clinics","type":"article-journal","volume":"71"},"uris":["http://www.mendeley.com/documents/?uuid=913c249c-354c-4bf9-82ef-cbfefb14e58a"]}],"mendeley":{"formattedCitation":"(60)","plainTextFormattedCitation":"(60)","previouslyFormattedCitation":"(60)"},"properties":{"noteIndex":0},"schema":"https://github.com/citation-style-language/schema/raw/master/csl-citation.json"}</w:instrText>
            </w:r>
            <w:r w:rsidR="00065A57" w:rsidRPr="00435469">
              <w:rPr>
                <w:rFonts w:eastAsia="Times New Roman" w:cs="Times New Roman"/>
                <w:sz w:val="16"/>
                <w:szCs w:val="16"/>
                <w:lang w:val="en-ZA" w:eastAsia="en-ZA"/>
              </w:rPr>
              <w:fldChar w:fldCharType="separate"/>
            </w:r>
            <w:r w:rsidR="0016391D" w:rsidRPr="00435469">
              <w:rPr>
                <w:rFonts w:eastAsia="Times New Roman" w:cs="Times New Roman"/>
                <w:noProof/>
                <w:sz w:val="16"/>
                <w:szCs w:val="16"/>
                <w:lang w:val="en-ZA" w:eastAsia="en-ZA"/>
              </w:rPr>
              <w:t>(60)</w:t>
            </w:r>
            <w:r w:rsidR="00065A57" w:rsidRPr="00435469">
              <w:rPr>
                <w:rFonts w:eastAsia="Times New Roman" w:cs="Times New Roman"/>
                <w:sz w:val="16"/>
                <w:szCs w:val="16"/>
                <w:lang w:val="en-ZA" w:eastAsia="en-ZA"/>
              </w:rPr>
              <w:fldChar w:fldCharType="end"/>
            </w:r>
            <w:r w:rsidRPr="00435469">
              <w:rPr>
                <w:rFonts w:eastAsia="Times New Roman" w:cs="Times New Roman"/>
                <w:sz w:val="16"/>
                <w:szCs w:val="16"/>
                <w:lang w:val="en-ZA" w:eastAsia="en-ZA"/>
              </w:rPr>
              <w:t xml:space="preserve"> and the high rate (80%) in the Naidoo</w:t>
            </w:r>
            <w:r w:rsidR="006D17E8" w:rsidRPr="00435469">
              <w:rPr>
                <w:rFonts w:eastAsia="Times New Roman" w:cs="Times New Roman"/>
                <w:sz w:val="16"/>
                <w:szCs w:val="16"/>
                <w:lang w:val="en-ZA" w:eastAsia="en-ZA"/>
              </w:rPr>
              <w:t xml:space="preserve"> </w:t>
            </w:r>
            <w:r w:rsidR="006D17E8" w:rsidRPr="00435469">
              <w:rPr>
                <w:rFonts w:eastAsia="Times New Roman" w:cs="Times New Roman"/>
                <w:i/>
                <w:iCs/>
                <w:sz w:val="16"/>
                <w:szCs w:val="16"/>
                <w:lang w:val="en-ZA" w:eastAsia="en-ZA"/>
              </w:rPr>
              <w:t>et al</w:t>
            </w:r>
            <w:r w:rsidRPr="00435469">
              <w:rPr>
                <w:rFonts w:eastAsia="Times New Roman" w:cs="Times New Roman"/>
                <w:sz w:val="16"/>
                <w:szCs w:val="16"/>
                <w:lang w:val="en-ZA" w:eastAsia="en-ZA"/>
              </w:rPr>
              <w:t xml:space="preserve"> study </w:t>
            </w:r>
            <w:r w:rsidR="00065A57" w:rsidRPr="00435469">
              <w:rPr>
                <w:rFonts w:eastAsia="Times New Roman" w:cs="Times New Roman"/>
                <w:sz w:val="16"/>
                <w:szCs w:val="16"/>
                <w:lang w:val="en-ZA" w:eastAsia="en-ZA"/>
              </w:rPr>
              <w:fldChar w:fldCharType="begin" w:fldLock="1"/>
            </w:r>
            <w:r w:rsidR="00A142FF" w:rsidRPr="00435469">
              <w:rPr>
                <w:rFonts w:eastAsia="Times New Roman" w:cs="Times New Roman"/>
                <w:sz w:val="16"/>
                <w:szCs w:val="16"/>
                <w:lang w:val="en-ZA" w:eastAsia="en-ZA"/>
              </w:rPr>
              <w:instrText>ADDIN CSL_CITATION {"citationItems":[{"id":"ITEM-1","itemData":{"DOI":"10.1371/journal.pone.0150487","ISSN":"19326203","PMID":"26930400","abstract":"Study Aim To compare tuberculosis (TB) diagnostic yield in an existing smear/culture-based and a newly introduced Xpert1 MTB/RIF-based algorithm. Methods TB diagnostic yield (the proportion of presumptive TB cases with a laboratory diagnosis of TB) was assessed using a non-randomised stepped-wedge design as sites transitioned to the Xpert® based algorithm. We identified the full sequence of sputum tests recorded in the electronic laboratory database for presumptive TB cases from 60 primary health sites during seven one-month time-points, six months apart. Differences in TB yield and temporal trends were estimated using a binomial regression model. Results TB yield was 20.9%(95% CI 19.9%to 22.0%) in the smear/culture-based algorithm compared to 17.9%(95%CI 16.4%to 19.5%) in the Xpert® based algorithm. There was a decline in TB yield over time with a mean risk difference of-0.9% (95% CI-1.2% to-0.6%) (p&lt;0.001) per time-point. When estimates were adjusted for the temporal trend, TB yield was 19.1% (95% CI 17.6% to 20.5%) in the smear/culture-based algorithm compared to 19.3% (95% CI 17.7% to 20.9%) in the Xpert® based algorithm with a risk difference of 0.3% (95% CI-1.8% to 2.3%) (p = 0.796). Culture tests were undertaken for 35.5% of smear-negative compared to 17.9% of Xpert® negative low MDR-TB risk cases and for 82.6% of smear-negative compared to 40.5% of Xpert® negative high MDR-TB risk cases in respective algorithms. Conclusion Introduction of an Xpert® based algorithm did not produce the expected increase in TB diagnostic yield. Studies are required to assess whether improving adherence to the Xpert® negative algorithm for HIV-infected individuals will increase yield. In light of the high cost of Xpert®, a review of its role as a screening test for all presumptive TB cases may be warranted.","author":[{"dropping-particle":"","family":"Naidoo","given":"Pren","non-dropping-particle":"","parse-names":false,"suffix":""},{"dropping-particle":"","family":"Dunbar","given":"Rory","non-dropping-particle":"","parse-names":false,"suffix":""},{"dropping-particle":"","family":"Lombard","given":"Carl","non-dropping-particle":"","parse-names":false,"suffix":""},{"dropping-particle":"","family":"Toit","given":"Elizabeth","non-dropping-particle":"Du","parse-names":false,"suffix":""},{"dropping-particle":"","family":"Caldwell","given":"Judy","non-dropping-particle":"","parse-names":false,"suffix":""},{"dropping-particle":"","family":"Detjen","given":"Anne","non-dropping-particle":"","parse-names":false,"suffix":""},{"dropping-particle":"","family":"Bertel Squire","given":"S.","non-dropping-particle":"","parse-names":false,"suffix":""},{"dropping-particle":"","family":"Enarson","given":"Donald A.","non-dropping-particle":"","parse-names":false,"suffix":""},{"dropping-particle":"","family":"Beyers","given":"Nulda","non-dropping-particle":"","parse-names":false,"suffix":""}],"container-title":"PLoS ONE","id":"ITEM-1","issue":"3","issued":{"date-parts":[["2016"]]},"page":"1-13","title":"Comparing tuberculosis diagnostic yield in smear/culture and xpert1 MTB/RIF-based algorithms using a non-randomised stepped-wedge design","type":"article-journal","volume":"11"},"uris":["http://www.mendeley.com/documents/?uuid=53f7111e-ea46-4d4e-8093-187f8dbd2047"]}],"mendeley":{"formattedCitation":"(61)","plainTextFormattedCitation":"(61)","previouslyFormattedCitation":"(61)"},"properties":{"noteIndex":0},"schema":"https://github.com/citation-style-language/schema/raw/master/csl-citation.json"}</w:instrText>
            </w:r>
            <w:r w:rsidR="00065A57" w:rsidRPr="00435469">
              <w:rPr>
                <w:rFonts w:eastAsia="Times New Roman" w:cs="Times New Roman"/>
                <w:sz w:val="16"/>
                <w:szCs w:val="16"/>
                <w:lang w:val="en-ZA" w:eastAsia="en-ZA"/>
              </w:rPr>
              <w:fldChar w:fldCharType="separate"/>
            </w:r>
            <w:r w:rsidR="0016391D" w:rsidRPr="00435469">
              <w:rPr>
                <w:rFonts w:eastAsia="Times New Roman" w:cs="Times New Roman"/>
                <w:noProof/>
                <w:sz w:val="16"/>
                <w:szCs w:val="16"/>
                <w:lang w:val="en-ZA" w:eastAsia="en-ZA"/>
              </w:rPr>
              <w:t>(61)</w:t>
            </w:r>
            <w:r w:rsidR="00065A57" w:rsidRPr="00435469">
              <w:rPr>
                <w:rFonts w:eastAsia="Times New Roman" w:cs="Times New Roman"/>
                <w:sz w:val="16"/>
                <w:szCs w:val="16"/>
                <w:lang w:val="en-ZA" w:eastAsia="en-ZA"/>
              </w:rPr>
              <w:fldChar w:fldCharType="end"/>
            </w:r>
            <w:r w:rsidRPr="00435469">
              <w:rPr>
                <w:rFonts w:eastAsia="Times New Roman" w:cs="Times New Roman"/>
                <w:sz w:val="16"/>
                <w:szCs w:val="16"/>
                <w:lang w:val="en-ZA" w:eastAsia="en-ZA"/>
              </w:rPr>
              <w:t>.</w:t>
            </w:r>
          </w:p>
        </w:tc>
        <w:tc>
          <w:tcPr>
            <w:tcW w:w="2058" w:type="dxa"/>
            <w:tcBorders>
              <w:top w:val="single" w:sz="4" w:space="0" w:color="auto"/>
              <w:left w:val="nil"/>
              <w:bottom w:val="single" w:sz="4" w:space="0" w:color="auto"/>
              <w:right w:val="nil"/>
            </w:tcBorders>
            <w:shd w:val="clear" w:color="auto" w:fill="auto"/>
          </w:tcPr>
          <w:p w14:paraId="1E827D0F" w14:textId="77777777" w:rsidR="009C10F3" w:rsidRPr="00435469" w:rsidRDefault="00000000" w:rsidP="00955FFB">
            <w:pPr>
              <w:spacing w:after="0" w:line="240" w:lineRule="auto"/>
              <w:rPr>
                <w:rFonts w:eastAsia="Times New Roman" w:cs="Times New Roman"/>
                <w:sz w:val="16"/>
                <w:szCs w:val="16"/>
              </w:rPr>
            </w:pPr>
            <m:oMath>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C</m:t>
                  </m:r>
                </m:e>
                <m:sub>
                  <m:r>
                    <w:rPr>
                      <w:rFonts w:ascii="Cambria Math" w:eastAsiaTheme="minorEastAsia" w:hAnsi="Cambria Math" w:cs="Times New Roman"/>
                      <w:sz w:val="16"/>
                      <w:szCs w:val="16"/>
                    </w:rPr>
                    <m:t>M</m:t>
                  </m:r>
                </m:sub>
              </m:sSub>
              <m:d>
                <m:dPr>
                  <m:ctrlPr>
                    <w:rPr>
                      <w:rFonts w:ascii="Cambria Math" w:eastAsiaTheme="minorEastAsia" w:hAnsi="Cambria Math" w:cs="Times New Roman"/>
                      <w:i/>
                      <w:sz w:val="16"/>
                      <w:szCs w:val="16"/>
                    </w:rPr>
                  </m:ctrlPr>
                </m:dPr>
                <m:e>
                  <m:r>
                    <w:rPr>
                      <w:rFonts w:ascii="Cambria Math" w:eastAsiaTheme="minorEastAsia" w:hAnsi="Cambria Math" w:cs="Times New Roman"/>
                      <w:sz w:val="16"/>
                      <w:szCs w:val="16"/>
                    </w:rPr>
                    <m:t>s&gt;0,t</m:t>
                  </m:r>
                </m:e>
              </m:d>
              <m:r>
                <w:rPr>
                  <w:rFonts w:ascii="Cambria Math" w:eastAsiaTheme="minorEastAsia" w:hAnsi="Cambria Math" w:cs="Times New Roman"/>
                  <w:sz w:val="16"/>
                  <w:szCs w:val="16"/>
                </w:rPr>
                <m:t xml:space="preserve">: </m:t>
              </m:r>
            </m:oMath>
            <w:r w:rsidR="009C10F3" w:rsidRPr="00435469">
              <w:rPr>
                <w:rFonts w:eastAsia="Times New Roman" w:cs="Times New Roman"/>
                <w:sz w:val="16"/>
                <w:szCs w:val="16"/>
              </w:rPr>
              <w:t xml:space="preserve"> </w:t>
            </w:r>
          </w:p>
          <w:p w14:paraId="0F046A8A" w14:textId="77777777" w:rsidR="009C10F3" w:rsidRPr="00435469" w:rsidRDefault="009C10F3" w:rsidP="00955FFB">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Before 2006:  = 0.24.</w:t>
            </w:r>
          </w:p>
          <w:p w14:paraId="3777EB8D" w14:textId="77777777" w:rsidR="009C10F3" w:rsidRPr="00435469" w:rsidRDefault="009C10F3" w:rsidP="00955FFB">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 xml:space="preserve">In 2006:          = 0.4. </w:t>
            </w:r>
          </w:p>
          <w:p w14:paraId="37BF68F7" w14:textId="0E945BA3" w:rsidR="009C10F3" w:rsidRPr="00435469" w:rsidRDefault="009C10F3" w:rsidP="00955FFB">
            <w:pPr>
              <w:spacing w:after="0" w:line="240" w:lineRule="auto"/>
              <w:rPr>
                <w:rFonts w:eastAsia="Times New Roman" w:cs="Times New Roman"/>
                <w:b/>
                <w:bCs/>
                <w:sz w:val="16"/>
                <w:szCs w:val="16"/>
                <w:lang w:val="en-ZA" w:eastAsia="en-ZA"/>
              </w:rPr>
            </w:pPr>
            <w:r w:rsidRPr="00435469">
              <w:rPr>
                <w:rFonts w:eastAsia="Times New Roman" w:cs="Times New Roman"/>
                <w:sz w:val="16"/>
                <w:szCs w:val="16"/>
                <w:lang w:val="en-ZA" w:eastAsia="en-ZA"/>
              </w:rPr>
              <w:t>After 2007:     = 0.55.</w:t>
            </w:r>
          </w:p>
        </w:tc>
      </w:tr>
      <w:tr w:rsidR="00304411" w:rsidRPr="00435469" w14:paraId="6B349EC0" w14:textId="77777777" w:rsidTr="009A0C35">
        <w:trPr>
          <w:trHeight w:val="300"/>
        </w:trPr>
        <w:tc>
          <w:tcPr>
            <w:tcW w:w="1460" w:type="dxa"/>
            <w:tcBorders>
              <w:top w:val="single" w:sz="4" w:space="0" w:color="auto"/>
              <w:left w:val="nil"/>
              <w:right w:val="nil"/>
            </w:tcBorders>
            <w:shd w:val="clear" w:color="auto" w:fill="auto"/>
          </w:tcPr>
          <w:p w14:paraId="46AB6768" w14:textId="1D7BCC9E" w:rsidR="009C10F3" w:rsidRPr="00435469" w:rsidRDefault="009B4A3E" w:rsidP="00955FFB">
            <w:pPr>
              <w:spacing w:after="0" w:line="240" w:lineRule="auto"/>
              <w:rPr>
                <w:rFonts w:eastAsia="Times New Roman" w:cs="Times New Roman"/>
                <w:b/>
                <w:bCs/>
                <w:sz w:val="16"/>
                <w:szCs w:val="16"/>
                <w:lang w:val="en-ZA" w:eastAsia="en-ZA"/>
              </w:rPr>
            </w:pPr>
            <w:r w:rsidRPr="00435469">
              <w:rPr>
                <w:rFonts w:eastAsia="Times New Roman" w:cs="Times New Roman"/>
                <w:sz w:val="16"/>
                <w:szCs w:val="16"/>
                <w:lang w:val="en-ZA" w:eastAsia="en-ZA"/>
              </w:rPr>
              <w:t>Gene</w:t>
            </w:r>
            <w:r w:rsidR="00FD0748" w:rsidRPr="00435469">
              <w:rPr>
                <w:rFonts w:eastAsia="Times New Roman" w:cs="Times New Roman"/>
                <w:sz w:val="16"/>
                <w:szCs w:val="16"/>
                <w:lang w:val="en-ZA" w:eastAsia="en-ZA"/>
              </w:rPr>
              <w:t>Xpert MTB/RIF</w:t>
            </w:r>
            <w:r w:rsidR="009C10F3" w:rsidRPr="00435469">
              <w:rPr>
                <w:rFonts w:eastAsia="Times New Roman" w:cs="Times New Roman"/>
                <w:sz w:val="16"/>
                <w:szCs w:val="16"/>
                <w:lang w:val="en-ZA" w:eastAsia="en-ZA"/>
              </w:rPr>
              <w:t xml:space="preserve"> negative </w:t>
            </w:r>
          </w:p>
        </w:tc>
        <w:tc>
          <w:tcPr>
            <w:tcW w:w="1375" w:type="dxa"/>
            <w:tcBorders>
              <w:top w:val="single" w:sz="4" w:space="0" w:color="auto"/>
              <w:left w:val="nil"/>
              <w:right w:val="nil"/>
            </w:tcBorders>
            <w:shd w:val="clear" w:color="auto" w:fill="auto"/>
          </w:tcPr>
          <w:p w14:paraId="38AAD108" w14:textId="2B0FB9EF" w:rsidR="009C10F3" w:rsidRPr="00435469" w:rsidRDefault="009C10F3" w:rsidP="00955FFB">
            <w:pPr>
              <w:spacing w:after="0" w:line="240" w:lineRule="auto"/>
              <w:rPr>
                <w:rFonts w:eastAsia="Times New Roman" w:cs="Times New Roman"/>
                <w:b/>
                <w:bCs/>
                <w:sz w:val="16"/>
                <w:szCs w:val="16"/>
                <w:lang w:val="en-ZA" w:eastAsia="en-ZA"/>
              </w:rPr>
            </w:pPr>
            <w:r w:rsidRPr="00435469">
              <w:rPr>
                <w:rFonts w:eastAsia="Times New Roman" w:cs="Times New Roman"/>
                <w:sz w:val="16"/>
                <w:szCs w:val="16"/>
                <w:lang w:val="en-ZA" w:eastAsia="en-ZA"/>
              </w:rPr>
              <w:t xml:space="preserve">HIV-negative </w:t>
            </w:r>
          </w:p>
        </w:tc>
        <w:tc>
          <w:tcPr>
            <w:tcW w:w="4605" w:type="dxa"/>
            <w:tcBorders>
              <w:top w:val="single" w:sz="4" w:space="0" w:color="auto"/>
              <w:left w:val="nil"/>
              <w:bottom w:val="single" w:sz="4" w:space="0" w:color="auto"/>
              <w:right w:val="nil"/>
            </w:tcBorders>
            <w:shd w:val="clear" w:color="auto" w:fill="auto"/>
          </w:tcPr>
          <w:p w14:paraId="0C21E7FE" w14:textId="5E0AE58C" w:rsidR="009C10F3" w:rsidRPr="00435469" w:rsidRDefault="009C10F3" w:rsidP="00955FFB">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 xml:space="preserve">Based on the ~30% fraction of retreatment cases and ~50% rate of culture testing in retreatment cases who are </w:t>
            </w:r>
            <w:proofErr w:type="spellStart"/>
            <w:r w:rsidR="00AE76B5" w:rsidRPr="00435469">
              <w:rPr>
                <w:rFonts w:eastAsia="Times New Roman" w:cs="Times New Roman"/>
                <w:sz w:val="16"/>
                <w:szCs w:val="16"/>
                <w:lang w:val="en-ZA" w:eastAsia="en-ZA"/>
              </w:rPr>
              <w:t>Xpert</w:t>
            </w:r>
            <w:proofErr w:type="spellEnd"/>
            <w:r w:rsidR="00AE76B5" w:rsidRPr="00435469">
              <w:rPr>
                <w:rFonts w:eastAsia="Times New Roman" w:cs="Times New Roman"/>
                <w:sz w:val="16"/>
                <w:szCs w:val="16"/>
                <w:lang w:val="en-ZA" w:eastAsia="en-ZA"/>
              </w:rPr>
              <w:t>-</w:t>
            </w:r>
            <w:r w:rsidRPr="00435469">
              <w:rPr>
                <w:rFonts w:eastAsia="Times New Roman" w:cs="Times New Roman"/>
                <w:sz w:val="16"/>
                <w:szCs w:val="16"/>
                <w:lang w:val="en-ZA" w:eastAsia="en-ZA"/>
              </w:rPr>
              <w:t>negative and HIV-negative</w:t>
            </w:r>
            <w:r w:rsidR="00895288" w:rsidRPr="00435469">
              <w:rPr>
                <w:rFonts w:eastAsia="Times New Roman" w:cs="Times New Roman"/>
                <w:sz w:val="16"/>
                <w:szCs w:val="16"/>
                <w:lang w:val="en-ZA" w:eastAsia="en-ZA"/>
              </w:rPr>
              <w:t xml:space="preserve"> </w:t>
            </w:r>
            <w:r w:rsidR="00895288" w:rsidRPr="00435469">
              <w:rPr>
                <w:rFonts w:eastAsia="Times New Roman" w:cs="Times New Roman"/>
                <w:sz w:val="16"/>
                <w:szCs w:val="16"/>
                <w:lang w:val="en-ZA" w:eastAsia="en-ZA"/>
              </w:rPr>
              <w:fldChar w:fldCharType="begin" w:fldLock="1"/>
            </w:r>
            <w:r w:rsidR="00A142FF" w:rsidRPr="00435469">
              <w:rPr>
                <w:rFonts w:eastAsia="Times New Roman" w:cs="Times New Roman"/>
                <w:sz w:val="16"/>
                <w:szCs w:val="16"/>
                <w:lang w:val="en-ZA" w:eastAsia="en-ZA"/>
              </w:rPr>
              <w:instrText>ADDIN CSL_CITATION {"citationItems":[{"id":"ITEM-1","itemData":{"DOI":"10.1371/journal.pone.0150487","ISSN":"19326203","PMID":"26930400","abstract":"Study Aim To compare tuberculosis (TB) diagnostic yield in an existing smear/culture-based and a newly introduced Xpert1 MTB/RIF-based algorithm. Methods TB diagnostic yield (the proportion of presumptive TB cases with a laboratory diagnosis of TB) was assessed using a non-randomised stepped-wedge design as sites transitioned to the Xpert® based algorithm. We identified the full sequence of sputum tests recorded in the electronic laboratory database for presumptive TB cases from 60 primary health sites during seven one-month time-points, six months apart. Differences in TB yield and temporal trends were estimated using a binomial regression model. Results TB yield was 20.9%(95% CI 19.9%to 22.0%) in the smear/culture-based algorithm compared to 17.9%(95%CI 16.4%to 19.5%) in the Xpert® based algorithm. There was a decline in TB yield over time with a mean risk difference of-0.9% (95% CI-1.2% to-0.6%) (p&lt;0.001) per time-point. When estimates were adjusted for the temporal trend, TB yield was 19.1% (95% CI 17.6% to 20.5%) in the smear/culture-based algorithm compared to 19.3% (95% CI 17.7% to 20.9%) in the Xpert® based algorithm with a risk difference of 0.3% (95% CI-1.8% to 2.3%) (p = 0.796). Culture tests were undertaken for 35.5% of smear-negative compared to 17.9% of Xpert® negative low MDR-TB risk cases and for 82.6% of smear-negative compared to 40.5% of Xpert® negative high MDR-TB risk cases in respective algorithms. Conclusion Introduction of an Xpert® based algorithm did not produce the expected increase in TB diagnostic yield. Studies are required to assess whether improving adherence to the Xpert® negative algorithm for HIV-infected individuals will increase yield. In light of the high cost of Xpert®, a review of its role as a screening test for all presumptive TB cases may be warranted.","author":[{"dropping-particle":"","family":"Naidoo","given":"Pren","non-dropping-particle":"","parse-names":false,"suffix":""},{"dropping-particle":"","family":"Dunbar","given":"Rory","non-dropping-particle":"","parse-names":false,"suffix":""},{"dropping-particle":"","family":"Lombard","given":"Carl","non-dropping-particle":"","parse-names":false,"suffix":""},{"dropping-particle":"","family":"Toit","given":"Elizabeth","non-dropping-particle":"Du","parse-names":false,"suffix":""},{"dropping-particle":"","family":"Caldwell","given":"Judy","non-dropping-particle":"","parse-names":false,"suffix":""},{"dropping-particle":"","family":"Detjen","given":"Anne","non-dropping-particle":"","parse-names":false,"suffix":""},{"dropping-particle":"","family":"Bertel Squire","given":"S.","non-dropping-particle":"","parse-names":false,"suffix":""},{"dropping-particle":"","family":"Enarson","given":"Donald A.","non-dropping-particle":"","parse-names":false,"suffix":""},{"dropping-particle":"","family":"Beyers","given":"Nulda","non-dropping-particle":"","parse-names":false,"suffix":""}],"container-title":"PLoS ONE","id":"ITEM-1","issue":"3","issued":{"date-parts":[["2016"]]},"page":"1-13","title":"Comparing tuberculosis diagnostic yield in smear/culture and xpert1 MTB/RIF-based algorithms using a non-randomised stepped-wedge design","type":"article-journal","volume":"11"},"uris":["http://www.mendeley.com/documents/?uuid=53f7111e-ea46-4d4e-8093-187f8dbd2047"]}],"mendeley":{"formattedCitation":"(61)","plainTextFormattedCitation":"(61)","previouslyFormattedCitation":"(61)"},"properties":{"noteIndex":0},"schema":"https://github.com/citation-style-language/schema/raw/master/csl-citation.json"}</w:instrText>
            </w:r>
            <w:r w:rsidR="00895288" w:rsidRPr="00435469">
              <w:rPr>
                <w:rFonts w:eastAsia="Times New Roman" w:cs="Times New Roman"/>
                <w:sz w:val="16"/>
                <w:szCs w:val="16"/>
                <w:lang w:val="en-ZA" w:eastAsia="en-ZA"/>
              </w:rPr>
              <w:fldChar w:fldCharType="separate"/>
            </w:r>
            <w:r w:rsidR="0016391D" w:rsidRPr="00435469">
              <w:rPr>
                <w:rFonts w:eastAsia="Times New Roman" w:cs="Times New Roman"/>
                <w:noProof/>
                <w:sz w:val="16"/>
                <w:szCs w:val="16"/>
                <w:lang w:val="en-ZA" w:eastAsia="en-ZA"/>
              </w:rPr>
              <w:t>(61)</w:t>
            </w:r>
            <w:r w:rsidR="00895288" w:rsidRPr="00435469">
              <w:rPr>
                <w:rFonts w:eastAsia="Times New Roman" w:cs="Times New Roman"/>
                <w:sz w:val="16"/>
                <w:szCs w:val="16"/>
                <w:lang w:val="en-ZA" w:eastAsia="en-ZA"/>
              </w:rPr>
              <w:fldChar w:fldCharType="end"/>
            </w:r>
            <w:r w:rsidRPr="00435469">
              <w:rPr>
                <w:rFonts w:eastAsia="Times New Roman" w:cs="Times New Roman"/>
                <w:sz w:val="16"/>
                <w:szCs w:val="16"/>
                <w:lang w:val="en-ZA" w:eastAsia="en-ZA"/>
              </w:rPr>
              <w:t>.</w:t>
            </w:r>
          </w:p>
        </w:tc>
        <w:tc>
          <w:tcPr>
            <w:tcW w:w="2058" w:type="dxa"/>
            <w:tcBorders>
              <w:top w:val="single" w:sz="4" w:space="0" w:color="auto"/>
              <w:left w:val="nil"/>
              <w:right w:val="nil"/>
            </w:tcBorders>
            <w:shd w:val="clear" w:color="auto" w:fill="auto"/>
          </w:tcPr>
          <w:p w14:paraId="0BCDA4B6" w14:textId="0136CA4A" w:rsidR="009C10F3" w:rsidRPr="00435469" w:rsidRDefault="00000000" w:rsidP="00955FFB">
            <w:pPr>
              <w:spacing w:after="0" w:line="240" w:lineRule="auto"/>
              <w:rPr>
                <w:rFonts w:eastAsia="Times New Roman" w:cs="Times New Roman"/>
                <w:b/>
                <w:bCs/>
                <w:sz w:val="16"/>
                <w:szCs w:val="16"/>
                <w:lang w:val="en-ZA" w:eastAsia="en-ZA"/>
              </w:rPr>
            </w:pPr>
            <m:oMath>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C</m:t>
                  </m:r>
                </m:e>
                <m:sub>
                  <m:r>
                    <w:rPr>
                      <w:rFonts w:ascii="Cambria Math" w:eastAsiaTheme="minorEastAsia" w:hAnsi="Cambria Math" w:cs="Times New Roman"/>
                      <w:sz w:val="16"/>
                      <w:szCs w:val="16"/>
                    </w:rPr>
                    <m:t>G</m:t>
                  </m:r>
                </m:sub>
              </m:sSub>
              <m:d>
                <m:dPr>
                  <m:ctrlPr>
                    <w:rPr>
                      <w:rFonts w:ascii="Cambria Math" w:eastAsiaTheme="minorEastAsia" w:hAnsi="Cambria Math" w:cs="Times New Roman"/>
                      <w:i/>
                      <w:sz w:val="16"/>
                      <w:szCs w:val="16"/>
                    </w:rPr>
                  </m:ctrlPr>
                </m:dPr>
                <m:e>
                  <m:r>
                    <w:rPr>
                      <w:rFonts w:ascii="Cambria Math" w:eastAsiaTheme="minorEastAsia" w:hAnsi="Cambria Math" w:cs="Times New Roman"/>
                      <w:sz w:val="16"/>
                      <w:szCs w:val="16"/>
                    </w:rPr>
                    <m:t>a,s=0,t</m:t>
                  </m:r>
                </m:e>
              </m:d>
            </m:oMath>
            <w:r w:rsidR="009C10F3" w:rsidRPr="00435469">
              <w:rPr>
                <w:rFonts w:cs="Times New Roman"/>
                <w:sz w:val="16"/>
                <w:szCs w:val="16"/>
              </w:rPr>
              <w:t xml:space="preserve"> = </w:t>
            </w:r>
            <w:r w:rsidR="009C10F3" w:rsidRPr="00435469">
              <w:rPr>
                <w:rFonts w:eastAsia="Times New Roman" w:cs="Times New Roman"/>
                <w:sz w:val="16"/>
                <w:szCs w:val="16"/>
                <w:lang w:val="en-ZA" w:eastAsia="en-ZA"/>
              </w:rPr>
              <w:t>0.15</w:t>
            </w:r>
          </w:p>
        </w:tc>
      </w:tr>
      <w:tr w:rsidR="009C10F3" w:rsidRPr="00435469" w14:paraId="3F3AE675" w14:textId="77777777" w:rsidTr="009A0C35">
        <w:trPr>
          <w:trHeight w:val="300"/>
        </w:trPr>
        <w:tc>
          <w:tcPr>
            <w:tcW w:w="1460" w:type="dxa"/>
            <w:tcBorders>
              <w:left w:val="nil"/>
              <w:bottom w:val="single" w:sz="4" w:space="0" w:color="auto"/>
              <w:right w:val="nil"/>
            </w:tcBorders>
            <w:shd w:val="clear" w:color="auto" w:fill="auto"/>
          </w:tcPr>
          <w:p w14:paraId="3D614654" w14:textId="77777777" w:rsidR="009C10F3" w:rsidRPr="00435469" w:rsidRDefault="009C10F3" w:rsidP="00955FFB">
            <w:pPr>
              <w:spacing w:after="0" w:line="240" w:lineRule="auto"/>
              <w:rPr>
                <w:rFonts w:eastAsia="Times New Roman" w:cs="Times New Roman"/>
                <w:b/>
                <w:bCs/>
                <w:sz w:val="16"/>
                <w:szCs w:val="16"/>
                <w:lang w:val="en-ZA" w:eastAsia="en-ZA"/>
              </w:rPr>
            </w:pPr>
          </w:p>
        </w:tc>
        <w:tc>
          <w:tcPr>
            <w:tcW w:w="1375" w:type="dxa"/>
            <w:tcBorders>
              <w:left w:val="nil"/>
              <w:bottom w:val="single" w:sz="4" w:space="0" w:color="auto"/>
              <w:right w:val="nil"/>
            </w:tcBorders>
            <w:shd w:val="clear" w:color="auto" w:fill="auto"/>
          </w:tcPr>
          <w:p w14:paraId="57D3CACC" w14:textId="431D499A" w:rsidR="009C10F3" w:rsidRPr="00435469" w:rsidRDefault="009C10F3" w:rsidP="00955FFB">
            <w:pPr>
              <w:spacing w:after="0" w:line="240" w:lineRule="auto"/>
              <w:rPr>
                <w:rFonts w:eastAsia="Times New Roman" w:cs="Times New Roman"/>
                <w:b/>
                <w:bCs/>
                <w:sz w:val="16"/>
                <w:szCs w:val="16"/>
                <w:lang w:val="en-ZA" w:eastAsia="en-ZA"/>
              </w:rPr>
            </w:pPr>
            <w:r w:rsidRPr="00435469">
              <w:rPr>
                <w:rFonts w:eastAsia="Times New Roman" w:cs="Times New Roman"/>
                <w:sz w:val="16"/>
                <w:szCs w:val="16"/>
                <w:lang w:val="en-ZA" w:eastAsia="en-ZA"/>
              </w:rPr>
              <w:t xml:space="preserve">HIV-positive </w:t>
            </w:r>
          </w:p>
        </w:tc>
        <w:tc>
          <w:tcPr>
            <w:tcW w:w="4605" w:type="dxa"/>
            <w:tcBorders>
              <w:top w:val="single" w:sz="4" w:space="0" w:color="auto"/>
              <w:left w:val="nil"/>
              <w:bottom w:val="single" w:sz="4" w:space="0" w:color="auto"/>
              <w:right w:val="nil"/>
            </w:tcBorders>
            <w:shd w:val="clear" w:color="auto" w:fill="auto"/>
          </w:tcPr>
          <w:p w14:paraId="7317DC7B" w14:textId="7EFFE3F9" w:rsidR="009C10F3" w:rsidRPr="00435469" w:rsidRDefault="009C10F3" w:rsidP="00955FFB">
            <w:pPr>
              <w:spacing w:after="0" w:line="240" w:lineRule="auto"/>
              <w:rPr>
                <w:rFonts w:eastAsia="Times New Roman" w:cs="Times New Roman"/>
                <w:b/>
                <w:bCs/>
                <w:sz w:val="16"/>
                <w:szCs w:val="16"/>
                <w:lang w:val="en-ZA" w:eastAsia="en-ZA"/>
              </w:rPr>
            </w:pPr>
            <w:r w:rsidRPr="00435469">
              <w:rPr>
                <w:rFonts w:eastAsia="Times New Roman" w:cs="Times New Roman"/>
                <w:sz w:val="16"/>
                <w:szCs w:val="16"/>
                <w:lang w:val="en-ZA" w:eastAsia="en-ZA"/>
              </w:rPr>
              <w:t xml:space="preserve">The average of the low rate (11%) in the McCarthy </w:t>
            </w:r>
            <w:r w:rsidRPr="00435469">
              <w:rPr>
                <w:rFonts w:eastAsia="Times New Roman" w:cs="Times New Roman"/>
                <w:i/>
                <w:iCs/>
                <w:sz w:val="16"/>
                <w:szCs w:val="16"/>
                <w:lang w:val="en-ZA" w:eastAsia="en-ZA"/>
              </w:rPr>
              <w:t>et al</w:t>
            </w:r>
            <w:r w:rsidRPr="00435469">
              <w:rPr>
                <w:rFonts w:eastAsia="Times New Roman" w:cs="Times New Roman"/>
                <w:sz w:val="16"/>
                <w:szCs w:val="16"/>
                <w:lang w:val="en-ZA" w:eastAsia="en-ZA"/>
              </w:rPr>
              <w:t xml:space="preserve"> </w:t>
            </w:r>
            <w:r w:rsidRPr="00435469">
              <w:rPr>
                <w:rFonts w:eastAsia="Times New Roman" w:cs="Times New Roman"/>
                <w:sz w:val="16"/>
                <w:szCs w:val="16"/>
                <w:lang w:val="en-ZA" w:eastAsia="en-ZA"/>
              </w:rPr>
              <w:fldChar w:fldCharType="begin" w:fldLock="1"/>
            </w:r>
            <w:r w:rsidR="00A142FF" w:rsidRPr="00435469">
              <w:rPr>
                <w:rFonts w:eastAsia="Times New Roman" w:cs="Times New Roman"/>
                <w:sz w:val="16"/>
                <w:szCs w:val="16"/>
                <w:lang w:val="en-ZA" w:eastAsia="en-ZA"/>
              </w:rPr>
              <w:instrText>ADDIN CSL_CITATION {"citationItems":[{"id":"ITEM-1","itemData":{"DOI":"10.1097/QAI.0000000000000907","ISSN":"10779450","abstract":"Introduction and Background: Diagnostic tests for tuberculosis (TB) using sputum have suboptimal sensitivity among HIV-positive persons. We assessed health care worker adherence to TB diagnostic algorithms after negative sputum test results. Methods: The XTEND (Xpert for TB-Evaluating a New Diagnostic) trial compared outcomes among people tested for TB in primary care clinics using Xpert MTB/RIF vs. smear microscopy as the initial test. We analyzed data from XTEND participants who were HIV positive or HIV status unknown, whose initial sputum Xpert MTB/RIF or microscopy result was negative. If chest radiography, sputum culture, or hospital referral took place, the algorithm for TB diagnosis was considered followed. Analysis of intervention (Xpert MTB/RIF) effect on algorithm adherence used methods for clusterrandomized trials with small number of clusters. Results: Among 4037 XTEND participants with initial negative test results, 2155 (53%) reported being or testing HIV positive and 540 (14%) had unknown HIV status. Among 2155 HIV-positive participants [684 (32%) male, mean age 37 years (range, 18-79 years)], there was evidence of algorithm adherence among 515 (24%). Adherence was less likely among persons tested initially with Xpert MTB/RIF vs. smear [14% (142/1031) vs. 32% (364/1122), adjusted risk ratio 0.34 (95% CI: 0.17 to 0.65)] and for participants with unknown vs. positive HIV status [59/540 (11%) vs. 507/2155 (24%)]. Conclusions: We observed poorer adherence to TB diagnostic algorithms among HIV-positive persons tested initially with Xpert MTB/RIF vs. microscopy. Poor adherence to TB diagnostic algorithms and incomplete coverage of HIV testing represents a missed opportunity to diagnose TB and HIV, and may contribute to TB mortality.","author":[{"dropping-particle":"","family":"McCarthy","given":"K. M.","non-dropping-particle":"","parse-names":false,"suffix":""},{"dropping-particle":"","family":"Grant","given":"A. D.","non-dropping-particle":"","parse-names":false,"suffix":""},{"dropping-particle":"","family":"Chihota","given":"V.","non-dropping-particle":"","parse-names":false,"suffix":""},{"dropping-particle":"","family":"Ginindza","given":"S.","non-dropping-particle":"","parse-names":false,"suffix":""},{"dropping-particle":"","family":"Mvusi","given":"L.","non-dropping-particle":"","parse-names":false,"suffix":""},{"dropping-particle":"","family":"Churchyard","given":"G. J.","non-dropping-particle":"","parse-names":false,"suffix":""},{"dropping-particle":"","family":"Fielding","given":"K. L.","non-dropping-particle":"","parse-names":false,"suffix":""}],"container-title":"Journal of Acquired Immune Deficiency Syndromes","id":"ITEM-1","issue":"5","issued":{"date-parts":[["2016"]]},"page":"e119-e126","title":"What happens after a negative test for tuberculosis? Evaluating adherence to TB diagnostic algorithms in South African primary health clinics","type":"article-journal","volume":"71"},"uris":["http://www.mendeley.com/documents/?uuid=913c249c-354c-4bf9-82ef-cbfefb14e58a"]}],"mendeley":{"formattedCitation":"(60)","plainTextFormattedCitation":"(60)","previouslyFormattedCitation":"(60)"},"properties":{"noteIndex":0},"schema":"https://github.com/citation-style-language/schema/raw/master/csl-citation.json"}</w:instrText>
            </w:r>
            <w:r w:rsidRPr="00435469">
              <w:rPr>
                <w:rFonts w:eastAsia="Times New Roman" w:cs="Times New Roman"/>
                <w:sz w:val="16"/>
                <w:szCs w:val="16"/>
                <w:lang w:val="en-ZA" w:eastAsia="en-ZA"/>
              </w:rPr>
              <w:fldChar w:fldCharType="separate"/>
            </w:r>
            <w:r w:rsidR="0016391D" w:rsidRPr="00435469">
              <w:rPr>
                <w:rFonts w:eastAsia="Times New Roman" w:cs="Times New Roman"/>
                <w:noProof/>
                <w:sz w:val="16"/>
                <w:szCs w:val="16"/>
                <w:lang w:val="en-ZA" w:eastAsia="en-ZA"/>
              </w:rPr>
              <w:t>(60)</w:t>
            </w:r>
            <w:r w:rsidRPr="00435469">
              <w:rPr>
                <w:rFonts w:eastAsia="Times New Roman" w:cs="Times New Roman"/>
                <w:sz w:val="16"/>
                <w:szCs w:val="16"/>
                <w:lang w:val="en-ZA" w:eastAsia="en-ZA"/>
              </w:rPr>
              <w:fldChar w:fldCharType="end"/>
            </w:r>
            <w:r w:rsidRPr="00435469">
              <w:rPr>
                <w:rFonts w:eastAsia="Times New Roman" w:cs="Times New Roman"/>
                <w:sz w:val="16"/>
                <w:szCs w:val="16"/>
                <w:lang w:val="en-ZA" w:eastAsia="en-ZA"/>
              </w:rPr>
              <w:t xml:space="preserve"> study and the high rate (50%) in the Naidoo </w:t>
            </w:r>
            <w:r w:rsidRPr="00435469">
              <w:rPr>
                <w:rFonts w:eastAsia="Times New Roman" w:cs="Times New Roman"/>
                <w:i/>
                <w:iCs/>
                <w:sz w:val="16"/>
                <w:szCs w:val="16"/>
                <w:lang w:val="en-ZA" w:eastAsia="en-ZA"/>
              </w:rPr>
              <w:t xml:space="preserve">et al </w:t>
            </w:r>
            <w:r w:rsidRPr="00435469">
              <w:rPr>
                <w:rFonts w:eastAsia="Times New Roman" w:cs="Times New Roman"/>
                <w:sz w:val="16"/>
                <w:szCs w:val="16"/>
                <w:lang w:val="en-ZA" w:eastAsia="en-ZA"/>
              </w:rPr>
              <w:t xml:space="preserve">study </w:t>
            </w:r>
            <w:r w:rsidRPr="00435469">
              <w:rPr>
                <w:rFonts w:eastAsia="Times New Roman" w:cs="Times New Roman"/>
                <w:sz w:val="16"/>
                <w:szCs w:val="16"/>
                <w:lang w:val="en-ZA" w:eastAsia="en-ZA"/>
              </w:rPr>
              <w:fldChar w:fldCharType="begin" w:fldLock="1"/>
            </w:r>
            <w:r w:rsidR="00A142FF" w:rsidRPr="00435469">
              <w:rPr>
                <w:rFonts w:eastAsia="Times New Roman" w:cs="Times New Roman"/>
                <w:sz w:val="16"/>
                <w:szCs w:val="16"/>
                <w:lang w:val="en-ZA" w:eastAsia="en-ZA"/>
              </w:rPr>
              <w:instrText>ADDIN CSL_CITATION {"citationItems":[{"id":"ITEM-1","itemData":{"DOI":"10.1371/journal.pone.0150487","ISSN":"19326203","PMID":"26930400","abstract":"Study Aim To compare tuberculosis (TB) diagnostic yield in an existing smear/culture-based and a newly introduced Xpert1 MTB/RIF-based algorithm. Methods TB diagnostic yield (the proportion of presumptive TB cases with a laboratory diagnosis of TB) was assessed using a non-randomised stepped-wedge design as sites transitioned to the Xpert® based algorithm. We identified the full sequence of sputum tests recorded in the electronic laboratory database for presumptive TB cases from 60 primary health sites during seven one-month time-points, six months apart. Differences in TB yield and temporal trends were estimated using a binomial regression model. Results TB yield was 20.9%(95% CI 19.9%to 22.0%) in the smear/culture-based algorithm compared to 17.9%(95%CI 16.4%to 19.5%) in the Xpert® based algorithm. There was a decline in TB yield over time with a mean risk difference of-0.9% (95% CI-1.2% to-0.6%) (p&lt;0.001) per time-point. When estimates were adjusted for the temporal trend, TB yield was 19.1% (95% CI 17.6% to 20.5%) in the smear/culture-based algorithm compared to 19.3% (95% CI 17.7% to 20.9%) in the Xpert® based algorithm with a risk difference of 0.3% (95% CI-1.8% to 2.3%) (p = 0.796). Culture tests were undertaken for 35.5% of smear-negative compared to 17.9% of Xpert® negative low MDR-TB risk cases and for 82.6% of smear-negative compared to 40.5% of Xpert® negative high MDR-TB risk cases in respective algorithms. Conclusion Introduction of an Xpert® based algorithm did not produce the expected increase in TB diagnostic yield. Studies are required to assess whether improving adherence to the Xpert® negative algorithm for HIV-infected individuals will increase yield. In light of the high cost of Xpert®, a review of its role as a screening test for all presumptive TB cases may be warranted.","author":[{"dropping-particle":"","family":"Naidoo","given":"Pren","non-dropping-particle":"","parse-names":false,"suffix":""},{"dropping-particle":"","family":"Dunbar","given":"Rory","non-dropping-particle":"","parse-names":false,"suffix":""},{"dropping-particle":"","family":"Lombard","given":"Carl","non-dropping-particle":"","parse-names":false,"suffix":""},{"dropping-particle":"","family":"Toit","given":"Elizabeth","non-dropping-particle":"Du","parse-names":false,"suffix":""},{"dropping-particle":"","family":"Caldwell","given":"Judy","non-dropping-particle":"","parse-names":false,"suffix":""},{"dropping-particle":"","family":"Detjen","given":"Anne","non-dropping-particle":"","parse-names":false,"suffix":""},{"dropping-particle":"","family":"Bertel Squire","given":"S.","non-dropping-particle":"","parse-names":false,"suffix":""},{"dropping-particle":"","family":"Enarson","given":"Donald A.","non-dropping-particle":"","parse-names":false,"suffix":""},{"dropping-particle":"","family":"Beyers","given":"Nulda","non-dropping-particle":"","parse-names":false,"suffix":""}],"container-title":"PLoS ONE","id":"ITEM-1","issue":"3","issued":{"date-parts":[["2016"]]},"page":"1-13","title":"Comparing tuberculosis diagnostic yield in smear/culture and xpert1 MTB/RIF-based algorithms using a non-randomised stepped-wedge design","type":"article-journal","volume":"11"},"uris":["http://www.mendeley.com/documents/?uuid=53f7111e-ea46-4d4e-8093-187f8dbd2047"]}],"mendeley":{"formattedCitation":"(61)","plainTextFormattedCitation":"(61)","previouslyFormattedCitation":"(61)"},"properties":{"noteIndex":0},"schema":"https://github.com/citation-style-language/schema/raw/master/csl-citation.json"}</w:instrText>
            </w:r>
            <w:r w:rsidRPr="00435469">
              <w:rPr>
                <w:rFonts w:eastAsia="Times New Roman" w:cs="Times New Roman"/>
                <w:sz w:val="16"/>
                <w:szCs w:val="16"/>
                <w:lang w:val="en-ZA" w:eastAsia="en-ZA"/>
              </w:rPr>
              <w:fldChar w:fldCharType="separate"/>
            </w:r>
            <w:r w:rsidR="0016391D" w:rsidRPr="00435469">
              <w:rPr>
                <w:rFonts w:eastAsia="Times New Roman" w:cs="Times New Roman"/>
                <w:noProof/>
                <w:sz w:val="16"/>
                <w:szCs w:val="16"/>
                <w:lang w:val="en-ZA" w:eastAsia="en-ZA"/>
              </w:rPr>
              <w:t>(61)</w:t>
            </w:r>
            <w:r w:rsidRPr="00435469">
              <w:rPr>
                <w:rFonts w:eastAsia="Times New Roman" w:cs="Times New Roman"/>
                <w:sz w:val="16"/>
                <w:szCs w:val="16"/>
                <w:lang w:val="en-ZA" w:eastAsia="en-ZA"/>
              </w:rPr>
              <w:fldChar w:fldCharType="end"/>
            </w:r>
            <w:r w:rsidRPr="00435469">
              <w:rPr>
                <w:rFonts w:eastAsia="Times New Roman" w:cs="Times New Roman"/>
                <w:sz w:val="16"/>
                <w:szCs w:val="16"/>
                <w:lang w:val="en-ZA" w:eastAsia="en-ZA"/>
              </w:rPr>
              <w:t>.</w:t>
            </w:r>
          </w:p>
        </w:tc>
        <w:tc>
          <w:tcPr>
            <w:tcW w:w="2058" w:type="dxa"/>
            <w:tcBorders>
              <w:left w:val="nil"/>
              <w:bottom w:val="single" w:sz="4" w:space="0" w:color="auto"/>
              <w:right w:val="nil"/>
            </w:tcBorders>
            <w:shd w:val="clear" w:color="auto" w:fill="auto"/>
          </w:tcPr>
          <w:p w14:paraId="75725BDB" w14:textId="2DFB234B" w:rsidR="009C10F3" w:rsidRPr="00435469" w:rsidRDefault="00000000" w:rsidP="00955FFB">
            <w:pPr>
              <w:spacing w:after="0" w:line="240" w:lineRule="auto"/>
              <w:rPr>
                <w:rFonts w:eastAsia="Times New Roman" w:cs="Times New Roman"/>
                <w:b/>
                <w:bCs/>
                <w:sz w:val="16"/>
                <w:szCs w:val="16"/>
                <w:lang w:val="en-ZA" w:eastAsia="en-ZA"/>
              </w:rPr>
            </w:pPr>
            <m:oMath>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C</m:t>
                  </m:r>
                </m:e>
                <m:sub>
                  <m:r>
                    <w:rPr>
                      <w:rFonts w:ascii="Cambria Math" w:eastAsiaTheme="minorEastAsia" w:hAnsi="Cambria Math" w:cs="Times New Roman"/>
                      <w:sz w:val="16"/>
                      <w:szCs w:val="16"/>
                    </w:rPr>
                    <m:t>G</m:t>
                  </m:r>
                </m:sub>
              </m:sSub>
              <m:d>
                <m:dPr>
                  <m:ctrlPr>
                    <w:rPr>
                      <w:rFonts w:ascii="Cambria Math" w:eastAsiaTheme="minorEastAsia" w:hAnsi="Cambria Math" w:cs="Times New Roman"/>
                      <w:i/>
                      <w:sz w:val="16"/>
                      <w:szCs w:val="16"/>
                    </w:rPr>
                  </m:ctrlPr>
                </m:dPr>
                <m:e>
                  <m:r>
                    <w:rPr>
                      <w:rFonts w:ascii="Cambria Math" w:eastAsiaTheme="minorEastAsia" w:hAnsi="Cambria Math" w:cs="Times New Roman"/>
                      <w:sz w:val="16"/>
                      <w:szCs w:val="16"/>
                    </w:rPr>
                    <m:t>a,s&gt;0,t</m:t>
                  </m:r>
                </m:e>
              </m:d>
            </m:oMath>
            <w:r w:rsidR="009C10F3" w:rsidRPr="00435469">
              <w:rPr>
                <w:rFonts w:cs="Times New Roman"/>
                <w:sz w:val="16"/>
                <w:szCs w:val="16"/>
              </w:rPr>
              <w:t xml:space="preserve"> = </w:t>
            </w:r>
            <w:r w:rsidR="009C10F3" w:rsidRPr="00435469">
              <w:rPr>
                <w:rFonts w:eastAsia="Times New Roman" w:cs="Times New Roman"/>
                <w:sz w:val="16"/>
                <w:szCs w:val="16"/>
                <w:lang w:val="en-ZA" w:eastAsia="en-ZA"/>
              </w:rPr>
              <w:t>0.3</w:t>
            </w:r>
          </w:p>
        </w:tc>
      </w:tr>
    </w:tbl>
    <w:p w14:paraId="038B9F1E" w14:textId="77777777" w:rsidR="00D04029" w:rsidRPr="00435469" w:rsidRDefault="00D04029" w:rsidP="00955FFB">
      <w:pPr>
        <w:spacing w:line="240" w:lineRule="auto"/>
        <w:rPr>
          <w:rFonts w:eastAsiaTheme="minorEastAsia" w:cs="Times New Roman"/>
          <w:sz w:val="20"/>
          <w:szCs w:val="20"/>
        </w:rPr>
      </w:pPr>
    </w:p>
    <w:p w14:paraId="4A5EA72E" w14:textId="38107F07" w:rsidR="001322FC" w:rsidRPr="00435469" w:rsidRDefault="00971F36" w:rsidP="00955FFB">
      <w:pPr>
        <w:spacing w:line="240" w:lineRule="auto"/>
        <w:rPr>
          <w:rFonts w:cs="Times New Roman"/>
          <w:sz w:val="20"/>
          <w:szCs w:val="20"/>
        </w:rPr>
      </w:pPr>
      <w:r w:rsidRPr="00435469">
        <w:rPr>
          <w:rFonts w:eastAsiaTheme="minorEastAsia" w:cs="Times New Roman"/>
          <w:sz w:val="20"/>
          <w:szCs w:val="20"/>
        </w:rPr>
        <w:t>We further let a TB diagnosis depend on the sensitivity (</w:t>
      </w:r>
      <m:oMath>
        <m:r>
          <w:rPr>
            <w:rFonts w:ascii="Cambria Math" w:hAnsi="Cambria Math" w:cs="Times New Roman"/>
            <w:sz w:val="20"/>
            <w:szCs w:val="20"/>
          </w:rPr>
          <m:t>Se</m:t>
        </m:r>
        <m:d>
          <m:dPr>
            <m:ctrlPr>
              <w:rPr>
                <w:rFonts w:ascii="Cambria Math" w:hAnsi="Cambria Math" w:cs="Times New Roman"/>
                <w:i/>
                <w:sz w:val="20"/>
                <w:szCs w:val="20"/>
              </w:rPr>
            </m:ctrlPr>
          </m:dPr>
          <m:e>
            <m:r>
              <w:rPr>
                <w:rFonts w:ascii="Cambria Math" w:hAnsi="Cambria Math" w:cs="Times New Roman"/>
                <w:sz w:val="20"/>
                <w:szCs w:val="20"/>
              </w:rPr>
              <m:t>a,t,s</m:t>
            </m:r>
            <m:ctrlPr>
              <w:rPr>
                <w:rFonts w:ascii="Cambria Math" w:eastAsiaTheme="minorEastAsia" w:hAnsi="Cambria Math" w:cs="Times New Roman"/>
                <w:i/>
                <w:sz w:val="20"/>
                <w:szCs w:val="20"/>
              </w:rPr>
            </m:ctrlPr>
          </m:e>
        </m:d>
      </m:oMath>
      <w:r w:rsidRPr="00435469">
        <w:rPr>
          <w:rFonts w:eastAsiaTheme="minorEastAsia" w:cs="Times New Roman"/>
          <w:sz w:val="20"/>
          <w:szCs w:val="20"/>
        </w:rPr>
        <w:t>) and specificity (</w:t>
      </w:r>
      <m:oMath>
        <m:r>
          <w:rPr>
            <w:rFonts w:ascii="Cambria Math" w:hAnsi="Cambria Math" w:cs="Times New Roman"/>
            <w:sz w:val="20"/>
            <w:szCs w:val="20"/>
          </w:rPr>
          <m:t>Sp</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of the diagnostic algorithm for smear status </w:t>
      </w:r>
      <m:oMath>
        <m:r>
          <w:rPr>
            <w:rFonts w:ascii="Cambria Math" w:hAnsi="Cambria Math" w:cs="Times New Roman"/>
            <w:sz w:val="20"/>
            <w:szCs w:val="20"/>
          </w:rPr>
          <m:t>a</m:t>
        </m:r>
      </m:oMath>
      <w:r w:rsidRPr="00435469">
        <w:rPr>
          <w:rFonts w:eastAsiaTheme="minorEastAsia" w:cs="Times New Roman"/>
          <w:sz w:val="20"/>
          <w:szCs w:val="20"/>
        </w:rPr>
        <w:t xml:space="preserve">, at time </w:t>
      </w:r>
      <m:oMath>
        <m:r>
          <w:rPr>
            <w:rFonts w:ascii="Cambria Math" w:hAnsi="Cambria Math" w:cs="Times New Roman"/>
            <w:sz w:val="20"/>
            <w:szCs w:val="20"/>
          </w:rPr>
          <m:t>t</m:t>
        </m:r>
      </m:oMath>
      <w:r w:rsidRPr="00435469">
        <w:rPr>
          <w:rFonts w:eastAsiaTheme="minorEastAsia" w:cs="Times New Roman"/>
          <w:sz w:val="20"/>
          <w:szCs w:val="20"/>
        </w:rPr>
        <w:t xml:space="preserve"> and HIV </w:t>
      </w:r>
      <w:r w:rsidR="0037699C" w:rsidRPr="00435469">
        <w:rPr>
          <w:rFonts w:eastAsiaTheme="minorEastAsia" w:cs="Times New Roman"/>
          <w:sz w:val="20"/>
          <w:szCs w:val="20"/>
        </w:rPr>
        <w:t xml:space="preserve">status </w:t>
      </w:r>
      <m:oMath>
        <m:r>
          <w:rPr>
            <w:rFonts w:ascii="Cambria Math" w:hAnsi="Cambria Math" w:cs="Times New Roman"/>
            <w:sz w:val="20"/>
            <w:szCs w:val="20"/>
          </w:rPr>
          <m:t>s</m:t>
        </m:r>
      </m:oMath>
      <w:r w:rsidR="005C1349" w:rsidRPr="00435469">
        <w:rPr>
          <w:rFonts w:eastAsiaTheme="minorEastAsia" w:cs="Times New Roman"/>
          <w:sz w:val="20"/>
          <w:szCs w:val="20"/>
        </w:rPr>
        <w:t xml:space="preserve"> (as defined in equations 1 and 2).</w:t>
      </w:r>
      <w:r w:rsidRPr="00435469">
        <w:rPr>
          <w:rFonts w:eastAsiaTheme="minorEastAsia" w:cs="Times New Roman"/>
          <w:sz w:val="20"/>
          <w:szCs w:val="20"/>
        </w:rPr>
        <w:t xml:space="preserve"> </w:t>
      </w:r>
      <m:oMath>
        <m:r>
          <w:rPr>
            <w:rFonts w:ascii="Cambria Math" w:eastAsiaTheme="minorEastAsia" w:hAnsi="Cambria Math" w:cs="Times New Roman"/>
            <w:sz w:val="20"/>
            <w:szCs w:val="20"/>
          </w:rPr>
          <m:t>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M</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e>
        </m:d>
      </m:oMath>
      <w:r w:rsidRPr="00435469">
        <w:rPr>
          <w:rFonts w:cs="Times New Roman"/>
          <w:sz w:val="20"/>
          <w:szCs w:val="20"/>
        </w:rPr>
        <w:t xml:space="preserve"> and </w:t>
      </w:r>
      <m:oMath>
        <m:r>
          <w:rPr>
            <w:rFonts w:ascii="Cambria Math" w:eastAsiaTheme="minorEastAsia" w:hAnsi="Cambria Math" w:cs="Times New Roman"/>
            <w:sz w:val="20"/>
            <w:szCs w:val="20"/>
          </w:rPr>
          <m:t>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e</m:t>
            </m:r>
          </m:e>
          <m:sub>
            <m:r>
              <w:rPr>
                <w:rFonts w:ascii="Cambria Math" w:eastAsiaTheme="minorEastAsia" w:hAnsi="Cambria Math" w:cs="Times New Roman"/>
                <w:sz w:val="20"/>
                <w:szCs w:val="20"/>
              </w:rPr>
              <m:t>G</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e>
        </m:d>
      </m:oMath>
      <w:r w:rsidRPr="00435469">
        <w:rPr>
          <w:rFonts w:eastAsiaTheme="minorEastAsia" w:cs="Times New Roman"/>
          <w:sz w:val="20"/>
          <w:szCs w:val="20"/>
        </w:rPr>
        <w:t xml:space="preserve"> </w:t>
      </w:r>
      <w:r w:rsidRPr="00435469">
        <w:rPr>
          <w:rFonts w:cs="Times New Roman"/>
          <w:sz w:val="20"/>
          <w:szCs w:val="20"/>
        </w:rPr>
        <w:t xml:space="preserve">represent the sensitivity of smear microscopy and </w:t>
      </w:r>
      <w:r w:rsidR="009B4A3E" w:rsidRPr="00435469">
        <w:rPr>
          <w:rFonts w:cs="Times New Roman"/>
          <w:sz w:val="20"/>
          <w:szCs w:val="20"/>
        </w:rPr>
        <w:t>Gene</w:t>
      </w:r>
      <w:r w:rsidR="00FD0748" w:rsidRPr="00435469">
        <w:rPr>
          <w:rFonts w:cs="Times New Roman"/>
          <w:sz w:val="20"/>
          <w:szCs w:val="20"/>
        </w:rPr>
        <w:t>Xpert MTB/RIF</w:t>
      </w:r>
      <w:r w:rsidR="00FD0748" w:rsidRPr="00435469" w:rsidDel="00FD0748">
        <w:rPr>
          <w:rFonts w:cs="Times New Roman"/>
          <w:sz w:val="20"/>
          <w:szCs w:val="20"/>
        </w:rPr>
        <w:t xml:space="preserve"> </w:t>
      </w:r>
      <w:r w:rsidRPr="00435469">
        <w:rPr>
          <w:rFonts w:cs="Times New Roman"/>
          <w:sz w:val="20"/>
          <w:szCs w:val="20"/>
        </w:rPr>
        <w:t xml:space="preserve">in active TB patients, respectively; </w:t>
      </w:r>
      <m:oMath>
        <m:r>
          <w:rPr>
            <w:rFonts w:ascii="Cambria Math" w:eastAsiaTheme="minorEastAsia" w:hAnsi="Cambria Math" w:cs="Times New Roman"/>
            <w:sz w:val="20"/>
            <w:szCs w:val="20"/>
          </w:rPr>
          <m:t>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M</m:t>
            </m:r>
          </m:sub>
        </m:sSub>
      </m:oMath>
      <w:r w:rsidRPr="00435469">
        <w:rPr>
          <w:rFonts w:eastAsiaTheme="minorEastAsia" w:cs="Times New Roman"/>
          <w:sz w:val="20"/>
          <w:szCs w:val="20"/>
        </w:rPr>
        <w:t xml:space="preserve"> </w:t>
      </w:r>
      <w:r w:rsidRPr="00435469">
        <w:rPr>
          <w:rFonts w:cs="Times New Roman"/>
          <w:sz w:val="20"/>
          <w:szCs w:val="20"/>
        </w:rPr>
        <w:t xml:space="preserve">and </w:t>
      </w:r>
      <m:oMath>
        <m:r>
          <w:rPr>
            <w:rFonts w:ascii="Cambria Math" w:eastAsiaTheme="minorEastAsia" w:hAnsi="Cambria Math" w:cs="Times New Roman"/>
            <w:sz w:val="20"/>
            <w:szCs w:val="20"/>
          </w:rPr>
          <m:t>S</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G</m:t>
            </m:r>
          </m:sub>
        </m:sSub>
      </m:oMath>
      <w:r w:rsidRPr="00435469">
        <w:rPr>
          <w:rFonts w:cs="Times New Roman"/>
          <w:sz w:val="20"/>
          <w:szCs w:val="20"/>
        </w:rPr>
        <w:t xml:space="preserve"> represent the specificity of smear microscopy and </w:t>
      </w:r>
      <w:r w:rsidR="009B4A3E" w:rsidRPr="00435469">
        <w:rPr>
          <w:rFonts w:cs="Times New Roman"/>
          <w:sz w:val="20"/>
          <w:szCs w:val="20"/>
        </w:rPr>
        <w:t>Gene</w:t>
      </w:r>
      <w:r w:rsidR="00FD0748" w:rsidRPr="00435469">
        <w:rPr>
          <w:rFonts w:cs="Times New Roman"/>
          <w:sz w:val="20"/>
          <w:szCs w:val="20"/>
        </w:rPr>
        <w:t>Xpert MTB/RIF</w:t>
      </w:r>
      <w:r w:rsidRPr="00435469">
        <w:rPr>
          <w:rFonts w:cs="Times New Roman"/>
          <w:sz w:val="20"/>
          <w:szCs w:val="20"/>
        </w:rPr>
        <w:t xml:space="preserve">, respectively. </w:t>
      </w:r>
      <w:r w:rsidR="00C37117" w:rsidRPr="00435469">
        <w:rPr>
          <w:rFonts w:cs="Times New Roman"/>
          <w:sz w:val="20"/>
          <w:szCs w:val="20"/>
        </w:rPr>
        <w:t xml:space="preserve">The </w:t>
      </w:r>
      <w:r w:rsidR="006E64C2" w:rsidRPr="00435469">
        <w:rPr>
          <w:rFonts w:cs="Times New Roman"/>
          <w:sz w:val="20"/>
          <w:szCs w:val="20"/>
        </w:rPr>
        <w:t>culture test</w:t>
      </w:r>
      <w:r w:rsidR="00ED336F" w:rsidRPr="00435469">
        <w:rPr>
          <w:rFonts w:cs="Times New Roman"/>
          <w:sz w:val="20"/>
          <w:szCs w:val="20"/>
        </w:rPr>
        <w:t xml:space="preserve"> is </w:t>
      </w:r>
      <w:r w:rsidR="00E74686" w:rsidRPr="00435469">
        <w:rPr>
          <w:rFonts w:cs="Times New Roman"/>
          <w:sz w:val="20"/>
          <w:szCs w:val="20"/>
        </w:rPr>
        <w:t xml:space="preserve">assumed to be 100% sensitive and 100% specific. </w:t>
      </w:r>
      <w:r w:rsidRPr="00435469">
        <w:rPr>
          <w:rFonts w:cs="Times New Roman"/>
          <w:sz w:val="20"/>
          <w:szCs w:val="20"/>
        </w:rPr>
        <w:t xml:space="preserve">The </w:t>
      </w:r>
      <w:r w:rsidR="00B14589" w:rsidRPr="00435469">
        <w:rPr>
          <w:rFonts w:cs="Times New Roman"/>
          <w:sz w:val="20"/>
          <w:szCs w:val="20"/>
        </w:rPr>
        <w:t xml:space="preserve">assumed </w:t>
      </w:r>
      <w:r w:rsidRPr="00435469">
        <w:rPr>
          <w:rFonts w:cs="Times New Roman"/>
          <w:sz w:val="20"/>
          <w:szCs w:val="20"/>
        </w:rPr>
        <w:t>values</w:t>
      </w:r>
      <w:r w:rsidR="00ED336F" w:rsidRPr="00435469">
        <w:rPr>
          <w:rFonts w:cs="Times New Roman"/>
          <w:sz w:val="20"/>
          <w:szCs w:val="20"/>
        </w:rPr>
        <w:t xml:space="preserve"> for the other tests are</w:t>
      </w:r>
      <w:r w:rsidRPr="00435469">
        <w:rPr>
          <w:rFonts w:cs="Times New Roman"/>
          <w:sz w:val="20"/>
          <w:szCs w:val="20"/>
        </w:rPr>
        <w:t xml:space="preserve"> shown in </w:t>
      </w:r>
      <w:r w:rsidRPr="00435469">
        <w:rPr>
          <w:rFonts w:cs="Times New Roman"/>
          <w:sz w:val="20"/>
          <w:szCs w:val="20"/>
        </w:rPr>
        <w:fldChar w:fldCharType="begin"/>
      </w:r>
      <w:r w:rsidRPr="00435469">
        <w:rPr>
          <w:rFonts w:cs="Times New Roman"/>
          <w:sz w:val="20"/>
          <w:szCs w:val="20"/>
        </w:rPr>
        <w:instrText xml:space="preserve"> REF _Ref88486438 \h </w:instrText>
      </w:r>
      <w:r w:rsidR="00F334C7" w:rsidRPr="00435469">
        <w:rPr>
          <w:rFonts w:cs="Times New Roman"/>
          <w:sz w:val="20"/>
          <w:szCs w:val="20"/>
        </w:rPr>
        <w:instrText xml:space="preserve"> \* MERGEFORMAT </w:instrText>
      </w:r>
      <w:r w:rsidRPr="00435469">
        <w:rPr>
          <w:rFonts w:cs="Times New Roman"/>
          <w:sz w:val="20"/>
          <w:szCs w:val="20"/>
        </w:rPr>
      </w:r>
      <w:r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10</w:t>
      </w:r>
      <w:r w:rsidRPr="00435469">
        <w:rPr>
          <w:rFonts w:cs="Times New Roman"/>
          <w:sz w:val="20"/>
          <w:szCs w:val="20"/>
        </w:rPr>
        <w:fldChar w:fldCharType="end"/>
      </w:r>
      <w:r w:rsidRPr="00435469">
        <w:rPr>
          <w:rFonts w:cs="Times New Roman"/>
          <w:sz w:val="20"/>
          <w:szCs w:val="20"/>
        </w:rPr>
        <w:t xml:space="preserve">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{"citationItems":[{"id":"ITEM-1","itemData":{"abstract":"NACO","author":[{"dropping-particle":"","family":"Boehme","given":"Catharina C.","non-dropping-particle":"","parse-names":false,"suffix":""},{"dropping-particle":"","family":"Nabeta","given":"Pamela","non-dropping-particle":"","parse-names":false,"suffix":""},{"dropping-particle":"","family":"Hillemann","given":"Doris","non-dropping-particle":"","parse-names":false,"suffix":""},{"dropping-particle":"","family":"Nicol","given":"Mark P.","non-dropping-particle":"","parse-names":false,"suffix":""},{"dropping-particle":"","family":"Shenai","given":"Shubhada","non-dropping-particle":"","parse-names":false,"suffix":""},{"dropping-particle":"","family":"Krapp","given":"Fiorella","non-dropping-particle":"","parse-names":false,"suffix":""},{"dropping-particle":"","family":"Allen","given":"Jenny","non-dropping-particle":"","parse-names":false,"suffix":""},{"dropping-particle":"","family":"Tahirli","given":"Rasim","non-dropping-particle":"","parse-names":false,"suffix":""},{"dropping-particle":"","family":"Blakemore","given":"Robert","non-dropping-particle":"","parse-names":false,"suffix":""},{"dropping-particle":"","family":"Rustomjee","given":"Roxana","non-dropping-particle":"","parse-names":false,"suffix":""},{"dropping-particle":"","family":"Milovic","given":"Ana","non-dropping-particle":"","parse-names":false,"suffix":""},{"dropping-particle":"","family":"Jones","given":"Martin","non-dropping-particle":"","parse-names":false,"suffix":""},{"dropping-particle":"","family":"O'Brien","given":"Sean M.","non-dropping-particle":"","parse-names":false,"suffix":""},{"dropping-particle":"","family":"Persing","given":"David H.","non-dropping-particle":"","parse-names":false,"suffix":""},{"dropping-particle":"","family":"Ruesch-Gerdes","given":"Sabine","non-dropping-particle":"","parse-names":false,"suffix":""},{"dropping-particle":"","family":"Gotuzzo","given":"Eduardo","non-dropping-particle":"","parse-names":false,"suffix":""},{"dropping-particle":"","family":"Rodrigues","given":"Camilla","non-dropping-particle":"","parse-names":false,"suffix":""},{"dropping-particle":"","family":"Alland","given":"David","non-dropping-particle":"","parse-names":false,"suffix":""},{"dropping-particle":"","family":"Perkins","given":"Mark D.","non-dropping-particle":"","parse-names":false,"suffix":""}],"container-title":"New England Journal of Medicine","id":"ITEM-1","issued":{"date-parts":[["2010"]]},"page":"225-237","title":"Rapid Molecular Detection of Tuberculosis and Rifampin Resistance","type":"article-journal"},"uris":["http://www.mendeley.com/documents/?uuid=b8d5a330-5343-4d67-9fa5-71af6440ae67"]},{"id":"ITEM-2","itemData":{"DOI":"10.11604/pamj.2014.19.162.3658","ISSN":"19378688","abstract":"Results: a total of 92 suspected TB cases was included in the study. Of these, 27.17% (25/92) were positive for microscopic examination and 51% (47/92) for culture. The sensitivity and specificity of microscopic examination with 95% CI were 48.94% (34.08% to 63.93%) and 95.56% (84.82 to 99.33%), respectively. The positive and negative predictive values were 92% (73.93% to 98.78%) and 64.18% (51.53% to 75.53%), respectively. Of 8150 pulmonary TB cases in the retrospective study, 58.9% was smear negative. The proportion of TB-HIV co-infection was 28.66% (96/335).\nConclusion: the sensitivity of microscopic examination was 48.94% which was very low. The poor sensitivity of this test together with the advent of HIV/AIDS elevated the prevalence of smear negative pulmonary TB. This in turn increased the risk of TB transmission.\nIntroduction: tuberculosis causes illness among millions of people each year and ranks as the second leading cause of death from infectious disease worldwide. The aim of this study was to investigate the detection rate of microscopic examination and estimate risk of transmission of TB by smear negative pulmonary TB patients.\nMethods: a cross-sectional study and retrospective data analysis on TB were undertaken in Northwest Shewa, Ethiopia. Microscopic examination, bacterial culture and PCR were performed. The statistical analysis was made by using STATA software version 10.","author":[{"dropping-particle":"","family":"Keflie","given":"Tibebe Selassie Seyoum","non-dropping-particle":"","parse-names":false,"suffix":""},{"dropping-particle":"","family":"Ameni","given":"Gobena","non-dropping-particle":"","parse-names":false,"suffix":""}],"container-title":"Pan African Medical Journal","id":"ITEM-2","issued":{"date-parts":[["2014"]]},"page":"1-10","title":"Microscopic examination and smear negative pulmonary tuberculosis in ethiopia","type":"article-journal","volume":"19"},"uris":["http://www.mendeley.com/documents/?uuid=9f826058-6d2d-4798-b970-21beaaeda43d"]},{"id":"ITEM-3","itemData":{"DOI":"10.1186/1471-2334-9-53","ISSN":"14712334","abstract":"Background: Sputum concentration increases the sensitivity of smear microscopy for the diagnosis of tuberculosis (TB), but few studies have investigated this method in human immunodeficiency virus (HIV)-infected individuals. Methods: We performed a prospective, blinded evaluation of direct and concentrated Ziehl-Neelsen smear microscopy on a single early-morning sputum sample in HIV-infected patients with &gt; 2 weeks of cough hospitalized in Kampala, Uganda. Direct and concentrated smear results were compared with results of Lowenstein-Jensen culture. Results: Of 279 participants, 170 (61%) had culture-confirmed TB. The sensitivity of direct and concentrated smear microscopy was not significantly different (51% vs. 52%, difference 1%, 95% confidence interval (CI): [-7%, 10%], p = 0.88). However, when results of both direct and concentrated smears were considered together, sensitivity was significantly increased compared with either method alone (64%, 95% CI: [56%, 72%], p &lt; 0.01 for both comparisons) and was similar to that of direct smear results from consecutive (spot and early-morning) specimens (64% vs. 63%, difference 1%, 95% CI: [-6%, 8%], p = 0.85). Among 109 patients with negative cultures, one had a positive direct smear and 12 had positive concentrated smears (specificity 99% vs. 89%, difference 10%, 95% CI: [2%, 18%], p = 0.003). Of these 13 patients, 5 (38%) had improved on TB therapy after two months. Conclusion: Sputum concentration did not increase the sensitivity of light microscopy for TB diagnosis in this HIV-infected population. Given the resource requirements for sputum concentration, additional studies using maximal blinding, high-quality direct microscopy, and a rigorous gold standard should be conducted before universally recommending this technique. © 2009 Cattamanchi et al; licensee BioMed Central Ltd.","author":[{"dropping-particle":"","family":"Cattamanchi","given":"Adithya","non-dropping-particle":"","parse-names":false,"suffix":""},{"dropping-particle":"","family":"Dowdy","given":"David W.","non-dropping-particle":"","parse-names":false,"suffix":""},{"dropping-particle":"","family":"Davis","given":"J. Lucian","non-dropping-particle":"","parse-names":false,"suffix":""},{"dropping-particle":"","family":"Worodria","given":"William","non-dropping-particle":"","parse-names":false,"suffix":""},{"dropping-particle":"","family":"Yoo","given":"Samuel","non-dropping-particle":"","parse-names":false,"suffix":""},{"dropping-particle":"","family":"Joloba","given":"Moses","non-dropping-particle":"","parse-names":false,"suffix":""},{"dropping-particle":"","family":"Matovu","given":"John","non-dropping-particle":"","parse-names":false,"suffix":""},{"dropping-particle":"","family":"Hopewell","given":"Philip C.","non-dropping-particle":"","parse-names":false,"suffix":""},{"dropping-particle":"","family":"Huang","given":"Laurence","non-dropping-particle":"","parse-names":false,"suffix":""}],"container-title":"BMC Infectious Diseases","id":"ITEM-3","issued":{"date-parts":[["2009"]]},"page":"1-8","title":"Sensitivity of direct versus concentrated sputum smear microscopy in HIV-infected patients suspected of having pulmonary tuberculosis","type":"article-journal","volume":"9"},"uris":["http://www.mendeley.com/documents/?uuid=9e3d60fa-1b06-4b5d-a3b4-ddf5ae5b6be1"]},{"id":"ITEM-4","itemData":{"DOI":"10.1002/14651858.CD009593.pub4.www.cochranelibrary.com","author":[{"dropping-particle":"","family":"Horne","given":"DJ","non-dropping-particle":"","parse-names":false,"suffix":""},{"dropping-particle":"","family":"Kohli","given":"M","non-dropping-particle":"","parse-names":false,"suffix":""},{"dropping-particle":"","family":"Zifodya","given":"JS","non-dropping-particle":"","parse-names":false,"suffix":""},{"dropping-particle":"","family":"I","given":"Schiller","non-dropping-particle":"","parse-names":false,"suffix":""},{"dropping-particle":"","family":"N","given":"Dendukuri","non-dropping-particle":"","parse-names":false,"suffix":""},{"dropping-particle":"","family":"D","given":"Tollefson","non-dropping-particle":"","parse-names":false,"suffix":""},{"dropping-particle":"","family":"SG","given":"Schumacher","non-dropping-particle":"","parse-names":false,"suffix":""},{"dropping-particle":"","family":"EA","given":"Ochodo","non-dropping-particle":"","parse-names":false,"suffix":""},{"dropping-particle":"","family":"M","given":"Pai","non-dropping-particle":"","parse-names":false,"suffix":""},{"dropping-particle":"","family":"KR","given":"Steingart","non-dropping-particle":"","parse-names":false,"suffix":""}],"container-title":"Cochrane Database of Systematic Reviews","id":"ITEM-4","issue":"6","issued":{"date-parts":[["2019"]]},"title":"Xpert MTB/RIF and Xpert MTB/RIF Ultra for pulmonary tuberculosis and rifampicin resistance in adults","type":"article-journal"},"uris":["http://www.mendeley.com/documents/?uuid=1d44f7ec-8b15-4ba0-8e96-a03cd0b601a2"]}],"mendeley":{"formattedCitation":"(62–65)","plainTextFormattedCitation":"(62–65)","previouslyFormattedCitation":"(62–65)"},"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(62–65)</w:t>
      </w:r>
      <w:r w:rsidRPr="00435469">
        <w:rPr>
          <w:rFonts w:cs="Times New Roman"/>
          <w:sz w:val="20"/>
          <w:szCs w:val="20"/>
        </w:rPr>
        <w:fldChar w:fldCharType="end"/>
      </w:r>
      <w:r w:rsidRPr="00435469">
        <w:rPr>
          <w:rFonts w:cs="Times New Roman"/>
          <w:sz w:val="20"/>
          <w:szCs w:val="20"/>
        </w:rPr>
        <w:t xml:space="preserve">. </w:t>
      </w:r>
    </w:p>
    <w:p w14:paraId="3E23D7A3" w14:textId="77777777" w:rsidR="001322FC" w:rsidRPr="00435469" w:rsidRDefault="001322FC" w:rsidP="00955FFB">
      <w:pPr>
        <w:spacing w:line="240" w:lineRule="auto"/>
        <w:rPr>
          <w:rFonts w:cs="Times New Roman"/>
          <w:sz w:val="20"/>
          <w:szCs w:val="20"/>
        </w:rPr>
      </w:pPr>
    </w:p>
    <w:p w14:paraId="5F36A4D9" w14:textId="2C4069B4" w:rsidR="000D2816" w:rsidRPr="00435469" w:rsidRDefault="00971F36" w:rsidP="00955FFB">
      <w:pPr>
        <w:spacing w:line="240" w:lineRule="auto"/>
        <w:rPr>
          <w:rFonts w:cs="Times New Roman"/>
          <w:sz w:val="20"/>
          <w:szCs w:val="20"/>
        </w:rPr>
      </w:pPr>
      <w:r w:rsidRPr="00435469">
        <w:rPr>
          <w:rFonts w:cs="Times New Roman"/>
          <w:sz w:val="20"/>
          <w:szCs w:val="20"/>
        </w:rPr>
        <w:tab/>
      </w:r>
      <w:bookmarkStart w:id="163" w:name="_Ref41386335"/>
    </w:p>
    <w:p w14:paraId="6FA46E4F" w14:textId="64586D17" w:rsidR="00971F36" w:rsidRPr="00435469" w:rsidRDefault="00971F36" w:rsidP="00955FFB">
      <w:pPr>
        <w:pStyle w:val="3CaptionBelowwithNote"/>
        <w:rPr>
          <w:iCs/>
          <w:sz w:val="20"/>
          <w:szCs w:val="20"/>
        </w:rPr>
      </w:pPr>
      <w:bookmarkStart w:id="164" w:name="_Ref88486438"/>
      <w:bookmarkStart w:id="165" w:name="_Toc59986826"/>
      <w:bookmarkStart w:id="166" w:name="_Toc80352725"/>
      <w:bookmarkStart w:id="167" w:name="_Toc87863400"/>
      <w:bookmarkStart w:id="168" w:name="_Toc103253663"/>
      <w:r w:rsidRPr="00435469">
        <w:rPr>
          <w:sz w:val="20"/>
          <w:szCs w:val="20"/>
        </w:rPr>
        <w:lastRenderedPageBreak/>
        <w:t xml:space="preserve">Table </w:t>
      </w:r>
      <w:r w:rsidRPr="00435469">
        <w:rPr>
          <w:iCs/>
          <w:noProof w:val="0"/>
          <w:sz w:val="20"/>
          <w:szCs w:val="20"/>
        </w:rPr>
        <w:fldChar w:fldCharType="begin"/>
      </w:r>
      <w:r w:rsidRPr="00435469">
        <w:rPr>
          <w:sz w:val="20"/>
          <w:szCs w:val="20"/>
        </w:rPr>
        <w:instrText xml:space="preserve"> SEQ Table \* ARABIC </w:instrText>
      </w:r>
      <w:r w:rsidRPr="00435469">
        <w:rPr>
          <w:iCs/>
          <w:noProof w:val="0"/>
          <w:sz w:val="20"/>
          <w:szCs w:val="20"/>
        </w:rPr>
        <w:fldChar w:fldCharType="separate"/>
      </w:r>
      <w:r w:rsidR="00186C2F" w:rsidRPr="00435469">
        <w:rPr>
          <w:sz w:val="20"/>
          <w:szCs w:val="20"/>
        </w:rPr>
        <w:t>10</w:t>
      </w:r>
      <w:r w:rsidRPr="00435469">
        <w:rPr>
          <w:iCs/>
          <w:sz w:val="20"/>
          <w:szCs w:val="20"/>
        </w:rPr>
        <w:fldChar w:fldCharType="end"/>
      </w:r>
      <w:bookmarkEnd w:id="163"/>
      <w:bookmarkEnd w:id="164"/>
      <w:r w:rsidRPr="00435469">
        <w:rPr>
          <w:sz w:val="20"/>
          <w:szCs w:val="20"/>
        </w:rPr>
        <w:t>: Assumed sensitivity and specificity of diagnostic tests by smear-status</w:t>
      </w:r>
      <w:bookmarkEnd w:id="165"/>
      <w:bookmarkEnd w:id="166"/>
      <w:bookmarkEnd w:id="167"/>
      <w:bookmarkEnd w:id="168"/>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1"/>
        <w:gridCol w:w="1943"/>
        <w:gridCol w:w="3260"/>
      </w:tblGrid>
      <w:tr w:rsidR="00304411" w:rsidRPr="00435469" w14:paraId="04E0A2DF" w14:textId="77777777" w:rsidTr="001D2D8A">
        <w:trPr>
          <w:trHeight w:val="265"/>
        </w:trPr>
        <w:tc>
          <w:tcPr>
            <w:tcW w:w="4011" w:type="dxa"/>
            <w:tcBorders>
              <w:top w:val="single" w:sz="4" w:space="0" w:color="auto"/>
              <w:bottom w:val="single" w:sz="4" w:space="0" w:color="auto"/>
            </w:tcBorders>
          </w:tcPr>
          <w:p w14:paraId="1228CEB4" w14:textId="41579B8B" w:rsidR="00971F36" w:rsidRPr="00435469" w:rsidRDefault="00971F36" w:rsidP="00AD6E54">
            <w:pPr>
              <w:pStyle w:val="3TableData"/>
            </w:pPr>
          </w:p>
        </w:tc>
        <w:tc>
          <w:tcPr>
            <w:tcW w:w="1943" w:type="dxa"/>
            <w:tcBorders>
              <w:top w:val="single" w:sz="4" w:space="0" w:color="auto"/>
              <w:bottom w:val="single" w:sz="4" w:space="0" w:color="auto"/>
            </w:tcBorders>
          </w:tcPr>
          <w:p w14:paraId="428E8890" w14:textId="018801C7" w:rsidR="00971F36" w:rsidRPr="00435469" w:rsidRDefault="00971F36" w:rsidP="00AD6E54">
            <w:pPr>
              <w:pStyle w:val="3TableData"/>
            </w:pPr>
            <w:r w:rsidRPr="00435469">
              <w:t xml:space="preserve">Value </w:t>
            </w:r>
          </w:p>
        </w:tc>
        <w:tc>
          <w:tcPr>
            <w:tcW w:w="3260" w:type="dxa"/>
            <w:tcBorders>
              <w:top w:val="single" w:sz="4" w:space="0" w:color="auto"/>
              <w:bottom w:val="single" w:sz="4" w:space="0" w:color="auto"/>
            </w:tcBorders>
          </w:tcPr>
          <w:p w14:paraId="7119C67D" w14:textId="77777777" w:rsidR="00971F36" w:rsidRPr="00435469" w:rsidRDefault="00971F36" w:rsidP="00AD6E54">
            <w:pPr>
              <w:pStyle w:val="3TableData"/>
            </w:pPr>
            <w:r w:rsidRPr="00435469">
              <w:t>Source</w:t>
            </w:r>
          </w:p>
        </w:tc>
      </w:tr>
      <w:tr w:rsidR="00304411" w:rsidRPr="00435469" w14:paraId="14FCA330" w14:textId="77777777" w:rsidTr="001D2D8A">
        <w:trPr>
          <w:trHeight w:val="265"/>
        </w:trPr>
        <w:tc>
          <w:tcPr>
            <w:tcW w:w="4011" w:type="dxa"/>
            <w:tcBorders>
              <w:top w:val="single" w:sz="4" w:space="0" w:color="auto"/>
            </w:tcBorders>
          </w:tcPr>
          <w:p w14:paraId="6DECC622" w14:textId="440D46B0" w:rsidR="005C1349" w:rsidRPr="00435469" w:rsidRDefault="005C1349" w:rsidP="00AD6E54">
            <w:pPr>
              <w:pStyle w:val="3TableData"/>
            </w:pPr>
            <w:r w:rsidRPr="00435469">
              <w:t xml:space="preserve">Sensitivity of </w:t>
            </w:r>
            <w:r w:rsidR="009B4A3E" w:rsidRPr="00435469">
              <w:t>Gene</w:t>
            </w:r>
            <w:r w:rsidR="00FD0748" w:rsidRPr="00435469">
              <w:t>Xpert MTB/RIF</w:t>
            </w:r>
            <w:r w:rsidRPr="00435469">
              <w:t xml:space="preserve"> (</w:t>
            </w:r>
            <m:oMath>
              <m:sSub>
                <m:sSubPr>
                  <m:ctrlPr>
                    <w:rPr>
                      <w:rFonts w:ascii="Cambria Math" w:hAnsi="Cambria Math"/>
                    </w:rPr>
                  </m:ctrlPr>
                </m:sSubPr>
                <m:e>
                  <m:r>
                    <w:rPr>
                      <w:rFonts w:ascii="Cambria Math" w:hAnsi="Cambria Math"/>
                    </w:rPr>
                    <m:t>Se</m:t>
                  </m:r>
                </m:e>
                <m:sub>
                  <m:r>
                    <w:rPr>
                      <w:rFonts w:ascii="Cambria Math" w:hAnsi="Cambria Math"/>
                    </w:rPr>
                    <m:t>G</m:t>
                  </m:r>
                </m:sub>
              </m:sSub>
              <m:d>
                <m:dPr>
                  <m:ctrlPr>
                    <w:rPr>
                      <w:rFonts w:ascii="Cambria Math" w:hAnsi="Cambria Math"/>
                    </w:rPr>
                  </m:ctrlPr>
                </m:dPr>
                <m:e>
                  <m:r>
                    <w:rPr>
                      <w:rFonts w:ascii="Cambria Math" w:hAnsi="Cambria Math"/>
                    </w:rPr>
                    <m:t>a</m:t>
                  </m:r>
                </m:e>
              </m:d>
            </m:oMath>
            <w:r w:rsidRPr="00435469">
              <w:t>)</w:t>
            </w:r>
          </w:p>
        </w:tc>
        <w:tc>
          <w:tcPr>
            <w:tcW w:w="1943" w:type="dxa"/>
            <w:tcBorders>
              <w:top w:val="single" w:sz="4" w:space="0" w:color="auto"/>
            </w:tcBorders>
          </w:tcPr>
          <w:p w14:paraId="2F79F58C" w14:textId="77777777" w:rsidR="005C1349" w:rsidRPr="00435469" w:rsidRDefault="005C1349" w:rsidP="00AD6E54">
            <w:pPr>
              <w:pStyle w:val="3TableData"/>
            </w:pPr>
          </w:p>
        </w:tc>
        <w:tc>
          <w:tcPr>
            <w:tcW w:w="3260" w:type="dxa"/>
            <w:tcBorders>
              <w:top w:val="single" w:sz="4" w:space="0" w:color="auto"/>
            </w:tcBorders>
          </w:tcPr>
          <w:p w14:paraId="74CDC49D" w14:textId="77777777" w:rsidR="005C1349" w:rsidRPr="00435469" w:rsidRDefault="005C1349" w:rsidP="00AD6E54">
            <w:pPr>
              <w:pStyle w:val="3TableData"/>
            </w:pPr>
          </w:p>
        </w:tc>
      </w:tr>
      <w:tr w:rsidR="00304411" w:rsidRPr="00435469" w14:paraId="68DD8BDD" w14:textId="77777777" w:rsidTr="001D2D8A">
        <w:trPr>
          <w:trHeight w:val="277"/>
        </w:trPr>
        <w:tc>
          <w:tcPr>
            <w:tcW w:w="4011" w:type="dxa"/>
          </w:tcPr>
          <w:p w14:paraId="38D5096C" w14:textId="77777777" w:rsidR="00971F36" w:rsidRPr="00435469" w:rsidRDefault="00971F36" w:rsidP="00AD6E54">
            <w:pPr>
              <w:pStyle w:val="3TableData"/>
            </w:pPr>
            <w:r w:rsidRPr="00435469">
              <w:t>Smear-positive (</w:t>
            </w:r>
            <m:oMath>
              <m:sSub>
                <m:sSubPr>
                  <m:ctrlPr>
                    <w:rPr>
                      <w:rFonts w:ascii="Cambria Math" w:hAnsi="Cambria Math"/>
                    </w:rPr>
                  </m:ctrlPr>
                </m:sSubPr>
                <m:e>
                  <m:r>
                    <w:rPr>
                      <w:rFonts w:ascii="Cambria Math" w:hAnsi="Cambria Math"/>
                    </w:rPr>
                    <m:t>Se</m:t>
                  </m:r>
                </m:e>
                <m:sub>
                  <m:r>
                    <w:rPr>
                      <w:rFonts w:ascii="Cambria Math" w:hAnsi="Cambria Math"/>
                    </w:rPr>
                    <m:t>G</m:t>
                  </m:r>
                </m:sub>
              </m:sSub>
              <m:d>
                <m:dPr>
                  <m:ctrlPr>
                    <w:rPr>
                      <w:rFonts w:ascii="Cambria Math" w:hAnsi="Cambria Math"/>
                    </w:rPr>
                  </m:ctrlPr>
                </m:dPr>
                <m:e>
                  <m:r>
                    <w:rPr>
                      <w:rFonts w:ascii="Cambria Math" w:hAnsi="Cambria Math"/>
                    </w:rPr>
                    <m:t>1</m:t>
                  </m:r>
                </m:e>
              </m:d>
            </m:oMath>
            <w:r w:rsidRPr="00435469">
              <w:t>)</w:t>
            </w:r>
          </w:p>
        </w:tc>
        <w:tc>
          <w:tcPr>
            <w:tcW w:w="1943" w:type="dxa"/>
          </w:tcPr>
          <w:p w14:paraId="5FD747DA" w14:textId="676A2F06" w:rsidR="00971F36" w:rsidRPr="00435469" w:rsidRDefault="00971F36" w:rsidP="00AD6E54">
            <w:pPr>
              <w:pStyle w:val="3TableData"/>
            </w:pPr>
            <w:r w:rsidRPr="00435469">
              <w:t xml:space="preserve">0.98 </w:t>
            </w:r>
          </w:p>
        </w:tc>
        <w:tc>
          <w:tcPr>
            <w:tcW w:w="3260" w:type="dxa"/>
          </w:tcPr>
          <w:p w14:paraId="60EC6B4E" w14:textId="7B9313BD" w:rsidR="00971F36" w:rsidRPr="00435469" w:rsidRDefault="00971F36" w:rsidP="00AD6E54">
            <w:pPr>
              <w:pStyle w:val="3TableData"/>
            </w:pPr>
            <w:r w:rsidRPr="00435469">
              <w:t xml:space="preserve">Horne 2019 </w:t>
            </w:r>
            <w:r w:rsidRPr="00435469">
              <w:fldChar w:fldCharType="begin" w:fldLock="1"/>
            </w:r>
            <w:r w:rsidR="00A142FF" w:rsidRPr="00435469">
              <w:instrText>ADDIN CSL_CITATION {"citationItems":[{"id":"ITEM-1","itemData":{"DOI":"10.1002/14651858.CD009593.pub4.www.cochranelibrary.com","author":[{"dropping-particle":"","family":"Horne","given":"DJ","non-dropping-particle":"","parse-names":false,"suffix":""},{"dropping-particle":"","family":"Kohli","given":"M","non-dropping-particle":"","parse-names":false,"suffix":""},{"dropping-particle":"","family":"Zifodya","given":"JS","non-dropping-particle":"","parse-names":false,"suffix":""},{"dropping-particle":"","family":"I","given":"Schiller","non-dropping-particle":"","parse-names":false,"suffix":""},{"dropping-particle":"","family":"N","given":"Dendukuri","non-dropping-particle":"","parse-names":false,"suffix":""},{"dropping-particle":"","family":"D","given":"Tollefson","non-dropping-particle":"","parse-names":false,"suffix":""},{"dropping-particle":"","family":"SG","given":"Schumacher","non-dropping-particle":"","parse-names":false,"suffix":""},{"dropping-particle":"","family":"EA","given":"Ochodo","non-dropping-particle":"","parse-names":false,"suffix":""},{"dropping-particle":"","family":"M","given":"Pai","non-dropping-particle":"","parse-names":false,"suffix":""},{"dropping-particle":"","family":"KR","given":"Steingart","non-dropping-particle":"","parse-names":false,"suffix":""}],"container-title":"Cochrane Database of Systematic Reviews","id":"ITEM-1","issue":"6","issued":{"date-parts":[["2019"]]},"title":"Xpert MTB/RIF and Xpert MTB/RIF Ultra for pulmonary tuberculosis and rifampicin resistance in adults","type":"article-journal"},"uris":["http://www.mendeley.com/documents/?uuid=1d44f7ec-8b15-4ba0-8e96-a03cd0b601a2"]}],"mendeley":{"formattedCitation":"(65)","plainTextFormattedCitation":"(65)","previouslyFormattedCitation":"(65)"},"properties":{"noteIndex":0},"schema":"https://github.com/citation-style-language/schema/raw/master/csl-citation.json"}</w:instrText>
            </w:r>
            <w:r w:rsidRPr="00435469">
              <w:fldChar w:fldCharType="separate"/>
            </w:r>
            <w:r w:rsidR="0016391D" w:rsidRPr="00435469">
              <w:rPr>
                <w:noProof/>
              </w:rPr>
              <w:t>(65)</w:t>
            </w:r>
            <w:r w:rsidRPr="00435469">
              <w:fldChar w:fldCharType="end"/>
            </w:r>
          </w:p>
        </w:tc>
      </w:tr>
      <w:tr w:rsidR="00304411" w:rsidRPr="00435469" w14:paraId="436DCB5B" w14:textId="77777777" w:rsidTr="001D2D8A">
        <w:trPr>
          <w:trHeight w:val="265"/>
        </w:trPr>
        <w:tc>
          <w:tcPr>
            <w:tcW w:w="4011" w:type="dxa"/>
            <w:tcBorders>
              <w:bottom w:val="single" w:sz="4" w:space="0" w:color="auto"/>
            </w:tcBorders>
          </w:tcPr>
          <w:p w14:paraId="164B9925" w14:textId="77777777" w:rsidR="00971F36" w:rsidRPr="00435469" w:rsidRDefault="00971F36" w:rsidP="00AD6E54">
            <w:pPr>
              <w:pStyle w:val="3TableData"/>
            </w:pPr>
            <w:r w:rsidRPr="00435469">
              <w:t>Smear-negative (</w:t>
            </w:r>
            <m:oMath>
              <m:sSub>
                <m:sSubPr>
                  <m:ctrlPr>
                    <w:rPr>
                      <w:rFonts w:ascii="Cambria Math" w:hAnsi="Cambria Math"/>
                    </w:rPr>
                  </m:ctrlPr>
                </m:sSubPr>
                <m:e>
                  <m:r>
                    <w:rPr>
                      <w:rFonts w:ascii="Cambria Math" w:hAnsi="Cambria Math"/>
                    </w:rPr>
                    <m:t>Se</m:t>
                  </m:r>
                </m:e>
                <m:sub>
                  <m:r>
                    <w:rPr>
                      <w:rFonts w:ascii="Cambria Math" w:hAnsi="Cambria Math"/>
                    </w:rPr>
                    <m:t>G</m:t>
                  </m:r>
                </m:sub>
              </m:sSub>
              <m:d>
                <m:dPr>
                  <m:ctrlPr>
                    <w:rPr>
                      <w:rFonts w:ascii="Cambria Math" w:hAnsi="Cambria Math"/>
                    </w:rPr>
                  </m:ctrlPr>
                </m:dPr>
                <m:e>
                  <m:r>
                    <w:rPr>
                      <w:rFonts w:ascii="Cambria Math" w:hAnsi="Cambria Math"/>
                    </w:rPr>
                    <m:t>0</m:t>
                  </m:r>
                </m:e>
              </m:d>
            </m:oMath>
            <w:r w:rsidRPr="00435469">
              <w:t>)</w:t>
            </w:r>
          </w:p>
        </w:tc>
        <w:tc>
          <w:tcPr>
            <w:tcW w:w="1943" w:type="dxa"/>
            <w:tcBorders>
              <w:bottom w:val="single" w:sz="4" w:space="0" w:color="auto"/>
            </w:tcBorders>
          </w:tcPr>
          <w:p w14:paraId="6D3EDD95" w14:textId="66A91041" w:rsidR="00971F36" w:rsidRPr="00435469" w:rsidRDefault="00971F36" w:rsidP="00AD6E54">
            <w:pPr>
              <w:pStyle w:val="3TableData"/>
            </w:pPr>
            <w:r w:rsidRPr="00435469">
              <w:t xml:space="preserve">0.67 </w:t>
            </w:r>
          </w:p>
        </w:tc>
        <w:tc>
          <w:tcPr>
            <w:tcW w:w="3260" w:type="dxa"/>
            <w:tcBorders>
              <w:bottom w:val="single" w:sz="4" w:space="0" w:color="auto"/>
            </w:tcBorders>
          </w:tcPr>
          <w:p w14:paraId="1FC77F5D" w14:textId="0BF20AAD" w:rsidR="00971F36" w:rsidRPr="00435469" w:rsidRDefault="00971F36" w:rsidP="00AD6E54">
            <w:pPr>
              <w:pStyle w:val="3TableData"/>
            </w:pPr>
            <w:r w:rsidRPr="00435469">
              <w:t xml:space="preserve">Horne 2019 </w:t>
            </w:r>
            <w:r w:rsidRPr="00435469">
              <w:fldChar w:fldCharType="begin" w:fldLock="1"/>
            </w:r>
            <w:r w:rsidR="00A142FF" w:rsidRPr="00435469">
              <w:instrText>ADDIN CSL_CITATION {"citationItems":[{"id":"ITEM-1","itemData":{"DOI":"10.1002/14651858.CD009593.pub4.www.cochranelibrary.com","author":[{"dropping-particle":"","family":"Horne","given":"DJ","non-dropping-particle":"","parse-names":false,"suffix":""},{"dropping-particle":"","family":"Kohli","given":"M","non-dropping-particle":"","parse-names":false,"suffix":""},{"dropping-particle":"","family":"Zifodya","given":"JS","non-dropping-particle":"","parse-names":false,"suffix":""},{"dropping-particle":"","family":"I","given":"Schiller","non-dropping-particle":"","parse-names":false,"suffix":""},{"dropping-particle":"","family":"N","given":"Dendukuri","non-dropping-particle":"","parse-names":false,"suffix":""},{"dropping-particle":"","family":"D","given":"Tollefson","non-dropping-particle":"","parse-names":false,"suffix":""},{"dropping-particle":"","family":"SG","given":"Schumacher","non-dropping-particle":"","parse-names":false,"suffix":""},{"dropping-particle":"","family":"EA","given":"Ochodo","non-dropping-particle":"","parse-names":false,"suffix":""},{"dropping-particle":"","family":"M","given":"Pai","non-dropping-particle":"","parse-names":false,"suffix":""},{"dropping-particle":"","family":"KR","given":"Steingart","non-dropping-particle":"","parse-names":false,"suffix":""}],"container-title":"Cochrane Database of Systematic Reviews","id":"ITEM-1","issue":"6","issued":{"date-parts":[["2019"]]},"title":"Xpert MTB/RIF and Xpert MTB/RIF Ultra for pulmonary tuberculosis and rifampicin resistance in adults","type":"article-journal"},"uris":["http://www.mendeley.com/documents/?uuid=1d44f7ec-8b15-4ba0-8e96-a03cd0b601a2"]}],"mendeley":{"formattedCitation":"(65)","plainTextFormattedCitation":"(65)","previouslyFormattedCitation":"(65)"},"properties":{"noteIndex":0},"schema":"https://github.com/citation-style-language/schema/raw/master/csl-citation.json"}</w:instrText>
            </w:r>
            <w:r w:rsidRPr="00435469">
              <w:fldChar w:fldCharType="separate"/>
            </w:r>
            <w:r w:rsidR="0016391D" w:rsidRPr="00435469">
              <w:rPr>
                <w:noProof/>
              </w:rPr>
              <w:t>(65)</w:t>
            </w:r>
            <w:r w:rsidRPr="00435469">
              <w:fldChar w:fldCharType="end"/>
            </w:r>
          </w:p>
        </w:tc>
      </w:tr>
      <w:tr w:rsidR="00304411" w:rsidRPr="00435469" w14:paraId="4C51557D" w14:textId="77777777" w:rsidTr="001D2D8A">
        <w:trPr>
          <w:trHeight w:val="277"/>
        </w:trPr>
        <w:tc>
          <w:tcPr>
            <w:tcW w:w="4011" w:type="dxa"/>
            <w:tcBorders>
              <w:top w:val="single" w:sz="4" w:space="0" w:color="auto"/>
            </w:tcBorders>
          </w:tcPr>
          <w:p w14:paraId="661F4137" w14:textId="77777777" w:rsidR="00971F36" w:rsidRPr="00435469" w:rsidRDefault="00971F36" w:rsidP="00AD6E54">
            <w:pPr>
              <w:pStyle w:val="3TableData"/>
            </w:pPr>
            <w:r w:rsidRPr="00435469">
              <w:t>Sensitivity of smear microscopy (</w:t>
            </w:r>
            <m:oMath>
              <m:sSub>
                <m:sSubPr>
                  <m:ctrlPr>
                    <w:rPr>
                      <w:rFonts w:ascii="Cambria Math" w:hAnsi="Cambria Math"/>
                    </w:rPr>
                  </m:ctrlPr>
                </m:sSubPr>
                <m:e>
                  <m:r>
                    <w:rPr>
                      <w:rFonts w:ascii="Cambria Math" w:hAnsi="Cambria Math"/>
                    </w:rPr>
                    <m:t>Se</m:t>
                  </m:r>
                </m:e>
                <m:sub>
                  <m:r>
                    <w:rPr>
                      <w:rFonts w:ascii="Cambria Math" w:hAnsi="Cambria Math"/>
                    </w:rPr>
                    <m:t>M</m:t>
                  </m:r>
                </m:sub>
              </m:sSub>
              <m:d>
                <m:dPr>
                  <m:ctrlPr>
                    <w:rPr>
                      <w:rFonts w:ascii="Cambria Math" w:hAnsi="Cambria Math"/>
                    </w:rPr>
                  </m:ctrlPr>
                </m:dPr>
                <m:e>
                  <m:r>
                    <w:rPr>
                      <w:rFonts w:ascii="Cambria Math" w:hAnsi="Cambria Math"/>
                    </w:rPr>
                    <m:t>a</m:t>
                  </m:r>
                </m:e>
              </m:d>
            </m:oMath>
            <w:r w:rsidRPr="00435469">
              <w:t>)</w:t>
            </w:r>
          </w:p>
        </w:tc>
        <w:tc>
          <w:tcPr>
            <w:tcW w:w="1943" w:type="dxa"/>
            <w:tcBorders>
              <w:top w:val="single" w:sz="4" w:space="0" w:color="auto"/>
            </w:tcBorders>
          </w:tcPr>
          <w:p w14:paraId="5815CF0B" w14:textId="77777777" w:rsidR="00971F36" w:rsidRPr="00435469" w:rsidRDefault="00971F36" w:rsidP="00AD6E54">
            <w:pPr>
              <w:pStyle w:val="3TableData"/>
            </w:pPr>
          </w:p>
        </w:tc>
        <w:tc>
          <w:tcPr>
            <w:tcW w:w="3260" w:type="dxa"/>
            <w:tcBorders>
              <w:top w:val="single" w:sz="4" w:space="0" w:color="auto"/>
            </w:tcBorders>
          </w:tcPr>
          <w:p w14:paraId="57B4C0B2" w14:textId="77777777" w:rsidR="00971F36" w:rsidRPr="00435469" w:rsidRDefault="00971F36" w:rsidP="00AD6E54">
            <w:pPr>
              <w:pStyle w:val="3TableData"/>
            </w:pPr>
          </w:p>
        </w:tc>
      </w:tr>
      <w:tr w:rsidR="00304411" w:rsidRPr="00435469" w14:paraId="785506CF" w14:textId="77777777" w:rsidTr="001D2D8A">
        <w:trPr>
          <w:trHeight w:val="265"/>
        </w:trPr>
        <w:tc>
          <w:tcPr>
            <w:tcW w:w="4011" w:type="dxa"/>
          </w:tcPr>
          <w:p w14:paraId="67497AAB" w14:textId="771208A9" w:rsidR="00971F36" w:rsidRPr="00435469" w:rsidRDefault="00971F36" w:rsidP="00AD6E54">
            <w:pPr>
              <w:pStyle w:val="3TableData"/>
            </w:pPr>
            <w:r w:rsidRPr="00435469">
              <w:t>Smear-positive (</w:t>
            </w:r>
            <m:oMath>
              <m:sSub>
                <m:sSubPr>
                  <m:ctrlPr>
                    <w:rPr>
                      <w:rFonts w:ascii="Cambria Math" w:hAnsi="Cambria Math"/>
                    </w:rPr>
                  </m:ctrlPr>
                </m:sSubPr>
                <m:e>
                  <m:r>
                    <w:rPr>
                      <w:rFonts w:ascii="Cambria Math" w:hAnsi="Cambria Math"/>
                    </w:rPr>
                    <m:t>Se</m:t>
                  </m:r>
                </m:e>
                <m:sub>
                  <m:r>
                    <w:rPr>
                      <w:rFonts w:ascii="Cambria Math" w:hAnsi="Cambria Math"/>
                    </w:rPr>
                    <m:t>M</m:t>
                  </m:r>
                </m:sub>
              </m:sSub>
              <m:d>
                <m:dPr>
                  <m:ctrlPr>
                    <w:rPr>
                      <w:rFonts w:ascii="Cambria Math" w:hAnsi="Cambria Math"/>
                    </w:rPr>
                  </m:ctrlPr>
                </m:dPr>
                <m:e>
                  <m:r>
                    <w:rPr>
                      <w:rFonts w:ascii="Cambria Math" w:hAnsi="Cambria Math"/>
                    </w:rPr>
                    <m:t>1</m:t>
                  </m:r>
                </m:e>
              </m:d>
            </m:oMath>
            <w:r w:rsidR="00E74686" w:rsidRPr="00435469">
              <w:rPr>
                <w:rFonts w:eastAsiaTheme="minorEastAsia"/>
              </w:rPr>
              <w:t>)</w:t>
            </w:r>
          </w:p>
        </w:tc>
        <w:tc>
          <w:tcPr>
            <w:tcW w:w="1943" w:type="dxa"/>
          </w:tcPr>
          <w:p w14:paraId="08F3DF4C" w14:textId="77777777" w:rsidR="00971F36" w:rsidRPr="00435469" w:rsidRDefault="00971F36" w:rsidP="00AD6E54">
            <w:pPr>
              <w:pStyle w:val="3TableData"/>
            </w:pPr>
            <w:r w:rsidRPr="00435469">
              <w:t>1</w:t>
            </w:r>
          </w:p>
        </w:tc>
        <w:tc>
          <w:tcPr>
            <w:tcW w:w="3260" w:type="dxa"/>
          </w:tcPr>
          <w:p w14:paraId="0ECA0CAD" w14:textId="77777777" w:rsidR="00971F36" w:rsidRPr="00435469" w:rsidRDefault="00971F36" w:rsidP="00AD6E54">
            <w:pPr>
              <w:pStyle w:val="3TableData"/>
            </w:pPr>
            <w:r w:rsidRPr="00435469">
              <w:t>Assumed</w:t>
            </w:r>
          </w:p>
        </w:tc>
      </w:tr>
      <w:tr w:rsidR="00304411" w:rsidRPr="00435469" w14:paraId="07A12EC6" w14:textId="77777777" w:rsidTr="001D2D8A">
        <w:trPr>
          <w:trHeight w:val="277"/>
        </w:trPr>
        <w:tc>
          <w:tcPr>
            <w:tcW w:w="4011" w:type="dxa"/>
            <w:tcBorders>
              <w:bottom w:val="single" w:sz="4" w:space="0" w:color="auto"/>
            </w:tcBorders>
          </w:tcPr>
          <w:p w14:paraId="70F33BB7" w14:textId="09E33681" w:rsidR="00971F36" w:rsidRPr="00435469" w:rsidRDefault="00971F36" w:rsidP="00AD6E54">
            <w:pPr>
              <w:pStyle w:val="3TableData"/>
            </w:pPr>
            <w:r w:rsidRPr="00435469">
              <w:t>Smear-negative (</w:t>
            </w:r>
            <m:oMath>
              <m:sSub>
                <m:sSubPr>
                  <m:ctrlPr>
                    <w:rPr>
                      <w:rFonts w:ascii="Cambria Math" w:hAnsi="Cambria Math"/>
                    </w:rPr>
                  </m:ctrlPr>
                </m:sSubPr>
                <m:e>
                  <m:r>
                    <w:rPr>
                      <w:rFonts w:ascii="Cambria Math" w:hAnsi="Cambria Math"/>
                    </w:rPr>
                    <m:t>Se</m:t>
                  </m:r>
                </m:e>
                <m:sub>
                  <m:r>
                    <w:rPr>
                      <w:rFonts w:ascii="Cambria Math" w:hAnsi="Cambria Math"/>
                    </w:rPr>
                    <m:t>M</m:t>
                  </m:r>
                </m:sub>
              </m:sSub>
              <m:d>
                <m:dPr>
                  <m:ctrlPr>
                    <w:rPr>
                      <w:rFonts w:ascii="Cambria Math" w:hAnsi="Cambria Math"/>
                    </w:rPr>
                  </m:ctrlPr>
                </m:dPr>
                <m:e>
                  <m:r>
                    <w:rPr>
                      <w:rFonts w:ascii="Cambria Math" w:hAnsi="Cambria Math"/>
                    </w:rPr>
                    <m:t>0</m:t>
                  </m:r>
                </m:e>
              </m:d>
            </m:oMath>
            <w:r w:rsidR="00E74686" w:rsidRPr="00435469">
              <w:rPr>
                <w:rFonts w:eastAsiaTheme="minorEastAsia"/>
              </w:rPr>
              <w:t>)</w:t>
            </w:r>
          </w:p>
        </w:tc>
        <w:tc>
          <w:tcPr>
            <w:tcW w:w="1943" w:type="dxa"/>
            <w:tcBorders>
              <w:bottom w:val="single" w:sz="4" w:space="0" w:color="auto"/>
            </w:tcBorders>
          </w:tcPr>
          <w:p w14:paraId="3E46D9E3" w14:textId="77777777" w:rsidR="00971F36" w:rsidRPr="00435469" w:rsidRDefault="00971F36" w:rsidP="00AD6E54">
            <w:pPr>
              <w:pStyle w:val="3TableData"/>
            </w:pPr>
            <w:r w:rsidRPr="00435469">
              <w:t>0</w:t>
            </w:r>
          </w:p>
        </w:tc>
        <w:tc>
          <w:tcPr>
            <w:tcW w:w="3260" w:type="dxa"/>
            <w:tcBorders>
              <w:bottom w:val="single" w:sz="4" w:space="0" w:color="auto"/>
            </w:tcBorders>
          </w:tcPr>
          <w:p w14:paraId="3F219D6D" w14:textId="77777777" w:rsidR="00971F36" w:rsidRPr="00435469" w:rsidRDefault="00971F36" w:rsidP="00AD6E54">
            <w:pPr>
              <w:pStyle w:val="3TableData"/>
            </w:pPr>
            <w:r w:rsidRPr="00435469">
              <w:t>Assumed</w:t>
            </w:r>
          </w:p>
        </w:tc>
      </w:tr>
      <w:tr w:rsidR="00304411" w:rsidRPr="00435469" w14:paraId="279BEB89" w14:textId="77777777" w:rsidTr="001D2D8A">
        <w:trPr>
          <w:trHeight w:val="265"/>
        </w:trPr>
        <w:tc>
          <w:tcPr>
            <w:tcW w:w="4011" w:type="dxa"/>
            <w:tcBorders>
              <w:top w:val="single" w:sz="4" w:space="0" w:color="auto"/>
            </w:tcBorders>
          </w:tcPr>
          <w:p w14:paraId="4D8C230B" w14:textId="77777777" w:rsidR="00971F36" w:rsidRPr="00435469" w:rsidRDefault="00971F36" w:rsidP="00AD6E54">
            <w:pPr>
              <w:pStyle w:val="3TableData"/>
            </w:pPr>
            <w:r w:rsidRPr="00435469">
              <w:t>Specificity of tests</w:t>
            </w:r>
          </w:p>
        </w:tc>
        <w:tc>
          <w:tcPr>
            <w:tcW w:w="1943" w:type="dxa"/>
            <w:tcBorders>
              <w:top w:val="single" w:sz="4" w:space="0" w:color="auto"/>
            </w:tcBorders>
          </w:tcPr>
          <w:p w14:paraId="142930EB" w14:textId="77777777" w:rsidR="00971F36" w:rsidRPr="00435469" w:rsidRDefault="00971F36" w:rsidP="00AD6E54">
            <w:pPr>
              <w:pStyle w:val="3TableData"/>
            </w:pPr>
          </w:p>
        </w:tc>
        <w:tc>
          <w:tcPr>
            <w:tcW w:w="3260" w:type="dxa"/>
            <w:tcBorders>
              <w:top w:val="single" w:sz="4" w:space="0" w:color="auto"/>
            </w:tcBorders>
          </w:tcPr>
          <w:p w14:paraId="0B466BA2" w14:textId="77777777" w:rsidR="00971F36" w:rsidRPr="00435469" w:rsidRDefault="00971F36" w:rsidP="00AD6E54">
            <w:pPr>
              <w:pStyle w:val="3TableData"/>
            </w:pPr>
          </w:p>
        </w:tc>
      </w:tr>
      <w:tr w:rsidR="00304411" w:rsidRPr="00435469" w14:paraId="2A2DF705" w14:textId="77777777" w:rsidTr="001D2D8A">
        <w:trPr>
          <w:trHeight w:val="273"/>
        </w:trPr>
        <w:tc>
          <w:tcPr>
            <w:tcW w:w="4011" w:type="dxa"/>
          </w:tcPr>
          <w:p w14:paraId="23A7BDC3" w14:textId="6E8DCF8E" w:rsidR="00971F36" w:rsidRPr="00435469" w:rsidRDefault="009B4A3E" w:rsidP="00AD6E54">
            <w:pPr>
              <w:pStyle w:val="3TableData"/>
            </w:pPr>
            <w:r w:rsidRPr="00435469">
              <w:t>Gene</w:t>
            </w:r>
            <w:r w:rsidR="00FD0748" w:rsidRPr="00435469">
              <w:t>Xpert MTB/RIF</w:t>
            </w:r>
            <w:r w:rsidR="00971F36" w:rsidRPr="00435469">
              <w:t xml:space="preserve"> </w:t>
            </w:r>
            <m:oMath>
              <m:r>
                <w:rPr>
                  <w:rFonts w:ascii="Cambria Math" w:hAnsi="Cambria Math"/>
                </w:rPr>
                <m:t>(S</m:t>
              </m:r>
              <m:sSub>
                <m:sSubPr>
                  <m:ctrlPr>
                    <w:rPr>
                      <w:rFonts w:ascii="Cambria Math" w:hAnsi="Cambria Math"/>
                    </w:rPr>
                  </m:ctrlPr>
                </m:sSubPr>
                <m:e>
                  <m:r>
                    <w:rPr>
                      <w:rFonts w:ascii="Cambria Math" w:hAnsi="Cambria Math"/>
                    </w:rPr>
                    <m:t>p</m:t>
                  </m:r>
                </m:e>
                <m:sub>
                  <m:r>
                    <w:rPr>
                      <w:rFonts w:ascii="Cambria Math" w:hAnsi="Cambria Math"/>
                    </w:rPr>
                    <m:t>G</m:t>
                  </m:r>
                </m:sub>
              </m:sSub>
              <m:r>
                <w:rPr>
                  <w:rFonts w:ascii="Cambria Math" w:hAnsi="Cambria Math"/>
                </w:rPr>
                <m:t>)</m:t>
              </m:r>
            </m:oMath>
          </w:p>
        </w:tc>
        <w:tc>
          <w:tcPr>
            <w:tcW w:w="1943" w:type="dxa"/>
          </w:tcPr>
          <w:p w14:paraId="7527B741" w14:textId="6EC42CCA" w:rsidR="00971F36" w:rsidRPr="00435469" w:rsidRDefault="00641CCA" w:rsidP="00AD6E54">
            <w:pPr>
              <w:pStyle w:val="3TableData"/>
            </w:pPr>
            <w:r w:rsidRPr="00435469">
              <w:t>0.</w:t>
            </w:r>
            <w:r w:rsidR="00941020" w:rsidRPr="00435469">
              <w:t>995</w:t>
            </w:r>
          </w:p>
        </w:tc>
        <w:tc>
          <w:tcPr>
            <w:tcW w:w="3260" w:type="dxa"/>
          </w:tcPr>
          <w:p w14:paraId="0FAE3B84" w14:textId="31A6CCF6" w:rsidR="00971F36" w:rsidRPr="00435469" w:rsidRDefault="00971F36" w:rsidP="00AD6E54">
            <w:pPr>
              <w:pStyle w:val="3TableData"/>
            </w:pPr>
            <w:r w:rsidRPr="00435469">
              <w:t xml:space="preserve">Horne 2019; Parker 2019 </w:t>
            </w:r>
            <w:r w:rsidRPr="00435469">
              <w:fldChar w:fldCharType="begin" w:fldLock="1"/>
            </w:r>
            <w:r w:rsidR="00A142FF" w:rsidRPr="00435469">
              <w:instrText>ADDIN CSL_CITATION {"citationItems":[{"id":"ITEM-1","itemData":{"DOI":"10.1002/14651858.CD009593.pub4.www.cochranelibrary.com","author":[{"dropping-particle":"","family":"Horne","given":"DJ","non-dropping-particle":"","parse-names":false,"suffix":""},{"dropping-particle":"","family":"Kohli","given":"M","non-dropping-particle":"","parse-names":false,"suffix":""},{"dropping-particle":"","family":"Zifodya","given":"JS","non-dropping-particle":"","parse-names":false,"suffix":""},{"dropping-particle":"","family":"I","given":"Schiller","non-dropping-particle":"","parse-names":false,"suffix":""},{"dropping-particle":"","family":"N","given":"Dendukuri","non-dropping-particle":"","parse-names":false,"suffix":""},{"dropping-particle":"","family":"D","given":"Tollefson","non-dropping-particle":"","parse-names":false,"suffix":""},{"dropping-particle":"","family":"SG","given":"Schumacher","non-dropping-particle":"","parse-names":false,"suffix":""},{"dropping-particle":"","family":"EA","given":"Ochodo","non-dropping-particle":"","parse-names":false,"suffix":""},{"dropping-particle":"","family":"M","given":"Pai","non-dropping-particle":"","parse-names":false,"suffix":""},{"dropping-particle":"","family":"KR","given":"Steingart","non-dropping-particle":"","parse-names":false,"suffix":""}],"container-title":"Cochrane Database of Systematic Reviews","id":"ITEM-1","issue":"6","issued":{"date-parts":[["2019"]]},"title":"Xpert MTB/RIF and Xpert MTB/RIF Ultra for pulmonary tuberculosis and rifampicin resistance in adults","type":"article-journal"},"uris":["http://www.mendeley.com/documents/?uuid=1d44f7ec-8b15-4ba0-8e96-a03cd0b601a2"]},{"id":"ITEM-2","itemData":{"DOI":"10.1164/rccm.201811-2112LE","ISBN":"2018112112","ISSN":"15354970","PMID":"30525873","author":[{"dropping-particle":"","family":"Parker","given":"Robert A.","non-dropping-particle":"","parse-names":false,"suffix":""}],"container-title":"American Journal of Respiratory and Critical Care Medicine","id":"ITEM-2","issue":"5","issued":{"date-parts":[["2019"]]},"page":"664","title":"Implications of tuberculosis sputum culture test sensitivity on accuracy of other diagnostic modalities","type":"article-journal","volume":"199"},"uris":["http://www.mendeley.com/documents/?uuid=58a9b4f9-5273-4eba-97dd-64f43d28b66d"]}],"mendeley":{"formattedCitation":"(65,66)","plainTextFormattedCitation":"(65,66)","previouslyFormattedCitation":"(65,66)"},"properties":{"noteIndex":0},"schema":"https://github.com/citation-style-language/schema/raw/master/csl-citation.json"}</w:instrText>
            </w:r>
            <w:r w:rsidRPr="00435469">
              <w:fldChar w:fldCharType="separate"/>
            </w:r>
            <w:r w:rsidR="0016391D" w:rsidRPr="00435469">
              <w:rPr>
                <w:noProof/>
              </w:rPr>
              <w:t>(65,66)</w:t>
            </w:r>
            <w:r w:rsidRPr="00435469">
              <w:fldChar w:fldCharType="end"/>
            </w:r>
            <w:r w:rsidRPr="00435469">
              <w:t xml:space="preserve"> </w:t>
            </w:r>
          </w:p>
        </w:tc>
      </w:tr>
      <w:tr w:rsidR="00304411" w:rsidRPr="00435469" w14:paraId="37704A7F" w14:textId="77777777" w:rsidTr="001D2D8A">
        <w:trPr>
          <w:trHeight w:val="265"/>
        </w:trPr>
        <w:tc>
          <w:tcPr>
            <w:tcW w:w="4011" w:type="dxa"/>
            <w:tcBorders>
              <w:bottom w:val="single" w:sz="4" w:space="0" w:color="auto"/>
            </w:tcBorders>
          </w:tcPr>
          <w:p w14:paraId="406A39E8" w14:textId="77777777" w:rsidR="00971F36" w:rsidRPr="00435469" w:rsidRDefault="00971F36" w:rsidP="00AD6E54">
            <w:pPr>
              <w:pStyle w:val="3TableData"/>
            </w:pPr>
            <w:r w:rsidRPr="00435469">
              <w:t xml:space="preserve">Microscopy </w:t>
            </w:r>
            <m:oMath>
              <m:r>
                <w:rPr>
                  <w:rFonts w:ascii="Cambria Math" w:hAnsi="Cambria Math"/>
                </w:rPr>
                <m:t>(S</m:t>
              </m:r>
              <m:sSub>
                <m:sSubPr>
                  <m:ctrlPr>
                    <w:rPr>
                      <w:rFonts w:ascii="Cambria Math" w:hAnsi="Cambria Math"/>
                    </w:rPr>
                  </m:ctrlPr>
                </m:sSubPr>
                <m:e>
                  <m:r>
                    <w:rPr>
                      <w:rFonts w:ascii="Cambria Math" w:hAnsi="Cambria Math"/>
                    </w:rPr>
                    <m:t>p</m:t>
                  </m:r>
                </m:e>
                <m:sub>
                  <m:r>
                    <w:rPr>
                      <w:rFonts w:ascii="Cambria Math" w:hAnsi="Cambria Math"/>
                    </w:rPr>
                    <m:t>M</m:t>
                  </m:r>
                </m:sub>
              </m:sSub>
              <m:r>
                <w:rPr>
                  <w:rFonts w:ascii="Cambria Math" w:hAnsi="Cambria Math"/>
                </w:rPr>
                <m:t>)</m:t>
              </m:r>
            </m:oMath>
          </w:p>
        </w:tc>
        <w:tc>
          <w:tcPr>
            <w:tcW w:w="1943" w:type="dxa"/>
            <w:tcBorders>
              <w:bottom w:val="single" w:sz="4" w:space="0" w:color="auto"/>
            </w:tcBorders>
          </w:tcPr>
          <w:p w14:paraId="463C50DF" w14:textId="1E548108" w:rsidR="00971F36" w:rsidRPr="00435469" w:rsidRDefault="00641CCA" w:rsidP="00AD6E54">
            <w:pPr>
              <w:pStyle w:val="3TableData"/>
            </w:pPr>
            <w:r w:rsidRPr="00435469">
              <w:t>0.</w:t>
            </w:r>
            <w:r w:rsidR="00971F36" w:rsidRPr="00435469">
              <w:t>98</w:t>
            </w:r>
          </w:p>
        </w:tc>
        <w:tc>
          <w:tcPr>
            <w:tcW w:w="3260" w:type="dxa"/>
            <w:tcBorders>
              <w:bottom w:val="single" w:sz="4" w:space="0" w:color="auto"/>
            </w:tcBorders>
          </w:tcPr>
          <w:p w14:paraId="12F761D1" w14:textId="078A506E" w:rsidR="00971F36" w:rsidRPr="00435469" w:rsidRDefault="00476627" w:rsidP="00AD6E54">
            <w:pPr>
              <w:pStyle w:val="3TableData"/>
            </w:pPr>
            <w:proofErr w:type="spellStart"/>
            <w:r w:rsidRPr="00435469">
              <w:t>Steingart</w:t>
            </w:r>
            <w:proofErr w:type="spellEnd"/>
            <w:r w:rsidRPr="00435469">
              <w:t xml:space="preserve"> 2006</w:t>
            </w:r>
            <w:r w:rsidR="00DB1469" w:rsidRPr="00435469">
              <w:t xml:space="preserve"> </w:t>
            </w:r>
            <w:r w:rsidR="00DB1469" w:rsidRPr="00435469">
              <w:fldChar w:fldCharType="begin" w:fldLock="1"/>
            </w:r>
            <w:r w:rsidR="00A142FF" w:rsidRPr="00435469">
              <w:instrText>ADDIN CSL_CITATION {"citationItems":[{"id":"ITEM-1","itemData":{"DOI":"10.1016/S1473-3099(06)70602-8","ISSN":"14733099","PMID":"17008175","abstract":"In low-income and middle-income countries, direct (unconcentrated) sputum smear microscopy is the primary method for diagnosing pulmonary tuberculosis. The method is fast, inexpensive, and specific for Mycobacterium tuberculosis in high incidence areas. The main limitations of direct microscopy are its relatively low sensitivity, especially in individuals co-infected with HIV, and variable quality of the test in programme conditions. Thus, there is a need to identify methods to improve the sensitivity of microscopy. Physical and chemical sputum processing methods, including centrifugation, sedimentation, and bleach, have been studied and found to show promise. We did a systematic review to assess the ability of different processing methods to improve the sensitivity of microscopy. By searching many sources, we identified 83 studies. Overall, by comparison with direct smears, the results suggested that centrifugation with any of several chemical methods (including bleach) is more sensitive, that overnight sedimentation preceded by chemical processing is more sensitive, and that specificity is similar. There were insufficient data to determine the value of sputum processing methods in patients with HIV infection. Operational studies are needed to determine whether the increased sensitivity provided by processing methods is sufficient to offset their increased cost, complexity, and potential biohazards, and to examine their feasibility. © 2006 Elsevier Ltd. All rights reserved.","author":[{"dropping-particle":"","family":"Steingart","given":"Karen R.","non-dropping-particle":"","parse-names":false,"suffix":""},{"dropping-particle":"","family":"Ng","given":"Vivienne","non-dropping-particle":"","parse-names":false,"suffix":""},{"dropping-particle":"","family":"Henry","given":"Megan","non-dropping-particle":"","parse-names":false,"suffix":""},{"dropping-particle":"","family":"Hopewell","given":"Philip C.","non-dropping-particle":"","parse-names":false,"suffix":""},{"dropping-particle":"","family":"Ramsay","given":"Andrew","non-dropping-particle":"","parse-names":false,"suffix":""},{"dropping-particle":"","family":"Cunningham","given":"Jane","non-dropping-particle":"","parse-names":false,"suffix":""},{"dropping-particle":"","family":"Urbanczik","given":"Richard","non-dropping-particle":"","parse-names":false,"suffix":""},{"dropping-particle":"","family":"Perkins","given":"Mark D.","non-dropping-particle":"","parse-names":false,"suffix":""},{"dropping-particle":"","family":"Aziz","given":"Mohamed Abdel","non-dropping-particle":"","parse-names":false,"suffix":""},{"dropping-particle":"","family":"Pai","given":"Madhukar","non-dropping-particle":"","parse-names":false,"suffix":""}],"container-title":"Lancet Infectious Diseases","id":"ITEM-1","issue":"10","issued":{"date-parts":[["2006"]]},"page":"664-674","title":"Sputum processing methods to improve the sensitivity of smear microscopy for tuberculosis: a systematic review","type":"article-journal","volume":"6"},"uris":["http://www.mendeley.com/documents/?uuid=2cd83902-c9f8-48e2-a1e7-554b3acd1e81"]}],"mendeley":{"formattedCitation":"(67)","plainTextFormattedCitation":"(67)","previouslyFormattedCitation":"(67)"},"properties":{"noteIndex":0},"schema":"https://github.com/citation-style-language/schema/raw/master/csl-citation.json"}</w:instrText>
            </w:r>
            <w:r w:rsidR="00DB1469" w:rsidRPr="00435469">
              <w:fldChar w:fldCharType="separate"/>
            </w:r>
            <w:r w:rsidR="0016391D" w:rsidRPr="00435469">
              <w:rPr>
                <w:noProof/>
              </w:rPr>
              <w:t>(67)</w:t>
            </w:r>
            <w:r w:rsidR="00DB1469" w:rsidRPr="00435469">
              <w:fldChar w:fldCharType="end"/>
            </w:r>
          </w:p>
        </w:tc>
      </w:tr>
    </w:tbl>
    <w:p w14:paraId="67C0738D" w14:textId="76B6E014" w:rsidR="00971F36" w:rsidRPr="00435469" w:rsidRDefault="00971F36" w:rsidP="00955FFB">
      <w:pPr>
        <w:pStyle w:val="Heading3"/>
        <w:rPr>
          <w:rFonts w:cs="Times New Roman"/>
          <w:color w:val="auto"/>
          <w:sz w:val="20"/>
          <w:szCs w:val="20"/>
        </w:rPr>
      </w:pPr>
      <w:bookmarkStart w:id="169" w:name="_Toc87863336"/>
      <w:bookmarkStart w:id="170" w:name="_Toc88488567"/>
      <w:bookmarkStart w:id="171" w:name="_Toc103252935"/>
      <w:r w:rsidRPr="00435469">
        <w:rPr>
          <w:rFonts w:cs="Times New Roman"/>
          <w:color w:val="auto"/>
          <w:sz w:val="20"/>
          <w:szCs w:val="20"/>
        </w:rPr>
        <w:t>Treatment initiation and initial loss to follow-up</w:t>
      </w:r>
      <w:bookmarkEnd w:id="144"/>
      <w:bookmarkEnd w:id="145"/>
      <w:bookmarkEnd w:id="146"/>
      <w:bookmarkEnd w:id="147"/>
      <w:bookmarkEnd w:id="148"/>
      <w:bookmarkEnd w:id="149"/>
      <w:bookmarkEnd w:id="150"/>
      <w:bookmarkEnd w:id="151"/>
      <w:bookmarkEnd w:id="169"/>
      <w:bookmarkEnd w:id="170"/>
      <w:bookmarkEnd w:id="171"/>
    </w:p>
    <w:p w14:paraId="5D1DD9AA" w14:textId="706DAE9B" w:rsidR="00971F36" w:rsidRPr="00435469" w:rsidRDefault="00971F36" w:rsidP="00955FFB">
      <w:pPr>
        <w:spacing w:line="240" w:lineRule="auto"/>
        <w:rPr>
          <w:rFonts w:eastAsia="Times New Roman" w:cs="Times New Roman"/>
          <w:sz w:val="20"/>
          <w:szCs w:val="20"/>
          <w:lang w:eastAsia="en-GB"/>
        </w:rPr>
      </w:pPr>
      <w:r w:rsidRPr="00435469">
        <w:rPr>
          <w:rFonts w:eastAsia="Times New Roman" w:cs="Times New Roman"/>
          <w:sz w:val="20"/>
          <w:szCs w:val="20"/>
          <w:lang w:eastAsia="en-GB"/>
        </w:rPr>
        <w:t xml:space="preserve">Following a positive diagnosis, some individuals are lost to follow-up before initiating treatment – this is referred to as initial loss to follow-up (ILTFU). The definition of ILTFU depends on the follow-up period at which individuals would be regarded as lost to follow-up. In most studies </w:t>
      </w:r>
      <w:r w:rsidRPr="00435469">
        <w:rPr>
          <w:rFonts w:eastAsia="Times New Roman" w:cs="Times New Roman"/>
          <w:sz w:val="20"/>
          <w:szCs w:val="20"/>
          <w:lang w:eastAsia="en-GB"/>
        </w:rPr>
        <w:fldChar w:fldCharType="begin" w:fldLock="1"/>
      </w:r>
      <w:r w:rsidR="00A142FF" w:rsidRPr="00435469">
        <w:rPr>
          <w:rFonts w:eastAsia="Times New Roman" w:cs="Times New Roman"/>
          <w:sz w:val="20"/>
          <w:szCs w:val="20"/>
          <w:lang w:eastAsia="en-GB"/>
        </w:rPr>
        <w:instrText>ADDIN CSL_CITATION {"citationItems":[{"id":"ITEM-1","itemData":{"DOI":"10.1093/infdis/jix335","ISBN":"0022-1899","ISSN":"15376613","PMID":"29117342","abstract":"Background. While tuberculosis incidence and mortality are declining in South Africa, meeting the goals of the End TB Strategy requires an invigorated programmatic response informed by accurate data. Enumerating the losses at each step in the care cascade enables appropriate targeting of interventions and resources. Methods. We estimated the tuberculosis burden; the number and proportion of individuals with tuberculosis who accessed tests, had tuberculosis diagnosed, initiated treatment, and successfully completed treatment for all tuberculosis cases, for those with drug-susceptible tuberculosis (including human immunodeficiency virus (HIV)–coinfected cases) and rifampicin-resistant tuber-culosis. Estimates were derived from national electronic tuberculosis register data, laboratory data, and published studies. Results. The overall tuberculosis burden was estimated to be 532 005 cases (range, 333 760–764 480 cases), with successful com-pletion of treatment in 53% of cases. Losses occurred at multiple steps: 5% at test access, 13% at diagnosis, 12% at treatment initia-tion, and 17% at successful treatment completion. Overall losses were similar among all drug-susceptible cases and those with HIV coinfection (54% and 52%, respectively, successfully completed treatment). Losses were substantially higher among rifampicin-resistant cases, with only 22% successfully completing treatment. Conclusion. Although the vast majority of individuals with tuberculosis engaged the public health system, just over half were successfully treated. Urgent efforts are required to improve implementation of existing policies and protocols to close gaps in tuber-culosis diagnosis, treatment initiation, and successful treatment completion.","author":[{"dropping-particle":"","family":"Naidoo","given":"Pren","non-dropping-particle":"","parse-names":false,"suffix":""},{"dropping-particle":"","family":"Theron","given":"Grant","non-dropping-particle":"","parse-names":false,"suffix":""},{"dropping-particle":"","family":"Rangaka","given":"Molebogeng X.","non-dropping-particle":"","parse-names":false,"suffix":""},{"dropping-particle":"","family":"Chihota","given":"Violet N.","non-dropping-particle":"","parse-names":false,"suffix":""},{"dropping-particle":"","family":"Vaughan","given":"Louise","non-dropping-particle":"","parse-names":false,"suffix":""},{"dropping-particle":"","family":"Brey","given":"Zameer O.","non-dropping-particle":"","parse-names":false,"suffix":""},{"dropping-particle":"","family":"Pillay","given":"Yogan","non-dropping-particle":"","parse-names":false,"suffix":""}],"container-title":"Journal of Infectious Diseases","id":"ITEM-1","issue":"Suppl 7","issued":{"date-parts":[["2017"]]},"page":"S702-S713","title":"The South African Tuberculosis Care Cascade: Estimated Losses and Methodological Challenges","type":"article-journal","volume":"216"},"uris":["http://www.mendeley.com/documents/?uuid=efa71aa8-aca5-4364-bcb8-d54c938dff23"]},{"id":"ITEM-2","itemData":{"DOI":"10.2471/blt.13.124800","ISSN":"0042-9686","abstract":"Objective To assess the magnitude of loss to follow-up in smear- or culture-positive tuberculosis patients before treatment initiation and outcomes among patients who were traced. Methods Ovid Medline and Global Health databases were searched for studies published between 1994 and January 2013 that described pre-treatment loss to follow-up in patients with smear- or culture-positive tuberculosis in routine national tuberculosis programmes (NTPs) in low- and lower-middle-income countries and in countries with a high burden of tuberculosis. Data on the proportion of patients who did not initiate treatment after their tuberculosis diagnosis were extracted from studies meeting inclusion criteria. Where available, data on causes and outcomes, including initiation of tuberculosis treatment at another facility, were investigated. Heterogeneity and publication bias were assessed and random-effects meta-analyses by subgroup (region) were performed. Findings Twenty-three eligible studies were identified, with a total of 34 706 smear- or culture-positive tuberculosis patients from 14 countries (8 in Africa, 5 in Asia and 1 in the western Pacific). Most studies were retrospective and linked laboratory and treatment registers to identify pre-treatment loss to follow-up. Pre-treatment loss to follow-up varied from 4 to 38% and was common in studies from Africa (random-effects weighted proportion, WP: 18%; 95% confidence interval, CI: 13-22) and Asia (WP: 13%; 95% CI: 10-15). Conclusion Pre-treatment loss to follow-up, common in most settings, can hinder tuberculosis control efforts. By not counting individuals who are lost to follow-up before treatment when reporting standard programme indicators, NTPs underestimate case detection rates and mortality and overestimate cure rates.","author":[{"dropping-particle":"","family":"MacPherson","given":"Peter","non-dropping-particle":"","parse-names":false,"suffix":""},{"dropping-particle":"","family":"Houben","given":"Rein MGJ","non-dropping-particle":"","parse-names":false,"suffix":""},{"dropping-particle":"","family":"Glynn","given":"Judith R","non-dropping-particle":"","parse-names":false,"suffix":""},{"dropping-particle":"","family":"Corbett","given":"Elizabeth L","non-dropping-particle":"","parse-names":false,"suffix":""},{"dropping-particle":"","family":"Kranzer","given":"Katharina","non-dropping-particle":"","parse-names":false,"suffix":""}],"container-title":"Bulletin of the World Health Organization","id":"ITEM-2","issue":"2","issued":{"date-parts":[["2014"]]},"page":"126-138","title":"Pre-treatment loss to follow-up in tuberculosis patients in low- and lower-middle-income countries and high-burden countries: a systematic review and meta-analysis","type":"article-journal","volume":"92"},"uris":["http://www.mendeley.com/documents/?uuid=bdc2bea1-3d7c-4aa0-82a6-11f2c052f726"]}],"mendeley":{"formattedCitation":"(68,69)","plainTextFormattedCitation":"(68,69)","previouslyFormattedCitation":"(68,69)"},"properties":{"noteIndex":0},"schema":"https://github.com/citation-style-language/schema/raw/master/csl-citation.json"}</w:instrText>
      </w:r>
      <w:r w:rsidRPr="00435469">
        <w:rPr>
          <w:rFonts w:eastAsia="Times New Roman" w:cs="Times New Roman"/>
          <w:sz w:val="20"/>
          <w:szCs w:val="20"/>
          <w:lang w:eastAsia="en-GB"/>
        </w:rPr>
        <w:fldChar w:fldCharType="separate"/>
      </w:r>
      <w:r w:rsidR="0016391D" w:rsidRPr="00435469">
        <w:rPr>
          <w:rFonts w:eastAsia="Times New Roman" w:cs="Times New Roman"/>
          <w:noProof/>
          <w:sz w:val="20"/>
          <w:szCs w:val="20"/>
          <w:lang w:eastAsia="en-GB"/>
        </w:rPr>
        <w:t>(68,69)</w:t>
      </w:r>
      <w:r w:rsidRPr="00435469">
        <w:rPr>
          <w:rFonts w:eastAsia="Times New Roman" w:cs="Times New Roman"/>
          <w:sz w:val="20"/>
          <w:szCs w:val="20"/>
          <w:lang w:eastAsia="en-GB"/>
        </w:rPr>
        <w:fldChar w:fldCharType="end"/>
      </w:r>
      <w:r w:rsidRPr="00435469">
        <w:rPr>
          <w:rFonts w:eastAsia="Times New Roman" w:cs="Times New Roman"/>
          <w:sz w:val="20"/>
          <w:szCs w:val="20"/>
          <w:lang w:eastAsia="en-GB"/>
        </w:rPr>
        <w:t xml:space="preserve">, individuals are classified as lost to initial follow-up if they do not initiate treatment one to six months after receiving a positive diagnosis and do not get recorded in the TB treatment registers maintained at health facilities.  </w:t>
      </w:r>
    </w:p>
    <w:p w14:paraId="5D3428BF" w14:textId="3D0F6150" w:rsidR="00971F36" w:rsidRPr="00435469" w:rsidRDefault="00971F36" w:rsidP="00955FFB">
      <w:pPr>
        <w:spacing w:line="240" w:lineRule="auto"/>
        <w:rPr>
          <w:rFonts w:cs="Times New Roman"/>
          <w:sz w:val="20"/>
          <w:szCs w:val="20"/>
        </w:rPr>
      </w:pPr>
      <w:r w:rsidRPr="00435469">
        <w:rPr>
          <w:rFonts w:eastAsia="Times New Roman" w:cs="Times New Roman"/>
          <w:sz w:val="20"/>
          <w:szCs w:val="20"/>
          <w:lang w:eastAsia="en-GB"/>
        </w:rPr>
        <w:t xml:space="preserve">A systematic review of 16 South African studies reported a pooled estimate of 19.4% (95% CI 14.4 – 24.3%) of ILTFU </w:t>
      </w:r>
      <w:r w:rsidRPr="00435469">
        <w:rPr>
          <w:rFonts w:eastAsia="Times New Roman" w:cs="Times New Roman"/>
          <w:sz w:val="20"/>
          <w:szCs w:val="20"/>
          <w:lang w:eastAsia="en-GB"/>
        </w:rPr>
        <w:fldChar w:fldCharType="begin" w:fldLock="1"/>
      </w:r>
      <w:r w:rsidR="00A142FF" w:rsidRPr="00435469">
        <w:rPr>
          <w:rFonts w:eastAsia="Times New Roman" w:cs="Times New Roman"/>
          <w:sz w:val="20"/>
          <w:szCs w:val="20"/>
          <w:lang w:eastAsia="en-GB"/>
        </w:rPr>
        <w:instrText>ADDIN CSL_CITATION {"citationItems":[{"id":"ITEM-1","itemData":{"DOI":"10.1093/infdis/jix335","ISBN":"0022-1899","ISSN":"15376613","PMID":"29117342","abstract":"Background. While tuberculosis incidence and mortality are declining in South Africa, meeting the goals of the End TB Strategy requires an invigorated programmatic response informed by accurate data. Enumerating the losses at each step in the care cascade enables appropriate targeting of interventions and resources. Methods. We estimated the tuberculosis burden; the number and proportion of individuals with tuberculosis who accessed tests, had tuberculosis diagnosed, initiated treatment, and successfully completed treatment for all tuberculosis cases, for those with drug-susceptible tuberculosis (including human immunodeficiency virus (HIV)–coinfected cases) and rifampicin-resistant tuber-culosis. Estimates were derived from national electronic tuberculosis register data, laboratory data, and published studies. Results. The overall tuberculosis burden was estimated to be 532 005 cases (range, 333 760–764 480 cases), with successful com-pletion of treatment in 53% of cases. Losses occurred at multiple steps: 5% at test access, 13% at diagnosis, 12% at treatment initia-tion, and 17% at successful treatment completion. Overall losses were similar among all drug-susceptible cases and those with HIV coinfection (54% and 52%, respectively, successfully completed treatment). Losses were substantially higher among rifampicin-resistant cases, with only 22% successfully completing treatment. Conclusion. Although the vast majority of individuals with tuberculosis engaged the public health system, just over half were successfully treated. Urgent efforts are required to improve implementation of existing policies and protocols to close gaps in tuber-culosis diagnosis, treatment initiation, and successful treatment completion.","author":[{"dropping-particle":"","family":"Naidoo","given":"Pren","non-dropping-particle":"","parse-names":false,"suffix":""},{"dropping-particle":"","family":"Theron","given":"Grant","non-dropping-particle":"","parse-names":false,"suffix":""},{"dropping-particle":"","family":"Rangaka","given":"Molebogeng X.","non-dropping-particle":"","parse-names":false,"suffix":""},{"dropping-particle":"","family":"Chihota","given":"Violet N.","non-dropping-particle":"","parse-names":false,"suffix":""},{"dropping-particle":"","family":"Vaughan","given":"Louise","non-dropping-particle":"","parse-names":false,"suffix":""},{"dropping-particle":"","family":"Brey","given":"Zameer O.","non-dropping-particle":"","parse-names":false,"suffix":""},{"dropping-particle":"","family":"Pillay","given":"Yogan","non-dropping-particle":"","parse-names":false,"suffix":""}],"container-title":"Journal of Infectious Diseases","id":"ITEM-1","issue":"Suppl 7","issued":{"date-parts":[["2017"]]},"page":"S702-S713","title":"The South African Tuberculosis Care Cascade: Estimated Losses and Methodological Challenges","type":"article-journal","volume":"216"},"uris":["http://www.mendeley.com/documents/?uuid=efa71aa8-aca5-4364-bcb8-d54c938dff23"]}],"mendeley":{"formattedCitation":"(68)","plainTextFormattedCitation":"(68)","previouslyFormattedCitation":"(68)"},"properties":{"noteIndex":0},"schema":"https://github.com/citation-style-language/schema/raw/master/csl-citation.json"}</w:instrText>
      </w:r>
      <w:r w:rsidRPr="00435469">
        <w:rPr>
          <w:rFonts w:eastAsia="Times New Roman" w:cs="Times New Roman"/>
          <w:sz w:val="20"/>
          <w:szCs w:val="20"/>
          <w:lang w:eastAsia="en-GB"/>
        </w:rPr>
        <w:fldChar w:fldCharType="separate"/>
      </w:r>
      <w:r w:rsidR="0016391D" w:rsidRPr="00435469">
        <w:rPr>
          <w:rFonts w:eastAsia="Times New Roman" w:cs="Times New Roman"/>
          <w:noProof/>
          <w:sz w:val="20"/>
          <w:szCs w:val="20"/>
          <w:lang w:eastAsia="en-GB"/>
        </w:rPr>
        <w:t>(68)</w:t>
      </w:r>
      <w:r w:rsidRPr="00435469">
        <w:rPr>
          <w:rFonts w:eastAsia="Times New Roman" w:cs="Times New Roman"/>
          <w:sz w:val="20"/>
          <w:szCs w:val="20"/>
          <w:lang w:eastAsia="en-GB"/>
        </w:rPr>
        <w:fldChar w:fldCharType="end"/>
      </w:r>
      <w:r w:rsidRPr="00435469">
        <w:rPr>
          <w:rFonts w:eastAsia="Times New Roman" w:cs="Times New Roman"/>
          <w:sz w:val="20"/>
          <w:szCs w:val="20"/>
          <w:lang w:eastAsia="en-GB"/>
        </w:rPr>
        <w:t xml:space="preserve">. However, there was high variation among the studies included in this review </w:t>
      </w:r>
      <w:r w:rsidR="00910717" w:rsidRPr="00435469">
        <w:rPr>
          <w:rFonts w:eastAsia="Times New Roman" w:cs="Times New Roman"/>
          <w:sz w:val="20"/>
          <w:szCs w:val="20"/>
          <w:lang w:eastAsia="en-GB"/>
        </w:rPr>
        <w:t>(</w:t>
      </w:r>
      <w:r w:rsidRPr="00435469">
        <w:rPr>
          <w:rFonts w:eastAsia="Times New Roman" w:cs="Times New Roman"/>
          <w:sz w:val="20"/>
          <w:szCs w:val="20"/>
          <w:lang w:eastAsia="en-GB"/>
        </w:rPr>
        <w:t>I</w:t>
      </w:r>
      <w:r w:rsidRPr="00435469">
        <w:rPr>
          <w:rFonts w:eastAsia="Times New Roman" w:cs="Times New Roman"/>
          <w:sz w:val="20"/>
          <w:szCs w:val="20"/>
          <w:vertAlign w:val="superscript"/>
          <w:lang w:eastAsia="en-GB"/>
        </w:rPr>
        <w:t>2</w:t>
      </w:r>
      <w:r w:rsidRPr="00435469">
        <w:rPr>
          <w:rFonts w:eastAsia="Times New Roman" w:cs="Times New Roman"/>
          <w:sz w:val="20"/>
          <w:szCs w:val="20"/>
          <w:lang w:eastAsia="en-GB"/>
        </w:rPr>
        <w:t xml:space="preserve"> = 95.85%</w:t>
      </w:r>
      <w:r w:rsidR="00910717" w:rsidRPr="00435469">
        <w:rPr>
          <w:rFonts w:eastAsia="Times New Roman" w:cs="Times New Roman"/>
          <w:sz w:val="20"/>
          <w:szCs w:val="20"/>
          <w:lang w:eastAsia="en-GB"/>
        </w:rPr>
        <w:t>)</w:t>
      </w:r>
      <w:r w:rsidRPr="00435469">
        <w:rPr>
          <w:rFonts w:eastAsia="Times New Roman" w:cs="Times New Roman"/>
          <w:sz w:val="20"/>
          <w:szCs w:val="20"/>
          <w:lang w:eastAsia="en-GB"/>
        </w:rPr>
        <w:t xml:space="preserve">. </w:t>
      </w:r>
      <w:r w:rsidRPr="00435469">
        <w:rPr>
          <w:rFonts w:cs="Times New Roman"/>
          <w:sz w:val="20"/>
          <w:szCs w:val="20"/>
        </w:rPr>
        <w:t xml:space="preserve">Factors associated with initial loss to follow-up include diagnostic tools – the longer the turnaround to test results, the more likely it is to lose patients on the treatment pathway. Because </w:t>
      </w:r>
      <w:r w:rsidR="009B4A3E" w:rsidRPr="00435469">
        <w:rPr>
          <w:rFonts w:cs="Times New Roman"/>
          <w:sz w:val="20"/>
          <w:szCs w:val="20"/>
        </w:rPr>
        <w:t>Gene</w:t>
      </w:r>
      <w:r w:rsidR="002C23FD" w:rsidRPr="00435469">
        <w:rPr>
          <w:rFonts w:cs="Times New Roman"/>
          <w:sz w:val="20"/>
          <w:szCs w:val="20"/>
        </w:rPr>
        <w:t>Xpert MTB/RIF</w:t>
      </w:r>
      <w:r w:rsidRPr="00435469">
        <w:rPr>
          <w:rFonts w:cs="Times New Roman"/>
          <w:sz w:val="20"/>
          <w:szCs w:val="20"/>
        </w:rPr>
        <w:t xml:space="preserve"> is a point of care test with a quicker turnaround, a lower ILTFU is generally observed </w:t>
      </w:r>
      <w:r w:rsidR="00941020" w:rsidRPr="00435469">
        <w:rPr>
          <w:rFonts w:cs="Times New Roman"/>
          <w:sz w:val="20"/>
          <w:szCs w:val="20"/>
        </w:rPr>
        <w:t xml:space="preserve">with </w:t>
      </w:r>
      <w:r w:rsidRPr="00435469">
        <w:rPr>
          <w:rFonts w:cs="Times New Roman"/>
          <w:sz w:val="20"/>
          <w:szCs w:val="20"/>
        </w:rPr>
        <w:t>its use. The average proportion of initial loss to follow-up in studies where</w:t>
      </w:r>
      <w:r w:rsidR="002C23FD" w:rsidRPr="00435469">
        <w:rPr>
          <w:rFonts w:cs="Times New Roman"/>
          <w:sz w:val="20"/>
          <w:szCs w:val="20"/>
        </w:rPr>
        <w:t xml:space="preserve"> </w:t>
      </w:r>
      <w:r w:rsidR="009B4A3E" w:rsidRPr="00435469">
        <w:rPr>
          <w:rFonts w:cs="Times New Roman"/>
          <w:sz w:val="20"/>
          <w:szCs w:val="20"/>
        </w:rPr>
        <w:t>Gene</w:t>
      </w:r>
      <w:r w:rsidR="002C23FD" w:rsidRPr="00435469">
        <w:rPr>
          <w:rFonts w:cs="Times New Roman"/>
          <w:sz w:val="20"/>
          <w:szCs w:val="20"/>
        </w:rPr>
        <w:t>Xpert MTB/RIF</w:t>
      </w:r>
      <w:r w:rsidRPr="00435469">
        <w:rPr>
          <w:rFonts w:cs="Times New Roman"/>
          <w:sz w:val="20"/>
          <w:szCs w:val="20"/>
        </w:rPr>
        <w:t xml:space="preserve"> was used was 14.2%. In study settings where smear microscopy was used, the average proportion of initial loss to follow-up was 21.6%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{"citationItems":[{"id":"ITEM-1","itemData":{"DOI":"10.1093/infdis/jix335","ISBN":"0022-1899","ISSN":"15376613","PMID":"29117342","abstract":"Background. While tuberculosis incidence and mortality are declining in South Africa, meeting the goals of the End TB Strategy requires an invigorated programmatic response informed by accurate data. Enumerating the losses at each step in the care cascade enables appropriate targeting of interventions and resources. Methods. We estimated the tuberculosis burden; the number and proportion of individuals with tuberculosis who accessed tests, had tuberculosis diagnosed, initiated treatment, and successfully completed treatment for all tuberculosis cases, for those with drug-susceptible tuberculosis (including human immunodeficiency virus (HIV)–coinfected cases) and rifampicin-resistant tuber-culosis. Estimates were derived from national electronic tuberculosis register data, laboratory data, and published studies. Results. The overall tuberculosis burden was estimated to be 532 005 cases (range, 333 760–764 480 cases), with successful com-pletion of treatment in 53% of cases. Losses occurred at multiple steps: 5% at test access, 13% at diagnosis, 12% at treatment initia-tion, and 17% at successful treatment completion. Overall losses were similar among all drug-susceptible cases and those with HIV coinfection (54% and 52%, respectively, successfully completed treatment). Losses were substantially higher among rifampicin-resistant cases, with only 22% successfully completing treatment. Conclusion. Although the vast majority of individuals with tuberculosis engaged the public health system, just over half were successfully treated. Urgent efforts are required to improve implementation of existing policies and protocols to close gaps in tuber-culosis diagnosis, treatment initiation, and successful treatment completion.","author":[{"dropping-particle":"","family":"Naidoo","given":"Pren","non-dropping-particle":"","parse-names":false,"suffix":""},{"dropping-particle":"","family":"Theron","given":"Grant","non-dropping-particle":"","parse-names":false,"suffix":""},{"dropping-particle":"","family":"Rangaka","given":"Molebogeng X.","non-dropping-particle":"","parse-names":false,"suffix":""},{"dropping-particle":"","family":"Chihota","given":"Violet N.","non-dropping-particle":"","parse-names":false,"suffix":""},{"dropping-particle":"","family":"Vaughan","given":"Louise","non-dropping-particle":"","parse-names":false,"suffix":""},{"dropping-particle":"","family":"Brey","given":"Zameer O.","non-dropping-particle":"","parse-names":false,"suffix":""},{"dropping-particle":"","family":"Pillay","given":"Yogan","non-dropping-particle":"","parse-names":false,"suffix":""}],"container-title":"Journal of Infectious Diseases","id":"ITEM-1","issue":"Suppl 7","issued":{"date-parts":[["2017"]]},"page":"S702-S713","title":"The South African Tuberculosis Care Cascade: Estimated Losses and Methodological Challenges","type":"article-journal","volume":"216"},"uris":["http://www.mendeley.com/documents/?uuid=efa71aa8-aca5-4364-bcb8-d54c938dff23"]}],"mendeley":{"formattedCitation":"(68)","plainTextFormattedCitation":"(68)","previouslyFormattedCitation":"(68)"},"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(68)</w:t>
      </w:r>
      <w:r w:rsidRPr="00435469">
        <w:rPr>
          <w:rFonts w:cs="Times New Roman"/>
          <w:sz w:val="20"/>
          <w:szCs w:val="20"/>
        </w:rPr>
        <w:fldChar w:fldCharType="end"/>
      </w:r>
      <w:r w:rsidRPr="00435469">
        <w:rPr>
          <w:rFonts w:cs="Times New Roman"/>
          <w:sz w:val="20"/>
          <w:szCs w:val="20"/>
        </w:rPr>
        <w:t xml:space="preserve">. </w:t>
      </w:r>
    </w:p>
    <w:p w14:paraId="350C06FF" w14:textId="388AE522" w:rsidR="00971F36" w:rsidRPr="00435469" w:rsidRDefault="00971F36" w:rsidP="00955FFB">
      <w:pPr>
        <w:spacing w:line="240" w:lineRule="auto"/>
        <w:rPr>
          <w:rFonts w:eastAsia="Times New Roman" w:cs="Times New Roman"/>
          <w:sz w:val="20"/>
          <w:szCs w:val="20"/>
          <w:lang w:eastAsia="en-GB"/>
        </w:rPr>
      </w:pPr>
      <w:r w:rsidRPr="00435469">
        <w:rPr>
          <w:rFonts w:eastAsia="Times New Roman" w:cs="Times New Roman"/>
          <w:sz w:val="20"/>
          <w:szCs w:val="20"/>
          <w:lang w:eastAsia="en-GB"/>
        </w:rPr>
        <w:t xml:space="preserve">In </w:t>
      </w:r>
      <w:r w:rsidR="00E70681" w:rsidRPr="00435469">
        <w:rPr>
          <w:rFonts w:eastAsia="Times New Roman" w:cs="Times New Roman"/>
          <w:sz w:val="20"/>
          <w:szCs w:val="20"/>
          <w:lang w:eastAsia="en-GB"/>
        </w:rPr>
        <w:t xml:space="preserve">another </w:t>
      </w:r>
      <w:r w:rsidRPr="00435469">
        <w:rPr>
          <w:rFonts w:eastAsia="Times New Roman" w:cs="Times New Roman"/>
          <w:sz w:val="20"/>
          <w:szCs w:val="20"/>
          <w:lang w:eastAsia="en-GB"/>
        </w:rPr>
        <w:t xml:space="preserve">earlier review, Macpherson </w:t>
      </w:r>
      <w:r w:rsidRPr="00435469">
        <w:rPr>
          <w:rFonts w:eastAsia="Times New Roman" w:cs="Times New Roman"/>
          <w:i/>
          <w:iCs/>
          <w:sz w:val="20"/>
          <w:szCs w:val="20"/>
          <w:lang w:eastAsia="en-GB"/>
        </w:rPr>
        <w:t>et al.</w:t>
      </w:r>
      <w:r w:rsidRPr="00435469">
        <w:rPr>
          <w:rFonts w:eastAsia="Times New Roman" w:cs="Times New Roman"/>
          <w:sz w:val="20"/>
          <w:szCs w:val="20"/>
          <w:lang w:eastAsia="en-GB"/>
        </w:rPr>
        <w:t xml:space="preserve"> (2014) estimated an initial loss to follow up of 18.0% (95% CI 13.0 – 22.0%) based on studies from African countries </w:t>
      </w:r>
      <w:r w:rsidRPr="00435469">
        <w:rPr>
          <w:rFonts w:eastAsia="Times New Roman" w:cs="Times New Roman"/>
          <w:sz w:val="20"/>
          <w:szCs w:val="20"/>
          <w:lang w:eastAsia="en-GB"/>
        </w:rPr>
        <w:fldChar w:fldCharType="begin" w:fldLock="1"/>
      </w:r>
      <w:r w:rsidR="00A142FF" w:rsidRPr="00435469">
        <w:rPr>
          <w:rFonts w:eastAsia="Times New Roman" w:cs="Times New Roman"/>
          <w:sz w:val="20"/>
          <w:szCs w:val="20"/>
          <w:lang w:eastAsia="en-GB"/>
        </w:rPr>
        <w:instrText>ADDIN CSL_CITATION {"citationItems":[{"id":"ITEM-1","itemData":{"DOI":"10.2471/blt.13.124800","ISSN":"0042-9686","abstract":"Objective To assess the magnitude of loss to follow-up in smear- or culture-positive tuberculosis patients before treatment initiation and outcomes among patients who were traced. Methods Ovid Medline and Global Health databases were searched for studies published between 1994 and January 2013 that described pre-treatment loss to follow-up in patients with smear- or culture-positive tuberculosis in routine national tuberculosis programmes (NTPs) in low- and lower-middle-income countries and in countries with a high burden of tuberculosis. Data on the proportion of patients who did not initiate treatment after their tuberculosis diagnosis were extracted from studies meeting inclusion criteria. Where available, data on causes and outcomes, including initiation of tuberculosis treatment at another facility, were investigated. Heterogeneity and publication bias were assessed and random-effects meta-analyses by subgroup (region) were performed. Findings Twenty-three eligible studies were identified, with a total of 34 706 smear- or culture-positive tuberculosis patients from 14 countries (8 in Africa, 5 in Asia and 1 in the western Pacific). Most studies were retrospective and linked laboratory and treatment registers to identify pre-treatment loss to follow-up. Pre-treatment loss to follow-up varied from 4 to 38% and was common in studies from Africa (random-effects weighted proportion, WP: 18%; 95% confidence interval, CI: 13-22) and Asia (WP: 13%; 95% CI: 10-15). Conclusion Pre-treatment loss to follow-up, common in most settings, can hinder tuberculosis control efforts. By not counting individuals who are lost to follow-up before treatment when reporting standard programme indicators, NTPs underestimate case detection rates and mortality and overestimate cure rates.","author":[{"dropping-particle":"","family":"MacPherson","given":"Peter","non-dropping-particle":"","parse-names":false,"suffix":""},{"dropping-particle":"","family":"Houben","given":"Rein MGJ","non-dropping-particle":"","parse-names":false,"suffix":""},{"dropping-particle":"","family":"Glynn","given":"Judith R","non-dropping-particle":"","parse-names":false,"suffix":""},{"dropping-particle":"","family":"Corbett","given":"Elizabeth L","non-dropping-particle":"","parse-names":false,"suffix":""},{"dropping-particle":"","family":"Kranzer","given":"Katharina","non-dropping-particle":"","parse-names":false,"suffix":""}],"container-title":"Bulletin of the World Health Organization","id":"ITEM-1","issue":"2","issued":{"date-parts":[["2014"]]},"page":"126-138","title":"Pre-treatment loss to follow-up in tuberculosis patients in low- and lower-middle-income countries and high-burden countries: a systematic review and meta-analysis","type":"article-journal","volume":"92"},"uris":["http://www.mendeley.com/documents/?uuid=bdc2bea1-3d7c-4aa0-82a6-11f2c052f726"]}],"mendeley":{"formattedCitation":"(69)","plainTextFormattedCitation":"(69)","previouslyFormattedCitation":"(69)"},"properties":{"noteIndex":0},"schema":"https://github.com/citation-style-language/schema/raw/master/csl-citation.json"}</w:instrText>
      </w:r>
      <w:r w:rsidRPr="00435469">
        <w:rPr>
          <w:rFonts w:eastAsia="Times New Roman" w:cs="Times New Roman"/>
          <w:sz w:val="20"/>
          <w:szCs w:val="20"/>
          <w:lang w:eastAsia="en-GB"/>
        </w:rPr>
        <w:fldChar w:fldCharType="separate"/>
      </w:r>
      <w:r w:rsidR="0016391D" w:rsidRPr="00435469">
        <w:rPr>
          <w:rFonts w:eastAsia="Times New Roman" w:cs="Times New Roman"/>
          <w:noProof/>
          <w:sz w:val="20"/>
          <w:szCs w:val="20"/>
          <w:lang w:eastAsia="en-GB"/>
        </w:rPr>
        <w:t>(69)</w:t>
      </w:r>
      <w:r w:rsidRPr="00435469">
        <w:rPr>
          <w:rFonts w:eastAsia="Times New Roman" w:cs="Times New Roman"/>
          <w:sz w:val="20"/>
          <w:szCs w:val="20"/>
          <w:lang w:eastAsia="en-GB"/>
        </w:rPr>
        <w:fldChar w:fldCharType="end"/>
      </w:r>
      <w:r w:rsidRPr="00435469">
        <w:rPr>
          <w:rFonts w:eastAsia="Times New Roman" w:cs="Times New Roman"/>
          <w:sz w:val="20"/>
          <w:szCs w:val="20"/>
          <w:lang w:eastAsia="en-GB"/>
        </w:rPr>
        <w:t xml:space="preserve">. Only one study in this review </w:t>
      </w:r>
      <w:r w:rsidR="00CE392B" w:rsidRPr="00435469">
        <w:rPr>
          <w:rFonts w:eastAsia="Times New Roman" w:cs="Times New Roman"/>
          <w:sz w:val="20"/>
          <w:szCs w:val="20"/>
          <w:lang w:eastAsia="en-GB"/>
        </w:rPr>
        <w:t xml:space="preserve">(Botha </w:t>
      </w:r>
      <w:r w:rsidR="00CE392B" w:rsidRPr="00435469">
        <w:rPr>
          <w:rFonts w:eastAsia="Times New Roman" w:cs="Times New Roman"/>
          <w:i/>
          <w:iCs/>
          <w:sz w:val="20"/>
          <w:szCs w:val="20"/>
          <w:lang w:eastAsia="en-GB"/>
        </w:rPr>
        <w:t>et al.</w:t>
      </w:r>
      <w:r w:rsidR="00CE392B" w:rsidRPr="00435469">
        <w:rPr>
          <w:rFonts w:eastAsia="Times New Roman" w:cs="Times New Roman"/>
          <w:sz w:val="20"/>
          <w:szCs w:val="20"/>
          <w:lang w:eastAsia="en-GB"/>
        </w:rPr>
        <w:t xml:space="preserve"> 2008 </w:t>
      </w:r>
      <w:r w:rsidR="00CE392B" w:rsidRPr="00435469">
        <w:rPr>
          <w:rFonts w:eastAsia="Times New Roman" w:cs="Times New Roman"/>
          <w:sz w:val="20"/>
          <w:szCs w:val="20"/>
          <w:lang w:eastAsia="en-GB"/>
        </w:rPr>
        <w:fldChar w:fldCharType="begin" w:fldLock="1"/>
      </w:r>
      <w:r w:rsidR="00A142FF" w:rsidRPr="00435469">
        <w:rPr>
          <w:rFonts w:eastAsia="Times New Roman" w:cs="Times New Roman"/>
          <w:sz w:val="20"/>
          <w:szCs w:val="20"/>
          <w:lang w:eastAsia="en-GB"/>
        </w:rPr>
        <w:instrText>ADDIN CSL_CITATION {"citationItems":[{"id":"ITEM-1","itemData":{"ISBN":"1027-3719 (Print)\\r1027-3719 (Linking)","ISSN":"10273719","PMID":"18647454","abstract":"SETTING: Thirteen primary health care (PHC) facilities in the Stellenbosch District, South Africa. OBJECTIVE: To assess the use of a sputum register to evaluate the tuberculosis (TB) diagnostic process and the initiation of TB treatment in selected PHC facilities in a country with a centralised laboratory system. DESIGN: This prospective study was conducted between April 2004 and March 2005. The names of all individuals submitting sputum samples for TB testing were noted in a newly introduced sputum register. We classified all TB suspects with two positive smears as TB cases and consulted TB treatment registers until 3 months after sputum submission to determine how many had started treatment. RESULTS: A total of 4062 persons aged 3&gt;15 years submitted sputum samples, of whom 2484 were TB suspects. There were 2037 suspects with at least two results, 367 (18%) had at least two positive smears and 64 (17%) of these did not start treatment (initial defaulters). Over the entire diagnostic process, up to 5% of TB cases were missed, and up to 26% did not start treatment and were not reported. CONCLUSION: By correcting diagnostic weaknesses identified in the sputum register, PHC facilities will be able to detect, treat and cure a higher percentage of TB patients. 2008 The Union.","author":[{"dropping-particle":"","family":"Botha","given":"Elsabe","non-dropping-particle":"","parse-names":false,"suffix":""},{"dropping-particle":"","family":"Boon","given":"S.","non-dropping-particle":"Den","parse-names":false,"suffix":""},{"dropping-particle":"","family":"Lawrence","given":"K. A.","non-dropping-particle":"","parse-names":false,"suffix":""},{"dropping-particle":"","family":"Reuter","given":"H.","non-dropping-particle":"","parse-names":false,"suffix":""},{"dropping-particle":"","family":"Verver","given":"S.","non-dropping-particle":"","parse-names":false,"suffix":""},{"dropping-particle":"","family":"Lombard","given":"C. J.","non-dropping-particle":"","parse-names":false,"suffix":""},{"dropping-particle":"","family":"Dye","given":"C.","non-dropping-particle":"","parse-names":false,"suffix":""},{"dropping-particle":"","family":"Enarson","given":"D. A.","non-dropping-particle":"","parse-names":false,"suffix":""},{"dropping-particle":"","family":"Beyers","given":"N.","non-dropping-particle":"","parse-names":false,"suffix":""}],"container-title":"International Journal of Tuberculosis and Lung Disease","id":"ITEM-1","issue":"8","issued":{"date-parts":[["2008"]]},"page":"936-941","title":"From suspect to patient: Tuberculosis diagnosis and treatment initiation in health facilities in South Africa","type":"article-journal","volume":"12"},"uris":["http://www.mendeley.com/documents/?uuid=6b9443f5-13c6-4dd2-8050-520290dadbcb"]}],"mendeley":{"formattedCitation":"(70)","plainTextFormattedCitation":"(70)","previouslyFormattedCitation":"(70)"},"properties":{"noteIndex":0},"schema":"https://github.com/citation-style-language/schema/raw/master/csl-citation.json"}</w:instrText>
      </w:r>
      <w:r w:rsidR="00CE392B" w:rsidRPr="00435469">
        <w:rPr>
          <w:rFonts w:eastAsia="Times New Roman" w:cs="Times New Roman"/>
          <w:sz w:val="20"/>
          <w:szCs w:val="20"/>
          <w:lang w:eastAsia="en-GB"/>
        </w:rPr>
        <w:fldChar w:fldCharType="separate"/>
      </w:r>
      <w:r w:rsidR="0016391D" w:rsidRPr="00435469">
        <w:rPr>
          <w:rFonts w:eastAsia="Times New Roman" w:cs="Times New Roman"/>
          <w:noProof/>
          <w:sz w:val="20"/>
          <w:szCs w:val="20"/>
          <w:lang w:eastAsia="en-GB"/>
        </w:rPr>
        <w:t>(70)</w:t>
      </w:r>
      <w:r w:rsidR="00CE392B" w:rsidRPr="00435469">
        <w:rPr>
          <w:rFonts w:eastAsia="Times New Roman" w:cs="Times New Roman"/>
          <w:sz w:val="20"/>
          <w:szCs w:val="20"/>
          <w:lang w:eastAsia="en-GB"/>
        </w:rPr>
        <w:fldChar w:fldCharType="end"/>
      </w:r>
      <w:r w:rsidR="00CE392B" w:rsidRPr="00435469">
        <w:rPr>
          <w:rFonts w:eastAsia="Times New Roman" w:cs="Times New Roman"/>
          <w:sz w:val="20"/>
          <w:szCs w:val="20"/>
          <w:lang w:eastAsia="en-GB"/>
        </w:rPr>
        <w:t xml:space="preserve">) </w:t>
      </w:r>
      <w:r w:rsidRPr="00435469">
        <w:rPr>
          <w:rFonts w:eastAsia="Times New Roman" w:cs="Times New Roman"/>
          <w:sz w:val="20"/>
          <w:szCs w:val="20"/>
          <w:lang w:eastAsia="en-GB"/>
        </w:rPr>
        <w:t>traced patients</w:t>
      </w:r>
      <w:r w:rsidR="00CE392B" w:rsidRPr="00435469">
        <w:rPr>
          <w:rFonts w:eastAsia="Times New Roman" w:cs="Times New Roman"/>
          <w:sz w:val="20"/>
          <w:szCs w:val="20"/>
          <w:lang w:eastAsia="en-GB"/>
        </w:rPr>
        <w:t xml:space="preserve"> who were initially lost to follow-up</w:t>
      </w:r>
      <w:r w:rsidRPr="00435469">
        <w:rPr>
          <w:rFonts w:eastAsia="Times New Roman" w:cs="Times New Roman"/>
          <w:sz w:val="20"/>
          <w:szCs w:val="20"/>
          <w:lang w:eastAsia="en-GB"/>
        </w:rPr>
        <w:t xml:space="preserve">. In this study, 58 bacteriologically confirmed TB cases were initially classified LTFU. Upon follow-up </w:t>
      </w:r>
      <w:r w:rsidR="00CE392B" w:rsidRPr="00435469">
        <w:rPr>
          <w:rFonts w:eastAsia="Times New Roman" w:cs="Times New Roman"/>
          <w:sz w:val="20"/>
          <w:szCs w:val="20"/>
          <w:lang w:eastAsia="en-GB"/>
        </w:rPr>
        <w:t xml:space="preserve">of </w:t>
      </w:r>
      <w:r w:rsidRPr="00435469">
        <w:rPr>
          <w:rFonts w:eastAsia="Times New Roman" w:cs="Times New Roman"/>
          <w:sz w:val="20"/>
          <w:szCs w:val="20"/>
          <w:lang w:eastAsia="en-GB"/>
        </w:rPr>
        <w:t xml:space="preserve">these individuals, 24.1% (n=14) had died, 44.8% (n=26) could not be traced and 31.0% (n=18) were traced </w:t>
      </w:r>
      <w:r w:rsidRPr="00435469">
        <w:rPr>
          <w:rFonts w:eastAsia="Times New Roman" w:cs="Times New Roman"/>
          <w:sz w:val="20"/>
          <w:szCs w:val="20"/>
          <w:lang w:eastAsia="en-GB"/>
        </w:rPr>
        <w:fldChar w:fldCharType="begin" w:fldLock="1"/>
      </w:r>
      <w:r w:rsidR="00A142FF" w:rsidRPr="00435469">
        <w:rPr>
          <w:rFonts w:eastAsia="Times New Roman" w:cs="Times New Roman"/>
          <w:sz w:val="20"/>
          <w:szCs w:val="20"/>
          <w:lang w:eastAsia="en-GB"/>
        </w:rPr>
        <w:instrText>ADDIN CSL_CITATION {"citationItems":[{"id":"ITEM-1","itemData":{"ISBN":"1027-3719 (Print)\\r1027-3719 (Linking)","ISSN":"10273719","PMID":"18647454","abstract":"SETTING: Thirteen primary health care (PHC) facilities in the Stellenbosch District, South Africa. OBJECTIVE: To assess the use of a sputum register to evaluate the tuberculosis (TB) diagnostic process and the initiation of TB treatment in selected PHC facilities in a country with a centralised laboratory system. DESIGN: This prospective study was conducted between April 2004 and March 2005. The names of all individuals submitting sputum samples for TB testing were noted in a newly introduced sputum register. We classified all TB suspects with two positive smears as TB cases and consulted TB treatment registers until 3 months after sputum submission to determine how many had started treatment. RESULTS: A total of 4062 persons aged 3&gt;15 years submitted sputum samples, of whom 2484 were TB suspects. There were 2037 suspects with at least two results, 367 (18%) had at least two positive smears and 64 (17%) of these did not start treatment (initial defaulters). Over the entire diagnostic process, up to 5% of TB cases were missed, and up to 26% did not start treatment and were not reported. CONCLUSION: By correcting diagnostic weaknesses identified in the sputum register, PHC facilities will be able to detect, treat and cure a higher percentage of TB patients. 2008 The Union.","author":[{"dropping-particle":"","family":"Botha","given":"Elsabe","non-dropping-particle":"","parse-names":false,"suffix":""},{"dropping-particle":"","family":"Boon","given":"S.","non-dropping-particle":"Den","parse-names":false,"suffix":""},{"dropping-particle":"","family":"Lawrence","given":"K. A.","non-dropping-particle":"","parse-names":false,"suffix":""},{"dropping-particle":"","family":"Reuter","given":"H.","non-dropping-particle":"","parse-names":false,"suffix":""},{"dropping-particle":"","family":"Verver","given":"S.","non-dropping-particle":"","parse-names":false,"suffix":""},{"dropping-particle":"","family":"Lombard","given":"C. J.","non-dropping-particle":"","parse-names":false,"suffix":""},{"dropping-particle":"","family":"Dye","given":"C.","non-dropping-particle":"","parse-names":false,"suffix":""},{"dropping-particle":"","family":"Enarson","given":"D. A.","non-dropping-particle":"","parse-names":false,"suffix":""},{"dropping-particle":"","family":"Beyers","given":"N.","non-dropping-particle":"","parse-names":false,"suffix":""}],"container-title":"International Journal of Tuberculosis and Lung Disease","id":"ITEM-1","issue":"8","issued":{"date-parts":[["2008"]]},"page":"936-941","title":"From suspect to patient: Tuberculosis diagnosis and treatment initiation in health facilities in South Africa","type":"article-journal","volume":"12"},"uris":["http://www.mendeley.com/documents/?uuid=6b9443f5-13c6-4dd2-8050-520290dadbcb"]}],"mendeley":{"formattedCitation":"(70)","plainTextFormattedCitation":"(70)","previouslyFormattedCitation":"(70)"},"properties":{"noteIndex":0},"schema":"https://github.com/citation-style-language/schema/raw/master/csl-citation.json"}</w:instrText>
      </w:r>
      <w:r w:rsidRPr="00435469">
        <w:rPr>
          <w:rFonts w:eastAsia="Times New Roman" w:cs="Times New Roman"/>
          <w:sz w:val="20"/>
          <w:szCs w:val="20"/>
          <w:lang w:eastAsia="en-GB"/>
        </w:rPr>
        <w:fldChar w:fldCharType="separate"/>
      </w:r>
      <w:r w:rsidR="0016391D" w:rsidRPr="00435469">
        <w:rPr>
          <w:rFonts w:eastAsia="Times New Roman" w:cs="Times New Roman"/>
          <w:noProof/>
          <w:sz w:val="20"/>
          <w:szCs w:val="20"/>
          <w:lang w:eastAsia="en-GB"/>
        </w:rPr>
        <w:t>(70)</w:t>
      </w:r>
      <w:r w:rsidRPr="00435469">
        <w:rPr>
          <w:rFonts w:eastAsia="Times New Roman" w:cs="Times New Roman"/>
          <w:sz w:val="20"/>
          <w:szCs w:val="20"/>
          <w:lang w:eastAsia="en-GB"/>
        </w:rPr>
        <w:fldChar w:fldCharType="end"/>
      </w:r>
      <w:r w:rsidRPr="00435469">
        <w:rPr>
          <w:rFonts w:eastAsia="Times New Roman" w:cs="Times New Roman"/>
          <w:sz w:val="20"/>
          <w:szCs w:val="20"/>
          <w:lang w:eastAsia="en-GB"/>
        </w:rPr>
        <w:t xml:space="preserve">. Of these 18 that were traced, 11 were found to have started treatment late, and seven were traced but had not started treatment for various reasons. This study showed that based on the definition used by various studies, particularly those with a short follow-up period, there is a chance of misclassifying a certain proportion of individuals </w:t>
      </w:r>
      <w:r w:rsidR="00CE392B" w:rsidRPr="00435469">
        <w:rPr>
          <w:rFonts w:eastAsia="Times New Roman" w:cs="Times New Roman"/>
          <w:sz w:val="20"/>
          <w:szCs w:val="20"/>
          <w:lang w:eastAsia="en-GB"/>
        </w:rPr>
        <w:t>who initiate</w:t>
      </w:r>
      <w:r w:rsidRPr="00435469">
        <w:rPr>
          <w:rFonts w:eastAsia="Times New Roman" w:cs="Times New Roman"/>
          <w:sz w:val="20"/>
          <w:szCs w:val="20"/>
          <w:lang w:eastAsia="en-GB"/>
        </w:rPr>
        <w:t xml:space="preserve"> treatment</w:t>
      </w:r>
      <w:r w:rsidR="00CE392B" w:rsidRPr="00435469">
        <w:rPr>
          <w:rFonts w:eastAsia="Times New Roman" w:cs="Times New Roman"/>
          <w:sz w:val="20"/>
          <w:szCs w:val="20"/>
          <w:lang w:eastAsia="en-GB"/>
        </w:rPr>
        <w:t xml:space="preserve"> as lost to follow-up</w:t>
      </w:r>
      <w:r w:rsidRPr="00435469">
        <w:rPr>
          <w:rFonts w:eastAsia="Times New Roman" w:cs="Times New Roman"/>
          <w:sz w:val="20"/>
          <w:szCs w:val="20"/>
          <w:lang w:eastAsia="en-GB"/>
        </w:rPr>
        <w:t>. That is, the proportion of initial loss to follow-up may be overestimated.</w:t>
      </w:r>
    </w:p>
    <w:p w14:paraId="4E3B819C" w14:textId="677F4172" w:rsidR="00FA57B4" w:rsidRPr="00435469" w:rsidRDefault="00971F36" w:rsidP="00955FFB">
      <w:pPr>
        <w:spacing w:line="240" w:lineRule="auto"/>
        <w:rPr>
          <w:rFonts w:eastAsia="Times New Roman" w:cs="Times New Roman"/>
          <w:i/>
          <w:iCs/>
          <w:sz w:val="20"/>
          <w:szCs w:val="20"/>
          <w:lang w:eastAsia="en-GB"/>
        </w:rPr>
      </w:pPr>
      <w:r w:rsidRPr="00435469">
        <w:rPr>
          <w:rFonts w:cs="Times New Roman"/>
          <w:sz w:val="20"/>
          <w:szCs w:val="20"/>
        </w:rPr>
        <w:t xml:space="preserve">In the model, we set </w:t>
      </w:r>
      <m:oMath>
        <m:r>
          <w:rPr>
            <w:rFonts w:ascii="Cambria Math" w:hAnsi="Cambria Math" w:cs="Times New Roman"/>
            <w:sz w:val="20"/>
            <w:szCs w:val="20"/>
          </w:rPr>
          <m:t>L(t)</m:t>
        </m:r>
      </m:oMath>
      <w:r w:rsidRPr="00435469">
        <w:rPr>
          <w:rFonts w:cs="Times New Roman"/>
          <w:sz w:val="20"/>
          <w:szCs w:val="20"/>
        </w:rPr>
        <w:t xml:space="preserve">, the proportion of initial loss to follow-up </w:t>
      </w:r>
      <w:r w:rsidR="00CE392B" w:rsidRPr="00435469">
        <w:rPr>
          <w:rFonts w:cs="Times New Roman"/>
          <w:sz w:val="20"/>
          <w:szCs w:val="20"/>
        </w:rPr>
        <w:t xml:space="preserve">in </w:t>
      </w:r>
      <w:r w:rsidRPr="00435469">
        <w:rPr>
          <w:rFonts w:cs="Times New Roman"/>
          <w:sz w:val="20"/>
          <w:szCs w:val="20"/>
        </w:rPr>
        <w:t xml:space="preserve">year t, based on the </w:t>
      </w:r>
      <w:r w:rsidR="00F04A98" w:rsidRPr="00435469">
        <w:rPr>
          <w:rFonts w:cs="Times New Roman"/>
          <w:sz w:val="20"/>
          <w:szCs w:val="20"/>
        </w:rPr>
        <w:t xml:space="preserve">systematic review of South African studies, adjusted for the likely over-estimation identified by </w:t>
      </w:r>
      <w:r w:rsidRPr="00435469">
        <w:rPr>
          <w:rFonts w:cs="Times New Roman"/>
          <w:sz w:val="20"/>
          <w:szCs w:val="20"/>
        </w:rPr>
        <w:t xml:space="preserve">Botha </w:t>
      </w:r>
      <w:r w:rsidRPr="00435469">
        <w:rPr>
          <w:rFonts w:cs="Times New Roman"/>
          <w:i/>
          <w:iCs/>
          <w:sz w:val="20"/>
          <w:szCs w:val="20"/>
        </w:rPr>
        <w:t>et al.</w:t>
      </w:r>
      <w:r w:rsidRPr="00435469">
        <w:rPr>
          <w:rFonts w:cs="Times New Roman"/>
          <w:sz w:val="20"/>
          <w:szCs w:val="20"/>
        </w:rPr>
        <w:t xml:space="preserve"> We </w:t>
      </w:r>
      <w:r w:rsidR="00F04A98" w:rsidRPr="00435469">
        <w:rPr>
          <w:rFonts w:cs="Times New Roman"/>
          <w:sz w:val="20"/>
          <w:szCs w:val="20"/>
        </w:rPr>
        <w:t>adjust</w:t>
      </w:r>
      <w:r w:rsidRPr="00435469">
        <w:rPr>
          <w:rFonts w:cs="Times New Roman"/>
          <w:sz w:val="20"/>
          <w:szCs w:val="20"/>
        </w:rPr>
        <w:t xml:space="preserve"> by the fraction of </w:t>
      </w:r>
      <w:r w:rsidR="00F04A98" w:rsidRPr="00435469">
        <w:rPr>
          <w:rFonts w:cs="Times New Roman"/>
          <w:sz w:val="20"/>
          <w:szCs w:val="20"/>
        </w:rPr>
        <w:t xml:space="preserve">ILTFU </w:t>
      </w:r>
      <w:r w:rsidRPr="00435469">
        <w:rPr>
          <w:rFonts w:cs="Times New Roman"/>
          <w:sz w:val="20"/>
          <w:szCs w:val="20"/>
        </w:rPr>
        <w:t xml:space="preserve">cases that eventually get back into the health system and on treatment. Based on the Botha </w:t>
      </w:r>
      <w:r w:rsidRPr="00435469">
        <w:rPr>
          <w:rFonts w:cs="Times New Roman"/>
          <w:i/>
          <w:iCs/>
          <w:sz w:val="20"/>
          <w:szCs w:val="20"/>
        </w:rPr>
        <w:t>et al.</w:t>
      </w:r>
      <w:r w:rsidRPr="00435469">
        <w:rPr>
          <w:rFonts w:cs="Times New Roman"/>
          <w:sz w:val="20"/>
          <w:szCs w:val="20"/>
        </w:rPr>
        <w:t xml:space="preserve"> study still, and a</w:t>
      </w:r>
      <w:r w:rsidRPr="00435469">
        <w:rPr>
          <w:rFonts w:eastAsia="Times New Roman" w:cs="Times New Roman"/>
          <w:sz w:val="20"/>
          <w:szCs w:val="20"/>
          <w:lang w:eastAsia="en-GB"/>
        </w:rPr>
        <w:t>ssuming that those who were not traced were as likely to be on treatment as those who were traced (non-differential with respect to initiating treatment), we can assume the actual initial loss to follow-u</w:t>
      </w:r>
      <w:r w:rsidR="00F04A98" w:rsidRPr="00435469">
        <w:rPr>
          <w:rFonts w:eastAsia="Times New Roman" w:cs="Times New Roman"/>
          <w:sz w:val="20"/>
          <w:szCs w:val="20"/>
          <w:lang w:eastAsia="en-GB"/>
        </w:rPr>
        <w:t>p</w:t>
      </w:r>
      <w:r w:rsidRPr="00435469">
        <w:rPr>
          <w:rFonts w:eastAsia="Times New Roman" w:cs="Times New Roman"/>
          <w:sz w:val="20"/>
          <w:szCs w:val="20"/>
          <w:lang w:eastAsia="en-GB"/>
        </w:rPr>
        <w:t xml:space="preserve"> is (14 + 7) / (58 – 26) = 66%. We apply this factor of 0.66 </w:t>
      </w:r>
      <w:r w:rsidR="00F04A98" w:rsidRPr="00435469">
        <w:rPr>
          <w:rFonts w:eastAsia="Times New Roman" w:cs="Times New Roman"/>
          <w:sz w:val="20"/>
          <w:szCs w:val="20"/>
          <w:lang w:eastAsia="en-GB"/>
        </w:rPr>
        <w:t xml:space="preserve">to </w:t>
      </w:r>
      <w:r w:rsidRPr="00435469">
        <w:rPr>
          <w:rFonts w:eastAsia="Times New Roman" w:cs="Times New Roman"/>
          <w:sz w:val="20"/>
          <w:szCs w:val="20"/>
          <w:lang w:eastAsia="en-GB"/>
        </w:rPr>
        <w:t>the assumed initial loss to follow-up</w:t>
      </w:r>
      <w:r w:rsidR="000740E3" w:rsidRPr="00435469">
        <w:rPr>
          <w:rFonts w:eastAsia="Times New Roman" w:cs="Times New Roman"/>
          <w:sz w:val="20"/>
          <w:szCs w:val="20"/>
          <w:lang w:eastAsia="en-GB"/>
        </w:rPr>
        <w:t>. So, when</w:t>
      </w:r>
      <w:r w:rsidRPr="00435469">
        <w:rPr>
          <w:rFonts w:eastAsia="Times New Roman" w:cs="Times New Roman"/>
          <w:sz w:val="20"/>
          <w:szCs w:val="20"/>
          <w:lang w:eastAsia="en-GB"/>
        </w:rPr>
        <w:t xml:space="preserve"> </w:t>
      </w:r>
      <w:proofErr w:type="spellStart"/>
      <w:r w:rsidRPr="00435469">
        <w:rPr>
          <w:rFonts w:eastAsia="Times New Roman" w:cs="Times New Roman"/>
          <w:sz w:val="20"/>
          <w:szCs w:val="20"/>
        </w:rPr>
        <w:t>Xpert</w:t>
      </w:r>
      <w:proofErr w:type="spellEnd"/>
      <w:r w:rsidR="0095013E" w:rsidRPr="00435469">
        <w:rPr>
          <w:rFonts w:eastAsia="Times New Roman" w:cs="Times New Roman"/>
          <w:sz w:val="20"/>
          <w:szCs w:val="20"/>
        </w:rPr>
        <w:t xml:space="preserve"> is used</w:t>
      </w:r>
      <w:r w:rsidR="000740E3" w:rsidRPr="00435469">
        <w:rPr>
          <w:rFonts w:eastAsia="Times New Roman" w:cs="Times New Roman"/>
          <w:sz w:val="20"/>
          <w:szCs w:val="20"/>
        </w:rPr>
        <w:t xml:space="preserve">, </w:t>
      </w:r>
      <m:oMath>
        <m:r>
          <w:rPr>
            <w:rFonts w:ascii="Cambria Math" w:hAnsi="Cambria Math" w:cs="Times New Roman"/>
            <w:sz w:val="20"/>
            <w:szCs w:val="20"/>
          </w:rPr>
          <m:t>L</m:t>
        </m:r>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=0.142×0.66= 0.09</m:t>
        </m:r>
        <m:r>
          <w:rPr>
            <w:rFonts w:ascii="Cambria Math" w:eastAsia="Times New Roman" w:hAnsi="Cambria Math" w:cs="Times New Roman"/>
            <w:sz w:val="20"/>
            <w:szCs w:val="20"/>
          </w:rPr>
          <m:t>4</m:t>
        </m:r>
      </m:oMath>
      <w:r w:rsidR="00F9748B" w:rsidRPr="00435469">
        <w:rPr>
          <w:rFonts w:eastAsia="Times New Roman" w:cs="Times New Roman"/>
          <w:sz w:val="20"/>
          <w:szCs w:val="20"/>
        </w:rPr>
        <w:t xml:space="preserve"> and when </w:t>
      </w:r>
      <w:r w:rsidRPr="00435469">
        <w:rPr>
          <w:rFonts w:eastAsia="Times New Roman" w:cs="Times New Roman"/>
          <w:sz w:val="20"/>
          <w:szCs w:val="20"/>
        </w:rPr>
        <w:t>smear microscopy</w:t>
      </w:r>
      <w:r w:rsidR="00985A1D" w:rsidRPr="00435469">
        <w:rPr>
          <w:rFonts w:eastAsia="Times New Roman" w:cs="Times New Roman"/>
          <w:sz w:val="20"/>
          <w:szCs w:val="20"/>
        </w:rPr>
        <w:t xml:space="preserve"> was used,</w:t>
      </w:r>
      <w:r w:rsidRPr="00435469">
        <w:rPr>
          <w:rFonts w:eastAsia="Times New Roman" w:cs="Times New Roman"/>
          <w:sz w:val="20"/>
          <w:szCs w:val="20"/>
        </w:rPr>
        <w:t xml:space="preserve"> </w:t>
      </w:r>
      <m:oMath>
        <m:r>
          <w:rPr>
            <w:rFonts w:ascii="Cambria Math" w:hAnsi="Cambria Math" w:cs="Times New Roman"/>
            <w:sz w:val="20"/>
            <w:szCs w:val="20"/>
          </w:rPr>
          <m:t>L</m:t>
        </m:r>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=0.216×0.66=0.143</m:t>
        </m:r>
      </m:oMath>
      <w:r w:rsidRPr="00435469">
        <w:rPr>
          <w:rFonts w:eastAsia="Times New Roman" w:cs="Times New Roman"/>
          <w:i/>
          <w:iCs/>
          <w:sz w:val="20"/>
          <w:szCs w:val="20"/>
          <w:lang w:eastAsia="en-GB"/>
        </w:rPr>
        <w:t>.</w:t>
      </w:r>
      <w:r w:rsidR="00A0673E" w:rsidRPr="00435469">
        <w:rPr>
          <w:rFonts w:eastAsia="Times New Roman" w:cs="Times New Roman"/>
          <w:i/>
          <w:iCs/>
          <w:sz w:val="20"/>
          <w:szCs w:val="20"/>
          <w:lang w:eastAsia="en-GB"/>
        </w:rPr>
        <w:t xml:space="preserve"> </w:t>
      </w:r>
      <w:r w:rsidR="00B223E8" w:rsidRPr="00435469">
        <w:rPr>
          <w:rFonts w:cs="Times New Roman"/>
          <w:sz w:val="20"/>
          <w:szCs w:val="20"/>
        </w:rPr>
        <w:t>T</w:t>
      </w:r>
      <w:r w:rsidR="00FA57B4" w:rsidRPr="00435469">
        <w:rPr>
          <w:rFonts w:cs="Times New Roman"/>
          <w:sz w:val="20"/>
          <w:szCs w:val="20"/>
        </w:rPr>
        <w:t xml:space="preserve">he number of individuals who start treatment after a diagnosis </w:t>
      </w:r>
      <w:r w:rsidR="004270EB" w:rsidRPr="00435469">
        <w:rPr>
          <w:rFonts w:cs="Times New Roman"/>
          <w:sz w:val="20"/>
          <w:szCs w:val="20"/>
        </w:rPr>
        <w:t xml:space="preserve">is </w:t>
      </w:r>
      <w:r w:rsidR="007F227A" w:rsidRPr="00435469">
        <w:rPr>
          <w:rFonts w:cs="Times New Roman"/>
          <w:sz w:val="20"/>
          <w:szCs w:val="20"/>
        </w:rPr>
        <w:t>adapted from</w:t>
      </w:r>
      <w:r w:rsidR="00D71321" w:rsidRPr="00435469">
        <w:rPr>
          <w:rFonts w:cs="Times New Roman"/>
          <w:sz w:val="20"/>
          <w:szCs w:val="20"/>
        </w:rPr>
        <w:t xml:space="preserve"> </w:t>
      </w:r>
      <w:r w:rsidR="00613A58" w:rsidRPr="00435469">
        <w:rPr>
          <w:rFonts w:cs="Times New Roman"/>
          <w:sz w:val="20"/>
          <w:szCs w:val="20"/>
        </w:rPr>
        <w:fldChar w:fldCharType="begin"/>
      </w:r>
      <w:r w:rsidR="00613A58" w:rsidRPr="00435469">
        <w:rPr>
          <w:rFonts w:cs="Times New Roman"/>
          <w:sz w:val="20"/>
          <w:szCs w:val="20"/>
        </w:rPr>
        <w:instrText xml:space="preserve"> REF _Ref90446547 \h </w:instrText>
      </w:r>
      <w:r w:rsidR="00F334C7" w:rsidRPr="00435469">
        <w:rPr>
          <w:rFonts w:cs="Times New Roman"/>
          <w:sz w:val="20"/>
          <w:szCs w:val="20"/>
        </w:rPr>
        <w:instrText xml:space="preserve"> \* MERGEFORMAT </w:instrText>
      </w:r>
      <w:r w:rsidR="00613A58" w:rsidRPr="00435469">
        <w:rPr>
          <w:rFonts w:cs="Times New Roman"/>
          <w:sz w:val="20"/>
          <w:szCs w:val="20"/>
        </w:rPr>
      </w:r>
      <w:r w:rsidR="00613A58" w:rsidRPr="00435469">
        <w:rPr>
          <w:rFonts w:cs="Times New Roman"/>
          <w:sz w:val="20"/>
          <w:szCs w:val="20"/>
        </w:rPr>
        <w:fldChar w:fldCharType="separate"/>
      </w:r>
      <w:r w:rsidR="00186C2F" w:rsidRPr="00435469">
        <w:rPr>
          <w:sz w:val="20"/>
          <w:szCs w:val="20"/>
        </w:rPr>
        <w:t xml:space="preserve">Equation </w:t>
      </w:r>
      <w:r w:rsidR="00186C2F" w:rsidRPr="00435469">
        <w:rPr>
          <w:noProof/>
          <w:sz w:val="20"/>
          <w:szCs w:val="20"/>
        </w:rPr>
        <w:t>4</w:t>
      </w:r>
      <w:r w:rsidR="00613A58" w:rsidRPr="00435469">
        <w:rPr>
          <w:rFonts w:cs="Times New Roman"/>
          <w:sz w:val="20"/>
          <w:szCs w:val="20"/>
        </w:rPr>
        <w:fldChar w:fldCharType="end"/>
      </w:r>
      <w:r w:rsidR="003714E3" w:rsidRPr="00435469">
        <w:rPr>
          <w:rFonts w:cs="Times New Roman"/>
          <w:sz w:val="20"/>
          <w:szCs w:val="20"/>
        </w:rPr>
        <w:t>.</w:t>
      </w:r>
    </w:p>
    <w:p w14:paraId="7B5E12E0" w14:textId="77777777" w:rsidR="00971F36" w:rsidRPr="00435469" w:rsidRDefault="00971F36" w:rsidP="00955FFB">
      <w:pPr>
        <w:pStyle w:val="Heading3"/>
        <w:rPr>
          <w:rFonts w:cs="Times New Roman"/>
          <w:color w:val="auto"/>
          <w:sz w:val="20"/>
          <w:szCs w:val="20"/>
        </w:rPr>
      </w:pPr>
      <w:bookmarkStart w:id="172" w:name="_Toc66458481"/>
      <w:bookmarkStart w:id="173" w:name="_Toc79099824"/>
      <w:bookmarkStart w:id="174" w:name="_Ref80351552"/>
      <w:bookmarkStart w:id="175" w:name="_Ref80351561"/>
      <w:bookmarkStart w:id="176" w:name="_Ref80351564"/>
      <w:bookmarkStart w:id="177" w:name="_Ref80351572"/>
      <w:bookmarkStart w:id="178" w:name="_Toc80352145"/>
      <w:bookmarkStart w:id="179" w:name="_Toc87863337"/>
      <w:bookmarkStart w:id="180" w:name="_Toc88488568"/>
      <w:bookmarkStart w:id="181" w:name="_Toc103252936"/>
      <w:r w:rsidRPr="00435469">
        <w:rPr>
          <w:rFonts w:cs="Times New Roman"/>
          <w:color w:val="auto"/>
          <w:sz w:val="20"/>
          <w:szCs w:val="20"/>
        </w:rPr>
        <w:t>Modelling empirical treatment</w:t>
      </w:r>
      <w:bookmarkEnd w:id="172"/>
      <w:bookmarkEnd w:id="173"/>
      <w:bookmarkEnd w:id="174"/>
      <w:bookmarkEnd w:id="175"/>
      <w:bookmarkEnd w:id="176"/>
      <w:bookmarkEnd w:id="177"/>
      <w:bookmarkEnd w:id="178"/>
      <w:bookmarkEnd w:id="179"/>
      <w:bookmarkEnd w:id="180"/>
      <w:bookmarkEnd w:id="181"/>
      <w:r w:rsidRPr="00435469">
        <w:rPr>
          <w:rFonts w:cs="Times New Roman"/>
          <w:color w:val="auto"/>
          <w:sz w:val="20"/>
          <w:szCs w:val="20"/>
        </w:rPr>
        <w:t xml:space="preserve"> </w:t>
      </w:r>
    </w:p>
    <w:p w14:paraId="7525744E" w14:textId="4331EB8B" w:rsidR="00892D9D" w:rsidRPr="00435469" w:rsidRDefault="00971F36" w:rsidP="00955FFB">
      <w:pPr>
        <w:spacing w:line="240" w:lineRule="auto"/>
        <w:rPr>
          <w:rFonts w:cs="Times New Roman"/>
          <w:sz w:val="20"/>
          <w:szCs w:val="20"/>
        </w:rPr>
      </w:pPr>
      <w:r w:rsidRPr="00435469">
        <w:rPr>
          <w:rFonts w:cs="Times New Roman"/>
          <w:sz w:val="20"/>
          <w:szCs w:val="20"/>
        </w:rPr>
        <w:t xml:space="preserve">Empirical TB treatment – the administration of TB treatment to individuals being assessed for TB disease who do not have laboratory confirmation of TB – is recommended by WHO guidelines in resource-limited settings when ambulant HIV- radiography findings compatible with TB do not respond to broad-spectrum antimicrobial therapy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{"citationItems":[{"id":"ITEM-1","itemData":{"abstract":"Recommendations for HIV-prevalent and resource-constrained settings","id":"ITEM-1","issued":{"date-parts":[["2007"]]},"publisher-place":"Geneva, Switzerland","title":"Improving the diagnosis and treatment of smear-negative pulmonary and extra-pulmonary tuber- culosis among adults and adolescents: Recommendations for HIV-prevalent and resource-constrained settings","type":"report"},"uris":["http://www.mendeley.com/documents/?uuid=8da794bc-0550-4a9a-b5aa-7bde481b1727"]}],"mendeley":{"formattedCitation":"(71)","plainTextFormattedCitation":"(71)","previouslyFormattedCitation":"(71)"},"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(71)</w:t>
      </w:r>
      <w:r w:rsidRPr="00435469">
        <w:rPr>
          <w:rFonts w:cs="Times New Roman"/>
          <w:sz w:val="20"/>
          <w:szCs w:val="20"/>
        </w:rPr>
        <w:fldChar w:fldCharType="end"/>
      </w:r>
      <w:r w:rsidRPr="00435469">
        <w:rPr>
          <w:rFonts w:cs="Times New Roman"/>
          <w:sz w:val="20"/>
          <w:szCs w:val="20"/>
        </w:rPr>
        <w:t xml:space="preserve">. In South Africa, clinicians are recommended to initiate HIV-positive individuals on TB treatment when two sputum smear microscopy tests or a single sputum </w:t>
      </w:r>
      <w:r w:rsidR="009B4A3E" w:rsidRPr="00435469">
        <w:rPr>
          <w:rFonts w:cs="Times New Roman"/>
          <w:sz w:val="20"/>
          <w:szCs w:val="20"/>
        </w:rPr>
        <w:t>Gene</w:t>
      </w:r>
      <w:r w:rsidR="002C23FD" w:rsidRPr="00435469">
        <w:rPr>
          <w:rFonts w:cs="Times New Roman"/>
          <w:sz w:val="20"/>
          <w:szCs w:val="20"/>
        </w:rPr>
        <w:t>Xpert MTB/RIF</w:t>
      </w:r>
      <w:r w:rsidRPr="00435469">
        <w:rPr>
          <w:rFonts w:cs="Times New Roman"/>
          <w:sz w:val="20"/>
          <w:szCs w:val="20"/>
        </w:rPr>
        <w:t xml:space="preserve"> is negative for TB, chest radiograph findings are compatible with TB, and symptoms do not respond to antibiotics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{"citationItems":[{"id":"ITEM-1","itemData":{"ISBN":"9781920031824","id":"ITEM-1","issued":{"date-parts":[["2008"]]},"publisher-place":"Department of Health, Republic of South Africa 2014","title":"Department of Health. National Tuberculosis Management Guidelines 2008","type":"report"},"uris":["http://www.mendeley.com/documents/?uuid=ec2dc008-3842-4321-a1e2-459b2543c885"]}],"mendeley":{"formattedCitation":"(58)","plainTextFormattedCitation":"(58)","previouslyFormattedCitation":"(58)"},"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(58)</w:t>
      </w:r>
      <w:r w:rsidRPr="00435469">
        <w:rPr>
          <w:rFonts w:cs="Times New Roman"/>
          <w:sz w:val="20"/>
          <w:szCs w:val="20"/>
        </w:rPr>
        <w:fldChar w:fldCharType="end"/>
      </w:r>
      <w:r w:rsidRPr="00435469">
        <w:rPr>
          <w:rFonts w:cs="Times New Roman"/>
          <w:sz w:val="20"/>
          <w:szCs w:val="20"/>
        </w:rPr>
        <w:t>.</w:t>
      </w:r>
      <w:r w:rsidR="00892D9D" w:rsidRPr="00435469">
        <w:rPr>
          <w:rFonts w:cs="Times New Roman"/>
          <w:sz w:val="20"/>
          <w:szCs w:val="20"/>
        </w:rPr>
        <w:t xml:space="preserve"> </w:t>
      </w:r>
      <w:r w:rsidR="00DD4F9B" w:rsidRPr="00435469">
        <w:rPr>
          <w:rFonts w:cs="Times New Roman"/>
          <w:sz w:val="20"/>
          <w:szCs w:val="20"/>
        </w:rPr>
        <w:t xml:space="preserve">Empirical treatment is more beneficial in situations where the probability of active TB before a test is high, and when the </w:t>
      </w:r>
      <w:r w:rsidR="00DD4F9B" w:rsidRPr="00435469">
        <w:rPr>
          <w:rFonts w:cs="Times New Roman"/>
          <w:sz w:val="20"/>
          <w:szCs w:val="20"/>
        </w:rPr>
        <w:lastRenderedPageBreak/>
        <w:t xml:space="preserve">diagnostic test used is less sensitive </w:t>
      </w:r>
      <w:r w:rsidR="00DD4F9B" w:rsidRPr="00435469">
        <w:rPr>
          <w:rFonts w:cs="Times New Roman"/>
          <w:sz w:val="20"/>
          <w:szCs w:val="20"/>
        </w:rPr>
        <w:fldChar w:fldCharType="begin" w:fldLock="1"/>
      </w:r>
      <w:r w:rsidR="00A142FF" w:rsidRPr="00435469">
        <w:rPr>
          <w:rFonts w:cs="Times New Roman"/>
          <w:sz w:val="20"/>
          <w:szCs w:val="20"/>
        </w:rPr>
        <w:instrText>ADDIN CSL_CITATION {"citationItems":[{"id":"ITEM-1","itemData":{"ISBN":"9781920031824","id":"ITEM-1","issued":{"date-parts":[["2008"]]},"publisher-place":"Department of Health, Republic of South Africa 2014","title":"Department of Health. National Tuberculosis Management Guidelines 2008","type":"report"},"uris":["http://www.mendeley.com/documents/?uuid=ec2dc008-3842-4321-a1e2-459b2543c885"]}],"mendeley":{"formattedCitation":"(58)","plainTextFormattedCitation":"(58)","previouslyFormattedCitation":"(58)"},"properties":{"noteIndex":0},"schema":"https://github.com/citation-style-language/schema/raw/master/csl-citation.json"}</w:instrText>
      </w:r>
      <w:r w:rsidR="00DD4F9B" w:rsidRPr="00435469">
        <w:rPr>
          <w:rFonts w:cs="Times New Roman"/>
          <w:sz w:val="20"/>
          <w:szCs w:val="20"/>
        </w:rPr>
        <w:fldChar w:fldCharType="separate"/>
      </w:r>
      <w:r w:rsidR="0016391D" w:rsidRPr="00435469">
        <w:rPr>
          <w:rFonts w:cs="Times New Roman"/>
          <w:noProof/>
          <w:sz w:val="20"/>
          <w:szCs w:val="20"/>
        </w:rPr>
        <w:t>(58)</w:t>
      </w:r>
      <w:r w:rsidR="00DD4F9B" w:rsidRPr="00435469">
        <w:rPr>
          <w:rFonts w:cs="Times New Roman"/>
          <w:sz w:val="20"/>
          <w:szCs w:val="20"/>
        </w:rPr>
        <w:fldChar w:fldCharType="end"/>
      </w:r>
      <w:r w:rsidR="00DD4F9B" w:rsidRPr="00435469">
        <w:rPr>
          <w:rFonts w:cs="Times New Roman"/>
          <w:sz w:val="20"/>
          <w:szCs w:val="20"/>
        </w:rPr>
        <w:t>.</w:t>
      </w:r>
      <w:r w:rsidR="003900F9" w:rsidRPr="00435469">
        <w:rPr>
          <w:rFonts w:cs="Times New Roman"/>
          <w:sz w:val="20"/>
          <w:szCs w:val="20"/>
        </w:rPr>
        <w:t xml:space="preserve"> As such, in some situations, even w</w:t>
      </w:r>
      <w:r w:rsidR="00574F85" w:rsidRPr="00435469">
        <w:rPr>
          <w:rFonts w:cs="Times New Roman"/>
          <w:sz w:val="20"/>
          <w:szCs w:val="20"/>
        </w:rPr>
        <w:t>hen the guidelines recommend it, clinicia</w:t>
      </w:r>
      <w:r w:rsidR="00E90F6F" w:rsidRPr="00435469">
        <w:rPr>
          <w:rFonts w:cs="Times New Roman"/>
          <w:sz w:val="20"/>
          <w:szCs w:val="20"/>
        </w:rPr>
        <w:t>ns initiate pat</w:t>
      </w:r>
      <w:r w:rsidR="00276469" w:rsidRPr="00435469">
        <w:rPr>
          <w:rFonts w:cs="Times New Roman"/>
          <w:sz w:val="20"/>
          <w:szCs w:val="20"/>
        </w:rPr>
        <w:t xml:space="preserve">ients on TB treatment on </w:t>
      </w:r>
      <w:r w:rsidR="00396AD5" w:rsidRPr="00435469">
        <w:rPr>
          <w:rFonts w:cs="Times New Roman"/>
          <w:sz w:val="20"/>
          <w:szCs w:val="20"/>
        </w:rPr>
        <w:t xml:space="preserve">an </w:t>
      </w:r>
      <w:r w:rsidR="00276469" w:rsidRPr="00435469">
        <w:rPr>
          <w:rFonts w:cs="Times New Roman"/>
          <w:sz w:val="20"/>
          <w:szCs w:val="20"/>
        </w:rPr>
        <w:t xml:space="preserve">empirical basis. </w:t>
      </w:r>
    </w:p>
    <w:p w14:paraId="0A58C599" w14:textId="3B97409C" w:rsidR="00BC57FE" w:rsidRPr="00435469" w:rsidRDefault="00971F36" w:rsidP="00955FFB">
      <w:pPr>
        <w:spacing w:line="240" w:lineRule="auto"/>
        <w:rPr>
          <w:rFonts w:cs="Times New Roman"/>
          <w:sz w:val="20"/>
          <w:szCs w:val="20"/>
        </w:rPr>
      </w:pPr>
      <w:r w:rsidRPr="00435469">
        <w:rPr>
          <w:rFonts w:cs="Times New Roman"/>
          <w:sz w:val="20"/>
          <w:szCs w:val="20"/>
        </w:rPr>
        <w:t xml:space="preserve">In </w:t>
      </w:r>
      <w:r w:rsidR="00396AD5" w:rsidRPr="00435469">
        <w:rPr>
          <w:rFonts w:cs="Times New Roman"/>
          <w:sz w:val="20"/>
          <w:szCs w:val="20"/>
        </w:rPr>
        <w:t xml:space="preserve">our </w:t>
      </w:r>
      <w:r w:rsidRPr="00435469">
        <w:rPr>
          <w:rFonts w:cs="Times New Roman"/>
          <w:sz w:val="20"/>
          <w:szCs w:val="20"/>
        </w:rPr>
        <w:t>model, we account for individuals who initiated treatment on an empirical basis through the calibration process.</w:t>
      </w:r>
      <w:r w:rsidR="0063067A" w:rsidRPr="00435469">
        <w:rPr>
          <w:rFonts w:cs="Times New Roman"/>
          <w:sz w:val="20"/>
          <w:szCs w:val="20"/>
        </w:rPr>
        <w:t xml:space="preserve"> </w:t>
      </w:r>
      <w:r w:rsidR="003009FE" w:rsidRPr="00435469">
        <w:rPr>
          <w:rFonts w:cs="Times New Roman"/>
          <w:sz w:val="20"/>
          <w:szCs w:val="20"/>
        </w:rPr>
        <w:t xml:space="preserve">In modelling </w:t>
      </w:r>
      <w:r w:rsidR="00EB2435" w:rsidRPr="00435469">
        <w:rPr>
          <w:rFonts w:cs="Times New Roman"/>
          <w:sz w:val="20"/>
          <w:szCs w:val="20"/>
        </w:rPr>
        <w:t xml:space="preserve">empirical treatment, we make an implicit allowance for extrapulmonary TB </w:t>
      </w:r>
      <w:r w:rsidR="00BC57FE" w:rsidRPr="00435469">
        <w:rPr>
          <w:rFonts w:cs="Times New Roman"/>
          <w:sz w:val="20"/>
          <w:szCs w:val="20"/>
        </w:rPr>
        <w:t>(</w:t>
      </w:r>
      <w:r w:rsidR="00EB2435" w:rsidRPr="00435469">
        <w:rPr>
          <w:rFonts w:cs="Times New Roman"/>
          <w:sz w:val="20"/>
          <w:szCs w:val="20"/>
        </w:rPr>
        <w:t>as</w:t>
      </w:r>
      <w:r w:rsidR="00BC57FE" w:rsidRPr="00435469">
        <w:rPr>
          <w:rFonts w:cs="Times New Roman"/>
          <w:sz w:val="20"/>
          <w:szCs w:val="20"/>
        </w:rPr>
        <w:t xml:space="preserve"> </w:t>
      </w:r>
      <w:r w:rsidR="004F17DC" w:rsidRPr="00435469">
        <w:rPr>
          <w:rFonts w:cs="Times New Roman"/>
          <w:sz w:val="20"/>
          <w:szCs w:val="20"/>
        </w:rPr>
        <w:t>it is difficult to dia</w:t>
      </w:r>
      <w:r w:rsidR="00280BB7" w:rsidRPr="00435469">
        <w:rPr>
          <w:rFonts w:cs="Times New Roman"/>
          <w:sz w:val="20"/>
          <w:szCs w:val="20"/>
        </w:rPr>
        <w:t>gnose and</w:t>
      </w:r>
      <w:r w:rsidR="00EB2435" w:rsidRPr="00435469">
        <w:rPr>
          <w:rFonts w:cs="Times New Roman"/>
          <w:sz w:val="20"/>
          <w:szCs w:val="20"/>
        </w:rPr>
        <w:t xml:space="preserve"> </w:t>
      </w:r>
      <w:r w:rsidR="00396AD5" w:rsidRPr="00435469">
        <w:rPr>
          <w:rFonts w:cs="Times New Roman"/>
          <w:sz w:val="20"/>
          <w:szCs w:val="20"/>
        </w:rPr>
        <w:t xml:space="preserve">the </w:t>
      </w:r>
      <w:r w:rsidR="00EB2435" w:rsidRPr="00435469">
        <w:rPr>
          <w:rFonts w:cs="Times New Roman"/>
          <w:sz w:val="20"/>
          <w:szCs w:val="20"/>
        </w:rPr>
        <w:t>m</w:t>
      </w:r>
      <w:r w:rsidR="00BC57FE" w:rsidRPr="00435469">
        <w:rPr>
          <w:rFonts w:cs="Times New Roman"/>
          <w:sz w:val="20"/>
          <w:szCs w:val="20"/>
        </w:rPr>
        <w:t xml:space="preserve">ajority of </w:t>
      </w:r>
      <w:r w:rsidR="00846CCC" w:rsidRPr="00435469">
        <w:rPr>
          <w:rFonts w:cs="Times New Roman"/>
          <w:sz w:val="20"/>
          <w:szCs w:val="20"/>
        </w:rPr>
        <w:t>extrapulmonary TB</w:t>
      </w:r>
      <w:r w:rsidR="00470869" w:rsidRPr="00435469">
        <w:rPr>
          <w:rFonts w:cs="Times New Roman"/>
          <w:sz w:val="20"/>
          <w:szCs w:val="20"/>
        </w:rPr>
        <w:t xml:space="preserve"> cases are </w:t>
      </w:r>
      <w:r w:rsidR="00A84717" w:rsidRPr="00435469">
        <w:rPr>
          <w:rFonts w:cs="Times New Roman"/>
          <w:sz w:val="20"/>
          <w:szCs w:val="20"/>
        </w:rPr>
        <w:t>not diagnosed based on microbiological investigation</w:t>
      </w:r>
      <w:r w:rsidR="00E51833" w:rsidRPr="00435469">
        <w:rPr>
          <w:rFonts w:cs="Times New Roman"/>
          <w:sz w:val="20"/>
          <w:szCs w:val="20"/>
        </w:rPr>
        <w:t xml:space="preserve"> </w:t>
      </w:r>
      <w:r w:rsidR="009F19C0" w:rsidRPr="00435469">
        <w:rPr>
          <w:rFonts w:cs="Times New Roman"/>
          <w:sz w:val="20"/>
          <w:szCs w:val="20"/>
        </w:rPr>
        <w:fldChar w:fldCharType="begin" w:fldLock="1"/>
      </w:r>
      <w:r w:rsidR="00A142FF" w:rsidRPr="00435469">
        <w:rPr>
          <w:rFonts w:cs="Times New Roman"/>
          <w:sz w:val="20"/>
          <w:szCs w:val="20"/>
        </w:rPr>
        <w:instrText>ADDIN CSL_CITATION {"citationItems":[{"id":"ITEM-1","itemData":{"DOI":"10.7860/JCDR/2015/12422.5792","ISSN":"0973709X","abstract":"During the last decade, remarkable progress has been made in the diagnostics of pulmonary tuberculosis; however, diagnostic challenges in extra-pulmonary tuberculosis (EPTB) remain to be addressed. Diagnosis of EPTB is difficult due to the pauci-bacillary nature of disease, the variable clinical presentation, and need for invasive procedures to secure appropriate sample, and lack of laboratory facilities in the resource-limited settings. A more accurate test to diagnose various forms of EPTB, which can easily be incorporated in the routine TB control programme, would contribute significantly towards improving EPTB case-detection and thus reducing the morbidity and mortality. In this overview, we describe the status of current conventional and newer methods available for laboratory diagnosis of EPTB and discuss the challenges in their implementation in the resource-limited settings, and suggestion for better EPTB diagnostic algorithms, which can be incorporated in the routine TB control programmes.","author":[{"dropping-particle":"","family":"Purohit","given":"Manju","non-dropping-particle":"","parse-names":false,"suffix":""},{"dropping-particle":"","family":"Mustafa","given":"Tehmina","non-dropping-particle":"","parse-names":false,"suffix":""}],"container-title":"Journal of Clinical and Diagnostic Research","id":"ITEM-1","issue":"4","issued":{"date-parts":[["2015"]]},"page":"EE01-EE06","title":"Laboratory diagnosis of extra-pulmonary tuberculosis (EPTB) in resource-constrained setting: State of the art, challenges and the need","type":"article-journal","volume":"9"},"uris":["http://www.mendeley.com/documents/?uuid=57caf835-0b61-477a-a6a0-1daf77340471"]}],"mendeley":{"formattedCitation":"(72)","plainTextFormattedCitation":"(72)","previouslyFormattedCitation":"(72)"},"properties":{"noteIndex":0},"schema":"https://github.com/citation-style-language/schema/raw/master/csl-citation.json"}</w:instrText>
      </w:r>
      <w:r w:rsidR="009F19C0" w:rsidRPr="00435469">
        <w:rPr>
          <w:rFonts w:cs="Times New Roman"/>
          <w:sz w:val="20"/>
          <w:szCs w:val="20"/>
        </w:rPr>
        <w:fldChar w:fldCharType="separate"/>
      </w:r>
      <w:r w:rsidR="0016391D" w:rsidRPr="00435469">
        <w:rPr>
          <w:rFonts w:cs="Times New Roman"/>
          <w:noProof/>
          <w:sz w:val="20"/>
          <w:szCs w:val="20"/>
        </w:rPr>
        <w:t>(72)</w:t>
      </w:r>
      <w:r w:rsidR="009F19C0" w:rsidRPr="00435469">
        <w:rPr>
          <w:rFonts w:cs="Times New Roman"/>
          <w:sz w:val="20"/>
          <w:szCs w:val="20"/>
        </w:rPr>
        <w:fldChar w:fldCharType="end"/>
      </w:r>
      <w:r w:rsidR="00BC57FE" w:rsidRPr="00435469">
        <w:rPr>
          <w:rFonts w:cs="Times New Roman"/>
          <w:sz w:val="20"/>
          <w:szCs w:val="20"/>
        </w:rPr>
        <w:t>)</w:t>
      </w:r>
      <w:r w:rsidR="00470869" w:rsidRPr="00435469">
        <w:rPr>
          <w:rFonts w:cs="Times New Roman"/>
          <w:sz w:val="20"/>
          <w:szCs w:val="20"/>
        </w:rPr>
        <w:t>.</w:t>
      </w:r>
    </w:p>
    <w:p w14:paraId="6A0D69A3" w14:textId="42FC978B" w:rsidR="00E012B0" w:rsidRPr="00435469" w:rsidRDefault="00971F36" w:rsidP="00955FFB">
      <w:pPr>
        <w:spacing w:line="240" w:lineRule="auto"/>
        <w:rPr>
          <w:rFonts w:cs="Times New Roman"/>
          <w:sz w:val="20"/>
          <w:szCs w:val="20"/>
        </w:rPr>
      </w:pPr>
      <w:r w:rsidRPr="00435469">
        <w:rPr>
          <w:rFonts w:cs="Times New Roman"/>
          <w:sz w:val="20"/>
          <w:szCs w:val="20"/>
        </w:rPr>
        <w:t xml:space="preserve">First, we define </w:t>
      </w:r>
      <m:oMath>
        <m:r>
          <w:rPr>
            <w:rFonts w:ascii="Cambria Math" w:hAnsi="Cambria Math" w:cs="Times New Roman"/>
            <w:sz w:val="20"/>
            <w:szCs w:val="20"/>
          </w:rPr>
          <m:t>Y</m:t>
        </m:r>
      </m:oMath>
      <w:r w:rsidRPr="00435469">
        <w:rPr>
          <w:rFonts w:cs="Times New Roman"/>
          <w:sz w:val="20"/>
          <w:szCs w:val="20"/>
        </w:rPr>
        <w:t xml:space="preserve"> as the proportion of active TB cases seeking treatment for TB symptoms </w:t>
      </w:r>
      <w:r w:rsidR="00396AD5" w:rsidRPr="00435469">
        <w:rPr>
          <w:rFonts w:cs="Times New Roman"/>
          <w:sz w:val="20"/>
          <w:szCs w:val="20"/>
        </w:rPr>
        <w:t>who get</w:t>
      </w:r>
      <w:r w:rsidRPr="00435469">
        <w:rPr>
          <w:rFonts w:cs="Times New Roman"/>
          <w:sz w:val="20"/>
          <w:szCs w:val="20"/>
        </w:rPr>
        <w:t xml:space="preserve"> treated empirically before any microbiological test is conducted. This proportion is based on two studies. The first study is by Pepper </w:t>
      </w:r>
      <w:r w:rsidRPr="00435469">
        <w:rPr>
          <w:rFonts w:cs="Times New Roman"/>
          <w:i/>
          <w:iCs/>
          <w:sz w:val="20"/>
          <w:szCs w:val="20"/>
        </w:rPr>
        <w:t>et al</w:t>
      </w:r>
      <w:r w:rsidRPr="00435469">
        <w:rPr>
          <w:rFonts w:cs="Times New Roman"/>
          <w:sz w:val="20"/>
          <w:szCs w:val="20"/>
        </w:rPr>
        <w:t xml:space="preserve">., which found the proportion to be 13% in Khayelitsha (based on a large sample in 2007-9 before </w:t>
      </w:r>
      <w:r w:rsidR="009B4A3E" w:rsidRPr="00435469">
        <w:rPr>
          <w:rFonts w:cs="Times New Roman"/>
          <w:sz w:val="20"/>
          <w:szCs w:val="20"/>
        </w:rPr>
        <w:t>Gene</w:t>
      </w:r>
      <w:r w:rsidR="002C23FD" w:rsidRPr="00435469">
        <w:rPr>
          <w:rFonts w:cs="Times New Roman"/>
          <w:sz w:val="20"/>
          <w:szCs w:val="20"/>
        </w:rPr>
        <w:t>Xpert MTB/RIF</w:t>
      </w:r>
      <w:r w:rsidR="002C23FD" w:rsidRPr="00435469" w:rsidDel="002C23FD">
        <w:rPr>
          <w:rFonts w:cs="Times New Roman"/>
          <w:sz w:val="20"/>
          <w:szCs w:val="20"/>
        </w:rPr>
        <w:t xml:space="preserve"> </w:t>
      </w:r>
      <w:r w:rsidRPr="00435469">
        <w:rPr>
          <w:rFonts w:cs="Times New Roman"/>
          <w:sz w:val="20"/>
          <w:szCs w:val="20"/>
        </w:rPr>
        <w:t xml:space="preserve">was introduced)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{"citationItems":[{"id":"ITEM-1","itemData":{"DOI":"10.1186/s12981-015-0076-5","ISSN":"17426405","abstract":"© 2015 Pepper et al. Background: Identifying those at increased risk of death during TB treatment is a priority in resource-constrained settings. We performed this study to determine predictors of mortality during TB treatment. Methods: We performed a retrospective analysis of a TB surveillance population in a high HIV prevalence area that was recorded in ETR.net (Electronic Tuberculosis Register). Adult TB cases initiated TB treatment from 2007 through 2009 in Khayelitsha, South Africa. Cox proportional hazards models were used to identify risk factors for death  (after multiple imputations for missing data). Model selection was performed using Akaike's Information Criterion to obtain the most relevant predictors of death. Results: Of 16,209 adult TB cases, 851 (5.3 %) died during TB treatment. In all TB cases, advancing age, co-infection with HIV, a prior history of TB and the presence of both pulmonary and extra-pulmonary TB were independently associated with an increasing hazard of death. In HIV-infected TB cases, advancing age and female gender were independently associated with an increasing hazard of death. Increasing CD4 counts and antiretroviral treatment during TB treatment were protective against death. In HIV-uninfected TB cases, advancing age was independently associated with death, whereas smear-positive disease was protective. Conclusion: We identified several independent predictors of death during TB treatment in resource-constrained settings. Our findings inform resource-constrained settings about certain subgroups of TB patients that should be targeted to improve mortality during TB treatment.","author":[{"dropping-particle":"","family":"Pepper","given":"Dominique J.","non-dropping-particle":"","parse-names":false,"suffix":""},{"dropping-particle":"","family":"Schomaker","given":"Michael","non-dropping-particle":"","parse-names":false,"suffix":""},{"dropping-particle":"","family":"Wilkinson","given":"Robert J.","non-dropping-particle":"","parse-names":false,"suffix":""},{"dropping-particle":"","family":"Azevedo","given":"Virginia","non-dropping-particle":"","parse-names":false,"suffix":""},{"dropping-particle":"","family":"Maartens","given":"Gary","non-dropping-particle":"","parse-names":false,"suffix":""}],"container-title":"AIDS Research and Therapy","id":"ITEM-1","issue":"1","issued":{"date-parts":[["2015"]]},"page":"1-9","publisher":"BioMed Central","title":"Independent predictors of tuberculosis mortality in a high HIV prevalence setting: A retrospective cohort study","type":"article-journal","volume":"12"},"uris":["http://www.mendeley.com/documents/?uuid=3d10b293-2347-4563-b477-2417fa0ee547"]}],"mendeley":{"formattedCitation":"(73)","plainTextFormattedCitation":"(73)","previouslyFormattedCitation":"(73)"},"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(73)</w:t>
      </w:r>
      <w:r w:rsidRPr="00435469">
        <w:rPr>
          <w:rFonts w:cs="Times New Roman"/>
          <w:sz w:val="20"/>
          <w:szCs w:val="20"/>
        </w:rPr>
        <w:fldChar w:fldCharType="end"/>
      </w:r>
      <w:r w:rsidRPr="00435469">
        <w:rPr>
          <w:rFonts w:cs="Times New Roman"/>
          <w:sz w:val="20"/>
          <w:szCs w:val="20"/>
        </w:rPr>
        <w:t xml:space="preserve">. The second is by </w:t>
      </w:r>
      <w:proofErr w:type="spellStart"/>
      <w:r w:rsidRPr="00435469">
        <w:rPr>
          <w:rFonts w:cs="Times New Roman"/>
          <w:sz w:val="20"/>
          <w:szCs w:val="20"/>
        </w:rPr>
        <w:t>Pronyk</w:t>
      </w:r>
      <w:proofErr w:type="spellEnd"/>
      <w:r w:rsidRPr="00435469">
        <w:rPr>
          <w:rFonts w:cs="Times New Roman"/>
          <w:sz w:val="20"/>
          <w:szCs w:val="20"/>
        </w:rPr>
        <w:t xml:space="preserve"> </w:t>
      </w:r>
      <w:r w:rsidRPr="00435469">
        <w:rPr>
          <w:rFonts w:cs="Times New Roman"/>
          <w:i/>
          <w:iCs/>
          <w:sz w:val="20"/>
          <w:szCs w:val="20"/>
        </w:rPr>
        <w:t>et al</w:t>
      </w:r>
      <w:r w:rsidRPr="00435469">
        <w:rPr>
          <w:rFonts w:cs="Times New Roman"/>
          <w:sz w:val="20"/>
          <w:szCs w:val="20"/>
        </w:rPr>
        <w:t xml:space="preserve">., estimating a much higher rate (38%) in Agincourt, based on a relatively small number of cases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{"citationItems":[{"id":"ITEM-1","itemData":{"ISBN":"1027-3719 (Print)\\r1027-3719 (Linking)","ISSN":"1027-3719","PMID":"11467368","abstract":"SETTING South Africa's rural Northern Province. OBJECTIVES To examine patterns of health seeking behaviour among hospitalised tuberculosis patients. DESIGN Information on personal characteristics, health seeking behaviour and delays to presentation and hospitalisation was collected from hospitalised TB patients. Analysis of rates was used to investigate factors associated with delay. RESULTS Among 298 patients, median total delay to hospitalisation was 10 weeks, with patient delay contributing a greater proportion than service provider delay. Patients more often presented initially to public hospitals (41%) or clinics (31 %) than to spiritual/traditional healers (15%) or private GPs (13%). Total delay was shorter amongst those presenting to hospitals than those presenting to clinics (rate ratio 1.33, 95%CI 1.13-1.85), with a significantly smaller proportion of the total delay attributable to the health service provider (18% vs. 42%). Those exhibiting a conventional risk profile for TB (migrants, alcohol drinkers, history of TB) were diagnosed most quickly by health services, while women remained undiagnosed for longer. CONCLUSION Considerable delay exists between symptom onset and treatment initiation among pulmonary tuberculosis patients. While a substantial delay was attributable to late patient presentation, an important, preventable period of infectiousness was caused by the failure of recognised clinical services to diagnose tuberculosis among symptomatic individuals.","author":[{"dropping-particle":"","family":"Pronyk","given":"R M","non-dropping-particle":"","parse-names":false,"suffix":""},{"dropping-particle":"","family":"Makhubele","given":"M B","non-dropping-particle":"","parse-names":false,"suffix":""},{"dropping-particle":"","family":"Hargreaves","given":"J R","non-dropping-particle":"","parse-names":false,"suffix":""},{"dropping-particle":"","family":"Tollman","given":"S M","non-dropping-particle":"","parse-names":false,"suffix":""},{"dropping-particle":"","family":"Hausler","given":"H P","non-dropping-particle":"","parse-names":false,"suffix":""}],"container-title":"The International Journal of Tuberculosis and Lung Disease","id":"ITEM-1","issued":{"date-parts":[["2001"]]},"title":"Assessing health seeking behaviour among tuberculosis patients in rural South Africa.","type":"article-journal"},"uris":["http://www.mendeley.com/documents/?uuid=38106e73-a4d1-4ad8-94b6-62e0fb77ddad"]}],"mendeley":{"formattedCitation":"(74)","plainTextFormattedCitation":"(74)","previouslyFormattedCitation":"(74)"},"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(74)</w:t>
      </w:r>
      <w:r w:rsidRPr="00435469">
        <w:rPr>
          <w:rFonts w:cs="Times New Roman"/>
          <w:sz w:val="20"/>
          <w:szCs w:val="20"/>
        </w:rPr>
        <w:fldChar w:fldCharType="end"/>
      </w:r>
      <w:r w:rsidRPr="00435469">
        <w:rPr>
          <w:rFonts w:cs="Times New Roman"/>
          <w:sz w:val="20"/>
          <w:szCs w:val="20"/>
        </w:rPr>
        <w:t xml:space="preserve">. However, these studies may overestimate the true proportion. For example, if TB cases that come to the clinic with symptoms but never get screened are included in the denominator, the proportion will be lower. This bias would be more likely when there are lower treatment rates (i.e., as in the </w:t>
      </w:r>
      <w:proofErr w:type="spellStart"/>
      <w:r w:rsidRPr="00435469">
        <w:rPr>
          <w:rFonts w:cs="Times New Roman"/>
          <w:sz w:val="20"/>
          <w:szCs w:val="20"/>
        </w:rPr>
        <w:t>Pronyk</w:t>
      </w:r>
      <w:proofErr w:type="spellEnd"/>
      <w:r w:rsidR="00156640" w:rsidRPr="00435469">
        <w:rPr>
          <w:rFonts w:cs="Times New Roman"/>
          <w:sz w:val="20"/>
          <w:szCs w:val="20"/>
        </w:rPr>
        <w:t xml:space="preserve"> </w:t>
      </w:r>
      <w:r w:rsidR="00156640" w:rsidRPr="00435469">
        <w:rPr>
          <w:rFonts w:cs="Times New Roman"/>
          <w:i/>
          <w:iCs/>
          <w:sz w:val="20"/>
          <w:szCs w:val="20"/>
        </w:rPr>
        <w:t>et al.</w:t>
      </w:r>
      <w:r w:rsidRPr="00435469">
        <w:rPr>
          <w:rFonts w:cs="Times New Roman"/>
          <w:sz w:val="20"/>
          <w:szCs w:val="20"/>
        </w:rPr>
        <w:t xml:space="preserve"> study conducted in a rural area before the rollout of major TB </w:t>
      </w:r>
      <w:proofErr w:type="spellStart"/>
      <w:r w:rsidRPr="00435469">
        <w:rPr>
          <w:rFonts w:cs="Times New Roman"/>
          <w:sz w:val="20"/>
          <w:szCs w:val="20"/>
        </w:rPr>
        <w:t>programmes</w:t>
      </w:r>
      <w:proofErr w:type="spellEnd"/>
      <w:r w:rsidRPr="00435469">
        <w:rPr>
          <w:rFonts w:cs="Times New Roman"/>
          <w:sz w:val="20"/>
          <w:szCs w:val="20"/>
        </w:rPr>
        <w:t>)</w:t>
      </w:r>
      <w:r w:rsidR="00B57955" w:rsidRPr="00435469">
        <w:rPr>
          <w:rStyle w:val="FootnoteReference"/>
        </w:rPr>
        <w:footnoteReference w:id="2"/>
      </w:r>
      <w:r w:rsidRPr="00435469">
        <w:rPr>
          <w:rFonts w:cs="Times New Roman"/>
          <w:sz w:val="20"/>
          <w:szCs w:val="20"/>
        </w:rPr>
        <w:t xml:space="preserve">. Therefore, the average of these two studies (25%) is assumed as the upper bound. We then specify a Uniform (0;0.25) prior distribution for Y, with a mean of 0.125 and standard deviation of 0.14. </w:t>
      </w:r>
      <w:r w:rsidR="002547A4" w:rsidRPr="00435469">
        <w:rPr>
          <w:rFonts w:eastAsiaTheme="minorEastAsia" w:cs="Times New Roman"/>
          <w:sz w:val="20"/>
          <w:szCs w:val="20"/>
        </w:rPr>
        <w:t xml:space="preserve">In a previous calibration analysis, we estimated the posterior mean </w:t>
      </w:r>
      <w:r w:rsidR="002D36C9" w:rsidRPr="00435469">
        <w:rPr>
          <w:rFonts w:eastAsiaTheme="minorEastAsia" w:cs="Times New Roman"/>
          <w:sz w:val="20"/>
          <w:szCs w:val="20"/>
        </w:rPr>
        <w:t xml:space="preserve">and 95% confidence interval </w:t>
      </w:r>
      <w:r w:rsidR="002547A4" w:rsidRPr="00435469">
        <w:rPr>
          <w:rFonts w:eastAsiaTheme="minorEastAsia" w:cs="Times New Roman"/>
          <w:sz w:val="20"/>
          <w:szCs w:val="20"/>
        </w:rPr>
        <w:t xml:space="preserve">for this parameter to be </w:t>
      </w:r>
      <w:bookmarkStart w:id="182" w:name="_Hlk102045360"/>
      <w:r w:rsidR="002547A4" w:rsidRPr="00435469">
        <w:rPr>
          <w:rFonts w:cs="Times New Roman"/>
          <w:sz w:val="20"/>
          <w:szCs w:val="20"/>
          <w:lang w:val="en-ZA"/>
        </w:rPr>
        <w:t xml:space="preserve">0.068 </w:t>
      </w:r>
      <w:bookmarkEnd w:id="182"/>
      <w:r w:rsidR="002547A4" w:rsidRPr="00435469">
        <w:rPr>
          <w:rFonts w:cs="Times New Roman"/>
          <w:sz w:val="20"/>
          <w:szCs w:val="20"/>
          <w:lang w:val="en-ZA"/>
        </w:rPr>
        <w:t>(</w:t>
      </w:r>
      <w:r w:rsidR="00B31E25" w:rsidRPr="00435469">
        <w:rPr>
          <w:rFonts w:cs="Times New Roman"/>
          <w:sz w:val="20"/>
          <w:szCs w:val="20"/>
          <w:lang w:val="en-ZA"/>
        </w:rPr>
        <w:t xml:space="preserve">95% CI </w:t>
      </w:r>
      <w:r w:rsidR="002547A4" w:rsidRPr="00435469">
        <w:rPr>
          <w:rFonts w:cs="Times New Roman"/>
          <w:sz w:val="20"/>
          <w:szCs w:val="20"/>
          <w:lang w:val="en-ZA"/>
        </w:rPr>
        <w:t>0.046 - 0.092</w:t>
      </w:r>
      <w:r w:rsidR="002547A4" w:rsidRPr="00435469">
        <w:rPr>
          <w:rFonts w:eastAsiaTheme="minorEastAsia" w:cs="Times New Roman"/>
          <w:sz w:val="20"/>
          <w:szCs w:val="20"/>
        </w:rPr>
        <w:t>)</w:t>
      </w:r>
      <w:r w:rsidR="00437D72" w:rsidRPr="00435469">
        <w:rPr>
          <w:rFonts w:eastAsiaTheme="minorEastAsia" w:cs="Times New Roman"/>
          <w:sz w:val="20"/>
          <w:szCs w:val="20"/>
        </w:rPr>
        <w:t xml:space="preserve"> </w:t>
      </w:r>
      <w:r w:rsidR="00437D72" w:rsidRPr="00435469">
        <w:rPr>
          <w:rFonts w:eastAsia="Yu Mincho" w:cs="Times New Roman"/>
          <w:sz w:val="20"/>
          <w:szCs w:val="20"/>
        </w:rPr>
        <w:fldChar w:fldCharType="begin" w:fldLock="1"/>
      </w:r>
      <w:r w:rsidR="00650727"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437D72" w:rsidRPr="00435469">
        <w:rPr>
          <w:rFonts w:eastAsia="Yu Mincho" w:cs="Times New Roman"/>
          <w:sz w:val="20"/>
          <w:szCs w:val="20"/>
        </w:rPr>
        <w:fldChar w:fldCharType="separate"/>
      </w:r>
      <w:r w:rsidR="00437D72" w:rsidRPr="00435469">
        <w:rPr>
          <w:rFonts w:eastAsia="Yu Mincho" w:cs="Times New Roman"/>
          <w:noProof/>
          <w:sz w:val="20"/>
          <w:szCs w:val="20"/>
        </w:rPr>
        <w:t>(6)</w:t>
      </w:r>
      <w:r w:rsidR="00437D72" w:rsidRPr="00435469">
        <w:rPr>
          <w:rFonts w:eastAsia="Yu Mincho" w:cs="Times New Roman"/>
          <w:sz w:val="20"/>
          <w:szCs w:val="20"/>
        </w:rPr>
        <w:fldChar w:fldCharType="end"/>
      </w:r>
      <w:r w:rsidR="002547A4" w:rsidRPr="00435469">
        <w:rPr>
          <w:rFonts w:eastAsiaTheme="minorEastAsia" w:cs="Times New Roman"/>
          <w:sz w:val="20"/>
          <w:szCs w:val="20"/>
        </w:rPr>
        <w:t xml:space="preserve">. </w:t>
      </w:r>
      <w:r w:rsidR="002547A4" w:rsidRPr="00435469">
        <w:rPr>
          <w:rFonts w:eastAsiaTheme="minorEastAsia" w:cs="Times New Roman"/>
          <w:sz w:val="20"/>
          <w:szCs w:val="20"/>
          <w:lang w:val="en-ZA"/>
        </w:rPr>
        <w:t>For this current analysis, we fixed</w:t>
      </w:r>
      <w:r w:rsidR="002547A4" w:rsidRPr="00435469">
        <w:rPr>
          <w:rFonts w:eastAsiaTheme="minorEastAsia" w:cs="Times New Roman"/>
          <w:sz w:val="20"/>
          <w:szCs w:val="20"/>
        </w:rPr>
        <w:t xml:space="preserve"> at this mean of </w:t>
      </w:r>
      <w:r w:rsidR="002547A4" w:rsidRPr="00435469">
        <w:rPr>
          <w:rFonts w:cs="Times New Roman"/>
          <w:sz w:val="20"/>
          <w:szCs w:val="20"/>
          <w:lang w:val="en-ZA"/>
        </w:rPr>
        <w:t>0.068</w:t>
      </w:r>
      <w:r w:rsidR="002547A4" w:rsidRPr="00435469">
        <w:rPr>
          <w:rFonts w:eastAsiaTheme="minorEastAsia" w:cs="Times New Roman"/>
          <w:sz w:val="20"/>
          <w:szCs w:val="20"/>
        </w:rPr>
        <w:t>.</w:t>
      </w:r>
    </w:p>
    <w:p w14:paraId="4371E1E3" w14:textId="1E7F54DA" w:rsidR="009B47E4" w:rsidRPr="00435469" w:rsidRDefault="00971F36" w:rsidP="00955FFB">
      <w:pPr>
        <w:spacing w:line="240" w:lineRule="auto"/>
        <w:rPr>
          <w:rFonts w:cs="Times New Roman"/>
          <w:sz w:val="20"/>
          <w:szCs w:val="20"/>
        </w:rPr>
      </w:pPr>
      <w:r w:rsidRPr="00435469">
        <w:rPr>
          <w:rFonts w:cs="Times New Roman"/>
          <w:sz w:val="20"/>
          <w:szCs w:val="20"/>
        </w:rPr>
        <w:t xml:space="preserve">Second, we let </w:t>
      </w:r>
      <m:oMath>
        <m:r>
          <w:rPr>
            <w:rFonts w:ascii="Cambria Math" w:hAnsi="Cambria Math" w:cs="Times New Roman"/>
            <w:sz w:val="20"/>
            <w:szCs w:val="20"/>
          </w:rPr>
          <m:t>Z</m:t>
        </m:r>
      </m:oMath>
      <w:r w:rsidRPr="00435469">
        <w:rPr>
          <w:rFonts w:cs="Times New Roman"/>
          <w:sz w:val="20"/>
          <w:szCs w:val="20"/>
        </w:rPr>
        <w:t xml:space="preserve"> represent the proportion of smear-negative active TB cases seeking treatment for TB symptoms, treated empirically after an initial negative smear. In the period before </w:t>
      </w:r>
      <w:r w:rsidR="009B4A3E" w:rsidRPr="00435469">
        <w:rPr>
          <w:rFonts w:cs="Times New Roman"/>
          <w:sz w:val="20"/>
          <w:szCs w:val="20"/>
        </w:rPr>
        <w:t>Gene</w:t>
      </w:r>
      <w:r w:rsidR="002C23FD" w:rsidRPr="00435469">
        <w:rPr>
          <w:rFonts w:cs="Times New Roman"/>
          <w:sz w:val="20"/>
          <w:szCs w:val="20"/>
        </w:rPr>
        <w:t>Xpert MTB/RIF</w:t>
      </w:r>
      <w:r w:rsidRPr="00435469">
        <w:rPr>
          <w:rFonts w:cs="Times New Roman"/>
          <w:sz w:val="20"/>
          <w:szCs w:val="20"/>
        </w:rPr>
        <w:t xml:space="preserve"> (i.e., before 2011), the proportion of all treated TB cases treated empirically was between 30</w:t>
      </w:r>
      <w:r w:rsidR="009B47E4" w:rsidRPr="00435469">
        <w:rPr>
          <w:rFonts w:cs="Times New Roman"/>
          <w:sz w:val="20"/>
          <w:szCs w:val="20"/>
        </w:rPr>
        <w:t>%</w:t>
      </w:r>
      <w:r w:rsidRPr="00435469">
        <w:rPr>
          <w:rFonts w:cs="Times New Roman"/>
          <w:sz w:val="20"/>
          <w:szCs w:val="20"/>
        </w:rPr>
        <w:t xml:space="preserve"> and 45%</w:t>
      </w:r>
      <w:r w:rsidR="005911EA" w:rsidRPr="00435469">
        <w:rPr>
          <w:rFonts w:cs="Times New Roman"/>
          <w:sz w:val="20"/>
          <w:szCs w:val="20"/>
        </w:rPr>
        <w:t xml:space="preserve">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10.1371/journal.pone.0034156","author":[{"dropping-particle":"","family":"Gupta","given":"Ankur","non-dropping-particle":"","parse-names":false,"suffix":""},{"dropping-particle":"","family":"Wood","given":"Robin","non-dropping-particle":"","parse-names":false,"suffix":""},{"dropping-particle":"","family":"Kaplan","given":"Richard","non-dropping-particle":"","parse-names":false,"suffix":""},{"dropping-particle":"","family":"Bekker","given":"Linda-gail","non-dropping-particle":"","parse-names":false,"suffix":""},{"dropping-particle":"","family":"Lawn","given":"Stephen D","non-dropping-particle":"","parse-names":false,"suffix":""}],"container-title":"PloS One","id":"ITEM-1","issue":"3","issued":{"date-parts":[["2012"]]},"page":"1-10","title":"Tuberculosis Incidence Rates during 8 Years of Follow-Up of an Antiretroviral Treatment Cohort in South Africa : Comparison with Rates in the Community","type":"article-journal","volume":"7"},"uris":["http://www.mendeley.com/documents/?uuid=394f6250-a1ec-48dc-9cf6-000da166a87f"]},{"id":"ITEM-2","itemData":{"DOI":"10.1371/journal.pone.0065421","ISSN":"19326203","abstract":"Introduction:In December 2010, the World Health Organization recommended a single Xpert MTB/RIF assay as the initial diagnostic in people suspected of HIV-associated or drug resistant tuberculosis. Few data are available on the impact of this recommendation on patient outcomes. We describe the diagnostic follow-up, clinical characteristics and outcomes of a cohort of tuberculosis suspects screened using a single point-of-care Xpert.Methods:Consecutive tuberculosis suspects at a primary care clinic in Johannesburg, South Africa were assessed for tuberculosis using point-of-care Xpert. Sputum smear microscopy and liquid culture were performed as reference standards. Xpert-negatives were evaluated clinically, and further assessed at the discretion of clinicians. Participants were followed for six months.Results:From July-September 2011, 641 tuberculosis suspects were enrolled, of whom 69% were HIV-infected. Eight percent were positive by a single Xpert. Among 116 individuals diagnosed with TB, 66 (57%) were Xpert negative, of which 44 (67%) were empirical or radiological diagnoses and 22 (33%) were Xpert negative/culture-positive. The median time to tuberculosis treatment was 0 days (IQR: 0-0) for Xpert positives, 14 days (IQR: 5-35) for those diagnosed empirically, 14 days (IQR: 7-29) for radiological diagnoses, and 144 days (IQR: 28-180) for culture positives. Xpert negative tuberculosis cases were clinically similar to Xpert positives, including HIV status and CD4 count, and had similar treatment outcomes including mortality and time to antiretroviral treatment initiation.Conclusions:In a high HIV-burden setting, a single Xpert identified less than half of those started on tuberculosis treatment, highlighting the complexity of TB diagnosis even in the Xpert era. Xpert at point-of-care resulted in same day treatment initiation in Xpert-positives, but had no impact on tuberculosis treatment outcomes or mortality. © 2013 Hanrahan et al.","author":[{"dropping-particle":"","family":"Hanrahan","given":"Colleen F.","non-dropping-particle":"","parse-names":false,"suffix":""},{"dropping-particle":"","family":"Selibas","given":"Katerina","non-dropping-particle":"","parse-names":false,"suffix":""},{"dropping-particle":"","family":"Deery","given":"Christopher B.","non-dropping-particle":"","parse-names":false,"suffix":""},{"dropping-particle":"","family":"Dansey","given":"Heather","non-dropping-particle":"","parse-names":false,"suffix":""},{"dropping-particle":"","family":"Clouse","given":"Kate","non-dropping-particle":"","parse-names":false,"suffix":""},{"dropping-particle":"","family":"Bassett","given":"Jean","non-dropping-particle":"","parse-names":false,"suffix":""},{"dropping-particle":"","family":"Scott","given":"Lesley","non-dropping-particle":"","parse-names":false,"suffix":""},{"dropping-particle":"","family":"Stevens","given":"Wendy","non-dropping-particle":"","parse-names":false,"suffix":""},{"dropping-particle":"","family":"Sanne","given":"Ian","non-dropping-particle":"","parse-names":false,"suffix":""},{"dropping-particle":"","family":"Rie","given":"Annelies","non-dropping-particle":"van","parse-names":false,"suffix":""}],"container-title":"PLoS ONE","id":"ITEM-2","issue":"6","issued":{"date-parts":[["2013"]]},"title":"Time to Treatment and Patient Outcomes among TB Suspects Screened by a Single Point-of-Care Xpert MTB/RIF at a Primary Care Clinic in Johannesburg, South Africa","type":"article-journal","volume":"8"},"uris":["http://www.mendeley.com/documents/?uuid=bcb87129-c134-4a50-92a8-554a1f689257"]},{"id":"ITEM-3","itemData":{"DOI":"10.2471/BLT.16.185314","ISSN":"15640604","PMID":"28804167","abstract":"Objective To investigate the impact of introducing a rapid test as the first-line diagnostic test for drug-sensitive tuberculosis in Cape Town, South Africa. Methods Xpert® MTB/RIF (Xpert®), an automated polymerase-chain-reaction-based assay, was rolled out between 2011 and 2013. Data were available on 102 007 adults treated for pulmonary tuberculosis between 2010 and 2014. Tuberculosis notification rates per 100 000 population were calculated for each calendar year and for each year relative to the test roll-out locally, overall and by bacteriological confirmation. Empirical treatment was defined as treatment given without bacteriological confirmation by Xpert®, sputum smear microscopy or sputum culture. Findings Between 2010 and 2014, the proportion of human immunodeficiency virus (HIV)-negative patients treated empirically for tuberculosis declined from 23% (2445/10 643) to 11% (1149/10 089); in HIV-positive patients, it declined from 42% (4229/9985) to 27% (2364/8823). The overall tuberculosis notification rate decreased by 12% and 19% among HIV-negative and HIV-positive patients, respectively; the rate of bacteriologically confirmed cases increased by 1% and 3%, respectively; and the rate of empirical treatment decreased by 56% and 49%, respectively. These changes occurred gradually following the test’s introduction and stabilized after 3 years. Conclusion Roll-out of the rapid test in a setting with a high prevalence of pulmonary tuberculosis and HIV infection was associated with a halving of empirical treatment that occurred gradually after the test’s introduction, possibly reflecting the time needed for full implementation. More than a quarter of HIV-positive patients with tuberculosis were still treated empirically, highlighting the diagnostic challenge in these patients.","author":[{"dropping-particle":"","family":"Hermans","given":"Sabine","non-dropping-particle":"","parse-names":false,"suffix":""},{"dropping-particle":"","family":"Caldwell","given":"Judy","non-dropping-particle":"","parse-names":false,"suffix":""},{"dropping-particle":"","family":"Kaplan","given":"Richard","non-dropping-particle":"","parse-names":false,"suffix":""},{"dropping-particle":"","family":"Cobelens","given":"Frank","non-dropping-particle":"","parse-names":false,"suffix":""},{"dropping-particle":"","family":"Wood","given":"Robin","non-dropping-particle":"","parse-names":false,"suffix":""}],"container-title":"Bulletin of the World Health Organization","id":"ITEM-3","issue":"8","issued":{"date-parts":[["2017"]]},"page":"554-563","title":"The impact of the roll-out of rapid molecular diagnostic testing for tuberculosis on empirical treatment in Cape Town, South Africa","type":"article-journal","volume":"95"},"uris":["http://www.mendeley.com/documents/?uuid=3cc351d0-d08a-4a95-8bb2-19f4093328ee"]}],"mendeley":{"formattedCitation":"(75–77)","plainTextFormattedCitation":"(75–77)","previouslyFormattedCitation":"(75–77)"},"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(75–77)</w:t>
      </w:r>
      <w:r w:rsidRPr="00435469">
        <w:rPr>
          <w:rFonts w:cs="Times New Roman"/>
          <w:sz w:val="20"/>
          <w:szCs w:val="20"/>
        </w:rPr>
        <w:fldChar w:fldCharType="end"/>
      </w:r>
      <w:r w:rsidRPr="00435469">
        <w:rPr>
          <w:rFonts w:cs="Times New Roman"/>
          <w:sz w:val="20"/>
          <w:szCs w:val="20"/>
        </w:rPr>
        <w:t>.</w:t>
      </w:r>
      <w:r w:rsidR="00482931" w:rsidRPr="00435469">
        <w:rPr>
          <w:rFonts w:cs="Times New Roman"/>
          <w:sz w:val="20"/>
          <w:szCs w:val="20"/>
        </w:rPr>
        <w:t xml:space="preserve"> It is nonetheless difficult</w:t>
      </w:r>
      <w:r w:rsidR="009C31C5" w:rsidRPr="00435469">
        <w:rPr>
          <w:sz w:val="20"/>
          <w:szCs w:val="20"/>
        </w:rPr>
        <w:t xml:space="preserve"> to quantify the parameter based on the available data, and therefore we assign a non-informative prior, </w:t>
      </w:r>
      <w:proofErr w:type="gramStart"/>
      <w:r w:rsidR="009C31C5" w:rsidRPr="00435469">
        <w:rPr>
          <w:sz w:val="20"/>
          <w:szCs w:val="20"/>
        </w:rPr>
        <w:t>U(</w:t>
      </w:r>
      <w:proofErr w:type="gramEnd"/>
      <w:r w:rsidR="009C31C5" w:rsidRPr="00435469">
        <w:rPr>
          <w:sz w:val="20"/>
          <w:szCs w:val="20"/>
        </w:rPr>
        <w:t>0</w:t>
      </w:r>
      <w:r w:rsidR="00C62C2B" w:rsidRPr="00435469">
        <w:rPr>
          <w:sz w:val="20"/>
          <w:szCs w:val="20"/>
        </w:rPr>
        <w:t>;0.</w:t>
      </w:r>
      <w:r w:rsidR="006C74F3" w:rsidRPr="00435469">
        <w:rPr>
          <w:sz w:val="20"/>
          <w:szCs w:val="20"/>
        </w:rPr>
        <w:t>67</w:t>
      </w:r>
      <w:r w:rsidR="009C31C5" w:rsidRPr="00435469">
        <w:rPr>
          <w:sz w:val="20"/>
          <w:szCs w:val="20"/>
        </w:rPr>
        <w:t>)</w:t>
      </w:r>
      <w:r w:rsidR="00062A91" w:rsidRPr="00435469">
        <w:rPr>
          <w:sz w:val="20"/>
          <w:szCs w:val="20"/>
        </w:rPr>
        <w:t xml:space="preserve">; with a mean of </w:t>
      </w:r>
      <w:r w:rsidR="008E5CE4" w:rsidRPr="00435469">
        <w:rPr>
          <w:sz w:val="20"/>
          <w:szCs w:val="20"/>
        </w:rPr>
        <w:t>0.33 and standard deviation of 0.23</w:t>
      </w:r>
      <w:r w:rsidR="00B9373F" w:rsidRPr="00435469">
        <w:rPr>
          <w:sz w:val="20"/>
          <w:szCs w:val="20"/>
        </w:rPr>
        <w:t>6</w:t>
      </w:r>
      <w:r w:rsidR="005911EA" w:rsidRPr="00435469">
        <w:rPr>
          <w:sz w:val="20"/>
          <w:szCs w:val="20"/>
        </w:rPr>
        <w:t xml:space="preserve"> to represent the uncertainty in Z</w:t>
      </w:r>
      <w:r w:rsidR="009C31C5" w:rsidRPr="00435469">
        <w:rPr>
          <w:sz w:val="20"/>
          <w:szCs w:val="20"/>
        </w:rPr>
        <w:t xml:space="preserve">. </w:t>
      </w:r>
      <w:r w:rsidR="003A459B" w:rsidRPr="00435469">
        <w:rPr>
          <w:sz w:val="20"/>
          <w:szCs w:val="20"/>
        </w:rPr>
        <w:t xml:space="preserve">In a previous calibration analysis, we estimated the posterior mean </w:t>
      </w:r>
      <w:r w:rsidR="002D36C9" w:rsidRPr="00435469">
        <w:rPr>
          <w:rFonts w:eastAsiaTheme="minorEastAsia" w:cs="Times New Roman"/>
          <w:sz w:val="20"/>
          <w:szCs w:val="20"/>
        </w:rPr>
        <w:t xml:space="preserve">and 95% confidence interval </w:t>
      </w:r>
      <w:r w:rsidR="002C1FC4" w:rsidRPr="00435469">
        <w:rPr>
          <w:sz w:val="20"/>
          <w:szCs w:val="20"/>
        </w:rPr>
        <w:t xml:space="preserve">for this parameter </w:t>
      </w:r>
      <w:r w:rsidR="004D537A" w:rsidRPr="00435469">
        <w:rPr>
          <w:sz w:val="20"/>
          <w:szCs w:val="20"/>
        </w:rPr>
        <w:t>to be</w:t>
      </w:r>
      <w:r w:rsidR="003A459B" w:rsidRPr="00435469">
        <w:rPr>
          <w:sz w:val="20"/>
          <w:szCs w:val="20"/>
        </w:rPr>
        <w:t xml:space="preserve"> </w:t>
      </w:r>
      <w:r w:rsidR="003A459B" w:rsidRPr="00435469">
        <w:rPr>
          <w:sz w:val="20"/>
          <w:szCs w:val="20"/>
          <w:lang w:val="en-ZA"/>
        </w:rPr>
        <w:t>0.28 (</w:t>
      </w:r>
      <w:r w:rsidR="002C1FC4" w:rsidRPr="00435469">
        <w:rPr>
          <w:sz w:val="20"/>
          <w:szCs w:val="20"/>
          <w:lang w:val="en-ZA"/>
        </w:rPr>
        <w:t xml:space="preserve">95% CI </w:t>
      </w:r>
      <w:r w:rsidR="003A459B" w:rsidRPr="00435469">
        <w:rPr>
          <w:sz w:val="20"/>
          <w:szCs w:val="20"/>
          <w:lang w:val="en-ZA"/>
        </w:rPr>
        <w:t xml:space="preserve">0.222 </w:t>
      </w:r>
      <w:r w:rsidR="002C1FC4" w:rsidRPr="00435469">
        <w:rPr>
          <w:sz w:val="20"/>
          <w:szCs w:val="20"/>
          <w:lang w:val="en-ZA"/>
        </w:rPr>
        <w:t>–</w:t>
      </w:r>
      <w:r w:rsidR="003A459B" w:rsidRPr="00435469">
        <w:rPr>
          <w:sz w:val="20"/>
          <w:szCs w:val="20"/>
          <w:lang w:val="en-ZA"/>
        </w:rPr>
        <w:t xml:space="preserve"> 0.353)</w:t>
      </w:r>
      <w:r w:rsidR="00437D72" w:rsidRPr="00435469">
        <w:rPr>
          <w:sz w:val="20"/>
          <w:szCs w:val="20"/>
          <w:lang w:val="en-ZA"/>
        </w:rPr>
        <w:t xml:space="preserve"> </w:t>
      </w:r>
      <w:r w:rsidR="00437D72" w:rsidRPr="00435469">
        <w:rPr>
          <w:rFonts w:eastAsia="Yu Mincho" w:cs="Times New Roman"/>
          <w:sz w:val="20"/>
          <w:szCs w:val="20"/>
        </w:rPr>
        <w:fldChar w:fldCharType="begin" w:fldLock="1"/>
      </w:r>
      <w:r w:rsidR="00650727"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437D72" w:rsidRPr="00435469">
        <w:rPr>
          <w:rFonts w:eastAsia="Yu Mincho" w:cs="Times New Roman"/>
          <w:sz w:val="20"/>
          <w:szCs w:val="20"/>
        </w:rPr>
        <w:fldChar w:fldCharType="separate"/>
      </w:r>
      <w:r w:rsidR="00437D72" w:rsidRPr="00435469">
        <w:rPr>
          <w:rFonts w:eastAsia="Yu Mincho" w:cs="Times New Roman"/>
          <w:noProof/>
          <w:sz w:val="20"/>
          <w:szCs w:val="20"/>
        </w:rPr>
        <w:t>(6)</w:t>
      </w:r>
      <w:r w:rsidR="00437D72" w:rsidRPr="00435469">
        <w:rPr>
          <w:rFonts w:eastAsia="Yu Mincho" w:cs="Times New Roman"/>
          <w:sz w:val="20"/>
          <w:szCs w:val="20"/>
        </w:rPr>
        <w:fldChar w:fldCharType="end"/>
      </w:r>
      <w:r w:rsidR="002C1FC4" w:rsidRPr="00435469">
        <w:rPr>
          <w:sz w:val="20"/>
          <w:szCs w:val="20"/>
          <w:lang w:val="en-ZA"/>
        </w:rPr>
        <w:t>. In this present anal</w:t>
      </w:r>
      <w:r w:rsidR="00A51DE0" w:rsidRPr="00435469">
        <w:rPr>
          <w:sz w:val="20"/>
          <w:szCs w:val="20"/>
          <w:lang w:val="en-ZA"/>
        </w:rPr>
        <w:t xml:space="preserve">ysis, we used this posterior mean of 0.28 to represent this parameter. </w:t>
      </w:r>
    </w:p>
    <w:p w14:paraId="0232477B" w14:textId="4DE112B0" w:rsidR="00971F36" w:rsidRPr="00435469" w:rsidRDefault="00971F36" w:rsidP="00955FFB">
      <w:pPr>
        <w:spacing w:line="240" w:lineRule="auto"/>
        <w:rPr>
          <w:rFonts w:cs="Times New Roman"/>
          <w:sz w:val="20"/>
          <w:szCs w:val="20"/>
        </w:rPr>
      </w:pPr>
      <w:r w:rsidRPr="00435469">
        <w:rPr>
          <w:rFonts w:cs="Times New Roman"/>
          <w:sz w:val="20"/>
          <w:szCs w:val="20"/>
        </w:rPr>
        <w:t xml:space="preserve">Thirdly, we let </w:t>
      </w:r>
      <m:oMath>
        <m:r>
          <w:rPr>
            <w:rFonts w:ascii="Cambria Math" w:hAnsi="Cambria Math" w:cs="Times New Roman"/>
            <w:sz w:val="20"/>
            <w:szCs w:val="20"/>
          </w:rPr>
          <m:t>R</m:t>
        </m:r>
      </m:oMath>
      <w:r w:rsidRPr="00435469">
        <w:rPr>
          <w:rFonts w:cs="Times New Roman"/>
          <w:sz w:val="20"/>
          <w:szCs w:val="20"/>
        </w:rPr>
        <w:t xml:space="preserve"> be the relative rate of empirical treatment in people with respiratory symptoms that are not due to TB</w:t>
      </w:r>
      <w:r w:rsidR="00DE0519" w:rsidRPr="00435469">
        <w:rPr>
          <w:rFonts w:cs="Times New Roman"/>
          <w:sz w:val="20"/>
          <w:szCs w:val="20"/>
        </w:rPr>
        <w:t>,</w:t>
      </w:r>
      <w:r w:rsidRPr="00435469">
        <w:rPr>
          <w:rFonts w:cs="Times New Roman"/>
          <w:sz w:val="20"/>
          <w:szCs w:val="20"/>
        </w:rPr>
        <w:t xml:space="preserve"> compared to people who do have TB. This </w:t>
      </w:r>
      <m:oMath>
        <m:r>
          <w:rPr>
            <w:rFonts w:ascii="Cambria Math" w:hAnsi="Cambria Math" w:cs="Times New Roman"/>
            <w:sz w:val="20"/>
            <w:szCs w:val="20"/>
          </w:rPr>
          <m:t>R</m:t>
        </m:r>
      </m:oMath>
      <w:r w:rsidRPr="00435469">
        <w:rPr>
          <w:rFonts w:cs="Times New Roman"/>
          <w:sz w:val="20"/>
          <w:szCs w:val="20"/>
        </w:rPr>
        <w:t xml:space="preserve"> parameter is difficult to estimate from published studies due to a lack of evidence. However, we expect it to be </w:t>
      </w:r>
      <m:oMath>
        <m:r>
          <w:rPr>
            <w:rFonts w:ascii="Cambria Math" w:hAnsi="Cambria Math" w:cs="Times New Roman"/>
            <w:sz w:val="20"/>
            <w:szCs w:val="20"/>
          </w:rPr>
          <m:t>&lt;1</m:t>
        </m:r>
      </m:oMath>
      <w:r w:rsidRPr="00435469">
        <w:rPr>
          <w:rFonts w:cs="Times New Roman"/>
          <w:sz w:val="20"/>
          <w:szCs w:val="20"/>
        </w:rPr>
        <w:t xml:space="preserve"> since chest radiography is often used to exclude patients who do not have TB, and many empirically treated patients are only started on treatment if they fail to respond to an initial short course of broad-spectrum antibiotics. Based on van ‘t Hoog </w:t>
      </w:r>
      <w:r w:rsidRPr="00435469">
        <w:rPr>
          <w:rFonts w:cs="Times New Roman"/>
          <w:i/>
          <w:iCs/>
          <w:sz w:val="20"/>
          <w:szCs w:val="20"/>
        </w:rPr>
        <w:t>et al</w:t>
      </w:r>
      <w:r w:rsidRPr="00435469">
        <w:rPr>
          <w:rFonts w:cs="Times New Roman"/>
          <w:sz w:val="20"/>
          <w:szCs w:val="20"/>
        </w:rPr>
        <w:t>.'s meta-analysis, the sensitivity of chest X-rays</w:t>
      </w:r>
      <w:r w:rsidR="00DE0519" w:rsidRPr="00435469">
        <w:rPr>
          <w:rFonts w:cs="Times New Roman"/>
          <w:sz w:val="20"/>
          <w:szCs w:val="20"/>
        </w:rPr>
        <w:t xml:space="preserve"> in detecting TB</w:t>
      </w:r>
      <w:r w:rsidRPr="00435469">
        <w:rPr>
          <w:rFonts w:cs="Times New Roman"/>
          <w:sz w:val="20"/>
          <w:szCs w:val="20"/>
        </w:rPr>
        <w:t xml:space="preserve"> was 95% based on the studies that evaluated chest X-rays in patients who had symptoms; the specificity was 55%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{"citationItems":[{"id":"ITEM-1","itemData":{"DOI":"10.1371/journal.pone.0082786","ISSN":"19326203","PMID":"24367555","abstract":"Background: High costs are a limitation to scaling up the Xpert MTB/RIF assay (Xpert) for the diagnosis of tuberculosis in resource-constrained settings. A triaging strategy in which a sensitive but not necessarily highly specific rapid test is used to select patients for Xpert may result in a more affordable diagnostic algorithm. To inform the selection and development of particular diagnostics as a triage test we explored combinations of sensitivity, specificity and cost at which a hypothetical triage test will improve affordability of the Xpert assay. Methods: In a decision analytical model parameterized for Uganda, India and South Africa, we compared a diagnostic algorithm in which a cohort of patients with presumptive TB received Xpert to a triage algorithm whereby only those with a positive triage test were tested by Xpert. Findings: A triage test with sensitivity equal to Xpert, 75% specificity, and costs of US$5 per patient tested reduced total diagnostic costs by 42% in the Uganda setting, and by 34% and 39% respectively in the India and South Africa settings. When exploring triage algorithms with lower sensitivity, the use of an example triage test with 95% sensitivity relative to Xpert, 75% specificity and test costs $5 resulted in similar cost reduction, and was cost-effective by the WHO willingness-to-pay threshold compared to Xpert for all in Uganda, but not in India and South Africa. The gain in affordability of the examined triage algorithms increased with decreasing prevalence of tuberculosis among the cohort. Conclusions: A triage test strategy could potentially improve the affordability of Xpert for TB diagnosis, particularly in low-income countries and with enhanced case-finding. Tests and markers with lower accuracy than desired of a diagnostic test may fall within the ranges of sensitivity, specificity and cost required for triage tests and be developed as such. © 2013 Van't Hoog et al.","author":[{"dropping-particle":"","family":"Van't Hoog","given":"Anna H.","non-dropping-particle":"","parse-names":false,"suffix":""},{"dropping-particle":"","family":"Cobelens","given":"Frank","non-dropping-particle":"","parse-names":false,"suffix":""},{"dropping-particle":"","family":"Vassall","given":"Anna","non-dropping-particle":"","parse-names":false,"suffix":""},{"dropping-particle":"","family":"Kampen","given":"Sanne","non-dropping-particle":"Van","parse-names":false,"suffix":""},{"dropping-particle":"","family":"Dorman","given":"Susan E.","non-dropping-particle":"","parse-names":false,"suffix":""},{"dropping-particle":"","family":"Alland","given":"David","non-dropping-particle":"","parse-names":false,"suffix":""},{"dropping-particle":"","family":"Ellner","given":"Jerrold","non-dropping-particle":"","parse-names":false,"suffix":""}],"container-title":"PLoS ONE","id":"ITEM-1","issue":"12","issued":{"date-parts":[["2013"]]},"title":"Optimal triage test characteristics to improve the cost-effectiveness of the Xpert MTB/RIF assay for TB diagnosis: A decision analysis","type":"article-journal","volume":"8"},"uris":["http://www.mendeley.com/documents/?uuid=770471a0-8255-49c2-842e-b6572c1b12be"]}],"mendeley":{"formattedCitation":"(78)","plainTextFormattedCitation":"(78)","previouslyFormattedCitation":"(78)"},"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(78)</w:t>
      </w:r>
      <w:r w:rsidRPr="00435469">
        <w:rPr>
          <w:rFonts w:cs="Times New Roman"/>
          <w:sz w:val="20"/>
          <w:szCs w:val="20"/>
        </w:rPr>
        <w:fldChar w:fldCharType="end"/>
      </w:r>
      <w:r w:rsidRPr="00435469">
        <w:rPr>
          <w:rFonts w:cs="Times New Roman"/>
          <w:sz w:val="20"/>
          <w:szCs w:val="20"/>
        </w:rPr>
        <w:t xml:space="preserve">. </w:t>
      </w:r>
      <w:r w:rsidR="00DE0519" w:rsidRPr="00435469">
        <w:rPr>
          <w:rFonts w:cs="Times New Roman"/>
          <w:sz w:val="20"/>
          <w:szCs w:val="20"/>
        </w:rPr>
        <w:t>This suggests</w:t>
      </w:r>
      <w:r w:rsidRPr="00435469">
        <w:rPr>
          <w:rFonts w:cs="Times New Roman"/>
          <w:sz w:val="20"/>
          <w:szCs w:val="20"/>
        </w:rPr>
        <w:t xml:space="preserve"> that if chest X-rays tested everyone with symptoms, the value of </w:t>
      </w:r>
      <m:oMath>
        <m:r>
          <w:rPr>
            <w:rFonts w:ascii="Cambria Math" w:hAnsi="Cambria Math" w:cs="Times New Roman"/>
            <w:sz w:val="20"/>
            <w:szCs w:val="20"/>
          </w:rPr>
          <m:t>R</m:t>
        </m:r>
      </m:oMath>
      <w:r w:rsidRPr="00435469">
        <w:rPr>
          <w:rFonts w:cs="Times New Roman"/>
          <w:sz w:val="20"/>
          <w:szCs w:val="20"/>
        </w:rPr>
        <w:t xml:space="preserve"> would be 0.47 (= (1 – 0.55)/0.95). However, this might be an overestimate because not everyone is examined with chest X-rays; therefore, we specify a</w:t>
      </w:r>
      <w:r w:rsidR="004655AF" w:rsidRPr="00435469">
        <w:rPr>
          <w:rFonts w:cs="Times New Roman"/>
          <w:sz w:val="20"/>
          <w:szCs w:val="20"/>
        </w:rPr>
        <w:t xml:space="preserve"> non-informative p</w:t>
      </w:r>
      <w:r w:rsidR="000E729B" w:rsidRPr="00435469">
        <w:rPr>
          <w:rFonts w:cs="Times New Roman"/>
          <w:sz w:val="20"/>
          <w:szCs w:val="20"/>
        </w:rPr>
        <w:t xml:space="preserve">rior </w:t>
      </w:r>
      <w:proofErr w:type="gramStart"/>
      <w:r w:rsidR="000E729B" w:rsidRPr="00435469">
        <w:rPr>
          <w:rFonts w:cs="Times New Roman"/>
          <w:sz w:val="20"/>
          <w:szCs w:val="20"/>
        </w:rPr>
        <w:t>U(</w:t>
      </w:r>
      <w:proofErr w:type="gramEnd"/>
      <w:r w:rsidR="000E729B" w:rsidRPr="00435469">
        <w:rPr>
          <w:rFonts w:cs="Times New Roman"/>
          <w:sz w:val="20"/>
          <w:szCs w:val="20"/>
        </w:rPr>
        <w:t>0</w:t>
      </w:r>
      <w:r w:rsidR="005911EA" w:rsidRPr="00435469">
        <w:rPr>
          <w:rFonts w:cs="Times New Roman"/>
          <w:sz w:val="20"/>
          <w:szCs w:val="20"/>
        </w:rPr>
        <w:t>,</w:t>
      </w:r>
      <w:r w:rsidR="000E729B" w:rsidRPr="00435469">
        <w:rPr>
          <w:rFonts w:cs="Times New Roman"/>
          <w:sz w:val="20"/>
          <w:szCs w:val="20"/>
        </w:rPr>
        <w:t>1)</w:t>
      </w:r>
      <w:r w:rsidRPr="00435469">
        <w:rPr>
          <w:rFonts w:cs="Times New Roman"/>
          <w:sz w:val="20"/>
          <w:szCs w:val="20"/>
        </w:rPr>
        <w:t xml:space="preserve"> to be conservative</w:t>
      </w:r>
      <w:r w:rsidR="00AF565F" w:rsidRPr="00435469">
        <w:rPr>
          <w:rFonts w:cs="Times New Roman"/>
          <w:sz w:val="20"/>
          <w:szCs w:val="20"/>
        </w:rPr>
        <w:t xml:space="preserve"> (mean=0.5 and standard deviation=0.289)</w:t>
      </w:r>
      <w:r w:rsidRPr="00435469">
        <w:rPr>
          <w:rFonts w:cs="Times New Roman"/>
          <w:sz w:val="20"/>
          <w:szCs w:val="20"/>
        </w:rPr>
        <w:t>.</w:t>
      </w:r>
      <w:r w:rsidR="006C329D" w:rsidRPr="00435469">
        <w:rPr>
          <w:rFonts w:cs="Times New Roman"/>
          <w:sz w:val="20"/>
          <w:szCs w:val="20"/>
        </w:rPr>
        <w:t xml:space="preserve"> In a previous calibration </w:t>
      </w:r>
      <w:r w:rsidR="00312C0B" w:rsidRPr="00435469">
        <w:rPr>
          <w:rFonts w:cs="Times New Roman"/>
          <w:sz w:val="20"/>
          <w:szCs w:val="20"/>
        </w:rPr>
        <w:t>analysis,</w:t>
      </w:r>
      <w:r w:rsidR="006C329D" w:rsidRPr="00435469">
        <w:rPr>
          <w:rFonts w:cs="Times New Roman"/>
          <w:sz w:val="20"/>
          <w:szCs w:val="20"/>
        </w:rPr>
        <w:t xml:space="preserve"> we estimated the posterior</w:t>
      </w:r>
      <w:r w:rsidR="000C771C" w:rsidRPr="00435469">
        <w:rPr>
          <w:rFonts w:cs="Times New Roman"/>
          <w:sz w:val="20"/>
          <w:szCs w:val="20"/>
        </w:rPr>
        <w:t xml:space="preserve"> mean</w:t>
      </w:r>
      <w:r w:rsidR="006C329D" w:rsidRPr="00435469">
        <w:rPr>
          <w:rFonts w:cs="Times New Roman"/>
          <w:sz w:val="20"/>
          <w:szCs w:val="20"/>
        </w:rPr>
        <w:t xml:space="preserve"> </w:t>
      </w:r>
      <w:r w:rsidR="000C771C" w:rsidRPr="00435469">
        <w:rPr>
          <w:rFonts w:eastAsiaTheme="minorEastAsia" w:cs="Times New Roman"/>
          <w:sz w:val="20"/>
          <w:szCs w:val="20"/>
        </w:rPr>
        <w:t xml:space="preserve">and 95% confidence interval </w:t>
      </w:r>
      <w:r w:rsidR="006C329D" w:rsidRPr="00435469">
        <w:rPr>
          <w:rFonts w:cs="Times New Roman"/>
          <w:sz w:val="20"/>
          <w:szCs w:val="20"/>
        </w:rPr>
        <w:t xml:space="preserve">for this parameter </w:t>
      </w:r>
      <w:r w:rsidR="00AE5501" w:rsidRPr="00435469">
        <w:rPr>
          <w:rFonts w:cs="Times New Roman"/>
          <w:sz w:val="20"/>
          <w:szCs w:val="20"/>
          <w:lang w:val="en-ZA"/>
        </w:rPr>
        <w:t xml:space="preserve">at </w:t>
      </w:r>
      <w:r w:rsidR="001F2329" w:rsidRPr="00435469">
        <w:rPr>
          <w:rFonts w:cs="Times New Roman"/>
          <w:sz w:val="20"/>
          <w:szCs w:val="20"/>
          <w:lang w:val="en-ZA"/>
        </w:rPr>
        <w:t>mean=</w:t>
      </w:r>
      <w:r w:rsidR="004B2951" w:rsidRPr="00435469">
        <w:rPr>
          <w:rFonts w:cs="Times New Roman"/>
          <w:sz w:val="20"/>
          <w:szCs w:val="20"/>
          <w:lang w:val="en-ZA"/>
        </w:rPr>
        <w:t>0.0014 (</w:t>
      </w:r>
      <w:r w:rsidR="00AE5501" w:rsidRPr="00435469">
        <w:rPr>
          <w:rFonts w:cs="Times New Roman"/>
          <w:sz w:val="20"/>
          <w:szCs w:val="20"/>
          <w:lang w:val="en-ZA"/>
        </w:rPr>
        <w:t xml:space="preserve">95% CI </w:t>
      </w:r>
      <w:r w:rsidR="004B2951" w:rsidRPr="00435469">
        <w:rPr>
          <w:rFonts w:cs="Times New Roman"/>
          <w:sz w:val="20"/>
          <w:szCs w:val="20"/>
          <w:lang w:val="en-ZA"/>
        </w:rPr>
        <w:t>0.0005 - 0.0029)</w:t>
      </w:r>
      <w:r w:rsidR="00437D72" w:rsidRPr="00435469">
        <w:rPr>
          <w:rFonts w:cs="Times New Roman"/>
          <w:sz w:val="20"/>
          <w:szCs w:val="20"/>
          <w:lang w:val="en-ZA"/>
        </w:rPr>
        <w:t xml:space="preserve"> </w:t>
      </w:r>
      <w:r w:rsidR="00437D72" w:rsidRPr="00435469">
        <w:rPr>
          <w:rFonts w:eastAsia="Yu Mincho" w:cs="Times New Roman"/>
          <w:sz w:val="20"/>
          <w:szCs w:val="20"/>
        </w:rPr>
        <w:fldChar w:fldCharType="begin" w:fldLock="1"/>
      </w:r>
      <w:r w:rsidR="00650727"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437D72" w:rsidRPr="00435469">
        <w:rPr>
          <w:rFonts w:eastAsia="Yu Mincho" w:cs="Times New Roman"/>
          <w:sz w:val="20"/>
          <w:szCs w:val="20"/>
        </w:rPr>
        <w:fldChar w:fldCharType="separate"/>
      </w:r>
      <w:r w:rsidR="00437D72" w:rsidRPr="00435469">
        <w:rPr>
          <w:rFonts w:eastAsia="Yu Mincho" w:cs="Times New Roman"/>
          <w:noProof/>
          <w:sz w:val="20"/>
          <w:szCs w:val="20"/>
        </w:rPr>
        <w:t>(6)</w:t>
      </w:r>
      <w:r w:rsidR="00437D72" w:rsidRPr="00435469">
        <w:rPr>
          <w:rFonts w:eastAsia="Yu Mincho" w:cs="Times New Roman"/>
          <w:sz w:val="20"/>
          <w:szCs w:val="20"/>
        </w:rPr>
        <w:fldChar w:fldCharType="end"/>
      </w:r>
      <w:r w:rsidR="00AE5501" w:rsidRPr="00435469">
        <w:rPr>
          <w:rFonts w:cs="Times New Roman"/>
          <w:sz w:val="20"/>
          <w:szCs w:val="20"/>
          <w:lang w:val="en-ZA"/>
        </w:rPr>
        <w:t xml:space="preserve">. In this present analysis we therefore </w:t>
      </w:r>
      <w:r w:rsidR="000434D7" w:rsidRPr="00435469">
        <w:rPr>
          <w:rFonts w:cs="Times New Roman"/>
          <w:sz w:val="20"/>
          <w:szCs w:val="20"/>
          <w:lang w:val="en-ZA"/>
        </w:rPr>
        <w:t xml:space="preserve">set a fixed mean at this posterior mean 0.0014. </w:t>
      </w:r>
    </w:p>
    <w:p w14:paraId="2C896BCC" w14:textId="09B81540" w:rsidR="00915C4F" w:rsidRPr="00435469" w:rsidRDefault="00971F36" w:rsidP="00955FFB">
      <w:pPr>
        <w:spacing w:line="240" w:lineRule="auto"/>
        <w:rPr>
          <w:rFonts w:cs="Times New Roman"/>
          <w:sz w:val="20"/>
          <w:szCs w:val="20"/>
        </w:rPr>
      </w:pPr>
      <w:r w:rsidRPr="00435469">
        <w:rPr>
          <w:rFonts w:cs="Times New Roman"/>
          <w:sz w:val="20"/>
          <w:szCs w:val="20"/>
        </w:rPr>
        <w:t xml:space="preserve">Fourthly, we define </w:t>
      </w:r>
      <m:oMath>
        <m:r>
          <w:rPr>
            <w:rFonts w:ascii="Cambria Math" w:hAnsi="Cambria Math" w:cs="Times New Roman"/>
            <w:sz w:val="20"/>
            <w:szCs w:val="20"/>
          </w:rPr>
          <m:t>H</m:t>
        </m:r>
      </m:oMath>
      <w:r w:rsidRPr="00435469">
        <w:rPr>
          <w:rFonts w:cs="Times New Roman"/>
          <w:sz w:val="20"/>
          <w:szCs w:val="20"/>
        </w:rPr>
        <w:t xml:space="preserve"> as the relative rate of empirical treatment in patients who have TB symptoms (but came to the clinic for other reasons) relative to patients who came to the clinic because of TB-like symptoms. This parameter is also difficult to estimate from the literature. We expect that people who came to the clinic for other reasons would, on average, have less severe disease than those who came because of TB-like symptoms. As such, </w:t>
      </w:r>
      <w:r w:rsidR="00DE0519" w:rsidRPr="00435469">
        <w:rPr>
          <w:rFonts w:cs="Times New Roman"/>
          <w:sz w:val="20"/>
          <w:szCs w:val="20"/>
        </w:rPr>
        <w:t xml:space="preserve">we </w:t>
      </w:r>
      <w:r w:rsidRPr="00435469">
        <w:rPr>
          <w:rFonts w:cs="Times New Roman"/>
          <w:sz w:val="20"/>
          <w:szCs w:val="20"/>
        </w:rPr>
        <w:t xml:space="preserve">assume health workers would perhaps be more cautious about putting them on treatment without microbiological confirmation. Therefore, we would expect </w:t>
      </w:r>
      <m:oMath>
        <m:r>
          <w:rPr>
            <w:rFonts w:ascii="Cambria Math" w:hAnsi="Cambria Math" w:cs="Times New Roman"/>
            <w:sz w:val="20"/>
            <w:szCs w:val="20"/>
          </w:rPr>
          <m:t>H</m:t>
        </m:r>
      </m:oMath>
      <w:r w:rsidRPr="00435469">
        <w:rPr>
          <w:rFonts w:cs="Times New Roman"/>
          <w:sz w:val="20"/>
          <w:szCs w:val="20"/>
        </w:rPr>
        <w:t xml:space="preserve"> to be </w:t>
      </w:r>
      <m:oMath>
        <m:r>
          <w:rPr>
            <w:rFonts w:ascii="Cambria Math" w:hAnsi="Cambria Math" w:cs="Times New Roman"/>
            <w:sz w:val="20"/>
            <w:szCs w:val="20"/>
          </w:rPr>
          <m:t>&lt;1</m:t>
        </m:r>
      </m:oMath>
      <w:r w:rsidRPr="00435469">
        <w:rPr>
          <w:rFonts w:cs="Times New Roman"/>
          <w:sz w:val="20"/>
          <w:szCs w:val="20"/>
        </w:rPr>
        <w:t xml:space="preserve"> and</w:t>
      </w:r>
      <w:r w:rsidR="00DE0519" w:rsidRPr="00435469">
        <w:rPr>
          <w:rFonts w:cs="Times New Roman"/>
          <w:sz w:val="20"/>
          <w:szCs w:val="20"/>
        </w:rPr>
        <w:t xml:space="preserve"> again</w:t>
      </w:r>
      <w:r w:rsidRPr="00435469">
        <w:rPr>
          <w:rFonts w:cs="Times New Roman"/>
          <w:sz w:val="20"/>
          <w:szCs w:val="20"/>
        </w:rPr>
        <w:t xml:space="preserve"> </w:t>
      </w:r>
      <w:r w:rsidR="005911EA" w:rsidRPr="00435469">
        <w:rPr>
          <w:rFonts w:cs="Times New Roman"/>
          <w:sz w:val="20"/>
          <w:szCs w:val="20"/>
        </w:rPr>
        <w:t xml:space="preserve">we </w:t>
      </w:r>
      <w:r w:rsidRPr="00435469">
        <w:rPr>
          <w:rFonts w:cs="Times New Roman"/>
          <w:sz w:val="20"/>
          <w:szCs w:val="20"/>
        </w:rPr>
        <w:t xml:space="preserve">assign a </w:t>
      </w:r>
      <w:r w:rsidR="00DE0519" w:rsidRPr="00435469">
        <w:rPr>
          <w:rFonts w:cs="Times New Roman"/>
          <w:sz w:val="20"/>
          <w:szCs w:val="20"/>
        </w:rPr>
        <w:t>non-informative</w:t>
      </w:r>
      <w:r w:rsidRPr="00435469">
        <w:rPr>
          <w:rFonts w:cs="Times New Roman"/>
          <w:sz w:val="20"/>
          <w:szCs w:val="20"/>
        </w:rPr>
        <w:t xml:space="preserve"> prior (</w:t>
      </w:r>
      <w:r w:rsidR="00E36DB0" w:rsidRPr="00435469">
        <w:rPr>
          <w:rFonts w:cs="Times New Roman"/>
          <w:sz w:val="20"/>
          <w:szCs w:val="20"/>
        </w:rPr>
        <w:t>Uniform (</w:t>
      </w:r>
      <w:r w:rsidR="00341701" w:rsidRPr="00435469">
        <w:rPr>
          <w:rFonts w:cs="Times New Roman"/>
          <w:sz w:val="20"/>
          <w:szCs w:val="20"/>
        </w:rPr>
        <w:t>0</w:t>
      </w:r>
      <w:r w:rsidR="005911EA" w:rsidRPr="00435469">
        <w:rPr>
          <w:rFonts w:cs="Times New Roman"/>
          <w:sz w:val="20"/>
          <w:szCs w:val="20"/>
        </w:rPr>
        <w:t xml:space="preserve">, </w:t>
      </w:r>
      <w:r w:rsidRPr="00435469">
        <w:rPr>
          <w:rFonts w:cs="Times New Roman"/>
          <w:sz w:val="20"/>
          <w:szCs w:val="20"/>
        </w:rPr>
        <w:t>1)) for this parameter</w:t>
      </w:r>
      <w:r w:rsidR="00E8620E" w:rsidRPr="00435469">
        <w:rPr>
          <w:rFonts w:cs="Times New Roman"/>
          <w:sz w:val="20"/>
          <w:szCs w:val="20"/>
        </w:rPr>
        <w:t xml:space="preserve"> (mean=0.5 and standard deviation</w:t>
      </w:r>
      <w:r w:rsidR="005A2103" w:rsidRPr="00435469">
        <w:rPr>
          <w:rFonts w:cs="Times New Roman"/>
          <w:sz w:val="20"/>
          <w:szCs w:val="20"/>
        </w:rPr>
        <w:t>=0.289</w:t>
      </w:r>
      <w:r w:rsidR="00E8620E" w:rsidRPr="00435469">
        <w:rPr>
          <w:rFonts w:cs="Times New Roman"/>
          <w:sz w:val="20"/>
          <w:szCs w:val="20"/>
        </w:rPr>
        <w:t>)</w:t>
      </w:r>
      <w:r w:rsidRPr="00435469">
        <w:rPr>
          <w:rFonts w:cs="Times New Roman"/>
          <w:sz w:val="20"/>
          <w:szCs w:val="20"/>
        </w:rPr>
        <w:t>.</w:t>
      </w:r>
      <w:r w:rsidR="00915C4F" w:rsidRPr="00435469">
        <w:rPr>
          <w:rFonts w:cs="Times New Roman"/>
          <w:sz w:val="20"/>
          <w:szCs w:val="20"/>
        </w:rPr>
        <w:t xml:space="preserve"> </w:t>
      </w:r>
      <w:r w:rsidR="00915C4F" w:rsidRPr="00435469">
        <w:rPr>
          <w:rFonts w:eastAsiaTheme="minorEastAsia" w:cs="Times New Roman"/>
          <w:sz w:val="20"/>
          <w:szCs w:val="20"/>
        </w:rPr>
        <w:t xml:space="preserve">In a previous calibration analysis, we estimated the posterior mean </w:t>
      </w:r>
      <w:r w:rsidR="004060C5" w:rsidRPr="00435469">
        <w:rPr>
          <w:rFonts w:eastAsiaTheme="minorEastAsia" w:cs="Times New Roman"/>
          <w:sz w:val="20"/>
          <w:szCs w:val="20"/>
        </w:rPr>
        <w:t xml:space="preserve">and 95% confidence interval </w:t>
      </w:r>
      <w:r w:rsidR="00915C4F" w:rsidRPr="00435469">
        <w:rPr>
          <w:rFonts w:eastAsiaTheme="minorEastAsia" w:cs="Times New Roman"/>
          <w:sz w:val="20"/>
          <w:szCs w:val="20"/>
        </w:rPr>
        <w:t xml:space="preserve">for this parameter to be </w:t>
      </w:r>
      <w:r w:rsidR="00915C4F" w:rsidRPr="00435469">
        <w:rPr>
          <w:rFonts w:cs="Times New Roman"/>
          <w:sz w:val="20"/>
          <w:szCs w:val="20"/>
          <w:lang w:val="en-ZA"/>
        </w:rPr>
        <w:t>0.031 (95% CI 0.017 - 0.051)</w:t>
      </w:r>
      <w:r w:rsidR="002B2BDB" w:rsidRPr="00435469">
        <w:rPr>
          <w:rFonts w:cs="Times New Roman"/>
          <w:sz w:val="20"/>
          <w:szCs w:val="20"/>
          <w:lang w:val="en-ZA"/>
        </w:rPr>
        <w:t xml:space="preserve"> </w:t>
      </w:r>
      <w:r w:rsidR="002B2BDB" w:rsidRPr="00435469">
        <w:rPr>
          <w:rFonts w:eastAsia="Yu Mincho" w:cs="Times New Roman"/>
          <w:sz w:val="20"/>
          <w:szCs w:val="20"/>
        </w:rPr>
        <w:fldChar w:fldCharType="begin" w:fldLock="1"/>
      </w:r>
      <w:r w:rsidR="00650727"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2B2BDB" w:rsidRPr="00435469">
        <w:rPr>
          <w:rFonts w:eastAsia="Yu Mincho" w:cs="Times New Roman"/>
          <w:sz w:val="20"/>
          <w:szCs w:val="20"/>
        </w:rPr>
        <w:fldChar w:fldCharType="separate"/>
      </w:r>
      <w:r w:rsidR="002B2BDB" w:rsidRPr="00435469">
        <w:rPr>
          <w:rFonts w:eastAsia="Yu Mincho" w:cs="Times New Roman"/>
          <w:noProof/>
          <w:sz w:val="20"/>
          <w:szCs w:val="20"/>
        </w:rPr>
        <w:t>(6)</w:t>
      </w:r>
      <w:r w:rsidR="002B2BDB" w:rsidRPr="00435469">
        <w:rPr>
          <w:rFonts w:eastAsia="Yu Mincho" w:cs="Times New Roman"/>
          <w:sz w:val="20"/>
          <w:szCs w:val="20"/>
        </w:rPr>
        <w:fldChar w:fldCharType="end"/>
      </w:r>
      <w:r w:rsidR="00915C4F" w:rsidRPr="00435469">
        <w:rPr>
          <w:rFonts w:cs="Times New Roman"/>
          <w:sz w:val="20"/>
          <w:szCs w:val="20"/>
          <w:lang w:val="en-ZA"/>
        </w:rPr>
        <w:t xml:space="preserve">. </w:t>
      </w:r>
      <w:r w:rsidR="00915C4F" w:rsidRPr="00435469">
        <w:rPr>
          <w:rFonts w:eastAsiaTheme="minorEastAsia" w:cs="Times New Roman"/>
          <w:sz w:val="20"/>
          <w:szCs w:val="20"/>
          <w:lang w:val="en-ZA"/>
        </w:rPr>
        <w:t>For this current analysis, we fixed</w:t>
      </w:r>
      <w:r w:rsidR="00915C4F" w:rsidRPr="00435469">
        <w:rPr>
          <w:rFonts w:eastAsiaTheme="minorEastAsia" w:cs="Times New Roman"/>
          <w:sz w:val="20"/>
          <w:szCs w:val="20"/>
        </w:rPr>
        <w:t xml:space="preserve"> this </w:t>
      </w:r>
      <w:r w:rsidR="00842A34" w:rsidRPr="00435469">
        <w:rPr>
          <w:rFonts w:eastAsiaTheme="minorEastAsia" w:cs="Times New Roman"/>
          <w:sz w:val="20"/>
          <w:szCs w:val="20"/>
        </w:rPr>
        <w:t xml:space="preserve">parameter at a </w:t>
      </w:r>
      <w:r w:rsidR="00915C4F" w:rsidRPr="00435469">
        <w:rPr>
          <w:rFonts w:eastAsiaTheme="minorEastAsia" w:cs="Times New Roman"/>
          <w:sz w:val="20"/>
          <w:szCs w:val="20"/>
        </w:rPr>
        <w:t>mean of 0.</w:t>
      </w:r>
      <w:r w:rsidR="00B2491E" w:rsidRPr="00435469">
        <w:rPr>
          <w:rFonts w:eastAsiaTheme="minorEastAsia" w:cs="Times New Roman"/>
          <w:sz w:val="20"/>
          <w:szCs w:val="20"/>
        </w:rPr>
        <w:t>031</w:t>
      </w:r>
      <w:r w:rsidR="00915C4F" w:rsidRPr="00435469">
        <w:rPr>
          <w:rFonts w:eastAsiaTheme="minorEastAsia" w:cs="Times New Roman"/>
          <w:sz w:val="20"/>
          <w:szCs w:val="20"/>
        </w:rPr>
        <w:t>.</w:t>
      </w:r>
    </w:p>
    <w:p w14:paraId="383C5CAE" w14:textId="4F1544EE" w:rsidR="00545C40" w:rsidRPr="00435469" w:rsidRDefault="00971F36" w:rsidP="00955FFB">
      <w:pPr>
        <w:spacing w:line="240" w:lineRule="auto"/>
        <w:rPr>
          <w:rFonts w:eastAsiaTheme="minorEastAsia" w:cs="Times New Roman"/>
          <w:sz w:val="20"/>
          <w:szCs w:val="20"/>
          <w:lang w:val="en-ZA"/>
        </w:rPr>
      </w:pPr>
      <w:r w:rsidRPr="00435469">
        <w:rPr>
          <w:rFonts w:cs="Times New Roman"/>
          <w:sz w:val="20"/>
          <w:szCs w:val="20"/>
        </w:rPr>
        <w:t xml:space="preserve">Lastly, </w:t>
      </w:r>
      <w:r w:rsidR="005A6134" w:rsidRPr="00435469">
        <w:rPr>
          <w:rFonts w:cs="Times New Roman"/>
          <w:sz w:val="20"/>
          <w:szCs w:val="20"/>
        </w:rPr>
        <w:t xml:space="preserve">we </w:t>
      </w:r>
      <w:r w:rsidRPr="00435469">
        <w:rPr>
          <w:rFonts w:cs="Times New Roman"/>
          <w:sz w:val="20"/>
          <w:szCs w:val="20"/>
        </w:rPr>
        <w:t xml:space="preserve">define </w:t>
      </w:r>
      <m:oMath>
        <m:r>
          <w:rPr>
            <w:rFonts w:ascii="Cambria Math" w:hAnsi="Cambria Math" w:cs="Times New Roman"/>
            <w:sz w:val="20"/>
            <w:szCs w:val="20"/>
          </w:rPr>
          <m:t>G</m:t>
        </m:r>
      </m:oMath>
      <w:r w:rsidRPr="00435469">
        <w:rPr>
          <w:rFonts w:cs="Times New Roman"/>
          <w:sz w:val="20"/>
          <w:szCs w:val="20"/>
        </w:rPr>
        <w:t xml:space="preserve"> to be the extent to which the introduction of </w:t>
      </w:r>
      <w:r w:rsidR="00104E2A" w:rsidRPr="00435469">
        <w:rPr>
          <w:rFonts w:cs="Times New Roman"/>
          <w:sz w:val="20"/>
          <w:szCs w:val="20"/>
        </w:rPr>
        <w:t>Gene</w:t>
      </w:r>
      <w:r w:rsidR="002C23FD" w:rsidRPr="00435469">
        <w:rPr>
          <w:rFonts w:cs="Times New Roman"/>
          <w:sz w:val="20"/>
          <w:szCs w:val="20"/>
        </w:rPr>
        <w:t>Xpert MTB/RIF</w:t>
      </w:r>
      <w:r w:rsidRPr="00435469">
        <w:rPr>
          <w:rFonts w:cs="Times New Roman"/>
          <w:sz w:val="20"/>
          <w:szCs w:val="20"/>
        </w:rPr>
        <w:t xml:space="preserve"> reduces empirical treatment after an initial negative test result. (We assume that the introduction of </w:t>
      </w:r>
      <w:r w:rsidR="00104E2A" w:rsidRPr="00435469">
        <w:rPr>
          <w:rFonts w:cs="Times New Roman"/>
          <w:sz w:val="20"/>
          <w:szCs w:val="20"/>
        </w:rPr>
        <w:t>Gene</w:t>
      </w:r>
      <w:r w:rsidR="002C23FD" w:rsidRPr="00435469">
        <w:rPr>
          <w:rFonts w:cs="Times New Roman"/>
          <w:sz w:val="20"/>
          <w:szCs w:val="20"/>
        </w:rPr>
        <w:t>Xpert MTB/RIF</w:t>
      </w:r>
      <w:r w:rsidRPr="00435469">
        <w:rPr>
          <w:rFonts w:cs="Times New Roman"/>
          <w:sz w:val="20"/>
          <w:szCs w:val="20"/>
        </w:rPr>
        <w:t xml:space="preserve"> does not </w:t>
      </w:r>
      <w:r w:rsidRPr="00435469">
        <w:rPr>
          <w:rFonts w:cs="Times New Roman"/>
          <w:sz w:val="20"/>
          <w:szCs w:val="20"/>
        </w:rPr>
        <w:lastRenderedPageBreak/>
        <w:t>cause any change in the rate of empirical treatment in people who have never been tested</w:t>
      </w:r>
      <w:r w:rsidR="00DE0519" w:rsidRPr="00435469">
        <w:rPr>
          <w:rFonts w:cs="Times New Roman"/>
          <w:sz w:val="20"/>
          <w:szCs w:val="20"/>
        </w:rPr>
        <w:t xml:space="preserve">, </w:t>
      </w:r>
      <w:r w:rsidR="00C94A5A" w:rsidRPr="00435469">
        <w:rPr>
          <w:rFonts w:cs="Times New Roman"/>
          <w:sz w:val="20"/>
          <w:szCs w:val="20"/>
        </w:rPr>
        <w:t>i.e.,</w:t>
      </w:r>
      <w:r w:rsidR="00DE0519" w:rsidRPr="00435469">
        <w:rPr>
          <w:rFonts w:cs="Times New Roman"/>
          <w:sz w:val="20"/>
          <w:szCs w:val="20"/>
        </w:rPr>
        <w:t xml:space="preserve"> it modifies Z but not Y</w:t>
      </w:r>
      <w:r w:rsidRPr="00435469">
        <w:rPr>
          <w:rFonts w:cs="Times New Roman"/>
          <w:sz w:val="20"/>
          <w:szCs w:val="20"/>
        </w:rPr>
        <w:t xml:space="preserve">). </w:t>
      </w:r>
      <w:proofErr w:type="spellStart"/>
      <w:r w:rsidRPr="00435469">
        <w:rPr>
          <w:rFonts w:cs="Times New Roman"/>
          <w:sz w:val="20"/>
          <w:szCs w:val="20"/>
        </w:rPr>
        <w:t>Hermans</w:t>
      </w:r>
      <w:proofErr w:type="spellEnd"/>
      <w:r w:rsidRPr="00435469">
        <w:rPr>
          <w:rFonts w:cs="Times New Roman"/>
          <w:sz w:val="20"/>
          <w:szCs w:val="20"/>
        </w:rPr>
        <w:t xml:space="preserve"> </w:t>
      </w:r>
      <w:r w:rsidRPr="00435469">
        <w:rPr>
          <w:rFonts w:cs="Times New Roman"/>
          <w:i/>
          <w:iCs/>
          <w:sz w:val="20"/>
          <w:szCs w:val="20"/>
        </w:rPr>
        <w:t>et al</w:t>
      </w:r>
      <w:r w:rsidRPr="00435469">
        <w:rPr>
          <w:rFonts w:cs="Times New Roman"/>
          <w:sz w:val="20"/>
          <w:szCs w:val="20"/>
        </w:rPr>
        <w:t xml:space="preserve">. showed that the proportion of patients empirically treated dropped from 32% in 2010 (before the introduction of </w:t>
      </w:r>
      <w:r w:rsidR="00104E2A" w:rsidRPr="00435469">
        <w:rPr>
          <w:rFonts w:cs="Times New Roman"/>
          <w:sz w:val="20"/>
          <w:szCs w:val="20"/>
        </w:rPr>
        <w:t>Gene</w:t>
      </w:r>
      <w:r w:rsidR="002C23FD" w:rsidRPr="00435469">
        <w:rPr>
          <w:rFonts w:cs="Times New Roman"/>
          <w:sz w:val="20"/>
          <w:szCs w:val="20"/>
        </w:rPr>
        <w:t>Xpert MTB/RIF</w:t>
      </w:r>
      <w:r w:rsidRPr="00435469">
        <w:rPr>
          <w:rFonts w:cs="Times New Roman"/>
          <w:sz w:val="20"/>
          <w:szCs w:val="20"/>
        </w:rPr>
        <w:t xml:space="preserve">) to 18% in 2014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{"citationItems":[{"id":"ITEM-1","itemData":{"DOI":"10.2471/BLT.16.185314","ISSN":"15640604","PMID":"28804167","abstract":"Objective To investigate the impact of introducing a rapid test as the first-line diagnostic test for drug-sensitive tuberculosis in Cape Town, South Africa. Methods Xpert® MTB/RIF (Xpert®), an automated polymerase-chain-reaction-based assay, was rolled out between 2011 and 2013. Data were available on 102 007 adults treated for pulmonary tuberculosis between 2010 and 2014. Tuberculosis notification rates per 100 000 population were calculated for each calendar year and for each year relative to the test roll-out locally, overall and by bacteriological confirmation. Empirical treatment was defined as treatment given without bacteriological confirmation by Xpert®, sputum smear microscopy or sputum culture. Findings Between 2010 and 2014, the proportion of human immunodeficiency virus (HIV)-negative patients treated empirically for tuberculosis declined from 23% (2445/10 643) to 11% (1149/10 089); in HIV-positive patients, it declined from 42% (4229/9985) to 27% (2364/8823). The overall tuberculosis notification rate decreased by 12% and 19% among HIV-negative and HIV-positive patients, respectively; the rate of bacteriologically confirmed cases increased by 1% and 3%, respectively; and the rate of empirical treatment decreased by 56% and 49%, respectively. These changes occurred gradually following the test’s introduction and stabilized after 3 years. Conclusion Roll-out of the rapid test in a setting with a high prevalence of pulmonary tuberculosis and HIV infection was associated with a halving of empirical treatment that occurred gradually after the test’s introduction, possibly reflecting the time needed for full implementation. More than a quarter of HIV-positive patients with tuberculosis were still treated empirically, highlighting the diagnostic challenge in these patients.","author":[{"dropping-particle":"","family":"Hermans","given":"Sabine","non-dropping-particle":"","parse-names":false,"suffix":""},{"dropping-particle":"","family":"Caldwell","given":"Judy","non-dropping-particle":"","parse-names":false,"suffix":""},{"dropping-particle":"","family":"Kaplan","given":"Richard","non-dropping-particle":"","parse-names":false,"suffix":""},{"dropping-particle":"","family":"Cobelens","given":"Frank","non-dropping-particle":"","parse-names":false,"suffix":""},{"dropping-particle":"","family":"Wood","given":"Robin","non-dropping-particle":"","parse-names":false,"suffix":""}],"container-title":"Bulletin of the World Health Organization","id":"ITEM-1","issue":"8","issued":{"date-parts":[["2017"]]},"page":"554-563","title":"The impact of the roll-out of rapid molecular diagnostic testing for tuberculosis on empirical treatment in Cape Town, South Africa","type":"article-journal","volume":"95"},"uris":["http://www.mendeley.com/documents/?uuid=3cc351d0-d08a-4a95-8bb2-19f4093328ee"]}],"mendeley":{"formattedCitation":"(77)","plainTextFormattedCitation":"(77)","previouslyFormattedCitation":"(77)"},"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(77)</w:t>
      </w:r>
      <w:r w:rsidRPr="00435469">
        <w:rPr>
          <w:rFonts w:cs="Times New Roman"/>
          <w:sz w:val="20"/>
          <w:szCs w:val="20"/>
        </w:rPr>
        <w:fldChar w:fldCharType="end"/>
      </w:r>
      <w:r w:rsidRPr="00435469">
        <w:rPr>
          <w:rFonts w:cs="Times New Roman"/>
          <w:sz w:val="20"/>
          <w:szCs w:val="20"/>
        </w:rPr>
        <w:t xml:space="preserve">. </w:t>
      </w:r>
      <w:r w:rsidR="00905010" w:rsidRPr="00435469">
        <w:rPr>
          <w:sz w:val="20"/>
          <w:szCs w:val="20"/>
        </w:rPr>
        <w:t xml:space="preserve">Rees </w:t>
      </w:r>
      <w:r w:rsidR="00905010" w:rsidRPr="00435469">
        <w:rPr>
          <w:i/>
          <w:iCs/>
          <w:sz w:val="20"/>
          <w:szCs w:val="20"/>
        </w:rPr>
        <w:t>et al</w:t>
      </w:r>
      <w:r w:rsidR="00F70F09" w:rsidRPr="00435469">
        <w:rPr>
          <w:sz w:val="20"/>
          <w:szCs w:val="20"/>
        </w:rPr>
        <w:t xml:space="preserve">. </w:t>
      </w:r>
      <w:r w:rsidR="008E20EF" w:rsidRPr="00435469">
        <w:rPr>
          <w:sz w:val="20"/>
          <w:szCs w:val="20"/>
        </w:rPr>
        <w:t>observed a more modest</w:t>
      </w:r>
      <w:r w:rsidR="00B12F06" w:rsidRPr="00435469">
        <w:rPr>
          <w:sz w:val="20"/>
          <w:szCs w:val="20"/>
        </w:rPr>
        <w:t xml:space="preserve"> reduction</w:t>
      </w:r>
      <w:r w:rsidR="003F3E11" w:rsidRPr="00435469">
        <w:rPr>
          <w:sz w:val="20"/>
          <w:szCs w:val="20"/>
        </w:rPr>
        <w:t xml:space="preserve"> in empirical treatment</w:t>
      </w:r>
      <w:r w:rsidR="00B12F06" w:rsidRPr="00435469">
        <w:rPr>
          <w:sz w:val="20"/>
          <w:szCs w:val="20"/>
        </w:rPr>
        <w:t xml:space="preserve"> from 3</w:t>
      </w:r>
      <w:r w:rsidR="00424AEE" w:rsidRPr="00435469">
        <w:rPr>
          <w:sz w:val="20"/>
          <w:szCs w:val="20"/>
        </w:rPr>
        <w:t>7.5</w:t>
      </w:r>
      <w:r w:rsidR="00B12F06" w:rsidRPr="00435469">
        <w:rPr>
          <w:sz w:val="20"/>
          <w:szCs w:val="20"/>
        </w:rPr>
        <w:t>% in 20</w:t>
      </w:r>
      <w:r w:rsidR="00424AEE" w:rsidRPr="00435469">
        <w:rPr>
          <w:sz w:val="20"/>
          <w:szCs w:val="20"/>
        </w:rPr>
        <w:t>1</w:t>
      </w:r>
      <w:r w:rsidR="003B3C16" w:rsidRPr="00435469">
        <w:rPr>
          <w:sz w:val="20"/>
          <w:szCs w:val="20"/>
        </w:rPr>
        <w:t>2</w:t>
      </w:r>
      <w:r w:rsidR="00424AEE" w:rsidRPr="00435469">
        <w:rPr>
          <w:sz w:val="20"/>
          <w:szCs w:val="20"/>
        </w:rPr>
        <w:t xml:space="preserve"> to</w:t>
      </w:r>
      <w:r w:rsidR="003B3C16" w:rsidRPr="00435469">
        <w:rPr>
          <w:sz w:val="20"/>
          <w:szCs w:val="20"/>
        </w:rPr>
        <w:t xml:space="preserve"> 29.4%</w:t>
      </w:r>
      <w:r w:rsidR="00DD3CB9" w:rsidRPr="00435469">
        <w:rPr>
          <w:sz w:val="20"/>
          <w:szCs w:val="20"/>
        </w:rPr>
        <w:t xml:space="preserve"> in 2015</w:t>
      </w:r>
      <w:r w:rsidR="00424AEE" w:rsidRPr="00435469">
        <w:rPr>
          <w:sz w:val="20"/>
          <w:szCs w:val="20"/>
        </w:rPr>
        <w:t xml:space="preserve"> </w:t>
      </w:r>
      <w:r w:rsidR="00C635AE" w:rsidRPr="00435469">
        <w:rPr>
          <w:sz w:val="20"/>
          <w:szCs w:val="20"/>
        </w:rPr>
        <w:fldChar w:fldCharType="begin" w:fldLock="1"/>
      </w:r>
      <w:r w:rsidR="00A142FF" w:rsidRPr="00435469">
        <w:rPr>
          <w:sz w:val="20"/>
          <w:szCs w:val="20"/>
        </w:rPr>
        <w:instrText>ADDIN CSL_CITATION {"citationItems":[{"id":"ITEM-1","itemData":{"DOI":"10.1017/S0950268817002746","ISSN":"14694409","PMID":"29208074","abstract":"Xpert MTB/RIF (Xpert) is the preferred first-line test for all persons with tuberculosis (TB) symptoms in South Africa in line with a diagnostic algorithm. This study evaluates pre- A nd post-implementation trends in diagnostic practices for drug-sensitive, pulmonary TB in adults in an operational setting, following the introduction of the Xpert-based algorithm. We retrospectively analysed data from the national TB database for Greater Tzaneen sub-district, Limpopo Province. Trends in a number of cases, diagnosis and outcome and characteristics associated with death are reported. A total of 8407 cases were treated from 2008 until 2015, with annual cases registered decreasing by 31·7% over that time period (from 1251 to 855 per year). After implementation of Xpert, 69·9% of cases were diagnosed by Xpert, 29·4% clinically, 0·6% by smear microscopy and 0·1% by culture. Cases with a recorded microbiological test increased from 76·2% to 96·4%. Cases started on treatment without confirmation, but with a negative microbiological test increased from 7·1% to 25·7%. Case fatality decreased from 15·0% to 9·8%, remaining consistently higher in empirically treated groups, regardless of HIV status. Implementation of the algorithm coincided with a reduced number of TB cases treated and improved coverage of microbiological testing; however, a substantial proportion of cases continued to start treatment empirically.","author":[{"dropping-particle":"","family":"Rees","given":"K.","non-dropping-particle":"","parse-names":false,"suffix":""},{"dropping-particle":"","family":"Muditambi","given":"N.","non-dropping-particle":"","parse-names":false,"suffix":""},{"dropping-particle":"","family":"Maswanganyi","given":"M.","non-dropping-particle":"","parse-names":false,"suffix":""},{"dropping-particle":"","family":"Railton","given":"J.","non-dropping-particle":"","parse-names":false,"suffix":""},{"dropping-particle":"","family":"McIntyre","given":"J. A.","non-dropping-particle":"","parse-names":false,"suffix":""},{"dropping-particle":"","family":"Struthers","given":"H. E.","non-dropping-particle":"","parse-names":false,"suffix":""},{"dropping-particle":"","family":"Fourie","given":"P. B.","non-dropping-particle":"","parse-names":false,"suffix":""},{"dropping-particle":"","family":"Peters","given":"R. P.H.","non-dropping-particle":"","parse-names":false,"suffix":""}],"container-title":"Epidemiology and Infection","id":"ITEM-1","issue":"2","issued":{"date-parts":[["2018"]]},"page":"246-255","title":"The impact of implementing a Xpert MTB/RIF algorithm on drug-sensitive pulmonary tuberculosis: A retrospective analysis","type":"article-journal","volume":"146"},"uris":["http://www.mendeley.com/documents/?uuid=f87b32fd-f78e-4c56-ab89-3e9527518bdc"]}],"mendeley":{"formattedCitation":"(79)","plainTextFormattedCitation":"(79)","previouslyFormattedCitation":"(79)"},"properties":{"noteIndex":0},"schema":"https://github.com/citation-style-language/schema/raw/master/csl-citation.json"}</w:instrText>
      </w:r>
      <w:r w:rsidR="00C635AE" w:rsidRPr="00435469">
        <w:rPr>
          <w:sz w:val="20"/>
          <w:szCs w:val="20"/>
        </w:rPr>
        <w:fldChar w:fldCharType="separate"/>
      </w:r>
      <w:r w:rsidR="0016391D" w:rsidRPr="00435469">
        <w:rPr>
          <w:noProof/>
          <w:sz w:val="20"/>
          <w:szCs w:val="20"/>
        </w:rPr>
        <w:t>(79)</w:t>
      </w:r>
      <w:r w:rsidR="00C635AE" w:rsidRPr="00435469">
        <w:rPr>
          <w:sz w:val="20"/>
          <w:szCs w:val="20"/>
        </w:rPr>
        <w:fldChar w:fldCharType="end"/>
      </w:r>
      <w:r w:rsidR="003F3E11" w:rsidRPr="00435469">
        <w:rPr>
          <w:rFonts w:cs="Times New Roman"/>
          <w:sz w:val="20"/>
          <w:szCs w:val="20"/>
        </w:rPr>
        <w:t xml:space="preserve">. </w:t>
      </w:r>
      <w:r w:rsidR="00741E29" w:rsidRPr="00435469">
        <w:rPr>
          <w:rFonts w:cs="Times New Roman"/>
          <w:sz w:val="20"/>
          <w:szCs w:val="20"/>
        </w:rPr>
        <w:t xml:space="preserve"> </w:t>
      </w:r>
      <w:r w:rsidR="007C1214" w:rsidRPr="00435469">
        <w:rPr>
          <w:rFonts w:cs="Times New Roman"/>
          <w:sz w:val="20"/>
          <w:szCs w:val="20"/>
        </w:rPr>
        <w:t>W</w:t>
      </w:r>
      <w:r w:rsidR="00741E29" w:rsidRPr="00435469">
        <w:rPr>
          <w:rFonts w:cs="Times New Roman"/>
          <w:sz w:val="20"/>
          <w:szCs w:val="20"/>
        </w:rPr>
        <w:t xml:space="preserve">e </w:t>
      </w:r>
      <w:r w:rsidR="007C1214" w:rsidRPr="00435469">
        <w:rPr>
          <w:rFonts w:cs="Times New Roman"/>
          <w:sz w:val="20"/>
          <w:szCs w:val="20"/>
        </w:rPr>
        <w:t xml:space="preserve">thus </w:t>
      </w:r>
      <w:r w:rsidR="00741E29" w:rsidRPr="00435469">
        <w:rPr>
          <w:rFonts w:cs="Times New Roman"/>
          <w:sz w:val="20"/>
          <w:szCs w:val="20"/>
        </w:rPr>
        <w:t xml:space="preserve">set </w:t>
      </w:r>
      <m:oMath>
        <m:r>
          <w:rPr>
            <w:rFonts w:ascii="Cambria Math" w:hAnsi="Cambria Math" w:cs="Times New Roman"/>
            <w:sz w:val="20"/>
            <w:szCs w:val="20"/>
          </w:rPr>
          <m:t>G</m:t>
        </m:r>
      </m:oMath>
      <w:r w:rsidR="00545C40" w:rsidRPr="00435469">
        <w:rPr>
          <w:rFonts w:eastAsiaTheme="minorEastAsia" w:cs="Times New Roman"/>
          <w:sz w:val="20"/>
          <w:szCs w:val="20"/>
        </w:rPr>
        <w:t xml:space="preserve">, the </w:t>
      </w:r>
      <w:r w:rsidR="008D1DC1" w:rsidRPr="00435469">
        <w:rPr>
          <w:rFonts w:eastAsiaTheme="minorEastAsia" w:cs="Times New Roman"/>
          <w:sz w:val="20"/>
          <w:szCs w:val="20"/>
        </w:rPr>
        <w:t>r</w:t>
      </w:r>
      <w:proofErr w:type="spellStart"/>
      <w:r w:rsidR="00545C40" w:rsidRPr="00435469">
        <w:rPr>
          <w:rFonts w:eastAsiaTheme="minorEastAsia" w:cs="Times New Roman"/>
          <w:sz w:val="20"/>
          <w:szCs w:val="20"/>
          <w:lang w:val="en-ZA"/>
        </w:rPr>
        <w:t>eduction</w:t>
      </w:r>
      <w:proofErr w:type="spellEnd"/>
      <w:r w:rsidR="00545C40" w:rsidRPr="00435469">
        <w:rPr>
          <w:rFonts w:eastAsiaTheme="minorEastAsia" w:cs="Times New Roman"/>
          <w:sz w:val="20"/>
          <w:szCs w:val="20"/>
          <w:lang w:val="en-ZA"/>
        </w:rPr>
        <w:t xml:space="preserve"> in empirical treatment after a negative screen due to</w:t>
      </w:r>
      <w:r w:rsidR="002C23FD" w:rsidRPr="00435469">
        <w:rPr>
          <w:sz w:val="20"/>
          <w:szCs w:val="20"/>
        </w:rPr>
        <w:t xml:space="preserve"> </w:t>
      </w:r>
      <w:r w:rsidR="00104E2A" w:rsidRPr="00435469">
        <w:rPr>
          <w:sz w:val="20"/>
          <w:szCs w:val="20"/>
        </w:rPr>
        <w:t>Gene</w:t>
      </w:r>
      <w:r w:rsidR="002C23FD" w:rsidRPr="00435469">
        <w:rPr>
          <w:rFonts w:eastAsiaTheme="minorEastAsia" w:cs="Times New Roman"/>
          <w:sz w:val="20"/>
          <w:szCs w:val="20"/>
        </w:rPr>
        <w:t xml:space="preserve">Xpert MTB/RIF </w:t>
      </w:r>
      <w:r w:rsidR="008D1DC1" w:rsidRPr="00435469">
        <w:rPr>
          <w:rFonts w:eastAsiaTheme="minorEastAsia" w:cs="Times New Roman"/>
          <w:sz w:val="20"/>
          <w:szCs w:val="20"/>
          <w:lang w:val="en-ZA"/>
        </w:rPr>
        <w:t>at</w:t>
      </w:r>
      <w:r w:rsidR="00173E96" w:rsidRPr="00435469">
        <w:rPr>
          <w:rFonts w:eastAsiaTheme="minorEastAsia" w:cs="Times New Roman"/>
          <w:sz w:val="20"/>
          <w:szCs w:val="20"/>
          <w:lang w:val="en-ZA"/>
        </w:rPr>
        <w:t xml:space="preserve"> 0.5 based on these studies</w:t>
      </w:r>
      <w:r w:rsidR="00296880" w:rsidRPr="00435469">
        <w:rPr>
          <w:rFonts w:cs="Times New Roman"/>
          <w:sz w:val="20"/>
          <w:szCs w:val="20"/>
        </w:rPr>
        <w:t>.</w:t>
      </w:r>
    </w:p>
    <w:p w14:paraId="403715F2" w14:textId="77777777" w:rsidR="00BB4277" w:rsidRPr="00435469" w:rsidRDefault="00BB4277" w:rsidP="00955FFB">
      <w:pPr>
        <w:pStyle w:val="xmsonormal"/>
        <w:shd w:val="clear" w:color="auto" w:fill="FFFFFF"/>
        <w:spacing w:before="0" w:beforeAutospacing="0" w:after="0" w:afterAutospacing="0"/>
        <w:rPr>
          <w:sz w:val="20"/>
          <w:szCs w:val="20"/>
        </w:rPr>
      </w:pPr>
    </w:p>
    <w:p w14:paraId="56012AA7" w14:textId="77777777" w:rsidR="003454B8" w:rsidRPr="00435469" w:rsidRDefault="003454B8" w:rsidP="00955FFB">
      <w:pPr>
        <w:pStyle w:val="Heading2"/>
        <w:rPr>
          <w:rFonts w:cs="Times New Roman"/>
          <w:color w:val="auto"/>
          <w:sz w:val="20"/>
          <w:szCs w:val="20"/>
        </w:rPr>
      </w:pPr>
      <w:bookmarkStart w:id="183" w:name="_Ref80343718"/>
      <w:bookmarkStart w:id="184" w:name="_Ref80343736"/>
      <w:bookmarkStart w:id="185" w:name="_Ref80351758"/>
      <w:bookmarkStart w:id="186" w:name="_Toc80352146"/>
      <w:bookmarkStart w:id="187" w:name="_Toc87863338"/>
      <w:bookmarkStart w:id="188" w:name="_Toc88488569"/>
      <w:bookmarkStart w:id="189" w:name="_Toc103252937"/>
      <w:bookmarkStart w:id="190" w:name="_Toc79099825"/>
      <w:r w:rsidRPr="00435469">
        <w:rPr>
          <w:rFonts w:cs="Times New Roman"/>
          <w:color w:val="auto"/>
          <w:sz w:val="20"/>
          <w:szCs w:val="20"/>
        </w:rPr>
        <w:t>Modelling tuberculosis treatment and treatment outcomes</w:t>
      </w:r>
      <w:bookmarkStart w:id="191" w:name="_Toc66458483"/>
      <w:bookmarkEnd w:id="183"/>
      <w:bookmarkEnd w:id="184"/>
      <w:bookmarkEnd w:id="185"/>
      <w:bookmarkEnd w:id="186"/>
      <w:bookmarkEnd w:id="187"/>
      <w:bookmarkEnd w:id="188"/>
      <w:bookmarkEnd w:id="189"/>
      <w:r w:rsidRPr="00435469">
        <w:rPr>
          <w:rFonts w:cs="Times New Roman"/>
          <w:color w:val="auto"/>
          <w:sz w:val="20"/>
          <w:szCs w:val="20"/>
        </w:rPr>
        <w:t xml:space="preserve"> </w:t>
      </w:r>
      <w:bookmarkEnd w:id="190"/>
      <w:bookmarkEnd w:id="191"/>
    </w:p>
    <w:p w14:paraId="5C90A919" w14:textId="0CC7C963" w:rsidR="00D361F7" w:rsidRPr="00435469" w:rsidRDefault="00D361F7" w:rsidP="00955FFB">
      <w:pPr>
        <w:spacing w:line="240" w:lineRule="auto"/>
        <w:rPr>
          <w:rFonts w:eastAsia="Yu Gothic Light" w:cs="Times New Roman"/>
          <w:bCs/>
          <w:sz w:val="20"/>
          <w:szCs w:val="20"/>
        </w:rPr>
      </w:pPr>
      <w:r w:rsidRPr="00435469">
        <w:rPr>
          <w:rFonts w:eastAsiaTheme="minorEastAsia" w:cs="Times New Roman"/>
          <w:sz w:val="20"/>
          <w:szCs w:val="20"/>
        </w:rPr>
        <w:t>In South Africa, the standard TB treatment for drug susceptible TB lasts for six months, consisting of two phases. The first (intense) phase lasts two months, and the second (continuation) phase lasts four months</w:t>
      </w:r>
      <w:r w:rsidR="00F40C7E" w:rsidRPr="00435469">
        <w:rPr>
          <w:rFonts w:eastAsiaTheme="minorEastAsia" w:cs="Times New Roman"/>
          <w:sz w:val="20"/>
          <w:szCs w:val="20"/>
        </w:rPr>
        <w:t xml:space="preserve"> </w:t>
      </w:r>
      <w:r w:rsidR="00F40C7E" w:rsidRPr="00435469">
        <w:rPr>
          <w:rFonts w:eastAsiaTheme="minorEastAsia" w:cs="Times New Roman"/>
          <w:sz w:val="20"/>
          <w:szCs w:val="20"/>
        </w:rPr>
        <w:fldChar w:fldCharType="begin" w:fldLock="1"/>
      </w:r>
      <w:r w:rsidR="002F049E" w:rsidRPr="00435469">
        <w:rPr>
          <w:rFonts w:eastAsiaTheme="minorEastAsia" w:cs="Times New Roman"/>
          <w:sz w:val="20"/>
          <w:szCs w:val="20"/>
        </w:rPr>
        <w:instrText>ADDIN CSL_CITATION {"citationItems":[{"id":"ITEM-1","itemData":{"ISBN":"9781920031824","id":"ITEM-1","issued":{"date-parts":[["2014"]]},"title":"National Tuberculosis Management Guidelines 2014","type":"report"},"uris":["http://www.mendeley.com/documents/?uuid=b372627a-f61a-4fb0-8c39-102550d37921"]}],"mendeley":{"formattedCitation":"(42)","plainTextFormattedCitation":"(42)","previouslyFormattedCitation":"(42)"},"properties":{"noteIndex":0},"schema":"https://github.com/citation-style-language/schema/raw/master/csl-citation.json"}</w:instrText>
      </w:r>
      <w:r w:rsidR="00F40C7E" w:rsidRPr="00435469">
        <w:rPr>
          <w:rFonts w:eastAsiaTheme="minorEastAsia" w:cs="Times New Roman"/>
          <w:sz w:val="20"/>
          <w:szCs w:val="20"/>
        </w:rPr>
        <w:fldChar w:fldCharType="separate"/>
      </w:r>
      <w:r w:rsidR="0063047A" w:rsidRPr="00435469">
        <w:rPr>
          <w:rFonts w:eastAsiaTheme="minorEastAsia" w:cs="Times New Roman"/>
          <w:noProof/>
          <w:sz w:val="20"/>
          <w:szCs w:val="20"/>
        </w:rPr>
        <w:t>(42)</w:t>
      </w:r>
      <w:r w:rsidR="00F40C7E" w:rsidRPr="00435469">
        <w:rPr>
          <w:rFonts w:eastAsiaTheme="minorEastAsia" w:cs="Times New Roman"/>
          <w:sz w:val="20"/>
          <w:szCs w:val="20"/>
        </w:rPr>
        <w:fldChar w:fldCharType="end"/>
      </w:r>
      <w:r w:rsidRPr="00435469">
        <w:rPr>
          <w:rFonts w:eastAsiaTheme="minorEastAsia" w:cs="Times New Roman"/>
          <w:sz w:val="20"/>
          <w:szCs w:val="20"/>
        </w:rPr>
        <w:t xml:space="preserve">. </w:t>
      </w:r>
      <w:r w:rsidRPr="00435469">
        <w:rPr>
          <w:rFonts w:eastAsia="Yu Gothic Light" w:cs="Times New Roman"/>
          <w:bCs/>
          <w:sz w:val="20"/>
          <w:szCs w:val="20"/>
        </w:rPr>
        <w:t>The commonly reported treatment outcomes include default, success (cure and completion),</w:t>
      </w:r>
      <w:r w:rsidR="007A184C" w:rsidRPr="00435469">
        <w:rPr>
          <w:rFonts w:eastAsia="Yu Gothic Light" w:cs="Times New Roman"/>
          <w:bCs/>
          <w:sz w:val="20"/>
          <w:szCs w:val="20"/>
        </w:rPr>
        <w:t xml:space="preserve"> failure</w:t>
      </w:r>
      <w:r w:rsidRPr="00435469">
        <w:rPr>
          <w:rFonts w:eastAsia="Yu Gothic Light" w:cs="Times New Roman"/>
          <w:bCs/>
          <w:sz w:val="20"/>
          <w:szCs w:val="20"/>
        </w:rPr>
        <w:t xml:space="preserve"> and death. The definitions are as in</w:t>
      </w:r>
      <w:r w:rsidR="00073DB6" w:rsidRPr="00435469">
        <w:rPr>
          <w:rFonts w:eastAsia="Yu Gothic Light" w:cs="Times New Roman"/>
          <w:bCs/>
          <w:sz w:val="20"/>
          <w:szCs w:val="20"/>
        </w:rPr>
        <w:t xml:space="preserve"> </w:t>
      </w:r>
      <w:r w:rsidR="00073DB6" w:rsidRPr="00435469">
        <w:rPr>
          <w:rFonts w:eastAsia="Yu Gothic Light" w:cs="Times New Roman"/>
          <w:bCs/>
          <w:sz w:val="20"/>
          <w:szCs w:val="20"/>
        </w:rPr>
        <w:fldChar w:fldCharType="begin"/>
      </w:r>
      <w:r w:rsidR="00073DB6" w:rsidRPr="00435469">
        <w:rPr>
          <w:rFonts w:eastAsia="Yu Gothic Light" w:cs="Times New Roman"/>
          <w:bCs/>
          <w:sz w:val="20"/>
          <w:szCs w:val="20"/>
        </w:rPr>
        <w:instrText xml:space="preserve"> REF _Ref56060444 \h </w:instrText>
      </w:r>
      <w:r w:rsidR="00F334C7" w:rsidRPr="00435469">
        <w:rPr>
          <w:rFonts w:eastAsia="Yu Gothic Light" w:cs="Times New Roman"/>
          <w:bCs/>
          <w:sz w:val="20"/>
          <w:szCs w:val="20"/>
        </w:rPr>
        <w:instrText xml:space="preserve"> \* MERGEFORMAT </w:instrText>
      </w:r>
      <w:r w:rsidR="00073DB6" w:rsidRPr="00435469">
        <w:rPr>
          <w:rFonts w:eastAsia="Yu Gothic Light" w:cs="Times New Roman"/>
          <w:bCs/>
          <w:sz w:val="20"/>
          <w:szCs w:val="20"/>
        </w:rPr>
      </w:r>
      <w:r w:rsidR="00073DB6" w:rsidRPr="00435469">
        <w:rPr>
          <w:rFonts w:eastAsia="Yu Gothic Light" w:cs="Times New Roman"/>
          <w:bCs/>
          <w:sz w:val="20"/>
          <w:szCs w:val="20"/>
        </w:rPr>
        <w:fldChar w:fldCharType="separate"/>
      </w:r>
      <w:r w:rsidR="00186C2F" w:rsidRPr="00435469">
        <w:rPr>
          <w:sz w:val="20"/>
          <w:szCs w:val="20"/>
        </w:rPr>
        <w:t xml:space="preserve">Table </w:t>
      </w:r>
      <w:r w:rsidR="00186C2F" w:rsidRPr="00435469">
        <w:rPr>
          <w:noProof/>
          <w:sz w:val="20"/>
          <w:szCs w:val="20"/>
        </w:rPr>
        <w:t>11</w:t>
      </w:r>
      <w:r w:rsidR="00073DB6" w:rsidRPr="00435469">
        <w:rPr>
          <w:rFonts w:eastAsia="Yu Gothic Light" w:cs="Times New Roman"/>
          <w:bCs/>
          <w:sz w:val="20"/>
          <w:szCs w:val="20"/>
        </w:rPr>
        <w:fldChar w:fldCharType="end"/>
      </w:r>
      <w:r w:rsidR="00073DB6" w:rsidRPr="00435469">
        <w:rPr>
          <w:rFonts w:eastAsia="Yu Gothic Light" w:cs="Times New Roman"/>
          <w:bCs/>
          <w:sz w:val="20"/>
          <w:szCs w:val="20"/>
        </w:rPr>
        <w:t>.</w:t>
      </w:r>
      <w:r w:rsidRPr="00435469">
        <w:rPr>
          <w:rFonts w:eastAsia="Yu Gothic Light" w:cs="Times New Roman"/>
          <w:bCs/>
          <w:sz w:val="20"/>
          <w:szCs w:val="20"/>
        </w:rPr>
        <w:t xml:space="preserve"> These outcomes are reported as percentages in the District Health Barometer, and the primary data source is the ETR.</w:t>
      </w:r>
    </w:p>
    <w:p w14:paraId="501466A4" w14:textId="6DFEACD7" w:rsidR="003454B8" w:rsidRPr="00435469" w:rsidRDefault="003454B8" w:rsidP="00955FFB">
      <w:pPr>
        <w:pStyle w:val="3CaptionBelowwithNote"/>
        <w:rPr>
          <w:rFonts w:eastAsia="Yu Gothic Light"/>
          <w:iCs/>
          <w:sz w:val="20"/>
          <w:szCs w:val="20"/>
        </w:rPr>
      </w:pPr>
      <w:bookmarkStart w:id="192" w:name="_Ref56060444"/>
      <w:bookmarkStart w:id="193" w:name="_Toc59986831"/>
      <w:bookmarkStart w:id="194" w:name="_Toc80352727"/>
      <w:bookmarkStart w:id="195" w:name="_Toc87863401"/>
      <w:bookmarkStart w:id="196" w:name="_Toc103253664"/>
      <w:r w:rsidRPr="00435469">
        <w:rPr>
          <w:sz w:val="20"/>
          <w:szCs w:val="20"/>
        </w:rPr>
        <w:t xml:space="preserve">Table </w:t>
      </w:r>
      <w:r w:rsidRPr="00435469">
        <w:rPr>
          <w:iCs/>
          <w:noProof w:val="0"/>
          <w:sz w:val="20"/>
          <w:szCs w:val="20"/>
        </w:rPr>
        <w:fldChar w:fldCharType="begin"/>
      </w:r>
      <w:r w:rsidRPr="00435469">
        <w:rPr>
          <w:sz w:val="20"/>
          <w:szCs w:val="20"/>
        </w:rPr>
        <w:instrText xml:space="preserve"> SEQ Table \* ARABIC </w:instrText>
      </w:r>
      <w:r w:rsidRPr="00435469">
        <w:rPr>
          <w:iCs/>
          <w:noProof w:val="0"/>
          <w:sz w:val="20"/>
          <w:szCs w:val="20"/>
        </w:rPr>
        <w:fldChar w:fldCharType="separate"/>
      </w:r>
      <w:r w:rsidR="00186C2F" w:rsidRPr="00435469">
        <w:rPr>
          <w:sz w:val="20"/>
          <w:szCs w:val="20"/>
        </w:rPr>
        <w:t>11</w:t>
      </w:r>
      <w:r w:rsidRPr="00435469">
        <w:rPr>
          <w:iCs/>
          <w:sz w:val="20"/>
          <w:szCs w:val="20"/>
        </w:rPr>
        <w:fldChar w:fldCharType="end"/>
      </w:r>
      <w:bookmarkEnd w:id="192"/>
      <w:r w:rsidRPr="00435469">
        <w:rPr>
          <w:sz w:val="20"/>
          <w:szCs w:val="20"/>
        </w:rPr>
        <w:t>: Definitions of data used for treatment outcomes</w:t>
      </w:r>
      <w:bookmarkEnd w:id="193"/>
      <w:r w:rsidRPr="00435469">
        <w:rPr>
          <w:sz w:val="20"/>
          <w:szCs w:val="20"/>
        </w:rPr>
        <w:t xml:space="preserve"> as per the e</w:t>
      </w:r>
      <w:r w:rsidRPr="00435469">
        <w:rPr>
          <w:rFonts w:eastAsia="Yu Gothic Light"/>
          <w:sz w:val="20"/>
          <w:szCs w:val="20"/>
        </w:rPr>
        <w:t>lectronic tuberculosis register</w:t>
      </w:r>
      <w:bookmarkEnd w:id="194"/>
      <w:bookmarkEnd w:id="195"/>
      <w:bookmarkEnd w:id="196"/>
    </w:p>
    <w:tbl>
      <w:tblPr>
        <w:tblStyle w:val="TableGrid"/>
        <w:tblW w:w="9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7139"/>
        <w:gridCol w:w="1312"/>
      </w:tblGrid>
      <w:tr w:rsidR="00304411" w:rsidRPr="00435469" w14:paraId="25B1E52C" w14:textId="77777777" w:rsidTr="52A02AD2">
        <w:trPr>
          <w:trHeight w:val="333"/>
        </w:trPr>
        <w:tc>
          <w:tcPr>
            <w:tcW w:w="1083" w:type="dxa"/>
            <w:tcBorders>
              <w:top w:val="single" w:sz="4" w:space="0" w:color="auto"/>
              <w:left w:val="nil"/>
              <w:bottom w:val="single" w:sz="4" w:space="0" w:color="auto"/>
              <w:right w:val="nil"/>
            </w:tcBorders>
            <w:hideMark/>
          </w:tcPr>
          <w:p w14:paraId="39B272BA" w14:textId="77777777" w:rsidR="003454B8" w:rsidRPr="00435469" w:rsidRDefault="003454B8" w:rsidP="00955FFB">
            <w:pPr>
              <w:pStyle w:val="3TableNote"/>
              <w:spacing w:after="0"/>
              <w:rPr>
                <w:b/>
                <w:bCs/>
                <w:sz w:val="16"/>
                <w:szCs w:val="16"/>
              </w:rPr>
            </w:pPr>
            <w:r w:rsidRPr="00435469">
              <w:rPr>
                <w:b/>
                <w:bCs/>
                <w:sz w:val="16"/>
                <w:szCs w:val="16"/>
              </w:rPr>
              <w:t>Symbol</w:t>
            </w:r>
          </w:p>
        </w:tc>
        <w:tc>
          <w:tcPr>
            <w:tcW w:w="7139" w:type="dxa"/>
            <w:tcBorders>
              <w:top w:val="single" w:sz="4" w:space="0" w:color="auto"/>
              <w:left w:val="nil"/>
              <w:bottom w:val="single" w:sz="4" w:space="0" w:color="auto"/>
              <w:right w:val="nil"/>
            </w:tcBorders>
            <w:hideMark/>
          </w:tcPr>
          <w:p w14:paraId="0DE8188C" w14:textId="77777777" w:rsidR="003454B8" w:rsidRPr="00435469" w:rsidRDefault="003454B8" w:rsidP="00955FFB">
            <w:pPr>
              <w:pStyle w:val="3TableNote"/>
              <w:spacing w:after="0"/>
              <w:rPr>
                <w:b/>
                <w:bCs/>
                <w:sz w:val="16"/>
                <w:szCs w:val="16"/>
              </w:rPr>
            </w:pPr>
            <w:r w:rsidRPr="00435469">
              <w:rPr>
                <w:b/>
                <w:bCs/>
                <w:sz w:val="16"/>
                <w:szCs w:val="16"/>
              </w:rPr>
              <w:t xml:space="preserve">Description </w:t>
            </w:r>
          </w:p>
        </w:tc>
        <w:tc>
          <w:tcPr>
            <w:tcW w:w="1312" w:type="dxa"/>
            <w:tcBorders>
              <w:top w:val="single" w:sz="4" w:space="0" w:color="auto"/>
              <w:left w:val="nil"/>
              <w:bottom w:val="single" w:sz="4" w:space="0" w:color="auto"/>
              <w:right w:val="nil"/>
            </w:tcBorders>
            <w:hideMark/>
          </w:tcPr>
          <w:p w14:paraId="1C027792" w14:textId="6578FED1" w:rsidR="003454B8" w:rsidRPr="00435469" w:rsidRDefault="003454B8" w:rsidP="00955FFB">
            <w:pPr>
              <w:pStyle w:val="3TableNote"/>
              <w:spacing w:after="0"/>
              <w:rPr>
                <w:b/>
                <w:bCs/>
                <w:sz w:val="16"/>
                <w:szCs w:val="16"/>
              </w:rPr>
            </w:pPr>
            <w:r w:rsidRPr="00435469">
              <w:rPr>
                <w:b/>
                <w:bCs/>
                <w:sz w:val="16"/>
                <w:szCs w:val="16"/>
              </w:rPr>
              <w:t>Source</w:t>
            </w:r>
          </w:p>
        </w:tc>
      </w:tr>
      <w:tr w:rsidR="00304411" w:rsidRPr="00435469" w14:paraId="763216EA" w14:textId="77777777" w:rsidTr="52A02AD2">
        <w:trPr>
          <w:trHeight w:val="947"/>
        </w:trPr>
        <w:tc>
          <w:tcPr>
            <w:tcW w:w="1083" w:type="dxa"/>
            <w:tcBorders>
              <w:top w:val="single" w:sz="4" w:space="0" w:color="auto"/>
              <w:left w:val="nil"/>
              <w:bottom w:val="single" w:sz="4" w:space="0" w:color="auto"/>
              <w:right w:val="nil"/>
            </w:tcBorders>
          </w:tcPr>
          <w:p w14:paraId="34B18740" w14:textId="77777777" w:rsidR="003454B8" w:rsidRPr="00435469" w:rsidRDefault="003454B8" w:rsidP="00955FFB">
            <w:pPr>
              <w:pStyle w:val="3TableNote"/>
              <w:spacing w:after="0"/>
              <w:rPr>
                <w:sz w:val="16"/>
                <w:szCs w:val="16"/>
              </w:rPr>
            </w:pPr>
            <m:oMathPara>
              <m:oMath>
                <m:r>
                  <w:rPr>
                    <w:rFonts w:ascii="Cambria Math" w:hAnsi="Cambria Math"/>
                    <w:sz w:val="16"/>
                    <w:szCs w:val="16"/>
                  </w:rPr>
                  <m:t>m</m:t>
                </m:r>
              </m:oMath>
            </m:oMathPara>
          </w:p>
        </w:tc>
        <w:tc>
          <w:tcPr>
            <w:tcW w:w="7139" w:type="dxa"/>
            <w:tcBorders>
              <w:top w:val="single" w:sz="4" w:space="0" w:color="auto"/>
              <w:left w:val="nil"/>
              <w:bottom w:val="single" w:sz="4" w:space="0" w:color="auto"/>
              <w:right w:val="nil"/>
            </w:tcBorders>
          </w:tcPr>
          <w:p w14:paraId="199E79EB" w14:textId="2AF7E95C" w:rsidR="003454B8" w:rsidRPr="00435469" w:rsidRDefault="003454B8" w:rsidP="00955FFB">
            <w:pPr>
              <w:pStyle w:val="3TableNote"/>
              <w:spacing w:after="0"/>
              <w:rPr>
                <w:sz w:val="16"/>
                <w:szCs w:val="16"/>
              </w:rPr>
            </w:pPr>
            <w:r w:rsidRPr="00435469">
              <w:rPr>
                <w:sz w:val="16"/>
                <w:szCs w:val="16"/>
              </w:rPr>
              <w:t xml:space="preserve">Treatment completion: Proportion of patients whose smear (or culture) was positive at the beginning of treatment and have completed treatment but does not have negative smear /culture in the last month of treatment and on at least one previous occasion more than 30 days before. The numerator is the number of patients who have completed treatment as per definition, and the denominator is the total number of TB patients on treatment that year </w:t>
            </w:r>
            <w:r w:rsidRPr="00435469">
              <w:rPr>
                <w:sz w:val="16"/>
                <w:szCs w:val="16"/>
              </w:rPr>
              <w:fldChar w:fldCharType="begin" w:fldLock="1"/>
            </w:r>
            <w:r w:rsidR="002F049E" w:rsidRPr="00435469">
              <w:rPr>
                <w:sz w:val="16"/>
                <w:szCs w:val="16"/>
              </w:rPr>
              <w:instrText>ADDIN CSL_CITATION {"citationItems":[{"id":"ITEM-1","itemData":{"ISBN":"9781920031824","abstract":"Tuberculosis and HIV/ AIDS are the drivers of morbidity and mortality in the country. Therefore more effort must be put into strategies that help us to: 1) reduce transmission of infection in the communities, 2) diagnose DS-TB and DR-TB early, 3) initiate treatment in all patients diagnosed with TB early, 4) retain patients in treatment and care until completion of treatment and 5) prevent TB in people lining with HIV by initiating all eligible HIV positive people on ART and Isoniazid preventive therapy. Implementing all these strategies in combination will help us as a country to attain the Millennium Development Goals. To this end, we have introduced new rapid diagnostic tests for drug susceptible and drug resistant TB, additional and new medicines for treating MDR and XDR-TB and are scaling up ward based outreach teams as part of PHC re engineering to provide care and support for patients at home and promote healthy lifestyle. Health care professionals play a pivotal role in the management of TB patients and we remain grateful for their dedication and hard work.","id":"ITEM-1","issued":{"date-parts":[["2008"]]},"publisher-place":"Department of Health. Pretoroia, South Africa","title":"National Tuberculosis Management Guidelines","type":"report"},"uris":["http://www.mendeley.com/documents/?uuid=892b6970-4d93-4875-82bc-bcca70ee8918"]}],"mendeley":{"formattedCitation":"(43)","plainTextFormattedCitation":"(43)","previouslyFormattedCitation":"(43)"},"properties":{"noteIndex":0},"schema":"https://github.com/citation-style-language/schema/raw/master/csl-citation.json"}</w:instrText>
            </w:r>
            <w:r w:rsidRPr="00435469">
              <w:rPr>
                <w:sz w:val="16"/>
                <w:szCs w:val="16"/>
              </w:rPr>
              <w:fldChar w:fldCharType="separate"/>
            </w:r>
            <w:r w:rsidR="0063047A" w:rsidRPr="00435469">
              <w:rPr>
                <w:noProof/>
                <w:sz w:val="16"/>
                <w:szCs w:val="16"/>
              </w:rPr>
              <w:t>(43)</w:t>
            </w:r>
            <w:r w:rsidRPr="00435469">
              <w:rPr>
                <w:sz w:val="16"/>
                <w:szCs w:val="16"/>
              </w:rPr>
              <w:fldChar w:fldCharType="end"/>
            </w:r>
            <w:r w:rsidRPr="00435469">
              <w:rPr>
                <w:sz w:val="16"/>
                <w:szCs w:val="16"/>
              </w:rPr>
              <w:t>.</w:t>
            </w:r>
          </w:p>
        </w:tc>
        <w:tc>
          <w:tcPr>
            <w:tcW w:w="1312" w:type="dxa"/>
            <w:vMerge w:val="restart"/>
            <w:tcBorders>
              <w:top w:val="single" w:sz="4" w:space="0" w:color="auto"/>
              <w:left w:val="nil"/>
              <w:right w:val="nil"/>
            </w:tcBorders>
          </w:tcPr>
          <w:p w14:paraId="6FB7F3C6" w14:textId="77777777" w:rsidR="003454B8" w:rsidRPr="00435469" w:rsidRDefault="003454B8" w:rsidP="00955FFB">
            <w:pPr>
              <w:pStyle w:val="3TableNote"/>
              <w:spacing w:after="0"/>
              <w:rPr>
                <w:sz w:val="16"/>
                <w:szCs w:val="16"/>
              </w:rPr>
            </w:pPr>
          </w:p>
          <w:p w14:paraId="7F0FF71A" w14:textId="77777777" w:rsidR="003454B8" w:rsidRPr="00435469" w:rsidRDefault="003454B8" w:rsidP="00955FFB">
            <w:pPr>
              <w:pStyle w:val="3TableNote"/>
              <w:spacing w:after="0"/>
              <w:rPr>
                <w:sz w:val="16"/>
                <w:szCs w:val="16"/>
              </w:rPr>
            </w:pPr>
          </w:p>
          <w:p w14:paraId="22878A2C" w14:textId="77777777" w:rsidR="003454B8" w:rsidRPr="00435469" w:rsidRDefault="003454B8" w:rsidP="00955FFB">
            <w:pPr>
              <w:pStyle w:val="3TableNote"/>
              <w:spacing w:after="0"/>
              <w:rPr>
                <w:sz w:val="16"/>
                <w:szCs w:val="16"/>
              </w:rPr>
            </w:pPr>
          </w:p>
          <w:p w14:paraId="44CC78D9" w14:textId="77777777" w:rsidR="003454B8" w:rsidRPr="00435469" w:rsidRDefault="003454B8" w:rsidP="00955FFB">
            <w:pPr>
              <w:pStyle w:val="3TableNote"/>
              <w:spacing w:after="0"/>
              <w:rPr>
                <w:sz w:val="16"/>
                <w:szCs w:val="16"/>
              </w:rPr>
            </w:pPr>
          </w:p>
          <w:p w14:paraId="734505E1" w14:textId="77777777" w:rsidR="003454B8" w:rsidRPr="00435469" w:rsidRDefault="003454B8" w:rsidP="00955FFB">
            <w:pPr>
              <w:pStyle w:val="3TableNote"/>
              <w:spacing w:after="0"/>
              <w:rPr>
                <w:sz w:val="16"/>
                <w:szCs w:val="16"/>
              </w:rPr>
            </w:pPr>
          </w:p>
          <w:p w14:paraId="39FF7BE7" w14:textId="77777777" w:rsidR="003454B8" w:rsidRPr="00435469" w:rsidRDefault="003454B8" w:rsidP="00955FFB">
            <w:pPr>
              <w:pStyle w:val="3TableNote"/>
              <w:spacing w:after="0"/>
              <w:rPr>
                <w:sz w:val="16"/>
                <w:szCs w:val="16"/>
              </w:rPr>
            </w:pPr>
          </w:p>
          <w:p w14:paraId="19412DCE" w14:textId="77777777" w:rsidR="003454B8" w:rsidRPr="00435469" w:rsidRDefault="003454B8" w:rsidP="00955FFB">
            <w:pPr>
              <w:pStyle w:val="3TableNote"/>
              <w:spacing w:after="0"/>
              <w:rPr>
                <w:sz w:val="16"/>
                <w:szCs w:val="16"/>
              </w:rPr>
            </w:pPr>
          </w:p>
          <w:p w14:paraId="7486E5FD" w14:textId="73C04AF2" w:rsidR="003454B8" w:rsidRPr="00435469" w:rsidRDefault="003454B8" w:rsidP="00955FFB">
            <w:pPr>
              <w:pStyle w:val="3TableNote"/>
              <w:spacing w:after="0"/>
              <w:rPr>
                <w:sz w:val="16"/>
                <w:szCs w:val="16"/>
              </w:rPr>
            </w:pPr>
            <w:r w:rsidRPr="00435469">
              <w:rPr>
                <w:sz w:val="16"/>
                <w:szCs w:val="16"/>
              </w:rPr>
              <w:t xml:space="preserve">Electronic tuberculosis register </w:t>
            </w:r>
            <w:r w:rsidRPr="00435469">
              <w:rPr>
                <w:sz w:val="16"/>
                <w:szCs w:val="16"/>
              </w:rPr>
              <w:fldChar w:fldCharType="begin" w:fldLock="1"/>
            </w:r>
            <w:r w:rsidR="002F049E" w:rsidRPr="00435469">
              <w:rPr>
                <w:sz w:val="16"/>
                <w:szCs w:val="16"/>
              </w:rPr>
              <w:instrText>ADDIN CSL_CITATION {"citationItems":[{"id":"ITEM-1","itemData":{"ISBN":"9781920031824","abstract":"Tuberculosis and HIV/ AIDS are the drivers of morbidity and mortality in the country. Therefore more effort must be put into strategies that help us to: 1) reduce transmission of infection in the communities, 2) diagnose DS-TB and DR-TB early, 3) initiate treatment in all patients diagnosed with TB early, 4) retain patients in treatment and care until completion of treatment and 5) prevent TB in people lining with HIV by initiating all eligible HIV positive people on ART and Isoniazid preventive therapy. Implementing all these strategies in combination will help us as a country to attain the Millennium Development Goals. To this end, we have introduced new rapid diagnostic tests for drug susceptible and drug resistant TB, additional and new medicines for treating MDR and XDR-TB and are scaling up ward based outreach teams as part of PHC re engineering to provide care and support for patients at home and promote healthy lifestyle. Health care professionals play a pivotal role in the management of TB patients and we remain grateful for their dedication and hard work.","id":"ITEM-1","issued":{"date-parts":[["2008"]]},"publisher-place":"Department of Health. Pretoroia, South Africa","title":"National Tuberculosis Management Guidelines","type":"report"},"uris":["http://www.mendeley.com/documents/?uuid=892b6970-4d93-4875-82bc-bcca70ee8918"]},{"id":"ITEM-2","itemData":{"ISBN":"9781920031824","id":"ITEM-2","issued":{"date-parts":[["2014"]]},"title":"National Tuberculosis Management Guidelines 2014","type":"report"},"uris":["http://www.mendeley.com/documents/?uuid=b372627a-f61a-4fb0-8c39-102550d37921"]}],"mendeley":{"formattedCitation":"(42,43)","plainTextFormattedCitation":"(42,43)","previouslyFormattedCitation":"(42,43)"},"properties":{"noteIndex":0},"schema":"https://github.com/citation-style-language/schema/raw/master/csl-citation.json"}</w:instrText>
            </w:r>
            <w:r w:rsidRPr="00435469">
              <w:rPr>
                <w:sz w:val="16"/>
                <w:szCs w:val="16"/>
              </w:rPr>
              <w:fldChar w:fldCharType="separate"/>
            </w:r>
            <w:r w:rsidR="0063047A" w:rsidRPr="00435469">
              <w:rPr>
                <w:noProof/>
                <w:sz w:val="16"/>
                <w:szCs w:val="16"/>
              </w:rPr>
              <w:t>(42,43)</w:t>
            </w:r>
            <w:r w:rsidRPr="00435469">
              <w:rPr>
                <w:sz w:val="16"/>
                <w:szCs w:val="16"/>
              </w:rPr>
              <w:fldChar w:fldCharType="end"/>
            </w:r>
            <w:r w:rsidRPr="00435469">
              <w:rPr>
                <w:sz w:val="16"/>
                <w:szCs w:val="16"/>
              </w:rPr>
              <w:t>.</w:t>
            </w:r>
          </w:p>
        </w:tc>
      </w:tr>
      <w:tr w:rsidR="00304411" w:rsidRPr="00435469" w14:paraId="70AB99AC" w14:textId="77777777" w:rsidTr="52A02AD2">
        <w:trPr>
          <w:trHeight w:val="774"/>
        </w:trPr>
        <w:tc>
          <w:tcPr>
            <w:tcW w:w="1083" w:type="dxa"/>
            <w:tcBorders>
              <w:top w:val="single" w:sz="4" w:space="0" w:color="auto"/>
              <w:left w:val="nil"/>
              <w:bottom w:val="single" w:sz="4" w:space="0" w:color="auto"/>
              <w:right w:val="nil"/>
            </w:tcBorders>
          </w:tcPr>
          <w:p w14:paraId="7AA60085" w14:textId="77777777" w:rsidR="003454B8" w:rsidRPr="00435469" w:rsidRDefault="003454B8" w:rsidP="00955FFB">
            <w:pPr>
              <w:pStyle w:val="3TableNote"/>
              <w:spacing w:after="0"/>
              <w:rPr>
                <w:sz w:val="16"/>
                <w:szCs w:val="16"/>
              </w:rPr>
            </w:pPr>
            <m:oMathPara>
              <m:oMath>
                <m:r>
                  <w:rPr>
                    <w:rFonts w:ascii="Cambria Math" w:hAnsi="Cambria Math"/>
                    <w:sz w:val="16"/>
                    <w:szCs w:val="16"/>
                  </w:rPr>
                  <m:t>c</m:t>
                </m:r>
              </m:oMath>
            </m:oMathPara>
          </w:p>
        </w:tc>
        <w:tc>
          <w:tcPr>
            <w:tcW w:w="7139" w:type="dxa"/>
            <w:tcBorders>
              <w:top w:val="single" w:sz="4" w:space="0" w:color="auto"/>
              <w:left w:val="nil"/>
              <w:bottom w:val="single" w:sz="4" w:space="0" w:color="auto"/>
              <w:right w:val="nil"/>
            </w:tcBorders>
          </w:tcPr>
          <w:p w14:paraId="4D6EF5B6" w14:textId="41E31BBB" w:rsidR="003454B8" w:rsidRPr="00435469" w:rsidRDefault="003454B8" w:rsidP="00955FFB">
            <w:pPr>
              <w:pStyle w:val="3TableNote"/>
              <w:spacing w:after="0"/>
              <w:rPr>
                <w:sz w:val="16"/>
                <w:szCs w:val="16"/>
              </w:rPr>
            </w:pPr>
            <w:r w:rsidRPr="00435469">
              <w:rPr>
                <w:sz w:val="16"/>
                <w:szCs w:val="16"/>
              </w:rPr>
              <w:t xml:space="preserve">Cured: Proportion of patients whose smear (or culture) was positive at treatment initiation and is smear/ culture-negative in the last month of treatment and on at least one previous occasion more than 30 days before. The numerator is the number of patients who are cured as per definition, and the denominator is the total number of TB patients on treatment that year </w:t>
            </w:r>
            <w:r w:rsidRPr="00435469">
              <w:rPr>
                <w:sz w:val="16"/>
                <w:szCs w:val="16"/>
              </w:rPr>
              <w:fldChar w:fldCharType="begin" w:fldLock="1"/>
            </w:r>
            <w:r w:rsidR="002F049E" w:rsidRPr="00435469">
              <w:rPr>
                <w:sz w:val="16"/>
                <w:szCs w:val="16"/>
              </w:rPr>
              <w:instrText>ADDIN CSL_CITATION {"citationItems":[{"id":"ITEM-1","itemData":{"ISBN":"9781920031824","abstract":"Tuberculosis and HIV/ AIDS are the drivers of morbidity and mortality in the country. Therefore more effort must be put into strategies that help us to: 1) reduce transmission of infection in the communities, 2) diagnose DS-TB and DR-TB early, 3) initiate treatment in all patients diagnosed with TB early, 4) retain patients in treatment and care until completion of treatment and 5) prevent TB in people lining with HIV by initiating all eligible HIV positive people on ART and Isoniazid preventive therapy. Implementing all these strategies in combination will help us as a country to attain the Millennium Development Goals. To this end, we have introduced new rapid diagnostic tests for drug susceptible and drug resistant TB, additional and new medicines for treating MDR and XDR-TB and are scaling up ward based outreach teams as part of PHC re engineering to provide care and support for patients at home and promote healthy lifestyle. Health care professionals play a pivotal role in the management of TB patients and we remain grateful for their dedication and hard work.","id":"ITEM-1","issued":{"date-parts":[["2008"]]},"publisher-place":"Department of Health. Pretoroia, South Africa","title":"National Tuberculosis Management Guidelines","type":"report"},"uris":["http://www.mendeley.com/documents/?uuid=892b6970-4d93-4875-82bc-bcca70ee8918"]}],"mendeley":{"formattedCitation":"(43)","plainTextFormattedCitation":"(43)","previouslyFormattedCitation":"(43)"},"properties":{"noteIndex":0},"schema":"https://github.com/citation-style-language/schema/raw/master/csl-citation.json"}</w:instrText>
            </w:r>
            <w:r w:rsidRPr="00435469">
              <w:rPr>
                <w:sz w:val="16"/>
                <w:szCs w:val="16"/>
              </w:rPr>
              <w:fldChar w:fldCharType="separate"/>
            </w:r>
            <w:r w:rsidR="0063047A" w:rsidRPr="00435469">
              <w:rPr>
                <w:noProof/>
                <w:sz w:val="16"/>
                <w:szCs w:val="16"/>
              </w:rPr>
              <w:t>(43)</w:t>
            </w:r>
            <w:r w:rsidRPr="00435469">
              <w:rPr>
                <w:sz w:val="16"/>
                <w:szCs w:val="16"/>
              </w:rPr>
              <w:fldChar w:fldCharType="end"/>
            </w:r>
            <w:r w:rsidRPr="00435469">
              <w:rPr>
                <w:sz w:val="16"/>
                <w:szCs w:val="16"/>
              </w:rPr>
              <w:t>.</w:t>
            </w:r>
          </w:p>
        </w:tc>
        <w:tc>
          <w:tcPr>
            <w:tcW w:w="1312" w:type="dxa"/>
            <w:vMerge/>
          </w:tcPr>
          <w:p w14:paraId="34D529A6" w14:textId="77777777" w:rsidR="003454B8" w:rsidRPr="00435469" w:rsidRDefault="003454B8" w:rsidP="00955FFB">
            <w:pPr>
              <w:pStyle w:val="3TableNote"/>
              <w:spacing w:after="0"/>
              <w:rPr>
                <w:sz w:val="16"/>
                <w:szCs w:val="16"/>
              </w:rPr>
            </w:pPr>
          </w:p>
        </w:tc>
      </w:tr>
      <w:tr w:rsidR="00304411" w:rsidRPr="00435469" w14:paraId="230235DB" w14:textId="77777777" w:rsidTr="52A02AD2">
        <w:trPr>
          <w:trHeight w:val="997"/>
        </w:trPr>
        <w:tc>
          <w:tcPr>
            <w:tcW w:w="1083" w:type="dxa"/>
            <w:tcBorders>
              <w:top w:val="single" w:sz="4" w:space="0" w:color="auto"/>
              <w:left w:val="nil"/>
              <w:bottom w:val="single" w:sz="4" w:space="0" w:color="auto"/>
              <w:right w:val="nil"/>
            </w:tcBorders>
          </w:tcPr>
          <w:p w14:paraId="0233498F" w14:textId="77777777" w:rsidR="003454B8" w:rsidRPr="00435469" w:rsidRDefault="003454B8" w:rsidP="00955FFB">
            <w:pPr>
              <w:pStyle w:val="3TableNote"/>
              <w:spacing w:after="0"/>
              <w:rPr>
                <w:sz w:val="16"/>
                <w:szCs w:val="16"/>
              </w:rPr>
            </w:pPr>
            <m:oMathPara>
              <m:oMath>
                <m:r>
                  <w:rPr>
                    <w:rFonts w:ascii="Cambria Math" w:hAnsi="Cambria Math"/>
                    <w:sz w:val="16"/>
                    <w:szCs w:val="16"/>
                  </w:rPr>
                  <m:t>f</m:t>
                </m:r>
              </m:oMath>
            </m:oMathPara>
          </w:p>
        </w:tc>
        <w:tc>
          <w:tcPr>
            <w:tcW w:w="7139" w:type="dxa"/>
            <w:tcBorders>
              <w:top w:val="single" w:sz="4" w:space="0" w:color="auto"/>
              <w:left w:val="nil"/>
              <w:bottom w:val="single" w:sz="4" w:space="0" w:color="auto"/>
              <w:right w:val="nil"/>
            </w:tcBorders>
          </w:tcPr>
          <w:p w14:paraId="04999FFC" w14:textId="17A0F293" w:rsidR="003454B8" w:rsidRPr="00435469" w:rsidRDefault="003454B8" w:rsidP="00955FFB">
            <w:pPr>
              <w:pStyle w:val="3TableNote"/>
              <w:spacing w:after="0"/>
              <w:rPr>
                <w:sz w:val="16"/>
                <w:szCs w:val="16"/>
              </w:rPr>
            </w:pPr>
            <w:r w:rsidRPr="00435469">
              <w:rPr>
                <w:sz w:val="16"/>
                <w:szCs w:val="16"/>
              </w:rPr>
              <w:t xml:space="preserve">Treatment failure: Proportion of patients whose baseline smear (or culture) was positive and remained or becomes positive again at five months or later during treatment. This also includes patients with no significant clinical improvement and no significant weight gain after 4-5 months of treatment. A clinician establishes the diagnosis of the failure. The numerator is the number of patients who have failed treatment as defined, and the denominator is the total number of TB patients on treatment that year </w:t>
            </w:r>
            <w:r w:rsidRPr="00435469">
              <w:rPr>
                <w:sz w:val="16"/>
                <w:szCs w:val="16"/>
              </w:rPr>
              <w:fldChar w:fldCharType="begin" w:fldLock="1"/>
            </w:r>
            <w:r w:rsidR="002F049E" w:rsidRPr="00435469">
              <w:rPr>
                <w:sz w:val="16"/>
                <w:szCs w:val="16"/>
              </w:rPr>
              <w:instrText>ADDIN CSL_CITATION {"citationItems":[{"id":"ITEM-1","itemData":{"ISBN":"9781920031824","abstract":"Tuberculosis and HIV/ AIDS are the drivers of morbidity and mortality in the country. Therefore more effort must be put into strategies that help us to: 1) reduce transmission of infection in the communities, 2) diagnose DS-TB and DR-TB early, 3) initiate treatment in all patients diagnosed with TB early, 4) retain patients in treatment and care until completion of treatment and 5) prevent TB in people lining with HIV by initiating all eligible HIV positive people on ART and Isoniazid preventive therapy. Implementing all these strategies in combination will help us as a country to attain the Millennium Development Goals. To this end, we have introduced new rapid diagnostic tests for drug susceptible and drug resistant TB, additional and new medicines for treating MDR and XDR-TB and are scaling up ward based outreach teams as part of PHC re engineering to provide care and support for patients at home and promote healthy lifestyle. Health care professionals play a pivotal role in the management of TB patients and we remain grateful for their dedication and hard work.","id":"ITEM-1","issued":{"date-parts":[["2008"]]},"publisher-place":"Department of Health. Pretoroia, South Africa","title":"National Tuberculosis Management Guidelines","type":"report"},"uris":["http://www.mendeley.com/documents/?uuid=892b6970-4d93-4875-82bc-bcca70ee8918"]}],"mendeley":{"formattedCitation":"(43)","plainTextFormattedCitation":"(43)","previouslyFormattedCitation":"(43)"},"properties":{"noteIndex":0},"schema":"https://github.com/citation-style-language/schema/raw/master/csl-citation.json"}</w:instrText>
            </w:r>
            <w:r w:rsidRPr="00435469">
              <w:rPr>
                <w:sz w:val="16"/>
                <w:szCs w:val="16"/>
              </w:rPr>
              <w:fldChar w:fldCharType="separate"/>
            </w:r>
            <w:r w:rsidR="0063047A" w:rsidRPr="00435469">
              <w:rPr>
                <w:noProof/>
                <w:sz w:val="16"/>
                <w:szCs w:val="16"/>
              </w:rPr>
              <w:t>(43)</w:t>
            </w:r>
            <w:r w:rsidRPr="00435469">
              <w:rPr>
                <w:sz w:val="16"/>
                <w:szCs w:val="16"/>
              </w:rPr>
              <w:fldChar w:fldCharType="end"/>
            </w:r>
            <w:r w:rsidRPr="00435469">
              <w:rPr>
                <w:sz w:val="16"/>
                <w:szCs w:val="16"/>
              </w:rPr>
              <w:t>.</w:t>
            </w:r>
          </w:p>
        </w:tc>
        <w:tc>
          <w:tcPr>
            <w:tcW w:w="1312" w:type="dxa"/>
            <w:vMerge/>
          </w:tcPr>
          <w:p w14:paraId="149B4066" w14:textId="77777777" w:rsidR="003454B8" w:rsidRPr="00435469" w:rsidRDefault="003454B8" w:rsidP="00955FFB">
            <w:pPr>
              <w:pStyle w:val="3TableNote"/>
              <w:spacing w:after="0"/>
              <w:rPr>
                <w:sz w:val="16"/>
                <w:szCs w:val="16"/>
              </w:rPr>
            </w:pPr>
          </w:p>
        </w:tc>
      </w:tr>
      <w:tr w:rsidR="00304411" w:rsidRPr="00435469" w14:paraId="522D00F4" w14:textId="77777777" w:rsidTr="52A02AD2">
        <w:trPr>
          <w:trHeight w:val="333"/>
        </w:trPr>
        <w:tc>
          <w:tcPr>
            <w:tcW w:w="1083" w:type="dxa"/>
            <w:tcBorders>
              <w:top w:val="single" w:sz="4" w:space="0" w:color="auto"/>
              <w:left w:val="nil"/>
              <w:bottom w:val="single" w:sz="4" w:space="0" w:color="auto"/>
              <w:right w:val="nil"/>
            </w:tcBorders>
          </w:tcPr>
          <w:p w14:paraId="26D8CE9E" w14:textId="77777777" w:rsidR="003454B8" w:rsidRPr="00435469" w:rsidRDefault="00000000" w:rsidP="00955FFB">
            <w:pPr>
              <w:pStyle w:val="3TableNote"/>
              <w:spacing w:after="0"/>
              <w:rPr>
                <w:sz w:val="16"/>
                <w:szCs w:val="16"/>
              </w:rPr>
            </w:pPr>
            <m:oMathPara>
              <m:oMath>
                <m:sSub>
                  <m:sSubPr>
                    <m:ctrlPr>
                      <w:rPr>
                        <w:rFonts w:ascii="Cambria Math" w:hAnsi="Cambria Math"/>
                        <w:sz w:val="16"/>
                        <w:szCs w:val="16"/>
                      </w:rPr>
                    </m:ctrlPr>
                  </m:sSubPr>
                  <m:e>
                    <m:r>
                      <w:rPr>
                        <w:rFonts w:ascii="Cambria Math" w:hAnsi="Cambria Math"/>
                        <w:sz w:val="16"/>
                        <w:szCs w:val="16"/>
                      </w:rPr>
                      <m:t>d</m:t>
                    </m:r>
                  </m:e>
                  <m:sub>
                    <m:r>
                      <m:rPr>
                        <m:sty m:val="p"/>
                      </m:rPr>
                      <w:rPr>
                        <w:rFonts w:ascii="Cambria Math" w:hAnsi="Cambria Math"/>
                        <w:sz w:val="16"/>
                        <w:szCs w:val="16"/>
                      </w:rPr>
                      <m:t>1</m:t>
                    </m:r>
                  </m:sub>
                </m:sSub>
              </m:oMath>
            </m:oMathPara>
          </w:p>
        </w:tc>
        <w:tc>
          <w:tcPr>
            <w:tcW w:w="7139" w:type="dxa"/>
            <w:tcBorders>
              <w:top w:val="single" w:sz="4" w:space="0" w:color="auto"/>
              <w:left w:val="nil"/>
              <w:bottom w:val="single" w:sz="4" w:space="0" w:color="auto"/>
              <w:right w:val="nil"/>
            </w:tcBorders>
          </w:tcPr>
          <w:p w14:paraId="667B3A22" w14:textId="77777777" w:rsidR="003454B8" w:rsidRPr="00435469" w:rsidRDefault="003454B8" w:rsidP="00955FFB">
            <w:pPr>
              <w:pStyle w:val="3TableNote"/>
              <w:spacing w:after="0"/>
              <w:rPr>
                <w:sz w:val="16"/>
                <w:szCs w:val="16"/>
              </w:rPr>
            </w:pPr>
            <w:r w:rsidRPr="00435469">
              <w:rPr>
                <w:sz w:val="16"/>
                <w:szCs w:val="16"/>
              </w:rPr>
              <w:t xml:space="preserve">Death: Proportion of patients who die for any reason during TB treatment. The numerator is the number of patients who die on treatment as defined, and the denominator is the total number of TB patients on treatment that year. </w:t>
            </w:r>
          </w:p>
        </w:tc>
        <w:tc>
          <w:tcPr>
            <w:tcW w:w="1312" w:type="dxa"/>
            <w:vMerge/>
          </w:tcPr>
          <w:p w14:paraId="20720B6C" w14:textId="77777777" w:rsidR="003454B8" w:rsidRPr="00435469" w:rsidRDefault="003454B8" w:rsidP="00955FFB">
            <w:pPr>
              <w:pStyle w:val="3TableNote"/>
              <w:spacing w:after="0"/>
              <w:rPr>
                <w:sz w:val="16"/>
                <w:szCs w:val="16"/>
              </w:rPr>
            </w:pPr>
          </w:p>
        </w:tc>
      </w:tr>
      <w:tr w:rsidR="00304411" w:rsidRPr="00435469" w14:paraId="33879F28" w14:textId="77777777" w:rsidTr="00557E0D">
        <w:trPr>
          <w:trHeight w:val="333"/>
        </w:trPr>
        <w:tc>
          <w:tcPr>
            <w:tcW w:w="1083" w:type="dxa"/>
            <w:tcBorders>
              <w:top w:val="single" w:sz="4" w:space="0" w:color="auto"/>
              <w:left w:val="nil"/>
              <w:bottom w:val="single" w:sz="4" w:space="0" w:color="auto"/>
              <w:right w:val="nil"/>
            </w:tcBorders>
          </w:tcPr>
          <w:p w14:paraId="238A7EDD" w14:textId="77777777" w:rsidR="003454B8" w:rsidRPr="00435469" w:rsidRDefault="00000000" w:rsidP="00955FFB">
            <w:pPr>
              <w:pStyle w:val="3TableNote"/>
              <w:spacing w:after="0"/>
              <w:rPr>
                <w:sz w:val="16"/>
                <w:szCs w:val="16"/>
              </w:rPr>
            </w:pPr>
            <m:oMathPara>
              <m:oMath>
                <m:sSub>
                  <m:sSubPr>
                    <m:ctrlPr>
                      <w:rPr>
                        <w:rFonts w:ascii="Cambria Math" w:hAnsi="Cambria Math"/>
                        <w:sz w:val="16"/>
                        <w:szCs w:val="16"/>
                      </w:rPr>
                    </m:ctrlPr>
                  </m:sSubPr>
                  <m:e>
                    <m:r>
                      <w:rPr>
                        <w:rFonts w:ascii="Cambria Math" w:hAnsi="Cambria Math"/>
                        <w:sz w:val="16"/>
                        <w:szCs w:val="16"/>
                      </w:rPr>
                      <m:t>d</m:t>
                    </m:r>
                  </m:e>
                  <m:sub>
                    <m:r>
                      <m:rPr>
                        <m:sty m:val="p"/>
                      </m:rPr>
                      <w:rPr>
                        <w:rFonts w:ascii="Cambria Math" w:hAnsi="Cambria Math"/>
                        <w:sz w:val="16"/>
                        <w:szCs w:val="16"/>
                      </w:rPr>
                      <m:t>2</m:t>
                    </m:r>
                  </m:sub>
                </m:sSub>
              </m:oMath>
            </m:oMathPara>
          </w:p>
        </w:tc>
        <w:tc>
          <w:tcPr>
            <w:tcW w:w="7139" w:type="dxa"/>
            <w:tcBorders>
              <w:top w:val="single" w:sz="4" w:space="0" w:color="auto"/>
              <w:left w:val="nil"/>
              <w:bottom w:val="single" w:sz="4" w:space="0" w:color="auto"/>
              <w:right w:val="nil"/>
            </w:tcBorders>
          </w:tcPr>
          <w:p w14:paraId="13319F2F" w14:textId="31D02902" w:rsidR="003454B8" w:rsidRPr="00435469" w:rsidRDefault="003454B8" w:rsidP="00955FFB">
            <w:pPr>
              <w:pStyle w:val="3TableNote"/>
              <w:spacing w:after="0"/>
              <w:rPr>
                <w:sz w:val="16"/>
                <w:szCs w:val="16"/>
              </w:rPr>
            </w:pPr>
            <w:r w:rsidRPr="00435469">
              <w:rPr>
                <w:sz w:val="16"/>
                <w:szCs w:val="16"/>
              </w:rPr>
              <w:t>Treatment</w:t>
            </w:r>
            <w:r w:rsidR="00D863A6" w:rsidRPr="00435469">
              <w:rPr>
                <w:sz w:val="16"/>
                <w:szCs w:val="16"/>
              </w:rPr>
              <w:t xml:space="preserve"> discontinuation</w:t>
            </w:r>
            <w:r w:rsidRPr="00435469">
              <w:rPr>
                <w:sz w:val="16"/>
                <w:szCs w:val="16"/>
              </w:rPr>
              <w:t xml:space="preserve">/default: Proportion of patient whose treatment was interrupted for two consecutive months or more during the treatment course. The numerator is the number of patients who have treatment interruption as per definition, and the denominator is the total number of TB patients on treatment that year </w:t>
            </w:r>
            <w:r w:rsidRPr="00435469">
              <w:rPr>
                <w:sz w:val="16"/>
                <w:szCs w:val="16"/>
              </w:rPr>
              <w:fldChar w:fldCharType="begin" w:fldLock="1"/>
            </w:r>
            <w:r w:rsidR="002F049E" w:rsidRPr="00435469">
              <w:rPr>
                <w:sz w:val="16"/>
                <w:szCs w:val="16"/>
              </w:rPr>
              <w:instrText>ADDIN CSL_CITATION {"citationItems":[{"id":"ITEM-1","itemData":{"ISBN":"9781920031824","abstract":"Tuberculosis and HIV/ AIDS are the drivers of morbidity and mortality in the country. Therefore more effort must be put into strategies that help us to: 1) reduce transmission of infection in the communities, 2) diagnose DS-TB and DR-TB early, 3) initiate treatment in all patients diagnosed with TB early, 4) retain patients in treatment and care until completion of treatment and 5) prevent TB in people lining with HIV by initiating all eligible HIV positive people on ART and Isoniazid preventive therapy. Implementing all these strategies in combination will help us as a country to attain the Millennium Development Goals. To this end, we have introduced new rapid diagnostic tests for drug susceptible and drug resistant TB, additional and new medicines for treating MDR and XDR-TB and are scaling up ward based outreach teams as part of PHC re engineering to provide care and support for patients at home and promote healthy lifestyle. Health care professionals play a pivotal role in the management of TB patients and we remain grateful for their dedication and hard work.","id":"ITEM-1","issued":{"date-parts":[["2008"]]},"publisher-place":"Department of Health. Pretoroia, South Africa","title":"National Tuberculosis Management Guidelines","type":"report"},"uris":["http://www.mendeley.com/documents/?uuid=892b6970-4d93-4875-82bc-bcca70ee8918"]}],"mendeley":{"formattedCitation":"(43)","plainTextFormattedCitation":"(43)","previouslyFormattedCitation":"(43)"},"properties":{"noteIndex":0},"schema":"https://github.com/citation-style-language/schema/raw/master/csl-citation.json"}</w:instrText>
            </w:r>
            <w:r w:rsidRPr="00435469">
              <w:rPr>
                <w:sz w:val="16"/>
                <w:szCs w:val="16"/>
              </w:rPr>
              <w:fldChar w:fldCharType="separate"/>
            </w:r>
            <w:r w:rsidR="0063047A" w:rsidRPr="00435469">
              <w:rPr>
                <w:noProof/>
                <w:sz w:val="16"/>
                <w:szCs w:val="16"/>
              </w:rPr>
              <w:t>(43)</w:t>
            </w:r>
            <w:r w:rsidRPr="00435469">
              <w:rPr>
                <w:sz w:val="16"/>
                <w:szCs w:val="16"/>
              </w:rPr>
              <w:fldChar w:fldCharType="end"/>
            </w:r>
            <w:r w:rsidRPr="00435469">
              <w:rPr>
                <w:sz w:val="16"/>
                <w:szCs w:val="16"/>
              </w:rPr>
              <w:t>.</w:t>
            </w:r>
          </w:p>
        </w:tc>
        <w:tc>
          <w:tcPr>
            <w:tcW w:w="1312" w:type="dxa"/>
            <w:vMerge/>
            <w:tcBorders>
              <w:bottom w:val="single" w:sz="4" w:space="0" w:color="auto"/>
            </w:tcBorders>
          </w:tcPr>
          <w:p w14:paraId="71B478B5" w14:textId="77777777" w:rsidR="003454B8" w:rsidRPr="00435469" w:rsidRDefault="003454B8" w:rsidP="00955FFB">
            <w:pPr>
              <w:pStyle w:val="3TableNote"/>
              <w:spacing w:after="0"/>
              <w:rPr>
                <w:sz w:val="16"/>
                <w:szCs w:val="16"/>
              </w:rPr>
            </w:pPr>
          </w:p>
        </w:tc>
      </w:tr>
    </w:tbl>
    <w:p w14:paraId="4C0CD2A1" w14:textId="61D4E165" w:rsidR="00642372" w:rsidRPr="00435469" w:rsidRDefault="00642372" w:rsidP="00955FFB">
      <w:pPr>
        <w:spacing w:line="240" w:lineRule="auto"/>
        <w:rPr>
          <w:sz w:val="20"/>
          <w:szCs w:val="20"/>
        </w:rPr>
      </w:pPr>
      <w:r w:rsidRPr="00435469">
        <w:rPr>
          <w:sz w:val="20"/>
          <w:szCs w:val="20"/>
        </w:rPr>
        <w:t>Note:</w:t>
      </w:r>
      <w:r w:rsidR="00843AF8" w:rsidRPr="00435469">
        <w:rPr>
          <w:sz w:val="20"/>
          <w:szCs w:val="20"/>
        </w:rPr>
        <w:t xml:space="preserve"> </w:t>
      </w:r>
      <w:r w:rsidR="00B33ACE" w:rsidRPr="00435469">
        <w:rPr>
          <w:sz w:val="20"/>
          <w:szCs w:val="20"/>
        </w:rPr>
        <w:t>definitions</w:t>
      </w:r>
      <w:r w:rsidR="00437374" w:rsidRPr="00435469">
        <w:rPr>
          <w:sz w:val="20"/>
          <w:szCs w:val="20"/>
        </w:rPr>
        <w:t xml:space="preserve"> do not explicitly</w:t>
      </w:r>
      <w:r w:rsidR="007C41A9" w:rsidRPr="00435469">
        <w:rPr>
          <w:sz w:val="20"/>
          <w:szCs w:val="20"/>
        </w:rPr>
        <w:t xml:space="preserve"> describe </w:t>
      </w:r>
      <w:r w:rsidR="00843AF8" w:rsidRPr="00435469">
        <w:rPr>
          <w:sz w:val="20"/>
          <w:szCs w:val="20"/>
        </w:rPr>
        <w:t>how</w:t>
      </w:r>
      <w:r w:rsidRPr="00435469">
        <w:rPr>
          <w:sz w:val="20"/>
          <w:szCs w:val="20"/>
        </w:rPr>
        <w:t xml:space="preserve"> people get classified if they start treatment without a positive microbiological test</w:t>
      </w:r>
      <w:r w:rsidR="00BA4217" w:rsidRPr="00435469">
        <w:rPr>
          <w:sz w:val="20"/>
          <w:szCs w:val="20"/>
        </w:rPr>
        <w:t>.</w:t>
      </w:r>
    </w:p>
    <w:p w14:paraId="29367F65" w14:textId="08236EED" w:rsidR="00D32605" w:rsidRPr="00435469" w:rsidRDefault="008E4DAD" w:rsidP="000540AE">
      <w:pPr>
        <w:spacing w:line="240" w:lineRule="auto"/>
        <w:rPr>
          <w:rFonts w:eastAsia="Yu Gothic Light" w:cs="Times New Roman"/>
          <w:bCs/>
          <w:sz w:val="20"/>
          <w:szCs w:val="20"/>
        </w:rPr>
      </w:pPr>
      <w:r w:rsidRPr="00435469">
        <w:rPr>
          <w:rFonts w:eastAsia="Yu Gothic Light" w:cs="Times New Roman"/>
          <w:bCs/>
          <w:sz w:val="20"/>
          <w:szCs w:val="20"/>
        </w:rPr>
        <w:t>We model four possible outcomes: cure (</w:t>
      </w:r>
      <m:oMath>
        <m:r>
          <w:rPr>
            <w:rFonts w:ascii="Cambria Math" w:eastAsia="Yu Gothic Light" w:hAnsi="Cambria Math" w:cs="Times New Roman"/>
            <w:sz w:val="20"/>
            <w:szCs w:val="20"/>
          </w:rPr>
          <m:t>κ</m:t>
        </m:r>
      </m:oMath>
      <w:r w:rsidRPr="00435469">
        <w:rPr>
          <w:rFonts w:eastAsia="Yu Gothic Light" w:cs="Times New Roman"/>
          <w:sz w:val="20"/>
          <w:szCs w:val="20"/>
        </w:rPr>
        <w:t>)</w:t>
      </w:r>
      <w:r w:rsidRPr="00435469">
        <w:rPr>
          <w:rFonts w:eastAsia="Yu Gothic Light" w:cs="Times New Roman"/>
          <w:bCs/>
          <w:sz w:val="20"/>
          <w:szCs w:val="20"/>
        </w:rPr>
        <w:t xml:space="preserve"> and treatment failure </w:t>
      </w:r>
      <w:r w:rsidRPr="00435469">
        <w:rPr>
          <w:rFonts w:eastAsia="Yu Gothic Light" w:cs="Times New Roman"/>
          <w:sz w:val="20"/>
          <w:szCs w:val="20"/>
        </w:rPr>
        <w:t>(</w:t>
      </w:r>
      <m:oMath>
        <m:r>
          <w:rPr>
            <w:rFonts w:ascii="Cambria Math" w:hAnsi="Cambria Math" w:cs="Times New Roman"/>
            <w:sz w:val="20"/>
            <w:szCs w:val="20"/>
            <w:bdr w:val="none" w:sz="0" w:space="0" w:color="auto" w:frame="1"/>
          </w:rPr>
          <m:t>γ</m:t>
        </m:r>
      </m:oMath>
      <w:r w:rsidRPr="00435469">
        <w:rPr>
          <w:rFonts w:eastAsia="Yu Gothic Light" w:cs="Times New Roman"/>
          <w:sz w:val="20"/>
          <w:szCs w:val="20"/>
        </w:rPr>
        <w:t xml:space="preserve">) </w:t>
      </w:r>
      <w:r w:rsidRPr="00435469">
        <w:rPr>
          <w:rFonts w:eastAsia="Yu Gothic Light" w:cs="Times New Roman"/>
          <w:bCs/>
          <w:sz w:val="20"/>
          <w:szCs w:val="20"/>
        </w:rPr>
        <w:t>after treatment completion, treatment discontinuation (</w:t>
      </w:r>
      <m:oMath>
        <m:r>
          <w:rPr>
            <w:rFonts w:ascii="Cambria Math" w:hAnsi="Cambria Math"/>
            <w:sz w:val="20"/>
            <w:szCs w:val="20"/>
          </w:rPr>
          <m:t>δ</m:t>
        </m:r>
      </m:oMath>
      <w:r w:rsidRPr="00435469">
        <w:rPr>
          <w:rFonts w:eastAsia="Yu Gothic Light" w:cs="Times New Roman"/>
          <w:bCs/>
          <w:sz w:val="20"/>
          <w:szCs w:val="20"/>
        </w:rPr>
        <w:t>) and death on treatment (</w:t>
      </w:r>
      <m:oMath>
        <m:r>
          <w:rPr>
            <w:rFonts w:ascii="Cambria Math" w:hAnsi="Cambria Math"/>
            <w:sz w:val="20"/>
            <w:szCs w:val="20"/>
          </w:rPr>
          <m:t>μ</m:t>
        </m:r>
      </m:oMath>
      <w:r w:rsidRPr="00435469">
        <w:rPr>
          <w:rFonts w:eastAsia="Yu Gothic Light" w:cs="Times New Roman"/>
          <w:bCs/>
          <w:sz w:val="20"/>
          <w:szCs w:val="20"/>
        </w:rPr>
        <w:t xml:space="preserve">). These outcomes are estimated from the annual percentages </w:t>
      </w:r>
      <w:r w:rsidR="000A6EE3" w:rsidRPr="00435469">
        <w:rPr>
          <w:rFonts w:eastAsia="Yu Gothic Light" w:cs="Times New Roman"/>
          <w:bCs/>
          <w:sz w:val="20"/>
          <w:szCs w:val="20"/>
        </w:rPr>
        <w:t xml:space="preserve">reported </w:t>
      </w:r>
      <w:r w:rsidRPr="00435469">
        <w:rPr>
          <w:rFonts w:eastAsia="Yu Gothic Light" w:cs="Times New Roman"/>
          <w:bCs/>
          <w:sz w:val="20"/>
          <w:szCs w:val="20"/>
        </w:rPr>
        <w:t>by the ETR (</w:t>
      </w:r>
      <w:r w:rsidRPr="00435469">
        <w:rPr>
          <w:rFonts w:eastAsia="Yu Gothic Light" w:cs="Times New Roman"/>
          <w:bCs/>
          <w:sz w:val="20"/>
          <w:szCs w:val="20"/>
        </w:rPr>
        <w:fldChar w:fldCharType="begin"/>
      </w:r>
      <w:r w:rsidRPr="00435469">
        <w:rPr>
          <w:rFonts w:eastAsia="Yu Gothic Light" w:cs="Times New Roman"/>
          <w:bCs/>
          <w:sz w:val="20"/>
          <w:szCs w:val="20"/>
        </w:rPr>
        <w:instrText xml:space="preserve"> REF _Ref89699437 \h </w:instrText>
      </w:r>
      <w:r w:rsidR="00F334C7" w:rsidRPr="00435469">
        <w:rPr>
          <w:rFonts w:eastAsia="Yu Gothic Light" w:cs="Times New Roman"/>
          <w:bCs/>
          <w:sz w:val="20"/>
          <w:szCs w:val="20"/>
        </w:rPr>
        <w:instrText xml:space="preserve"> \* MERGEFORMAT </w:instrText>
      </w:r>
      <w:r w:rsidRPr="00435469">
        <w:rPr>
          <w:rFonts w:eastAsia="Yu Gothic Light" w:cs="Times New Roman"/>
          <w:bCs/>
          <w:sz w:val="20"/>
          <w:szCs w:val="20"/>
        </w:rPr>
      </w:r>
      <w:r w:rsidRPr="00435469">
        <w:rPr>
          <w:rFonts w:eastAsia="Yu Gothic Light" w:cs="Times New Roman"/>
          <w:bCs/>
          <w:sz w:val="20"/>
          <w:szCs w:val="20"/>
        </w:rPr>
        <w:fldChar w:fldCharType="separate"/>
      </w:r>
      <w:r w:rsidR="00186C2F" w:rsidRPr="00435469">
        <w:rPr>
          <w:sz w:val="20"/>
          <w:szCs w:val="20"/>
        </w:rPr>
        <w:t xml:space="preserve">Table </w:t>
      </w:r>
      <w:r w:rsidR="00186C2F" w:rsidRPr="00435469">
        <w:rPr>
          <w:noProof/>
          <w:sz w:val="20"/>
          <w:szCs w:val="20"/>
        </w:rPr>
        <w:t>12</w:t>
      </w:r>
      <w:r w:rsidRPr="00435469">
        <w:rPr>
          <w:rFonts w:eastAsia="Yu Gothic Light" w:cs="Times New Roman"/>
          <w:bCs/>
          <w:sz w:val="20"/>
          <w:szCs w:val="20"/>
        </w:rPr>
        <w:fldChar w:fldCharType="end"/>
      </w:r>
      <w:r w:rsidRPr="00435469">
        <w:rPr>
          <w:rFonts w:eastAsia="Yu Gothic Light" w:cs="Times New Roman"/>
          <w:bCs/>
          <w:sz w:val="20"/>
          <w:szCs w:val="20"/>
        </w:rPr>
        <w:t xml:space="preserve">). The ETR outcomes are defined differently from our model, as in the ETR treatment success is defined as a combination of cure and completion of the treatment course, whereas we consider 'cure after treatment completion’ </w:t>
      </w:r>
      <w:proofErr w:type="gramStart"/>
      <w:r w:rsidRPr="00435469">
        <w:rPr>
          <w:rFonts w:eastAsia="Yu Gothic Light" w:cs="Times New Roman"/>
          <w:bCs/>
          <w:sz w:val="20"/>
          <w:szCs w:val="20"/>
        </w:rPr>
        <w:t>and also</w:t>
      </w:r>
      <w:proofErr w:type="gramEnd"/>
      <w:r w:rsidRPr="00435469">
        <w:rPr>
          <w:rFonts w:eastAsia="Yu Gothic Light" w:cs="Times New Roman"/>
          <w:bCs/>
          <w:sz w:val="20"/>
          <w:szCs w:val="20"/>
        </w:rPr>
        <w:t xml:space="preserve"> allow for cure in some patients who discontinue treatment.</w:t>
      </w:r>
      <w:r w:rsidR="00A463E4" w:rsidRPr="00435469">
        <w:rPr>
          <w:rFonts w:eastAsia="Yu Gothic Light" w:cs="Times New Roman"/>
          <w:bCs/>
          <w:sz w:val="20"/>
          <w:szCs w:val="20"/>
        </w:rPr>
        <w:t xml:space="preserve"> </w:t>
      </w:r>
      <w:r w:rsidR="001248B2" w:rsidRPr="00435469">
        <w:rPr>
          <w:rFonts w:eastAsia="Yu Gothic Light" w:cs="Times New Roman"/>
          <w:bCs/>
          <w:sz w:val="20"/>
          <w:szCs w:val="20"/>
        </w:rPr>
        <w:t xml:space="preserve">Based on the six-month treatment duration, we convert the percentages </w:t>
      </w:r>
      <w:r w:rsidR="000611E4" w:rsidRPr="00435469">
        <w:rPr>
          <w:rFonts w:eastAsia="Yu Gothic Light" w:cs="Times New Roman"/>
          <w:bCs/>
          <w:sz w:val="20"/>
          <w:szCs w:val="20"/>
        </w:rPr>
        <w:t>(</w:t>
      </w:r>
      <w:r w:rsidR="000611E4" w:rsidRPr="00435469">
        <w:rPr>
          <w:rFonts w:eastAsia="Yu Gothic Light" w:cs="Times New Roman"/>
          <w:bCs/>
          <w:sz w:val="20"/>
          <w:szCs w:val="20"/>
        </w:rPr>
        <w:fldChar w:fldCharType="begin"/>
      </w:r>
      <w:r w:rsidR="000611E4" w:rsidRPr="00435469">
        <w:rPr>
          <w:rFonts w:eastAsia="Yu Gothic Light" w:cs="Times New Roman"/>
          <w:bCs/>
          <w:sz w:val="20"/>
          <w:szCs w:val="20"/>
        </w:rPr>
        <w:instrText xml:space="preserve"> REF _Ref89699437 \h </w:instrText>
      </w:r>
      <w:r w:rsidR="00955FFB" w:rsidRPr="00435469">
        <w:rPr>
          <w:rFonts w:eastAsia="Yu Gothic Light" w:cs="Times New Roman"/>
          <w:bCs/>
          <w:sz w:val="20"/>
          <w:szCs w:val="20"/>
        </w:rPr>
        <w:instrText xml:space="preserve"> \* MERGEFORMAT </w:instrText>
      </w:r>
      <w:r w:rsidR="000611E4" w:rsidRPr="00435469">
        <w:rPr>
          <w:rFonts w:eastAsia="Yu Gothic Light" w:cs="Times New Roman"/>
          <w:bCs/>
          <w:sz w:val="20"/>
          <w:szCs w:val="20"/>
        </w:rPr>
      </w:r>
      <w:r w:rsidR="000611E4" w:rsidRPr="00435469">
        <w:rPr>
          <w:rFonts w:eastAsia="Yu Gothic Light" w:cs="Times New Roman"/>
          <w:bCs/>
          <w:sz w:val="20"/>
          <w:szCs w:val="20"/>
        </w:rPr>
        <w:fldChar w:fldCharType="separate"/>
      </w:r>
      <w:r w:rsidR="00186C2F" w:rsidRPr="00435469">
        <w:rPr>
          <w:sz w:val="20"/>
          <w:szCs w:val="20"/>
        </w:rPr>
        <w:t xml:space="preserve">Table </w:t>
      </w:r>
      <w:r w:rsidR="00186C2F" w:rsidRPr="00435469">
        <w:rPr>
          <w:noProof/>
          <w:sz w:val="20"/>
          <w:szCs w:val="20"/>
        </w:rPr>
        <w:t>12</w:t>
      </w:r>
      <w:r w:rsidR="000611E4" w:rsidRPr="00435469">
        <w:rPr>
          <w:rFonts w:eastAsia="Yu Gothic Light" w:cs="Times New Roman"/>
          <w:bCs/>
          <w:sz w:val="20"/>
          <w:szCs w:val="20"/>
        </w:rPr>
        <w:fldChar w:fldCharType="end"/>
      </w:r>
      <w:r w:rsidR="000611E4" w:rsidRPr="00435469">
        <w:rPr>
          <w:rFonts w:eastAsia="Yu Gothic Light" w:cs="Times New Roman"/>
          <w:bCs/>
          <w:sz w:val="20"/>
          <w:szCs w:val="20"/>
        </w:rPr>
        <w:t xml:space="preserve">) </w:t>
      </w:r>
      <w:r w:rsidR="001248B2" w:rsidRPr="00435469">
        <w:rPr>
          <w:rFonts w:eastAsia="Yu Gothic Light" w:cs="Times New Roman"/>
          <w:bCs/>
          <w:sz w:val="20"/>
          <w:szCs w:val="20"/>
        </w:rPr>
        <w:t>from the ETR into annual rates that correspond to model parameters</w:t>
      </w:r>
      <w:r w:rsidR="005F4979" w:rsidRPr="00435469">
        <w:rPr>
          <w:rFonts w:eastAsia="Yu Gothic Light" w:cs="Times New Roman"/>
          <w:bCs/>
          <w:sz w:val="20"/>
          <w:szCs w:val="20"/>
        </w:rPr>
        <w:t xml:space="preserve"> </w:t>
      </w:r>
      <w:r w:rsidR="000540AE" w:rsidRPr="00435469">
        <w:rPr>
          <w:rFonts w:eastAsia="Yu Gothic Light" w:cs="Times New Roman"/>
          <w:bCs/>
          <w:sz w:val="20"/>
          <w:szCs w:val="20"/>
        </w:rPr>
        <w:t>(</w:t>
      </w:r>
      <w:r w:rsidR="005F4979" w:rsidRPr="00435469">
        <w:rPr>
          <w:rFonts w:eastAsia="Yu Gothic Light" w:cs="Times New Roman"/>
          <w:bCs/>
          <w:sz w:val="20"/>
          <w:szCs w:val="20"/>
        </w:rPr>
        <w:fldChar w:fldCharType="begin"/>
      </w:r>
      <w:r w:rsidR="005F4979" w:rsidRPr="00435469">
        <w:rPr>
          <w:rFonts w:eastAsia="Yu Gothic Light" w:cs="Times New Roman"/>
          <w:bCs/>
          <w:sz w:val="20"/>
          <w:szCs w:val="20"/>
        </w:rPr>
        <w:instrText xml:space="preserve"> REF _Ref65667633 \h </w:instrText>
      </w:r>
      <w:r w:rsidR="000540AE" w:rsidRPr="00435469">
        <w:rPr>
          <w:rFonts w:eastAsia="Yu Gothic Light" w:cs="Times New Roman"/>
          <w:bCs/>
          <w:sz w:val="20"/>
          <w:szCs w:val="20"/>
        </w:rPr>
        <w:instrText xml:space="preserve"> \* MERGEFORMAT </w:instrText>
      </w:r>
      <w:r w:rsidR="005F4979" w:rsidRPr="00435469">
        <w:rPr>
          <w:rFonts w:eastAsia="Yu Gothic Light" w:cs="Times New Roman"/>
          <w:bCs/>
          <w:sz w:val="20"/>
          <w:szCs w:val="20"/>
        </w:rPr>
      </w:r>
      <w:r w:rsidR="005F4979" w:rsidRPr="00435469">
        <w:rPr>
          <w:rFonts w:eastAsia="Yu Gothic Light" w:cs="Times New Roman"/>
          <w:bCs/>
          <w:sz w:val="20"/>
          <w:szCs w:val="20"/>
        </w:rPr>
        <w:fldChar w:fldCharType="separate"/>
      </w:r>
      <w:r w:rsidR="00186C2F" w:rsidRPr="00435469">
        <w:rPr>
          <w:sz w:val="20"/>
          <w:szCs w:val="20"/>
        </w:rPr>
        <w:t xml:space="preserve">Table </w:t>
      </w:r>
      <w:r w:rsidR="00186C2F" w:rsidRPr="00435469">
        <w:rPr>
          <w:noProof/>
          <w:sz w:val="20"/>
          <w:szCs w:val="20"/>
        </w:rPr>
        <w:t>13</w:t>
      </w:r>
      <w:r w:rsidR="005F4979" w:rsidRPr="00435469">
        <w:rPr>
          <w:rFonts w:eastAsia="Yu Gothic Light" w:cs="Times New Roman"/>
          <w:bCs/>
          <w:sz w:val="20"/>
          <w:szCs w:val="20"/>
        </w:rPr>
        <w:fldChar w:fldCharType="end"/>
      </w:r>
      <w:bookmarkStart w:id="197" w:name="_Ref89599410"/>
      <w:r w:rsidR="000540AE" w:rsidRPr="00435469">
        <w:rPr>
          <w:rFonts w:eastAsia="Yu Gothic Light" w:cs="Times New Roman"/>
          <w:bCs/>
          <w:sz w:val="20"/>
          <w:szCs w:val="20"/>
        </w:rPr>
        <w:t>)</w:t>
      </w:r>
      <w:r w:rsidR="00793336" w:rsidRPr="00435469">
        <w:rPr>
          <w:rFonts w:eastAsia="Yu Gothic Light" w:cs="Times New Roman"/>
          <w:bCs/>
          <w:sz w:val="20"/>
          <w:szCs w:val="20"/>
        </w:rPr>
        <w:t>.</w:t>
      </w:r>
    </w:p>
    <w:p w14:paraId="279199E1" w14:textId="3D0D20A7" w:rsidR="00A463E4" w:rsidRPr="00435469" w:rsidRDefault="00A463E4" w:rsidP="00955FFB">
      <w:pPr>
        <w:spacing w:line="240" w:lineRule="auto"/>
        <w:rPr>
          <w:rFonts w:eastAsia="Yu Gothic Light" w:cs="Times New Roman"/>
          <w:bCs/>
          <w:sz w:val="20"/>
          <w:szCs w:val="20"/>
        </w:rPr>
      </w:pPr>
      <w:r w:rsidRPr="00435469">
        <w:rPr>
          <w:rFonts w:eastAsia="Yu Gothic Light" w:cs="Times New Roman"/>
          <w:bCs/>
          <w:sz w:val="20"/>
          <w:szCs w:val="20"/>
        </w:rPr>
        <w:t>Patients classified as cured in ETR (with bacteriological confirmation) would have completed the 6-months treatment course. For those classified as ‘completed treatment’, it is uncertain whether they have been cured. Using the ETR proportions, we estimate rates to represent transitions out of the 6-months treatment state. From the proportion of treatment success, we use the proportion of those cured (</w:t>
      </w:r>
      <m:oMath>
        <m:r>
          <w:rPr>
            <w:rFonts w:ascii="Cambria Math" w:eastAsia="Yu Gothic Light" w:hAnsi="Cambria Math" w:cs="Times New Roman"/>
            <w:sz w:val="20"/>
            <w:szCs w:val="20"/>
          </w:rPr>
          <m:t>c</m:t>
        </m:r>
      </m:oMath>
      <w:r w:rsidRPr="00435469">
        <w:rPr>
          <w:rFonts w:eastAsia="Yu Gothic Light" w:cs="Times New Roman"/>
          <w:bCs/>
          <w:sz w:val="20"/>
          <w:szCs w:val="20"/>
        </w:rPr>
        <w:t>) to estimate a cure rate (</w:t>
      </w:r>
      <m:oMath>
        <m:r>
          <w:rPr>
            <w:rFonts w:ascii="Cambria Math" w:eastAsia="Yu Gothic Light" w:hAnsi="Cambria Math" w:cs="Times New Roman"/>
            <w:sz w:val="20"/>
            <w:szCs w:val="20"/>
          </w:rPr>
          <m:t>κ</m:t>
        </m:r>
      </m:oMath>
      <w:r w:rsidRPr="00435469">
        <w:rPr>
          <w:rFonts w:eastAsia="Yu Gothic Light" w:cs="Times New Roman"/>
          <w:sz w:val="20"/>
          <w:szCs w:val="20"/>
        </w:rPr>
        <w:t>)</w:t>
      </w:r>
      <w:r w:rsidRPr="00435469">
        <w:rPr>
          <w:rFonts w:eastAsia="Yu Gothic Light" w:cs="Times New Roman"/>
          <w:bCs/>
          <w:sz w:val="20"/>
          <w:szCs w:val="20"/>
        </w:rPr>
        <w:t xml:space="preserve">. This </w:t>
      </w:r>
      <m:oMath>
        <m:r>
          <w:rPr>
            <w:rFonts w:ascii="Cambria Math" w:eastAsia="Yu Gothic Light" w:hAnsi="Cambria Math" w:cs="Times New Roman"/>
            <w:sz w:val="20"/>
            <w:szCs w:val="20"/>
          </w:rPr>
          <m:t>κ</m:t>
        </m:r>
      </m:oMath>
      <w:r w:rsidRPr="00435469">
        <w:rPr>
          <w:rFonts w:eastAsia="Yu Gothic Light" w:cs="Times New Roman"/>
          <w:sz w:val="20"/>
          <w:szCs w:val="20"/>
        </w:rPr>
        <w:t xml:space="preserve"> represents a transition to the recovered state after 6-months of treatment. Following treatment failure (</w:t>
      </w:r>
      <m:oMath>
        <m:r>
          <w:rPr>
            <w:rFonts w:ascii="Cambria Math" w:hAnsi="Cambria Math" w:cs="Times New Roman"/>
            <w:sz w:val="20"/>
            <w:szCs w:val="20"/>
            <w:bdr w:val="none" w:sz="0" w:space="0" w:color="auto" w:frame="1"/>
          </w:rPr>
          <m:t>γ</m:t>
        </m:r>
      </m:oMath>
      <w:r w:rsidRPr="00435469">
        <w:rPr>
          <w:rFonts w:eastAsia="Yu Gothic Light" w:cs="Times New Roman"/>
          <w:sz w:val="20"/>
          <w:szCs w:val="20"/>
        </w:rPr>
        <w:t xml:space="preserve">), individuals are assumed to move back to active TB states, assuming the same distribution of smear status as </w:t>
      </w:r>
      <w:r w:rsidR="000A6EE3" w:rsidRPr="00435469">
        <w:rPr>
          <w:rFonts w:eastAsia="Yu Gothic Light" w:cs="Times New Roman"/>
          <w:sz w:val="20"/>
          <w:szCs w:val="20"/>
        </w:rPr>
        <w:t>for new</w:t>
      </w:r>
      <w:r w:rsidRPr="00435469">
        <w:rPr>
          <w:rFonts w:eastAsia="Yu Gothic Light" w:cs="Times New Roman"/>
          <w:sz w:val="20"/>
          <w:szCs w:val="20"/>
        </w:rPr>
        <w:t xml:space="preserve"> active TB cases. </w:t>
      </w:r>
    </w:p>
    <w:p w14:paraId="2476EDEB" w14:textId="707EBEBD" w:rsidR="00793336" w:rsidRPr="00435469" w:rsidRDefault="00A463E4" w:rsidP="00955FFB">
      <w:pPr>
        <w:spacing w:line="240" w:lineRule="auto"/>
        <w:rPr>
          <w:rFonts w:eastAsia="Yu Gothic Light" w:cs="Times New Roman"/>
          <w:sz w:val="20"/>
          <w:szCs w:val="20"/>
        </w:rPr>
      </w:pPr>
      <w:r w:rsidRPr="00435469">
        <w:rPr>
          <w:rFonts w:eastAsia="Yu Gothic Light" w:cs="Times New Roman"/>
          <w:sz w:val="20"/>
          <w:szCs w:val="20"/>
        </w:rPr>
        <w:t xml:space="preserve">Among those who experience treatment discontinuation, at annual rate </w:t>
      </w:r>
      <m:oMath>
        <m:r>
          <w:rPr>
            <w:rFonts w:ascii="Cambria Math" w:hAnsi="Cambria Math"/>
            <w:sz w:val="20"/>
            <w:szCs w:val="20"/>
          </w:rPr>
          <m:t>δ</m:t>
        </m:r>
      </m:oMath>
      <w:r w:rsidRPr="00435469">
        <w:rPr>
          <w:rFonts w:eastAsia="Yu Gothic Light" w:cs="Times New Roman"/>
          <w:sz w:val="20"/>
          <w:szCs w:val="20"/>
        </w:rPr>
        <w:t>, we assume a proportion (</w:t>
      </w:r>
      <m:oMath>
        <m:r>
          <w:rPr>
            <w:rFonts w:ascii="Cambria Math" w:eastAsia="Yu Gothic Light" w:hAnsi="Cambria Math" w:cs="Times New Roman"/>
            <w:sz w:val="20"/>
            <w:szCs w:val="20"/>
          </w:rPr>
          <m:t>1-ϕ)</m:t>
        </m:r>
      </m:oMath>
      <w:r w:rsidRPr="00435469">
        <w:rPr>
          <w:rFonts w:eastAsia="Yu Gothic Light" w:cs="Times New Roman"/>
          <w:sz w:val="20"/>
          <w:szCs w:val="20"/>
        </w:rPr>
        <w:t xml:space="preserve"> will move back to the active TB states and that </w:t>
      </w:r>
      <m:oMath>
        <m:r>
          <w:rPr>
            <w:rFonts w:ascii="Cambria Math" w:eastAsia="Yu Gothic Light" w:hAnsi="Cambria Math" w:cs="Times New Roman"/>
            <w:sz w:val="20"/>
            <w:szCs w:val="20"/>
          </w:rPr>
          <m:t>ϕ</m:t>
        </m:r>
      </m:oMath>
      <w:r w:rsidRPr="00435469">
        <w:rPr>
          <w:rFonts w:eastAsia="Yu Gothic Light" w:cs="Times New Roman"/>
          <w:sz w:val="20"/>
          <w:szCs w:val="20"/>
        </w:rPr>
        <w:t xml:space="preserve"> move to the recently treated recovered state (post-treatment short term). </w:t>
      </w:r>
      <w:r w:rsidR="000A6EE3" w:rsidRPr="00435469">
        <w:rPr>
          <w:rFonts w:eastAsia="Yu Gothic Light" w:cs="Times New Roman"/>
          <w:sz w:val="20"/>
          <w:szCs w:val="20"/>
        </w:rPr>
        <w:t xml:space="preserve">Here </w:t>
      </w:r>
      <m:oMath>
        <m:r>
          <w:rPr>
            <w:rFonts w:ascii="Cambria Math" w:eastAsia="Yu Gothic Light" w:hAnsi="Cambria Math" w:cs="Times New Roman"/>
            <w:sz w:val="20"/>
            <w:szCs w:val="20"/>
          </w:rPr>
          <m:t>ϕ</m:t>
        </m:r>
      </m:oMath>
      <w:r w:rsidRPr="00435469">
        <w:rPr>
          <w:rFonts w:eastAsia="Yu Gothic Light" w:cs="Times New Roman"/>
          <w:sz w:val="20"/>
          <w:szCs w:val="20"/>
        </w:rPr>
        <w:t xml:space="preserve"> represents the efficacy of partial/incomplete treatment, and we set this based on previous studies. Based on what was observed in a retrospective cohort study assessing treatment outcomes </w:t>
      </w:r>
      <w:r w:rsidRPr="00435469">
        <w:rPr>
          <w:rFonts w:eastAsia="Yu Gothic Light" w:cs="Times New Roman"/>
          <w:sz w:val="20"/>
          <w:szCs w:val="20"/>
        </w:rPr>
        <w:fldChar w:fldCharType="begin" w:fldLock="1"/>
      </w:r>
      <w:r w:rsidR="00A142FF" w:rsidRPr="00435469">
        <w:rPr>
          <w:rFonts w:eastAsia="Yu Gothic Light" w:cs="Times New Roman"/>
          <w:sz w:val="20"/>
          <w:szCs w:val="20"/>
        </w:rPr>
        <w:instrText>ADDIN CSL_CITATION {"citationItems":[{"id":"ITEM-1","itemData":{"DOI":"10.1371/journal.pone.0045724","ISSN":"19326203","PMID":"23049846","abstract":"Rationale: High rates of recurrent tuberculosis after successful treatment have been reported from different high burden settings in Sub-Saharan Africa. However, little is known about the rate of smear-positive tuberculosis after treatment default. In particular, it is not known whether or not treatment defaulters continue to be or become again smear-positive and thus pose a potential for transmission of infection to others. Objective: To investigate, in a high tuberculosis burden setting, the rate of re-treatment for smear-positive tuberculosis among cases defaulting from standardized treatment compared to successfully treated cases. Methods: Retrospective cohort study among smear-positive tuberculosis cases treated between 1996 and 2008 in two urban communities in Cape Town, South Africa. Episodes of re-treatment for smear-positive tuberculosis were ascertained via probabilistic record linkage. Survival analysis and Poisson regression were used to compare the rate of smear-positive tuberculosis after treatment default to that after successful treatment. Results: A total of 2,136 smear-positive tuberculosis cases were included in the study. After treatment default, the rate of re-treatment for smear-positive tuberculosis was 6.86 (95% confidence interval [CI]: 5.59-8.41) per 100 person-years compared to 2.09 (95% CI: 1.81-2.41) after cure (adjusted Hazard Ratio [aHR]: 3.97; 95% CI: 3.00-5.26). Among defaulters, the rate was inversely associated with treatment duration and sputum conversion prior to defaulting. Smear grade at start of the index treatment episode (Smear3+: aHR 1.61; 95%CI 1.11-2.33) was independently associated with smear-positive tuberculosis re-treatment, regardless of treatment outcome. Conclusions: In this high-burden setting, there is a high rate of subsequent smear-positive tuberculosis after treatment default. Treatment defaulters are therefore likely to contribute to the pool of infectious source cases in the community. Our findings underscore the importance of preventing treatment default, as a means of successful tuberculosis control in high-burden settings. © 2012 Marx et al.","author":[{"dropping-particle":"","family":"Marx","given":"Florian M.","non-dropping-particle":"","parse-names":false,"suffix":""},{"dropping-particle":"","family":"Dunbar","given":"Rory","non-dropping-particle":"","parse-names":false,"suffix":""},{"dropping-particle":"","family":"Enarson","given":"Donald A.","non-dropping-particle":"","parse-names":false,"suffix":""},{"dropping-particle":"","family":"Beyers","given":"Nulda","non-dropping-particle":"","parse-names":false,"suffix":""}],"container-title":"PLoS ONE","id":"ITEM-1","issue":"9","issued":{"date-parts":[["2012"]]},"page":"1-9","title":"The Rate of Sputum Smear-Positive Tuberculosis after Treatment Default in a High-Burden Setting: A Retrospective Cohort Study","type":"article-journal","volume":"7"},"uris":["http://www.mendeley.com/documents/?uuid=d7088ff5-c41d-4176-a205-be8cd02db8fc"]}],"mendeley":{"formattedCitation":"(80)","plainTextFormattedCitation":"(80)","previouslyFormattedCitation":"(80)"},"properties":{"noteIndex":0},"schema":"https://github.com/citation-style-language/schema/raw/master/csl-citation.json"}</w:instrText>
      </w:r>
      <w:r w:rsidRPr="00435469">
        <w:rPr>
          <w:rFonts w:eastAsia="Yu Gothic Light" w:cs="Times New Roman"/>
          <w:sz w:val="20"/>
          <w:szCs w:val="20"/>
        </w:rPr>
        <w:fldChar w:fldCharType="separate"/>
      </w:r>
      <w:r w:rsidR="0016391D" w:rsidRPr="00435469">
        <w:rPr>
          <w:rFonts w:eastAsia="Yu Gothic Light" w:cs="Times New Roman"/>
          <w:noProof/>
          <w:sz w:val="20"/>
          <w:szCs w:val="20"/>
        </w:rPr>
        <w:t>(80)</w:t>
      </w:r>
      <w:r w:rsidRPr="00435469">
        <w:rPr>
          <w:rFonts w:eastAsia="Yu Gothic Light" w:cs="Times New Roman"/>
          <w:sz w:val="20"/>
          <w:szCs w:val="20"/>
        </w:rPr>
        <w:fldChar w:fldCharType="end"/>
      </w:r>
      <w:r w:rsidRPr="00435469">
        <w:rPr>
          <w:rFonts w:eastAsia="Yu Gothic Light" w:cs="Times New Roman"/>
          <w:sz w:val="20"/>
          <w:szCs w:val="20"/>
        </w:rPr>
        <w:t xml:space="preserve">, among those </w:t>
      </w:r>
      <w:r w:rsidRPr="00435469">
        <w:rPr>
          <w:rFonts w:eastAsia="Yu Gothic Light" w:cs="Times New Roman"/>
          <w:sz w:val="20"/>
          <w:szCs w:val="20"/>
        </w:rPr>
        <w:lastRenderedPageBreak/>
        <w:t>who defaulted during TB treatment, ~35% develop</w:t>
      </w:r>
      <w:r w:rsidR="000A6EE3" w:rsidRPr="00435469">
        <w:rPr>
          <w:rFonts w:eastAsia="Yu Gothic Light" w:cs="Times New Roman"/>
          <w:sz w:val="20"/>
          <w:szCs w:val="20"/>
        </w:rPr>
        <w:t>ed</w:t>
      </w:r>
      <w:r w:rsidRPr="00435469">
        <w:rPr>
          <w:rFonts w:eastAsia="Yu Gothic Light" w:cs="Times New Roman"/>
          <w:sz w:val="20"/>
          <w:szCs w:val="20"/>
        </w:rPr>
        <w:t xml:space="preserve"> TB disease within two years. </w:t>
      </w:r>
      <w:r w:rsidR="0030460F" w:rsidRPr="00435469">
        <w:rPr>
          <w:rFonts w:eastAsia="Yu Gothic Light" w:cs="Times New Roman"/>
          <w:sz w:val="20"/>
          <w:szCs w:val="20"/>
        </w:rPr>
        <w:t>U</w:t>
      </w:r>
      <w:r w:rsidRPr="00435469">
        <w:rPr>
          <w:rFonts w:eastAsia="Yu Gothic Light" w:cs="Times New Roman"/>
          <w:sz w:val="20"/>
          <w:szCs w:val="20"/>
        </w:rPr>
        <w:t>sing these results, we assume that of those</w:t>
      </w:r>
      <w:r w:rsidR="006E7016" w:rsidRPr="00435469">
        <w:rPr>
          <w:rFonts w:eastAsia="Yu Gothic Light" w:cs="Times New Roman"/>
          <w:sz w:val="20"/>
          <w:szCs w:val="20"/>
        </w:rPr>
        <w:t xml:space="preserve"> who</w:t>
      </w:r>
      <w:r w:rsidRPr="00435469">
        <w:rPr>
          <w:rFonts w:eastAsia="Yu Gothic Light" w:cs="Times New Roman"/>
          <w:sz w:val="20"/>
          <w:szCs w:val="20"/>
        </w:rPr>
        <w:t xml:space="preserve"> discontinue TB treatment, 65% would be cured and move to the recovered state </w:t>
      </w:r>
      <w:r w:rsidRPr="00435469">
        <w:rPr>
          <w:rFonts w:eastAsia="Yu Gothic Light" w:cs="Times New Roman"/>
          <w:sz w:val="20"/>
          <w:szCs w:val="20"/>
        </w:rPr>
        <w:fldChar w:fldCharType="begin" w:fldLock="1"/>
      </w:r>
      <w:r w:rsidR="00A142FF" w:rsidRPr="00435469">
        <w:rPr>
          <w:rFonts w:eastAsia="Yu Gothic Light" w:cs="Times New Roman"/>
          <w:sz w:val="20"/>
          <w:szCs w:val="20"/>
        </w:rPr>
        <w:instrText>ADDIN CSL_CITATION {"citationItems":[{"id":"ITEM-1","itemData":{"DOI":"10.1371/journal.pone.0045724","ISSN":"19326203","PMID":"23049846","abstract":"Rationale: High rates of recurrent tuberculosis after successful treatment have been reported from different high burden settings in Sub-Saharan Africa. However, little is known about the rate of smear-positive tuberculosis after treatment default. In particular, it is not known whether or not treatment defaulters continue to be or become again smear-positive and thus pose a potential for transmission of infection to others. Objective: To investigate, in a high tuberculosis burden setting, the rate of re-treatment for smear-positive tuberculosis among cases defaulting from standardized treatment compared to successfully treated cases. Methods: Retrospective cohort study among smear-positive tuberculosis cases treated between 1996 and 2008 in two urban communities in Cape Town, South Africa. Episodes of re-treatment for smear-positive tuberculosis were ascertained via probabilistic record linkage. Survival analysis and Poisson regression were used to compare the rate of smear-positive tuberculosis after treatment default to that after successful treatment. Results: A total of 2,136 smear-positive tuberculosis cases were included in the study. After treatment default, the rate of re-treatment for smear-positive tuberculosis was 6.86 (95% confidence interval [CI]: 5.59-8.41) per 100 person-years compared to 2.09 (95% CI: 1.81-2.41) after cure (adjusted Hazard Ratio [aHR]: 3.97; 95% CI: 3.00-5.26). Among defaulters, the rate was inversely associated with treatment duration and sputum conversion prior to defaulting. Smear grade at start of the index treatment episode (Smear3+: aHR 1.61; 95%CI 1.11-2.33) was independently associated with smear-positive tuberculosis re-treatment, regardless of treatment outcome. Conclusions: In this high-burden setting, there is a high rate of subsequent smear-positive tuberculosis after treatment default. Treatment defaulters are therefore likely to contribute to the pool of infectious source cases in the community. Our findings underscore the importance of preventing treatment default, as a means of successful tuberculosis control in high-burden settings. © 2012 Marx et al.","author":[{"dropping-particle":"","family":"Marx","given":"Florian M.","non-dropping-particle":"","parse-names":false,"suffix":""},{"dropping-particle":"","family":"Dunbar","given":"Rory","non-dropping-particle":"","parse-names":false,"suffix":""},{"dropping-particle":"","family":"Enarson","given":"Donald A.","non-dropping-particle":"","parse-names":false,"suffix":""},{"dropping-particle":"","family":"Beyers","given":"Nulda","non-dropping-particle":"","parse-names":false,"suffix":""}],"container-title":"PLoS ONE","id":"ITEM-1","issue":"9","issued":{"date-parts":[["2012"]]},"page":"1-9","title":"The Rate of Sputum Smear-Positive Tuberculosis after Treatment Default in a High-Burden Setting: A Retrospective Cohort Study","type":"article-journal","volume":"7"},"uris":["http://www.mendeley.com/documents/?uuid=d7088ff5-c41d-4176-a205-be8cd02db8fc"]}],"mendeley":{"formattedCitation":"(80)","plainTextFormattedCitation":"(80)","previouslyFormattedCitation":"(80)"},"properties":{"noteIndex":0},"schema":"https://github.com/citation-style-language/schema/raw/master/csl-citation.json"}</w:instrText>
      </w:r>
      <w:r w:rsidRPr="00435469">
        <w:rPr>
          <w:rFonts w:eastAsia="Yu Gothic Light" w:cs="Times New Roman"/>
          <w:sz w:val="20"/>
          <w:szCs w:val="20"/>
        </w:rPr>
        <w:fldChar w:fldCharType="separate"/>
      </w:r>
      <w:r w:rsidR="0016391D" w:rsidRPr="00435469">
        <w:rPr>
          <w:rFonts w:eastAsia="Yu Gothic Light" w:cs="Times New Roman"/>
          <w:noProof/>
          <w:sz w:val="20"/>
          <w:szCs w:val="20"/>
        </w:rPr>
        <w:t>(80)</w:t>
      </w:r>
      <w:r w:rsidRPr="00435469">
        <w:rPr>
          <w:rFonts w:eastAsia="Yu Gothic Light" w:cs="Times New Roman"/>
          <w:sz w:val="20"/>
          <w:szCs w:val="20"/>
        </w:rPr>
        <w:fldChar w:fldCharType="end"/>
      </w:r>
      <w:r w:rsidRPr="00435469">
        <w:rPr>
          <w:rFonts w:eastAsia="Yu Gothic Light" w:cs="Times New Roman"/>
          <w:sz w:val="20"/>
          <w:szCs w:val="20"/>
        </w:rPr>
        <w:t xml:space="preserve">. </w:t>
      </w:r>
    </w:p>
    <w:p w14:paraId="3DC34CA3" w14:textId="3173E994" w:rsidR="00263E38" w:rsidRPr="00435469" w:rsidRDefault="00A463E4" w:rsidP="00955FFB">
      <w:pPr>
        <w:pStyle w:val="1Para"/>
        <w:spacing w:line="240" w:lineRule="auto"/>
        <w:ind w:firstLine="0"/>
        <w:rPr>
          <w:rFonts w:cs="Times New Roman"/>
          <w:strike/>
          <w:sz w:val="20"/>
          <w:szCs w:val="20"/>
        </w:rPr>
      </w:pPr>
      <w:r w:rsidRPr="00435469">
        <w:rPr>
          <w:rFonts w:eastAsia="Yu Gothic Light" w:cs="Times New Roman"/>
          <w:sz w:val="20"/>
          <w:szCs w:val="20"/>
        </w:rPr>
        <w:t xml:space="preserve">Lastly, patients on treatment die at a rate of </w:t>
      </w:r>
      <m:oMath>
        <m:r>
          <w:rPr>
            <w:rFonts w:ascii="Cambria Math" w:hAnsi="Cambria Math"/>
            <w:sz w:val="20"/>
            <w:szCs w:val="20"/>
          </w:rPr>
          <m:t>μ.</m:t>
        </m:r>
      </m:oMath>
      <w:r w:rsidRPr="00435469">
        <w:rPr>
          <w:rFonts w:eastAsia="Yu Gothic Light" w:cs="Times New Roman"/>
          <w:sz w:val="20"/>
          <w:szCs w:val="20"/>
        </w:rPr>
        <w:t xml:space="preserve"> </w:t>
      </w:r>
      <w:r w:rsidRPr="00435469">
        <w:rPr>
          <w:rFonts w:eastAsia="Yu Gothic Light" w:cs="Times New Roman"/>
          <w:bCs/>
          <w:sz w:val="20"/>
          <w:szCs w:val="20"/>
        </w:rPr>
        <w:t xml:space="preserve">One of the problems with TB deaths on treatment is under-reporting which is usually due to deaths being classified as treatment </w:t>
      </w:r>
      <w:r w:rsidRPr="00435469">
        <w:rPr>
          <w:rFonts w:eastAsia="Yu Gothic Light" w:cs="Times New Roman"/>
          <w:sz w:val="20"/>
          <w:szCs w:val="20"/>
        </w:rPr>
        <w:t>discontinuation</w:t>
      </w:r>
      <w:r w:rsidRPr="00435469">
        <w:rPr>
          <w:rFonts w:eastAsia="Yu Gothic Light" w:cs="Times New Roman"/>
          <w:bCs/>
          <w:sz w:val="20"/>
          <w:szCs w:val="20"/>
        </w:rPr>
        <w:t xml:space="preserve"> (a loss to follow-up/default)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{"citationItems":[{"id":"ITEM-1","itemData":{"ISSN":"10273719","abstract":"SETTING: Chris Hani Baragwanath Hospital, in Johannesburg. South Africa is experiencing a serious epidemic of tuberculosis (TB), with a measured rate of 500 cases per 100 000 population. Patients in public hospitals are referred for treatment to district clinics or to specific TB hospitals. OBJECTIVES: To measure numbers of patients diagnosed with TB, and to describe the type of disease and referral outcomes. METHODS: A descriptive study of patients diagnosed with TB in a tertiary hospital. Data in patient files were collected for medical and paediatric patients, and patients were interviewed by researchers who visited clinics to check if referred patients had attended. RESULTS: In the 8-week study period, 1291 patients were diagnosed with TB: 74% had pulmonary disease and 80% of those tested for HIV were positive; 19% died in hospital, and 21% required transfer to a TB hospital. Only half of the patients referred to clinics attended within 2 weeks. CONCLUSIONS: Patients with advanced TB are commonly seen at this hospital. Notifications were an inadequate record and an unacceptable proportion of patients were lost between hospital and clinics. This study has recommended that opportunities for education and discussion must be provided if patients are to reach clinics successfully. © 2005 The Union.","author":[{"dropping-particle":"","family":"Edginton","given":"M. E.","non-dropping-particle":"","parse-names":false,"suffix":""},{"dropping-particle":"","family":"Wong","given":"M. L.","non-dropping-particle":"","parse-names":false,"suffix":""},{"dropping-particle":"","family":"Phofa","given":"R.","non-dropping-particle":"","parse-names":false,"suffix":""},{"dropping-particle":"","family":"Mahlaba","given":"D.","non-dropping-particle":"","parse-names":false,"suffix":""},{"dropping-particle":"","family":"Hodkinson","given":"H. J.","non-dropping-particle":"","parse-names":false,"suffix":""}],"container-title":"International Journal of Tuberculosis and Lung Disease","id":"ITEM-1","issue":"4","issued":{"date-parts":[["2005"]]},"page":"398-402","title":"Tuberculosis at Chris Hani Baragwanath Hospital: Numbers of patients diagnosed and outcomes of referrals to district clinics","type":"article-journal","volume":"9"},"uris":["http://www.mendeley.com/documents/?uuid=91510753-c220-4ce8-8c9b-59db1d51a601"]}],"mendeley":{"formattedCitation":"(81)","plainTextFormattedCitation":"(81)","previouslyFormattedCitation":"(81)"},"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(81)</w:t>
      </w:r>
      <w:r w:rsidRPr="00435469">
        <w:rPr>
          <w:rFonts w:cs="Times New Roman"/>
          <w:sz w:val="20"/>
          <w:szCs w:val="20"/>
        </w:rPr>
        <w:fldChar w:fldCharType="end"/>
      </w:r>
      <w:r w:rsidRPr="00435469">
        <w:rPr>
          <w:rFonts w:eastAsia="Yu Gothic Light" w:cs="Times New Roman"/>
          <w:bCs/>
          <w:sz w:val="20"/>
          <w:szCs w:val="20"/>
        </w:rPr>
        <w:t xml:space="preserve">.  </w:t>
      </w:r>
      <w:r w:rsidRPr="00435469">
        <w:rPr>
          <w:rFonts w:cs="Times New Roman"/>
          <w:sz w:val="20"/>
          <w:szCs w:val="20"/>
        </w:rPr>
        <w:t xml:space="preserve">In the context of HIV and ART, under-ascertainment of deaths in HIV-infected individuals due to loss to follow-up has been corrected using factors ranging between 1.64 and 2.19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{"citationItems":[{"id":"ITEM-1","itemData":{"DOI":"10.1097/QAD.0000000000001321","ISBN":"0000000000","ISSN":"14735571","PMID":"28296798","abstract":"Objective: To estimate mortality in HIV-positive patients starting combination antiretroviral therapy (ART) and to discuss different approaches to calculating correction factors to account for loss to follow-up. Methods: A total of 222 096 adult HIV-positive patients who started ART 2009-2014 in clinics participating in the International epidemiology Databases to Evaluate AIDS collaboration in 43 countries in sub-Saharan Africa, Asia Pacific, Latin America, and North America were included. To allow for underascertainment of deaths due to loss to follow-up, two correction factors (one for the period 0-6 months on ART and one for later periods) or 168 correction factors (combinations of two sexes, three time periods after ART initiation, four age groups, and seven CD4 + groups) based on tracing patients lost in Kenya and data linkages in South Africa were applied. Corrected mortality rates were compared with a worst case scenario assuming all patients lost to follow-up had died. Results: Loss to follow-up differed between regions; rates were lowest in central Africa and highest in east Africa. Compared with using two correction factors (1.64 for the initial ART period and 2.19 for later), applying 168 correction factors (range 1.03-4.75) more often resulted in implausible mortality rates that exceeded the worst case scenario. Corrected mortality rates varied widely, ranging from 0.2 per 100 person-years to 54 per 100 person-years depending on region and covariates. Conclusion: Implausible rates were less common with the simpler approach based on two correction factors. The corrected mortality rates will be useful to international agencies, national programmes, and modellers.","author":[{"dropping-particle":"","family":"Anderegg","given":"Nanina","non-dropping-particle":"","parse-names":false,"suffix":""},{"dropping-particle":"","family":"Johnson","given":"Leigh F.","non-dropping-particle":"","parse-names":false,"suffix":""},{"dropping-particle":"","family":"Zaniewski","given":"Elizabeth","non-dropping-particle":"","parse-names":false,"suffix":""},{"dropping-particle":"","family":"Althoff","given":"Keri N.","non-dropping-particle":"","parse-names":false,"suffix":""},{"dropping-particle":"","family":"Balestre","given":"Eric","non-dropping-particle":"","parse-names":false,"suffix":""},{"dropping-particle":"","family":"Law","given":"Matthew","non-dropping-particle":"","parse-names":false,"suffix":""},{"dropping-particle":"","family":"Nash","given":"Denis","non-dropping-particle":"","parse-names":false,"suffix":""},{"dropping-particle":"","family":"Shepherd","given":"Bryan E.","non-dropping-particle":"","parse-names":false,"suffix":""},{"dropping-particle":"","family":"Yiannoutsos","given":"Constantin T.","non-dropping-particle":"","parse-names":false,"suffix":""},{"dropping-particle":"","family":"Egger","given":"Matthias","non-dropping-particle":"","parse-names":false,"suffix":""}],"container-title":"Aids","id":"ITEM-1","issued":{"date-parts":[["2017"]]},"page":"S31-S40","title":"All-cause mortality in HIV-positive adults starting combination antiretroviral therapy: Correcting for loss to follow-up","type":"article-journal","volume":"31"},"uris":["http://www.mendeley.com/documents/?uuid=4a079dd4-8214-4361-9482-f71fd4c26af9"]}],"mendeley":{"formattedCitation":"(82)","plainTextFormattedCitation":"(82)","previouslyFormattedCitation":"(82)"},"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(82)</w:t>
      </w:r>
      <w:r w:rsidRPr="00435469">
        <w:rPr>
          <w:rFonts w:cs="Times New Roman"/>
          <w:sz w:val="20"/>
          <w:szCs w:val="20"/>
        </w:rPr>
        <w:fldChar w:fldCharType="end"/>
      </w:r>
      <w:r w:rsidRPr="00435469">
        <w:rPr>
          <w:rFonts w:cs="Times New Roman"/>
          <w:sz w:val="20"/>
          <w:szCs w:val="20"/>
        </w:rPr>
        <w:t xml:space="preserve">. In South Africa, it has been shown that only 35% (95% CI 34.2 - 35.8%) of ART patient deaths recorded in the vital registration system were also captured in patient records at health facilities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{"citationItems":[{"id":"ITEM-1","itemData":{"DOI":"10.7448/IAS.18.1.20628","ISSN":"17582652","PMID":"26685125","abstract":"Introduction: There is uncertainty regarding the completeness of death recording by civil registration and by health centres in South Africa. This paper aims to compare death recording by the two systems, in cohorts of South African patients receiving antiretroviral treatment (ART). Methods: Completeness of death recording was estimated using a capture-recapture approach. Six ART programmes linked their patient record systems to the vital registration system using civil identity document (ID) numbers and provided data comparing the outcomes recorded in patient files and in the vital registration. Patients were excluded if they had missing/invalid IDs or had transferred to other ART programmes. Results: After exclusions, 91,548 patient records were included. Of deaths recorded in patients files after 2003, 94.0% (95% CI: 93.3-94.6%) were recorded by civil registration, with completeness being significantly higher in urban areas, older adults and females. Of deaths recorded by civil registration after 2003, only 35.0% (95% CI: 34.2-35.8%) were recorded in patient files, with this proportion dropping from 60% in 2004-2005 to 30% in 2010 and subsequent years. Recording of deaths in patient files was significantly higher in children and in locations within 50 km of the health centre. When the information from the two systems was combined, an estimated 96.2% of all deaths were recorded (93.5% in children and 96.2% in adults). Conclusions: South Africa's civil registration system has achieved a high level of completeness in the recording of mortality. However, the fraction of deaths recorded by health centres is low and information from patient records is insufficient by itself to evaluate levels and predictors of ART patient mortality. Previously documented improvements in ART mortality over time may be biased if based only on data from patient records.","author":[{"dropping-particle":"","family":"Johnson","given":"Leigh F.","non-dropping-particle":"","parse-names":false,"suffix":""},{"dropping-particle":"","family":"Dorrington","given":"Rob E.","non-dropping-particle":"","parse-names":false,"suffix":""},{"dropping-particle":"","family":"Laubscher","given":"Ria","non-dropping-particle":"","parse-names":false,"suffix":""},{"dropping-particle":"","family":"Hoffmann","given":"Christopher J.","non-dropping-particle":"","parse-names":false,"suffix":""},{"dropping-particle":"","family":"Wood","given":"Robin","non-dropping-particle":"","parse-names":false,"suffix":""},{"dropping-particle":"","family":"Fox","given":"Matthew P.","non-dropping-particle":"","parse-names":false,"suffix":""},{"dropping-particle":"","family":"Cornell","given":"Morna","non-dropping-particle":"","parse-names":false,"suffix":""},{"dropping-particle":"","family":"Schomaker","given":"Michael","non-dropping-particle":"","parse-names":false,"suffix":""},{"dropping-particle":"","family":"Prozesky","given":"Hans","non-dropping-particle":"","parse-names":false,"suffix":""},{"dropping-particle":"","family":"Tanser","given":"Frank","non-dropping-particle":"","parse-names":false,"suffix":""},{"dropping-particle":"","family":"Davies","given":"Mary Ann","non-dropping-particle":"","parse-names":false,"suffix":""},{"dropping-particle":"","family":"Boulle","given":"Andrew","non-dropping-particle":"","parse-names":false,"suffix":""}],"container-title":"Journal of the International AIDS Society","id":"ITEM-1","issue":"1","issued":{"date-parts":[["2015"]]},"page":"1-7","title":"A comparison of death recording by health centres and civil registration in South Africans receiving antiretroviral treatment","type":"article-journal","volume":"18"},"uris":["http://www.mendeley.com/documents/?uuid=a8b38e82-12b4-4a0f-983a-8d587fde6b21"]}],"mendeley":{"formattedCitation":"(83)","plainTextFormattedCitation":"(83)","previouslyFormattedCitation":"(83)"},"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(83)</w:t>
      </w:r>
      <w:r w:rsidRPr="00435469">
        <w:rPr>
          <w:rFonts w:cs="Times New Roman"/>
          <w:sz w:val="20"/>
          <w:szCs w:val="20"/>
        </w:rPr>
        <w:fldChar w:fldCharType="end"/>
      </w:r>
      <w:r w:rsidR="00D01BB6" w:rsidRPr="00435469">
        <w:rPr>
          <w:rFonts w:cs="Times New Roman"/>
          <w:sz w:val="20"/>
          <w:szCs w:val="20"/>
        </w:rPr>
        <w:t>, although higher rates of ascertainment might be expected in the case of TB given the DOTS requirements for regular patient contact</w:t>
      </w:r>
      <w:r w:rsidRPr="00435469">
        <w:rPr>
          <w:rFonts w:cs="Times New Roman"/>
          <w:sz w:val="20"/>
          <w:szCs w:val="20"/>
        </w:rPr>
        <w:t xml:space="preserve">. Given the similar challenges of under-reporting of TB deaths in patients on treatment, we use this observation to adjust for TB deaths. </w:t>
      </w:r>
      <w:r w:rsidR="00584E75" w:rsidRPr="00435469">
        <w:rPr>
          <w:sz w:val="20"/>
          <w:szCs w:val="20"/>
          <w:bdr w:val="none" w:sz="0" w:space="0" w:color="auto" w:frame="1"/>
        </w:rPr>
        <w:t>As such, we assume the true mortality rate is double the reported mortality rate</w:t>
      </w:r>
      <w:r w:rsidR="007E1D4D" w:rsidRPr="00435469">
        <w:rPr>
          <w:sz w:val="20"/>
          <w:szCs w:val="20"/>
          <w:bdr w:val="none" w:sz="0" w:space="0" w:color="auto" w:frame="1"/>
        </w:rPr>
        <w:t xml:space="preserve">. </w:t>
      </w:r>
      <w:r w:rsidR="007E1D4D" w:rsidRPr="00435469">
        <w:rPr>
          <w:rFonts w:eastAsia="Yu Gothic Light" w:cs="Times New Roman"/>
          <w:bCs/>
          <w:sz w:val="20"/>
          <w:szCs w:val="20"/>
        </w:rPr>
        <w:t>More</w:t>
      </w:r>
      <w:r w:rsidR="00263E38" w:rsidRPr="00435469">
        <w:rPr>
          <w:rFonts w:eastAsia="Yu Gothic Light" w:cs="Times New Roman"/>
          <w:bCs/>
          <w:sz w:val="20"/>
          <w:szCs w:val="20"/>
        </w:rPr>
        <w:t xml:space="preserve"> details on how these parameters are set and adjusted </w:t>
      </w:r>
      <w:r w:rsidR="00D01BB6" w:rsidRPr="00435469">
        <w:rPr>
          <w:rFonts w:eastAsia="Yu Gothic Light" w:cs="Times New Roman"/>
          <w:bCs/>
          <w:sz w:val="20"/>
          <w:szCs w:val="20"/>
        </w:rPr>
        <w:t xml:space="preserve">follow in the </w:t>
      </w:r>
      <w:r w:rsidR="00263E38" w:rsidRPr="00435469">
        <w:rPr>
          <w:rFonts w:eastAsia="Yu Gothic Light" w:cs="Times New Roman"/>
          <w:bCs/>
          <w:sz w:val="20"/>
          <w:szCs w:val="20"/>
        </w:rPr>
        <w:t>next sub-sections below.</w:t>
      </w:r>
    </w:p>
    <w:p w14:paraId="0EF08FA4" w14:textId="77777777" w:rsidR="00263E38" w:rsidRPr="00435469" w:rsidRDefault="00263E38" w:rsidP="00955FFB">
      <w:pPr>
        <w:pStyle w:val="1Para"/>
        <w:spacing w:line="240" w:lineRule="auto"/>
        <w:ind w:firstLine="0"/>
        <w:rPr>
          <w:rFonts w:cs="Times New Roman"/>
          <w:strike/>
          <w:sz w:val="20"/>
          <w:szCs w:val="20"/>
        </w:rPr>
      </w:pPr>
    </w:p>
    <w:p w14:paraId="0D05890C" w14:textId="77777777" w:rsidR="00A463E4" w:rsidRPr="00435469" w:rsidRDefault="00A463E4" w:rsidP="00955FFB">
      <w:pPr>
        <w:spacing w:line="240" w:lineRule="auto"/>
        <w:rPr>
          <w:rFonts w:eastAsia="Yu Gothic Light" w:cs="Times New Roman"/>
          <w:bCs/>
          <w:sz w:val="20"/>
          <w:szCs w:val="20"/>
        </w:rPr>
      </w:pPr>
    </w:p>
    <w:p w14:paraId="3DB46DAE" w14:textId="77777777" w:rsidR="00A463E4" w:rsidRPr="00435469" w:rsidRDefault="00A463E4" w:rsidP="00955FFB">
      <w:pPr>
        <w:spacing w:line="240" w:lineRule="auto"/>
        <w:rPr>
          <w:rFonts w:eastAsia="Yu Gothic Light" w:cs="Times New Roman"/>
          <w:bCs/>
          <w:sz w:val="20"/>
          <w:szCs w:val="20"/>
        </w:rPr>
      </w:pPr>
    </w:p>
    <w:p w14:paraId="64265190" w14:textId="7742188A" w:rsidR="00A463E4" w:rsidRPr="00435469" w:rsidRDefault="00A463E4" w:rsidP="00955FFB">
      <w:pPr>
        <w:spacing w:line="240" w:lineRule="auto"/>
        <w:rPr>
          <w:rFonts w:eastAsia="Yu Gothic Light" w:cs="Times New Roman"/>
          <w:bCs/>
          <w:sz w:val="20"/>
          <w:szCs w:val="20"/>
        </w:rPr>
        <w:sectPr w:rsidR="00A463E4" w:rsidRPr="00435469">
          <w:footerReference w:type="default" r:id="rId15"/>
          <w:pgSz w:w="11906" w:h="16838"/>
          <w:pgMar w:top="1440" w:right="1440" w:bottom="1440" w:left="1440" w:header="709" w:footer="709" w:gutter="0"/>
          <w:cols w:space="720"/>
        </w:sectPr>
      </w:pPr>
    </w:p>
    <w:p w14:paraId="52DAD423" w14:textId="1168E0EB" w:rsidR="00565F9B" w:rsidRPr="009D21A1" w:rsidRDefault="00565F9B" w:rsidP="00AD6E54">
      <w:pPr>
        <w:pStyle w:val="3TableHead"/>
        <w:rPr>
          <w:sz w:val="20"/>
          <w:szCs w:val="18"/>
        </w:rPr>
      </w:pPr>
      <w:bookmarkStart w:id="198" w:name="_Ref89699437"/>
      <w:bookmarkStart w:id="199" w:name="_Toc103253665"/>
      <w:r w:rsidRPr="009D21A1">
        <w:rPr>
          <w:sz w:val="20"/>
          <w:szCs w:val="18"/>
        </w:rPr>
        <w:lastRenderedPageBreak/>
        <w:t xml:space="preserve">Table </w:t>
      </w:r>
      <w:r w:rsidR="00AB530B" w:rsidRPr="009D21A1">
        <w:rPr>
          <w:sz w:val="20"/>
          <w:szCs w:val="18"/>
        </w:rPr>
        <w:fldChar w:fldCharType="begin"/>
      </w:r>
      <w:r w:rsidR="00AB530B" w:rsidRPr="009D21A1">
        <w:rPr>
          <w:sz w:val="20"/>
          <w:szCs w:val="18"/>
        </w:rPr>
        <w:instrText xml:space="preserve"> SEQ Table \* ARABIC </w:instrText>
      </w:r>
      <w:r w:rsidR="00AB530B" w:rsidRPr="009D21A1">
        <w:rPr>
          <w:sz w:val="20"/>
          <w:szCs w:val="18"/>
        </w:rPr>
        <w:fldChar w:fldCharType="separate"/>
      </w:r>
      <w:r w:rsidR="00186C2F" w:rsidRPr="009D21A1">
        <w:rPr>
          <w:noProof/>
          <w:sz w:val="20"/>
          <w:szCs w:val="18"/>
        </w:rPr>
        <w:t>12</w:t>
      </w:r>
      <w:r w:rsidR="00AB530B" w:rsidRPr="009D21A1">
        <w:rPr>
          <w:noProof/>
          <w:sz w:val="20"/>
          <w:szCs w:val="18"/>
        </w:rPr>
        <w:fldChar w:fldCharType="end"/>
      </w:r>
      <w:bookmarkEnd w:id="197"/>
      <w:bookmarkEnd w:id="198"/>
      <w:r w:rsidRPr="009D21A1">
        <w:rPr>
          <w:sz w:val="20"/>
          <w:szCs w:val="18"/>
        </w:rPr>
        <w:t xml:space="preserve">: Electronic Tuberculosis Register </w:t>
      </w:r>
      <w:r w:rsidRPr="009D21A1">
        <w:rPr>
          <w:rFonts w:eastAsia="Calibri"/>
          <w:sz w:val="20"/>
          <w:szCs w:val="18"/>
        </w:rPr>
        <w:t>Treatment outcomes by</w:t>
      </w:r>
      <w:r w:rsidR="008E348A" w:rsidRPr="009D21A1">
        <w:rPr>
          <w:rFonts w:eastAsia="Calibri"/>
          <w:sz w:val="20"/>
          <w:szCs w:val="18"/>
        </w:rPr>
        <w:t xml:space="preserve"> year (2004 – 2016)</w:t>
      </w:r>
      <w:r w:rsidRPr="009D21A1">
        <w:rPr>
          <w:rFonts w:eastAsia="Calibri"/>
          <w:sz w:val="20"/>
          <w:szCs w:val="18"/>
        </w:rPr>
        <w:t xml:space="preserve"> sex </w:t>
      </w:r>
      <w:r w:rsidR="00825058" w:rsidRPr="009D21A1">
        <w:rPr>
          <w:sz w:val="20"/>
          <w:szCs w:val="18"/>
        </w:rPr>
        <w:t>and HIV-status expressed</w:t>
      </w:r>
      <w:r w:rsidR="0026607C" w:rsidRPr="009D21A1">
        <w:rPr>
          <w:sz w:val="20"/>
          <w:szCs w:val="18"/>
        </w:rPr>
        <w:t xml:space="preserve"> as </w:t>
      </w:r>
      <w:r w:rsidR="0026607C" w:rsidRPr="009D21A1">
        <w:rPr>
          <w:rFonts w:eastAsia="Calibri"/>
          <w:sz w:val="20"/>
          <w:szCs w:val="18"/>
        </w:rPr>
        <w:t>proportions</w:t>
      </w:r>
      <w:bookmarkEnd w:id="199"/>
    </w:p>
    <w:tbl>
      <w:tblPr>
        <w:tblW w:w="14525" w:type="dxa"/>
        <w:tblLook w:val="04A0" w:firstRow="1" w:lastRow="0" w:firstColumn="1" w:lastColumn="0" w:noHBand="0" w:noVBand="1"/>
      </w:tblPr>
      <w:tblGrid>
        <w:gridCol w:w="753"/>
        <w:gridCol w:w="703"/>
        <w:gridCol w:w="1071"/>
        <w:gridCol w:w="708"/>
        <w:gridCol w:w="626"/>
        <w:gridCol w:w="1247"/>
        <w:gridCol w:w="700"/>
        <w:gridCol w:w="1071"/>
        <w:gridCol w:w="708"/>
        <w:gridCol w:w="626"/>
        <w:gridCol w:w="1247"/>
        <w:gridCol w:w="698"/>
        <w:gridCol w:w="1071"/>
        <w:gridCol w:w="708"/>
        <w:gridCol w:w="626"/>
        <w:gridCol w:w="1247"/>
        <w:gridCol w:w="715"/>
      </w:tblGrid>
      <w:tr w:rsidR="00304411" w:rsidRPr="00435469" w14:paraId="51FEF792" w14:textId="77777777" w:rsidTr="00E84FC8">
        <w:trPr>
          <w:trHeight w:val="264"/>
        </w:trPr>
        <w:tc>
          <w:tcPr>
            <w:tcW w:w="753" w:type="dxa"/>
            <w:tcBorders>
              <w:top w:val="single" w:sz="4" w:space="0" w:color="auto"/>
              <w:left w:val="nil"/>
              <w:bottom w:val="single" w:sz="4" w:space="0" w:color="auto"/>
              <w:right w:val="nil"/>
            </w:tcBorders>
            <w:shd w:val="clear" w:color="auto" w:fill="auto"/>
            <w:noWrap/>
            <w:vAlign w:val="bottom"/>
            <w:hideMark/>
          </w:tcPr>
          <w:p w14:paraId="42FA743B" w14:textId="77777777" w:rsidR="00B33A5D" w:rsidRPr="00435469" w:rsidRDefault="00B33A5D" w:rsidP="00955FFB">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 </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1D49C5FD" w14:textId="77777777" w:rsidR="00B33A5D" w:rsidRPr="00435469" w:rsidRDefault="00B33A5D" w:rsidP="00955FFB">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 </w:t>
            </w:r>
          </w:p>
        </w:tc>
        <w:tc>
          <w:tcPr>
            <w:tcW w:w="435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D4A7C"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HIV-infected</w:t>
            </w:r>
          </w:p>
        </w:tc>
        <w:tc>
          <w:tcPr>
            <w:tcW w:w="435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F4D23"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HIV-uninfected</w:t>
            </w:r>
          </w:p>
        </w:tc>
        <w:tc>
          <w:tcPr>
            <w:tcW w:w="4367" w:type="dxa"/>
            <w:gridSpan w:val="5"/>
            <w:tcBorders>
              <w:top w:val="single" w:sz="4" w:space="0" w:color="auto"/>
              <w:left w:val="single" w:sz="4" w:space="0" w:color="auto"/>
              <w:bottom w:val="single" w:sz="4" w:space="0" w:color="auto"/>
              <w:right w:val="nil"/>
            </w:tcBorders>
            <w:shd w:val="clear" w:color="auto" w:fill="auto"/>
            <w:noWrap/>
            <w:vAlign w:val="bottom"/>
            <w:hideMark/>
          </w:tcPr>
          <w:p w14:paraId="071F2C9B"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HIV-unknown</w:t>
            </w:r>
          </w:p>
        </w:tc>
      </w:tr>
      <w:tr w:rsidR="00304411" w:rsidRPr="00435469" w14:paraId="7A7CD927" w14:textId="77777777" w:rsidTr="00E84FC8">
        <w:trPr>
          <w:trHeight w:val="264"/>
        </w:trPr>
        <w:tc>
          <w:tcPr>
            <w:tcW w:w="753" w:type="dxa"/>
            <w:tcBorders>
              <w:top w:val="nil"/>
              <w:left w:val="nil"/>
              <w:bottom w:val="nil"/>
              <w:right w:val="nil"/>
            </w:tcBorders>
            <w:shd w:val="clear" w:color="auto" w:fill="auto"/>
            <w:noWrap/>
            <w:vAlign w:val="bottom"/>
            <w:hideMark/>
          </w:tcPr>
          <w:p w14:paraId="3D6C7DE5" w14:textId="77777777" w:rsidR="00B33A5D" w:rsidRPr="00435469" w:rsidRDefault="00B33A5D" w:rsidP="00955FFB">
            <w:pPr>
              <w:spacing w:after="0" w:line="240" w:lineRule="auto"/>
              <w:rPr>
                <w:rFonts w:eastAsia="Times New Roman" w:cs="Times New Roman"/>
                <w:b/>
                <w:bCs/>
                <w:sz w:val="16"/>
                <w:szCs w:val="16"/>
                <w:lang w:eastAsia="en-ZA"/>
              </w:rPr>
            </w:pPr>
            <w:r w:rsidRPr="00435469">
              <w:rPr>
                <w:rFonts w:eastAsia="Times New Roman" w:cs="Times New Roman"/>
                <w:b/>
                <w:bCs/>
                <w:sz w:val="16"/>
                <w:szCs w:val="16"/>
                <w:lang w:eastAsia="en-ZA"/>
              </w:rPr>
              <w:t>Sex</w:t>
            </w:r>
          </w:p>
        </w:tc>
        <w:tc>
          <w:tcPr>
            <w:tcW w:w="703" w:type="dxa"/>
            <w:tcBorders>
              <w:top w:val="nil"/>
              <w:left w:val="nil"/>
              <w:bottom w:val="nil"/>
              <w:right w:val="single" w:sz="4" w:space="0" w:color="auto"/>
            </w:tcBorders>
            <w:shd w:val="clear" w:color="auto" w:fill="auto"/>
            <w:noWrap/>
            <w:vAlign w:val="bottom"/>
            <w:hideMark/>
          </w:tcPr>
          <w:p w14:paraId="06269C93" w14:textId="77777777" w:rsidR="00B33A5D" w:rsidRPr="00435469" w:rsidRDefault="00B33A5D" w:rsidP="00955FFB">
            <w:pPr>
              <w:spacing w:after="0" w:line="240" w:lineRule="auto"/>
              <w:rPr>
                <w:rFonts w:eastAsia="Times New Roman" w:cs="Times New Roman"/>
                <w:b/>
                <w:bCs/>
                <w:sz w:val="16"/>
                <w:szCs w:val="16"/>
                <w:lang w:eastAsia="en-ZA"/>
              </w:rPr>
            </w:pPr>
            <w:r w:rsidRPr="00435469">
              <w:rPr>
                <w:rFonts w:eastAsia="Times New Roman" w:cs="Times New Roman"/>
                <w:b/>
                <w:bCs/>
                <w:sz w:val="16"/>
                <w:szCs w:val="16"/>
                <w:lang w:eastAsia="en-ZA"/>
              </w:rPr>
              <w:t>Year</w:t>
            </w:r>
          </w:p>
        </w:tc>
        <w:tc>
          <w:tcPr>
            <w:tcW w:w="1071" w:type="dxa"/>
            <w:tcBorders>
              <w:top w:val="nil"/>
              <w:left w:val="single" w:sz="4" w:space="0" w:color="auto"/>
              <w:bottom w:val="nil"/>
              <w:right w:val="nil"/>
            </w:tcBorders>
            <w:shd w:val="clear" w:color="auto" w:fill="auto"/>
            <w:noWrap/>
            <w:vAlign w:val="bottom"/>
            <w:hideMark/>
          </w:tcPr>
          <w:p w14:paraId="125179D7"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xml:space="preserve">Completed </w:t>
            </w:r>
          </w:p>
        </w:tc>
        <w:tc>
          <w:tcPr>
            <w:tcW w:w="708" w:type="dxa"/>
            <w:tcBorders>
              <w:top w:val="nil"/>
              <w:left w:val="nil"/>
              <w:bottom w:val="nil"/>
              <w:right w:val="nil"/>
            </w:tcBorders>
            <w:shd w:val="clear" w:color="auto" w:fill="auto"/>
            <w:noWrap/>
            <w:vAlign w:val="bottom"/>
            <w:hideMark/>
          </w:tcPr>
          <w:p w14:paraId="5ABBD6B0"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Cured</w:t>
            </w:r>
          </w:p>
        </w:tc>
        <w:tc>
          <w:tcPr>
            <w:tcW w:w="626" w:type="dxa"/>
            <w:tcBorders>
              <w:top w:val="nil"/>
              <w:left w:val="nil"/>
              <w:bottom w:val="nil"/>
              <w:right w:val="nil"/>
            </w:tcBorders>
            <w:shd w:val="clear" w:color="auto" w:fill="auto"/>
            <w:noWrap/>
            <w:vAlign w:val="bottom"/>
            <w:hideMark/>
          </w:tcPr>
          <w:p w14:paraId="732816DE"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Died</w:t>
            </w:r>
          </w:p>
        </w:tc>
        <w:tc>
          <w:tcPr>
            <w:tcW w:w="1247" w:type="dxa"/>
            <w:tcBorders>
              <w:top w:val="nil"/>
              <w:left w:val="nil"/>
              <w:bottom w:val="nil"/>
              <w:right w:val="nil"/>
            </w:tcBorders>
            <w:shd w:val="clear" w:color="auto" w:fill="auto"/>
            <w:noWrap/>
            <w:vAlign w:val="bottom"/>
            <w:hideMark/>
          </w:tcPr>
          <w:p w14:paraId="6402494B"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xml:space="preserve">Discontinued </w:t>
            </w:r>
          </w:p>
        </w:tc>
        <w:tc>
          <w:tcPr>
            <w:tcW w:w="700" w:type="dxa"/>
            <w:tcBorders>
              <w:top w:val="nil"/>
              <w:left w:val="nil"/>
              <w:bottom w:val="nil"/>
              <w:right w:val="single" w:sz="4" w:space="0" w:color="auto"/>
            </w:tcBorders>
            <w:shd w:val="clear" w:color="auto" w:fill="auto"/>
            <w:noWrap/>
            <w:vAlign w:val="bottom"/>
            <w:hideMark/>
          </w:tcPr>
          <w:p w14:paraId="46C2ABD2"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Failed</w:t>
            </w:r>
          </w:p>
        </w:tc>
        <w:tc>
          <w:tcPr>
            <w:tcW w:w="1071" w:type="dxa"/>
            <w:tcBorders>
              <w:top w:val="nil"/>
              <w:left w:val="single" w:sz="4" w:space="0" w:color="auto"/>
              <w:bottom w:val="nil"/>
              <w:right w:val="nil"/>
            </w:tcBorders>
            <w:shd w:val="clear" w:color="auto" w:fill="auto"/>
            <w:noWrap/>
            <w:vAlign w:val="bottom"/>
            <w:hideMark/>
          </w:tcPr>
          <w:p w14:paraId="35466E82"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xml:space="preserve">Completed </w:t>
            </w:r>
          </w:p>
        </w:tc>
        <w:tc>
          <w:tcPr>
            <w:tcW w:w="708" w:type="dxa"/>
            <w:tcBorders>
              <w:top w:val="nil"/>
              <w:left w:val="nil"/>
              <w:bottom w:val="nil"/>
              <w:right w:val="nil"/>
            </w:tcBorders>
            <w:shd w:val="clear" w:color="auto" w:fill="auto"/>
            <w:noWrap/>
            <w:vAlign w:val="bottom"/>
            <w:hideMark/>
          </w:tcPr>
          <w:p w14:paraId="6A0A352F"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Cured</w:t>
            </w:r>
          </w:p>
        </w:tc>
        <w:tc>
          <w:tcPr>
            <w:tcW w:w="626" w:type="dxa"/>
            <w:tcBorders>
              <w:top w:val="nil"/>
              <w:left w:val="nil"/>
              <w:bottom w:val="nil"/>
              <w:right w:val="nil"/>
            </w:tcBorders>
            <w:shd w:val="clear" w:color="auto" w:fill="auto"/>
            <w:noWrap/>
            <w:vAlign w:val="bottom"/>
            <w:hideMark/>
          </w:tcPr>
          <w:p w14:paraId="24A7429D"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Died</w:t>
            </w:r>
          </w:p>
        </w:tc>
        <w:tc>
          <w:tcPr>
            <w:tcW w:w="1247" w:type="dxa"/>
            <w:tcBorders>
              <w:top w:val="nil"/>
              <w:left w:val="nil"/>
              <w:bottom w:val="nil"/>
              <w:right w:val="nil"/>
            </w:tcBorders>
            <w:shd w:val="clear" w:color="auto" w:fill="auto"/>
            <w:noWrap/>
            <w:vAlign w:val="bottom"/>
            <w:hideMark/>
          </w:tcPr>
          <w:p w14:paraId="3FB34226"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xml:space="preserve">Discontinued </w:t>
            </w:r>
          </w:p>
        </w:tc>
        <w:tc>
          <w:tcPr>
            <w:tcW w:w="698" w:type="dxa"/>
            <w:tcBorders>
              <w:top w:val="nil"/>
              <w:left w:val="nil"/>
              <w:bottom w:val="nil"/>
              <w:right w:val="single" w:sz="4" w:space="0" w:color="auto"/>
            </w:tcBorders>
            <w:shd w:val="clear" w:color="auto" w:fill="auto"/>
            <w:noWrap/>
            <w:vAlign w:val="bottom"/>
            <w:hideMark/>
          </w:tcPr>
          <w:p w14:paraId="5AFD7FB9"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Failed</w:t>
            </w:r>
          </w:p>
        </w:tc>
        <w:tc>
          <w:tcPr>
            <w:tcW w:w="1071" w:type="dxa"/>
            <w:tcBorders>
              <w:top w:val="nil"/>
              <w:left w:val="single" w:sz="4" w:space="0" w:color="auto"/>
              <w:bottom w:val="nil"/>
              <w:right w:val="nil"/>
            </w:tcBorders>
            <w:shd w:val="clear" w:color="auto" w:fill="auto"/>
            <w:noWrap/>
            <w:vAlign w:val="bottom"/>
            <w:hideMark/>
          </w:tcPr>
          <w:p w14:paraId="4A19C6D4"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xml:space="preserve">Completed </w:t>
            </w:r>
          </w:p>
        </w:tc>
        <w:tc>
          <w:tcPr>
            <w:tcW w:w="708" w:type="dxa"/>
            <w:tcBorders>
              <w:top w:val="nil"/>
              <w:left w:val="nil"/>
              <w:bottom w:val="nil"/>
              <w:right w:val="nil"/>
            </w:tcBorders>
            <w:shd w:val="clear" w:color="auto" w:fill="auto"/>
            <w:noWrap/>
            <w:vAlign w:val="bottom"/>
            <w:hideMark/>
          </w:tcPr>
          <w:p w14:paraId="59ED9F10"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Cured</w:t>
            </w:r>
          </w:p>
        </w:tc>
        <w:tc>
          <w:tcPr>
            <w:tcW w:w="626" w:type="dxa"/>
            <w:tcBorders>
              <w:top w:val="nil"/>
              <w:left w:val="nil"/>
              <w:bottom w:val="nil"/>
              <w:right w:val="nil"/>
            </w:tcBorders>
            <w:shd w:val="clear" w:color="auto" w:fill="auto"/>
            <w:noWrap/>
            <w:vAlign w:val="bottom"/>
            <w:hideMark/>
          </w:tcPr>
          <w:p w14:paraId="0BFBFFCF"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Died</w:t>
            </w:r>
          </w:p>
        </w:tc>
        <w:tc>
          <w:tcPr>
            <w:tcW w:w="1247" w:type="dxa"/>
            <w:tcBorders>
              <w:top w:val="nil"/>
              <w:left w:val="nil"/>
              <w:bottom w:val="nil"/>
              <w:right w:val="nil"/>
            </w:tcBorders>
            <w:shd w:val="clear" w:color="auto" w:fill="auto"/>
            <w:noWrap/>
            <w:vAlign w:val="bottom"/>
            <w:hideMark/>
          </w:tcPr>
          <w:p w14:paraId="5D915741"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xml:space="preserve">Discontinued </w:t>
            </w:r>
          </w:p>
        </w:tc>
        <w:tc>
          <w:tcPr>
            <w:tcW w:w="698" w:type="dxa"/>
            <w:tcBorders>
              <w:top w:val="nil"/>
              <w:left w:val="nil"/>
              <w:bottom w:val="nil"/>
              <w:right w:val="nil"/>
            </w:tcBorders>
            <w:shd w:val="clear" w:color="auto" w:fill="auto"/>
            <w:noWrap/>
            <w:vAlign w:val="bottom"/>
            <w:hideMark/>
          </w:tcPr>
          <w:p w14:paraId="2BCD3527"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Failed</w:t>
            </w:r>
          </w:p>
        </w:tc>
      </w:tr>
      <w:tr w:rsidR="00304411" w:rsidRPr="00435469" w14:paraId="197C37D3" w14:textId="77777777" w:rsidTr="00E84FC8">
        <w:trPr>
          <w:trHeight w:val="264"/>
        </w:trPr>
        <w:tc>
          <w:tcPr>
            <w:tcW w:w="753" w:type="dxa"/>
            <w:tcBorders>
              <w:top w:val="nil"/>
              <w:left w:val="nil"/>
              <w:bottom w:val="nil"/>
              <w:right w:val="nil"/>
            </w:tcBorders>
            <w:shd w:val="clear" w:color="auto" w:fill="auto"/>
            <w:noWrap/>
            <w:vAlign w:val="bottom"/>
            <w:hideMark/>
          </w:tcPr>
          <w:p w14:paraId="22A3B205" w14:textId="77777777" w:rsidR="00B33A5D" w:rsidRPr="00435469" w:rsidRDefault="00B33A5D" w:rsidP="00955FFB">
            <w:pPr>
              <w:spacing w:after="0" w:line="240" w:lineRule="auto"/>
              <w:jc w:val="center"/>
              <w:rPr>
                <w:rFonts w:eastAsia="Times New Roman" w:cs="Times New Roman"/>
                <w:b/>
                <w:bCs/>
                <w:sz w:val="16"/>
                <w:szCs w:val="16"/>
                <w:lang w:eastAsia="en-ZA"/>
              </w:rPr>
            </w:pPr>
          </w:p>
        </w:tc>
        <w:tc>
          <w:tcPr>
            <w:tcW w:w="703" w:type="dxa"/>
            <w:tcBorders>
              <w:top w:val="nil"/>
              <w:left w:val="nil"/>
              <w:bottom w:val="single" w:sz="4" w:space="0" w:color="auto"/>
              <w:right w:val="single" w:sz="4" w:space="0" w:color="auto"/>
            </w:tcBorders>
            <w:shd w:val="clear" w:color="auto" w:fill="auto"/>
            <w:noWrap/>
            <w:vAlign w:val="bottom"/>
            <w:hideMark/>
          </w:tcPr>
          <w:p w14:paraId="7CF11F3D" w14:textId="77777777" w:rsidR="00B33A5D" w:rsidRPr="00435469" w:rsidRDefault="00B33A5D" w:rsidP="00955FFB">
            <w:pPr>
              <w:spacing w:after="0" w:line="240" w:lineRule="auto"/>
              <w:rPr>
                <w:rFonts w:eastAsia="Times New Roman" w:cs="Times New Roman"/>
                <w:b/>
                <w:bCs/>
                <w:sz w:val="16"/>
                <w:szCs w:val="16"/>
                <w:lang w:eastAsia="en-ZA"/>
              </w:rPr>
            </w:pPr>
            <w:r w:rsidRPr="00435469">
              <w:rPr>
                <w:rFonts w:eastAsia="Times New Roman" w:cs="Times New Roman"/>
                <w:b/>
                <w:bCs/>
                <w:sz w:val="16"/>
                <w:szCs w:val="16"/>
                <w:lang w:eastAsia="en-ZA"/>
              </w:rPr>
              <w:t> </w:t>
            </w:r>
          </w:p>
        </w:tc>
        <w:tc>
          <w:tcPr>
            <w:tcW w:w="1071" w:type="dxa"/>
            <w:tcBorders>
              <w:top w:val="nil"/>
              <w:left w:val="single" w:sz="4" w:space="0" w:color="auto"/>
              <w:bottom w:val="single" w:sz="4" w:space="0" w:color="auto"/>
              <w:right w:val="nil"/>
            </w:tcBorders>
            <w:shd w:val="clear" w:color="auto" w:fill="auto"/>
            <w:noWrap/>
            <w:vAlign w:val="bottom"/>
            <w:hideMark/>
          </w:tcPr>
          <w:p w14:paraId="4948548E"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r>
                  <w:rPr>
                    <w:rFonts w:ascii="Cambria Math" w:eastAsia="Yu Gothic Light" w:hAnsi="Cambria Math" w:cs="Times New Roman"/>
                    <w:sz w:val="16"/>
                    <w:szCs w:val="16"/>
                  </w:rPr>
                  <m:t>m</m:t>
                </m:r>
              </m:oMath>
            </m:oMathPara>
          </w:p>
        </w:tc>
        <w:tc>
          <w:tcPr>
            <w:tcW w:w="708" w:type="dxa"/>
            <w:tcBorders>
              <w:top w:val="nil"/>
              <w:left w:val="nil"/>
              <w:bottom w:val="single" w:sz="4" w:space="0" w:color="auto"/>
              <w:right w:val="nil"/>
            </w:tcBorders>
            <w:shd w:val="clear" w:color="auto" w:fill="auto"/>
            <w:noWrap/>
            <w:vAlign w:val="bottom"/>
            <w:hideMark/>
          </w:tcPr>
          <w:p w14:paraId="76E0ACEA"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r>
                  <w:rPr>
                    <w:rFonts w:ascii="Cambria Math" w:eastAsia="Yu Gothic Light" w:hAnsi="Cambria Math" w:cs="Times New Roman"/>
                    <w:sz w:val="16"/>
                    <w:szCs w:val="16"/>
                  </w:rPr>
                  <m:t>c</m:t>
                </m:r>
              </m:oMath>
            </m:oMathPara>
          </w:p>
        </w:tc>
        <w:tc>
          <w:tcPr>
            <w:tcW w:w="626" w:type="dxa"/>
            <w:tcBorders>
              <w:top w:val="nil"/>
              <w:left w:val="nil"/>
              <w:bottom w:val="single" w:sz="4" w:space="0" w:color="auto"/>
              <w:right w:val="nil"/>
            </w:tcBorders>
            <w:shd w:val="clear" w:color="auto" w:fill="auto"/>
            <w:noWrap/>
            <w:vAlign w:val="bottom"/>
            <w:hideMark/>
          </w:tcPr>
          <w:p w14:paraId="24568B57"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sSub>
                  <m:sSubPr>
                    <m:ctrlPr>
                      <w:rPr>
                        <w:rFonts w:ascii="Cambria Math" w:eastAsia="Yu Gothic Light" w:hAnsi="Cambria Math" w:cs="Times New Roman"/>
                        <w:i/>
                        <w:sz w:val="16"/>
                        <w:szCs w:val="16"/>
                      </w:rPr>
                    </m:ctrlPr>
                  </m:sSubPr>
                  <m:e>
                    <m:r>
                      <w:rPr>
                        <w:rFonts w:ascii="Cambria Math" w:eastAsia="Yu Gothic Light" w:hAnsi="Cambria Math" w:cs="Times New Roman"/>
                        <w:sz w:val="16"/>
                        <w:szCs w:val="16"/>
                      </w:rPr>
                      <m:t>d</m:t>
                    </m:r>
                  </m:e>
                  <m:sub>
                    <m:r>
                      <w:rPr>
                        <w:rFonts w:ascii="Cambria Math" w:eastAsia="Yu Gothic Light" w:hAnsi="Cambria Math" w:cs="Times New Roman"/>
                        <w:sz w:val="16"/>
                        <w:szCs w:val="16"/>
                      </w:rPr>
                      <m:t>1</m:t>
                    </m:r>
                  </m:sub>
                </m:sSub>
              </m:oMath>
            </m:oMathPara>
          </w:p>
        </w:tc>
        <w:tc>
          <w:tcPr>
            <w:tcW w:w="1247" w:type="dxa"/>
            <w:tcBorders>
              <w:top w:val="nil"/>
              <w:left w:val="nil"/>
              <w:bottom w:val="single" w:sz="4" w:space="0" w:color="auto"/>
              <w:right w:val="nil"/>
            </w:tcBorders>
            <w:shd w:val="clear" w:color="auto" w:fill="auto"/>
            <w:noWrap/>
            <w:vAlign w:val="bottom"/>
            <w:hideMark/>
          </w:tcPr>
          <w:p w14:paraId="272C45AD"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sSub>
                  <m:sSubPr>
                    <m:ctrlPr>
                      <w:rPr>
                        <w:rFonts w:ascii="Cambria Math" w:eastAsia="Yu Gothic Light" w:hAnsi="Cambria Math" w:cs="Times New Roman"/>
                        <w:i/>
                        <w:sz w:val="16"/>
                        <w:szCs w:val="16"/>
                      </w:rPr>
                    </m:ctrlPr>
                  </m:sSubPr>
                  <m:e>
                    <m:r>
                      <w:rPr>
                        <w:rFonts w:ascii="Cambria Math" w:eastAsia="Yu Gothic Light" w:hAnsi="Cambria Math" w:cs="Times New Roman"/>
                        <w:sz w:val="16"/>
                        <w:szCs w:val="16"/>
                      </w:rPr>
                      <m:t>d</m:t>
                    </m:r>
                  </m:e>
                  <m:sub>
                    <m:r>
                      <w:rPr>
                        <w:rFonts w:ascii="Cambria Math" w:eastAsia="Yu Gothic Light" w:hAnsi="Cambria Math" w:cs="Times New Roman"/>
                        <w:sz w:val="16"/>
                        <w:szCs w:val="16"/>
                      </w:rPr>
                      <m:t>2</m:t>
                    </m:r>
                  </m:sub>
                </m:sSub>
              </m:oMath>
            </m:oMathPara>
          </w:p>
        </w:tc>
        <w:tc>
          <w:tcPr>
            <w:tcW w:w="700" w:type="dxa"/>
            <w:tcBorders>
              <w:top w:val="nil"/>
              <w:left w:val="nil"/>
              <w:bottom w:val="single" w:sz="4" w:space="0" w:color="auto"/>
              <w:right w:val="single" w:sz="4" w:space="0" w:color="auto"/>
            </w:tcBorders>
            <w:shd w:val="clear" w:color="auto" w:fill="auto"/>
            <w:noWrap/>
            <w:vAlign w:val="bottom"/>
            <w:hideMark/>
          </w:tcPr>
          <w:p w14:paraId="6879B2BF" w14:textId="77777777" w:rsidR="00B33A5D" w:rsidRPr="00435469" w:rsidRDefault="00B33A5D" w:rsidP="00955FFB">
            <w:pPr>
              <w:spacing w:after="0" w:line="240" w:lineRule="auto"/>
              <w:jc w:val="center"/>
              <w:rPr>
                <w:rFonts w:eastAsia="Times New Roman" w:cs="Times New Roman"/>
                <w:b/>
                <w:bCs/>
                <w:i/>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r>
                  <w:rPr>
                    <w:rFonts w:ascii="Cambria Math" w:eastAsia="Yu Gothic Light" w:hAnsi="Cambria Math" w:cs="Times New Roman"/>
                    <w:sz w:val="16"/>
                    <w:szCs w:val="16"/>
                  </w:rPr>
                  <m:t>f</m:t>
                </m:r>
              </m:oMath>
            </m:oMathPara>
          </w:p>
        </w:tc>
        <w:tc>
          <w:tcPr>
            <w:tcW w:w="1071" w:type="dxa"/>
            <w:tcBorders>
              <w:top w:val="nil"/>
              <w:left w:val="single" w:sz="4" w:space="0" w:color="auto"/>
              <w:bottom w:val="single" w:sz="4" w:space="0" w:color="auto"/>
              <w:right w:val="nil"/>
            </w:tcBorders>
            <w:shd w:val="clear" w:color="auto" w:fill="auto"/>
            <w:noWrap/>
            <w:vAlign w:val="bottom"/>
            <w:hideMark/>
          </w:tcPr>
          <w:p w14:paraId="1FCB2C5F"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r>
                  <w:rPr>
                    <w:rFonts w:ascii="Cambria Math" w:eastAsia="Yu Gothic Light" w:hAnsi="Cambria Math" w:cs="Times New Roman"/>
                    <w:sz w:val="16"/>
                    <w:szCs w:val="16"/>
                  </w:rPr>
                  <m:t>m</m:t>
                </m:r>
              </m:oMath>
            </m:oMathPara>
          </w:p>
        </w:tc>
        <w:tc>
          <w:tcPr>
            <w:tcW w:w="708" w:type="dxa"/>
            <w:tcBorders>
              <w:top w:val="nil"/>
              <w:left w:val="nil"/>
              <w:bottom w:val="single" w:sz="4" w:space="0" w:color="auto"/>
              <w:right w:val="nil"/>
            </w:tcBorders>
            <w:shd w:val="clear" w:color="auto" w:fill="auto"/>
            <w:noWrap/>
            <w:vAlign w:val="bottom"/>
            <w:hideMark/>
          </w:tcPr>
          <w:p w14:paraId="5071E9F7"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r>
                  <w:rPr>
                    <w:rFonts w:ascii="Cambria Math" w:eastAsia="Yu Gothic Light" w:hAnsi="Cambria Math" w:cs="Times New Roman"/>
                    <w:sz w:val="16"/>
                    <w:szCs w:val="16"/>
                  </w:rPr>
                  <m:t>c</m:t>
                </m:r>
              </m:oMath>
            </m:oMathPara>
          </w:p>
        </w:tc>
        <w:tc>
          <w:tcPr>
            <w:tcW w:w="626" w:type="dxa"/>
            <w:tcBorders>
              <w:top w:val="nil"/>
              <w:left w:val="nil"/>
              <w:bottom w:val="single" w:sz="4" w:space="0" w:color="auto"/>
              <w:right w:val="nil"/>
            </w:tcBorders>
            <w:shd w:val="clear" w:color="auto" w:fill="auto"/>
            <w:noWrap/>
            <w:vAlign w:val="bottom"/>
            <w:hideMark/>
          </w:tcPr>
          <w:p w14:paraId="3D297E13"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sSub>
                  <m:sSubPr>
                    <m:ctrlPr>
                      <w:rPr>
                        <w:rFonts w:ascii="Cambria Math" w:eastAsia="Yu Gothic Light" w:hAnsi="Cambria Math" w:cs="Times New Roman"/>
                        <w:i/>
                        <w:sz w:val="16"/>
                        <w:szCs w:val="16"/>
                      </w:rPr>
                    </m:ctrlPr>
                  </m:sSubPr>
                  <m:e>
                    <m:r>
                      <w:rPr>
                        <w:rFonts w:ascii="Cambria Math" w:eastAsia="Yu Gothic Light" w:hAnsi="Cambria Math" w:cs="Times New Roman"/>
                        <w:sz w:val="16"/>
                        <w:szCs w:val="16"/>
                      </w:rPr>
                      <m:t>d</m:t>
                    </m:r>
                  </m:e>
                  <m:sub>
                    <m:r>
                      <w:rPr>
                        <w:rFonts w:ascii="Cambria Math" w:eastAsia="Yu Gothic Light" w:hAnsi="Cambria Math" w:cs="Times New Roman"/>
                        <w:sz w:val="16"/>
                        <w:szCs w:val="16"/>
                      </w:rPr>
                      <m:t>1</m:t>
                    </m:r>
                  </m:sub>
                </m:sSub>
              </m:oMath>
            </m:oMathPara>
          </w:p>
        </w:tc>
        <w:tc>
          <w:tcPr>
            <w:tcW w:w="1247" w:type="dxa"/>
            <w:tcBorders>
              <w:top w:val="nil"/>
              <w:left w:val="nil"/>
              <w:bottom w:val="single" w:sz="4" w:space="0" w:color="auto"/>
              <w:right w:val="nil"/>
            </w:tcBorders>
            <w:shd w:val="clear" w:color="auto" w:fill="auto"/>
            <w:noWrap/>
            <w:vAlign w:val="bottom"/>
            <w:hideMark/>
          </w:tcPr>
          <w:p w14:paraId="7BD67478"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sSub>
                  <m:sSubPr>
                    <m:ctrlPr>
                      <w:rPr>
                        <w:rFonts w:ascii="Cambria Math" w:eastAsia="Yu Gothic Light" w:hAnsi="Cambria Math" w:cs="Times New Roman"/>
                        <w:i/>
                        <w:sz w:val="16"/>
                        <w:szCs w:val="16"/>
                      </w:rPr>
                    </m:ctrlPr>
                  </m:sSubPr>
                  <m:e>
                    <m:r>
                      <w:rPr>
                        <w:rFonts w:ascii="Cambria Math" w:eastAsia="Yu Gothic Light" w:hAnsi="Cambria Math" w:cs="Times New Roman"/>
                        <w:sz w:val="16"/>
                        <w:szCs w:val="16"/>
                      </w:rPr>
                      <m:t>d</m:t>
                    </m:r>
                  </m:e>
                  <m:sub>
                    <m:r>
                      <w:rPr>
                        <w:rFonts w:ascii="Cambria Math" w:eastAsia="Yu Gothic Light" w:hAnsi="Cambria Math" w:cs="Times New Roman"/>
                        <w:sz w:val="16"/>
                        <w:szCs w:val="16"/>
                      </w:rPr>
                      <m:t>2</m:t>
                    </m:r>
                  </m:sub>
                </m:sSub>
              </m:oMath>
            </m:oMathPara>
          </w:p>
        </w:tc>
        <w:tc>
          <w:tcPr>
            <w:tcW w:w="698" w:type="dxa"/>
            <w:tcBorders>
              <w:top w:val="nil"/>
              <w:left w:val="nil"/>
              <w:bottom w:val="single" w:sz="4" w:space="0" w:color="auto"/>
              <w:right w:val="single" w:sz="4" w:space="0" w:color="auto"/>
            </w:tcBorders>
            <w:shd w:val="clear" w:color="auto" w:fill="auto"/>
            <w:noWrap/>
            <w:vAlign w:val="bottom"/>
            <w:hideMark/>
          </w:tcPr>
          <w:p w14:paraId="6D3F0A10"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r>
                  <w:rPr>
                    <w:rFonts w:ascii="Cambria Math" w:eastAsia="Yu Gothic Light" w:hAnsi="Cambria Math" w:cs="Times New Roman"/>
                    <w:sz w:val="16"/>
                    <w:szCs w:val="16"/>
                  </w:rPr>
                  <m:t>f</m:t>
                </m:r>
              </m:oMath>
            </m:oMathPara>
          </w:p>
        </w:tc>
        <w:tc>
          <w:tcPr>
            <w:tcW w:w="1071" w:type="dxa"/>
            <w:tcBorders>
              <w:top w:val="nil"/>
              <w:left w:val="single" w:sz="4" w:space="0" w:color="auto"/>
              <w:bottom w:val="single" w:sz="4" w:space="0" w:color="auto"/>
              <w:right w:val="nil"/>
            </w:tcBorders>
            <w:shd w:val="clear" w:color="auto" w:fill="auto"/>
            <w:noWrap/>
            <w:vAlign w:val="bottom"/>
            <w:hideMark/>
          </w:tcPr>
          <w:p w14:paraId="26720C5D" w14:textId="77777777" w:rsidR="00B33A5D" w:rsidRPr="00435469" w:rsidRDefault="00B33A5D"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r>
                  <w:rPr>
                    <w:rFonts w:ascii="Cambria Math" w:eastAsia="Yu Gothic Light" w:hAnsi="Cambria Math" w:cs="Times New Roman"/>
                    <w:sz w:val="16"/>
                    <w:szCs w:val="16"/>
                  </w:rPr>
                  <m:t>m</m:t>
                </m:r>
              </m:oMath>
            </m:oMathPara>
          </w:p>
        </w:tc>
        <w:tc>
          <w:tcPr>
            <w:tcW w:w="708" w:type="dxa"/>
            <w:tcBorders>
              <w:top w:val="nil"/>
              <w:left w:val="nil"/>
              <w:bottom w:val="single" w:sz="4" w:space="0" w:color="auto"/>
              <w:right w:val="nil"/>
            </w:tcBorders>
            <w:shd w:val="clear" w:color="auto" w:fill="auto"/>
            <w:noWrap/>
            <w:vAlign w:val="bottom"/>
            <w:hideMark/>
          </w:tcPr>
          <w:p w14:paraId="00510BB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r>
                  <w:rPr>
                    <w:rFonts w:ascii="Cambria Math" w:eastAsia="Yu Gothic Light" w:hAnsi="Cambria Math" w:cs="Times New Roman"/>
                    <w:sz w:val="16"/>
                    <w:szCs w:val="16"/>
                  </w:rPr>
                  <m:t>c</m:t>
                </m:r>
              </m:oMath>
            </m:oMathPara>
          </w:p>
        </w:tc>
        <w:tc>
          <w:tcPr>
            <w:tcW w:w="626" w:type="dxa"/>
            <w:tcBorders>
              <w:top w:val="nil"/>
              <w:left w:val="nil"/>
              <w:bottom w:val="single" w:sz="4" w:space="0" w:color="auto"/>
              <w:right w:val="nil"/>
            </w:tcBorders>
            <w:shd w:val="clear" w:color="auto" w:fill="auto"/>
            <w:noWrap/>
            <w:vAlign w:val="bottom"/>
            <w:hideMark/>
          </w:tcPr>
          <w:p w14:paraId="403AA98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sSub>
                  <m:sSubPr>
                    <m:ctrlPr>
                      <w:rPr>
                        <w:rFonts w:ascii="Cambria Math" w:eastAsia="Yu Gothic Light" w:hAnsi="Cambria Math" w:cs="Times New Roman"/>
                        <w:i/>
                        <w:sz w:val="16"/>
                        <w:szCs w:val="16"/>
                      </w:rPr>
                    </m:ctrlPr>
                  </m:sSubPr>
                  <m:e>
                    <m:r>
                      <w:rPr>
                        <w:rFonts w:ascii="Cambria Math" w:eastAsia="Yu Gothic Light" w:hAnsi="Cambria Math" w:cs="Times New Roman"/>
                        <w:sz w:val="16"/>
                        <w:szCs w:val="16"/>
                      </w:rPr>
                      <m:t>d</m:t>
                    </m:r>
                  </m:e>
                  <m:sub>
                    <m:r>
                      <w:rPr>
                        <w:rFonts w:ascii="Cambria Math" w:eastAsia="Yu Gothic Light" w:hAnsi="Cambria Math" w:cs="Times New Roman"/>
                        <w:sz w:val="16"/>
                        <w:szCs w:val="16"/>
                      </w:rPr>
                      <m:t>1</m:t>
                    </m:r>
                  </m:sub>
                </m:sSub>
              </m:oMath>
            </m:oMathPara>
          </w:p>
        </w:tc>
        <w:tc>
          <w:tcPr>
            <w:tcW w:w="1247" w:type="dxa"/>
            <w:tcBorders>
              <w:top w:val="nil"/>
              <w:left w:val="nil"/>
              <w:bottom w:val="single" w:sz="4" w:space="0" w:color="auto"/>
              <w:right w:val="nil"/>
            </w:tcBorders>
            <w:shd w:val="clear" w:color="auto" w:fill="auto"/>
            <w:noWrap/>
            <w:vAlign w:val="bottom"/>
            <w:hideMark/>
          </w:tcPr>
          <w:p w14:paraId="2587195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sSub>
                  <m:sSubPr>
                    <m:ctrlPr>
                      <w:rPr>
                        <w:rFonts w:ascii="Cambria Math" w:eastAsia="Yu Gothic Light" w:hAnsi="Cambria Math" w:cs="Times New Roman"/>
                        <w:i/>
                        <w:sz w:val="16"/>
                        <w:szCs w:val="16"/>
                      </w:rPr>
                    </m:ctrlPr>
                  </m:sSubPr>
                  <m:e>
                    <m:r>
                      <w:rPr>
                        <w:rFonts w:ascii="Cambria Math" w:eastAsia="Yu Gothic Light" w:hAnsi="Cambria Math" w:cs="Times New Roman"/>
                        <w:sz w:val="16"/>
                        <w:szCs w:val="16"/>
                      </w:rPr>
                      <m:t>d</m:t>
                    </m:r>
                  </m:e>
                  <m:sub>
                    <m:r>
                      <w:rPr>
                        <w:rFonts w:ascii="Cambria Math" w:eastAsia="Yu Gothic Light" w:hAnsi="Cambria Math" w:cs="Times New Roman"/>
                        <w:sz w:val="16"/>
                        <w:szCs w:val="16"/>
                      </w:rPr>
                      <m:t>2</m:t>
                    </m:r>
                  </m:sub>
                </m:sSub>
              </m:oMath>
            </m:oMathPara>
          </w:p>
        </w:tc>
        <w:tc>
          <w:tcPr>
            <w:tcW w:w="698" w:type="dxa"/>
            <w:tcBorders>
              <w:top w:val="nil"/>
              <w:left w:val="nil"/>
              <w:bottom w:val="single" w:sz="4" w:space="0" w:color="auto"/>
              <w:right w:val="nil"/>
            </w:tcBorders>
            <w:shd w:val="clear" w:color="auto" w:fill="auto"/>
            <w:noWrap/>
            <w:vAlign w:val="bottom"/>
            <w:hideMark/>
          </w:tcPr>
          <w:p w14:paraId="4AE39FF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b/>
                <w:bCs/>
                <w:sz w:val="16"/>
                <w:szCs w:val="16"/>
                <w:lang w:eastAsia="en-ZA"/>
              </w:rPr>
              <w:t> </w:t>
            </w:r>
            <m:oMath>
              <m:r>
                <m:rPr>
                  <m:sty m:val="p"/>
                </m:rPr>
                <w:rPr>
                  <w:rFonts w:ascii="Cambria Math" w:eastAsia="Yu Gothic Light" w:hAnsi="Cambria Math" w:cs="Times New Roman"/>
                  <w:sz w:val="16"/>
                  <w:szCs w:val="16"/>
                </w:rPr>
                <w:br/>
              </m:r>
            </m:oMath>
            <m:oMathPara>
              <m:oMath>
                <m:r>
                  <w:rPr>
                    <w:rFonts w:ascii="Cambria Math" w:eastAsia="Yu Gothic Light" w:hAnsi="Cambria Math" w:cs="Times New Roman"/>
                    <w:sz w:val="16"/>
                    <w:szCs w:val="16"/>
                  </w:rPr>
                  <m:t>f</m:t>
                </m:r>
              </m:oMath>
            </m:oMathPara>
          </w:p>
        </w:tc>
      </w:tr>
      <w:tr w:rsidR="00304411" w:rsidRPr="00435469" w14:paraId="07123216" w14:textId="77777777" w:rsidTr="00E84FC8">
        <w:trPr>
          <w:trHeight w:val="264"/>
        </w:trPr>
        <w:tc>
          <w:tcPr>
            <w:tcW w:w="753" w:type="dxa"/>
            <w:vMerge w:val="restart"/>
            <w:tcBorders>
              <w:top w:val="nil"/>
              <w:left w:val="nil"/>
              <w:bottom w:val="nil"/>
              <w:right w:val="nil"/>
            </w:tcBorders>
            <w:shd w:val="clear" w:color="auto" w:fill="auto"/>
            <w:noWrap/>
            <w:vAlign w:val="center"/>
            <w:hideMark/>
          </w:tcPr>
          <w:p w14:paraId="4D76478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Female</w:t>
            </w:r>
          </w:p>
        </w:tc>
        <w:tc>
          <w:tcPr>
            <w:tcW w:w="703" w:type="dxa"/>
            <w:tcBorders>
              <w:top w:val="nil"/>
              <w:left w:val="nil"/>
              <w:bottom w:val="nil"/>
              <w:right w:val="single" w:sz="4" w:space="0" w:color="auto"/>
            </w:tcBorders>
            <w:shd w:val="clear" w:color="auto" w:fill="auto"/>
            <w:noWrap/>
            <w:vAlign w:val="bottom"/>
            <w:hideMark/>
          </w:tcPr>
          <w:p w14:paraId="4DA2265C"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2004</w:t>
            </w:r>
          </w:p>
        </w:tc>
        <w:tc>
          <w:tcPr>
            <w:tcW w:w="1071" w:type="dxa"/>
            <w:tcBorders>
              <w:top w:val="nil"/>
              <w:left w:val="single" w:sz="4" w:space="0" w:color="auto"/>
              <w:bottom w:val="nil"/>
              <w:right w:val="nil"/>
            </w:tcBorders>
            <w:shd w:val="clear" w:color="auto" w:fill="auto"/>
            <w:noWrap/>
            <w:vAlign w:val="bottom"/>
            <w:hideMark/>
          </w:tcPr>
          <w:p w14:paraId="60A672F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0.468</w:t>
            </w:r>
          </w:p>
        </w:tc>
        <w:tc>
          <w:tcPr>
            <w:tcW w:w="708" w:type="dxa"/>
            <w:tcBorders>
              <w:top w:val="nil"/>
              <w:left w:val="nil"/>
              <w:bottom w:val="nil"/>
              <w:right w:val="nil"/>
            </w:tcBorders>
            <w:shd w:val="clear" w:color="auto" w:fill="auto"/>
            <w:noWrap/>
            <w:vAlign w:val="bottom"/>
            <w:hideMark/>
          </w:tcPr>
          <w:p w14:paraId="6C96060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0.245</w:t>
            </w:r>
          </w:p>
        </w:tc>
        <w:tc>
          <w:tcPr>
            <w:tcW w:w="626" w:type="dxa"/>
            <w:tcBorders>
              <w:top w:val="nil"/>
              <w:left w:val="nil"/>
              <w:bottom w:val="nil"/>
              <w:right w:val="nil"/>
            </w:tcBorders>
            <w:shd w:val="clear" w:color="auto" w:fill="auto"/>
            <w:noWrap/>
            <w:vAlign w:val="bottom"/>
            <w:hideMark/>
          </w:tcPr>
          <w:p w14:paraId="527274F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0.060</w:t>
            </w:r>
          </w:p>
        </w:tc>
        <w:tc>
          <w:tcPr>
            <w:tcW w:w="1247" w:type="dxa"/>
            <w:tcBorders>
              <w:top w:val="nil"/>
              <w:left w:val="nil"/>
              <w:bottom w:val="nil"/>
              <w:right w:val="nil"/>
            </w:tcBorders>
            <w:shd w:val="clear" w:color="auto" w:fill="auto"/>
            <w:noWrap/>
            <w:vAlign w:val="bottom"/>
            <w:hideMark/>
          </w:tcPr>
          <w:p w14:paraId="0BFDFE9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0.220</w:t>
            </w:r>
          </w:p>
        </w:tc>
        <w:tc>
          <w:tcPr>
            <w:tcW w:w="700" w:type="dxa"/>
            <w:tcBorders>
              <w:top w:val="nil"/>
              <w:left w:val="nil"/>
              <w:bottom w:val="nil"/>
              <w:right w:val="single" w:sz="4" w:space="0" w:color="auto"/>
            </w:tcBorders>
            <w:shd w:val="clear" w:color="auto" w:fill="auto"/>
            <w:noWrap/>
            <w:vAlign w:val="bottom"/>
            <w:hideMark/>
          </w:tcPr>
          <w:p w14:paraId="2A1C14E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c>
          <w:tcPr>
            <w:tcW w:w="1071" w:type="dxa"/>
            <w:tcBorders>
              <w:top w:val="nil"/>
              <w:left w:val="single" w:sz="4" w:space="0" w:color="auto"/>
              <w:bottom w:val="nil"/>
              <w:right w:val="nil"/>
            </w:tcBorders>
            <w:shd w:val="clear" w:color="auto" w:fill="auto"/>
            <w:noWrap/>
            <w:vAlign w:val="bottom"/>
            <w:hideMark/>
          </w:tcPr>
          <w:p w14:paraId="125A06E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0.396</w:t>
            </w:r>
          </w:p>
        </w:tc>
        <w:tc>
          <w:tcPr>
            <w:tcW w:w="708" w:type="dxa"/>
            <w:tcBorders>
              <w:top w:val="nil"/>
              <w:left w:val="nil"/>
              <w:bottom w:val="nil"/>
              <w:right w:val="nil"/>
            </w:tcBorders>
            <w:shd w:val="clear" w:color="auto" w:fill="auto"/>
            <w:noWrap/>
            <w:vAlign w:val="bottom"/>
            <w:hideMark/>
          </w:tcPr>
          <w:p w14:paraId="22C6CB5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0.445</w:t>
            </w:r>
          </w:p>
        </w:tc>
        <w:tc>
          <w:tcPr>
            <w:tcW w:w="626" w:type="dxa"/>
            <w:tcBorders>
              <w:top w:val="nil"/>
              <w:left w:val="nil"/>
              <w:bottom w:val="nil"/>
              <w:right w:val="nil"/>
            </w:tcBorders>
            <w:shd w:val="clear" w:color="auto" w:fill="auto"/>
            <w:noWrap/>
            <w:vAlign w:val="bottom"/>
            <w:hideMark/>
          </w:tcPr>
          <w:p w14:paraId="3F73AE2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0.022</w:t>
            </w:r>
          </w:p>
        </w:tc>
        <w:tc>
          <w:tcPr>
            <w:tcW w:w="1247" w:type="dxa"/>
            <w:tcBorders>
              <w:top w:val="nil"/>
              <w:left w:val="nil"/>
              <w:bottom w:val="nil"/>
              <w:right w:val="nil"/>
            </w:tcBorders>
            <w:shd w:val="clear" w:color="auto" w:fill="auto"/>
            <w:noWrap/>
            <w:vAlign w:val="bottom"/>
            <w:hideMark/>
          </w:tcPr>
          <w:p w14:paraId="53EC2CE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0.128</w:t>
            </w:r>
          </w:p>
        </w:tc>
        <w:tc>
          <w:tcPr>
            <w:tcW w:w="698" w:type="dxa"/>
            <w:tcBorders>
              <w:top w:val="nil"/>
              <w:left w:val="nil"/>
              <w:bottom w:val="nil"/>
              <w:right w:val="single" w:sz="4" w:space="0" w:color="auto"/>
            </w:tcBorders>
            <w:shd w:val="clear" w:color="auto" w:fill="auto"/>
            <w:noWrap/>
            <w:vAlign w:val="bottom"/>
            <w:hideMark/>
          </w:tcPr>
          <w:p w14:paraId="2683C95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single" w:sz="4" w:space="0" w:color="auto"/>
              <w:left w:val="single" w:sz="4" w:space="0" w:color="auto"/>
              <w:bottom w:val="nil"/>
              <w:right w:val="nil"/>
            </w:tcBorders>
            <w:shd w:val="clear" w:color="auto" w:fill="auto"/>
            <w:noWrap/>
            <w:vAlign w:val="bottom"/>
            <w:hideMark/>
          </w:tcPr>
          <w:p w14:paraId="28CF577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0.452</w:t>
            </w:r>
          </w:p>
        </w:tc>
        <w:tc>
          <w:tcPr>
            <w:tcW w:w="708" w:type="dxa"/>
            <w:tcBorders>
              <w:top w:val="single" w:sz="4" w:space="0" w:color="auto"/>
              <w:left w:val="nil"/>
              <w:bottom w:val="nil"/>
              <w:right w:val="nil"/>
            </w:tcBorders>
            <w:shd w:val="clear" w:color="auto" w:fill="auto"/>
            <w:noWrap/>
            <w:vAlign w:val="bottom"/>
            <w:hideMark/>
          </w:tcPr>
          <w:p w14:paraId="355B095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0.202</w:t>
            </w:r>
          </w:p>
        </w:tc>
        <w:tc>
          <w:tcPr>
            <w:tcW w:w="626" w:type="dxa"/>
            <w:tcBorders>
              <w:top w:val="single" w:sz="4" w:space="0" w:color="auto"/>
              <w:left w:val="nil"/>
              <w:bottom w:val="nil"/>
              <w:right w:val="nil"/>
            </w:tcBorders>
            <w:shd w:val="clear" w:color="auto" w:fill="auto"/>
            <w:noWrap/>
            <w:vAlign w:val="bottom"/>
            <w:hideMark/>
          </w:tcPr>
          <w:p w14:paraId="0081D5F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0.085</w:t>
            </w:r>
          </w:p>
        </w:tc>
        <w:tc>
          <w:tcPr>
            <w:tcW w:w="1247" w:type="dxa"/>
            <w:tcBorders>
              <w:top w:val="single" w:sz="4" w:space="0" w:color="auto"/>
              <w:left w:val="nil"/>
              <w:bottom w:val="nil"/>
              <w:right w:val="nil"/>
            </w:tcBorders>
            <w:shd w:val="clear" w:color="auto" w:fill="auto"/>
            <w:noWrap/>
            <w:vAlign w:val="bottom"/>
            <w:hideMark/>
          </w:tcPr>
          <w:p w14:paraId="0FF99D7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0.256</w:t>
            </w:r>
          </w:p>
        </w:tc>
        <w:tc>
          <w:tcPr>
            <w:tcW w:w="698" w:type="dxa"/>
            <w:tcBorders>
              <w:top w:val="single" w:sz="4" w:space="0" w:color="auto"/>
              <w:left w:val="nil"/>
              <w:bottom w:val="nil"/>
              <w:right w:val="nil"/>
            </w:tcBorders>
            <w:shd w:val="clear" w:color="auto" w:fill="auto"/>
            <w:noWrap/>
            <w:vAlign w:val="bottom"/>
            <w:hideMark/>
          </w:tcPr>
          <w:p w14:paraId="761B0EC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0.006</w:t>
            </w:r>
          </w:p>
        </w:tc>
      </w:tr>
      <w:tr w:rsidR="00304411" w:rsidRPr="00435469" w14:paraId="346C63C7" w14:textId="77777777" w:rsidTr="00E84FC8">
        <w:trPr>
          <w:trHeight w:val="264"/>
        </w:trPr>
        <w:tc>
          <w:tcPr>
            <w:tcW w:w="753" w:type="dxa"/>
            <w:vMerge/>
            <w:tcBorders>
              <w:top w:val="nil"/>
              <w:left w:val="nil"/>
              <w:bottom w:val="nil"/>
              <w:right w:val="nil"/>
            </w:tcBorders>
            <w:vAlign w:val="center"/>
            <w:hideMark/>
          </w:tcPr>
          <w:p w14:paraId="60182CC3"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1A7A2C94"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2005</w:t>
            </w:r>
          </w:p>
        </w:tc>
        <w:tc>
          <w:tcPr>
            <w:tcW w:w="1071" w:type="dxa"/>
            <w:tcBorders>
              <w:top w:val="nil"/>
              <w:left w:val="single" w:sz="4" w:space="0" w:color="auto"/>
              <w:bottom w:val="nil"/>
              <w:right w:val="nil"/>
            </w:tcBorders>
            <w:shd w:val="clear" w:color="auto" w:fill="auto"/>
            <w:noWrap/>
            <w:vAlign w:val="bottom"/>
            <w:hideMark/>
          </w:tcPr>
          <w:p w14:paraId="5C0CE74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0.454</w:t>
            </w:r>
          </w:p>
        </w:tc>
        <w:tc>
          <w:tcPr>
            <w:tcW w:w="708" w:type="dxa"/>
            <w:tcBorders>
              <w:top w:val="nil"/>
              <w:left w:val="nil"/>
              <w:bottom w:val="nil"/>
              <w:right w:val="nil"/>
            </w:tcBorders>
            <w:shd w:val="clear" w:color="auto" w:fill="auto"/>
            <w:noWrap/>
            <w:vAlign w:val="bottom"/>
            <w:hideMark/>
          </w:tcPr>
          <w:p w14:paraId="761193D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0.259</w:t>
            </w:r>
          </w:p>
        </w:tc>
        <w:tc>
          <w:tcPr>
            <w:tcW w:w="626" w:type="dxa"/>
            <w:tcBorders>
              <w:top w:val="nil"/>
              <w:left w:val="nil"/>
              <w:bottom w:val="nil"/>
              <w:right w:val="nil"/>
            </w:tcBorders>
            <w:shd w:val="clear" w:color="auto" w:fill="auto"/>
            <w:noWrap/>
            <w:vAlign w:val="bottom"/>
            <w:hideMark/>
          </w:tcPr>
          <w:p w14:paraId="1B6275E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0.086</w:t>
            </w:r>
          </w:p>
        </w:tc>
        <w:tc>
          <w:tcPr>
            <w:tcW w:w="1247" w:type="dxa"/>
            <w:tcBorders>
              <w:top w:val="nil"/>
              <w:left w:val="nil"/>
              <w:bottom w:val="nil"/>
              <w:right w:val="nil"/>
            </w:tcBorders>
            <w:shd w:val="clear" w:color="auto" w:fill="auto"/>
            <w:noWrap/>
            <w:vAlign w:val="bottom"/>
            <w:hideMark/>
          </w:tcPr>
          <w:p w14:paraId="2B51F90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0.192</w:t>
            </w:r>
          </w:p>
        </w:tc>
        <w:tc>
          <w:tcPr>
            <w:tcW w:w="700" w:type="dxa"/>
            <w:tcBorders>
              <w:top w:val="nil"/>
              <w:left w:val="nil"/>
              <w:bottom w:val="nil"/>
              <w:right w:val="single" w:sz="4" w:space="0" w:color="auto"/>
            </w:tcBorders>
            <w:shd w:val="clear" w:color="auto" w:fill="auto"/>
            <w:noWrap/>
            <w:vAlign w:val="bottom"/>
            <w:hideMark/>
          </w:tcPr>
          <w:p w14:paraId="02CC7BA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c>
          <w:tcPr>
            <w:tcW w:w="1071" w:type="dxa"/>
            <w:tcBorders>
              <w:top w:val="nil"/>
              <w:left w:val="single" w:sz="4" w:space="0" w:color="auto"/>
              <w:bottom w:val="nil"/>
              <w:right w:val="nil"/>
            </w:tcBorders>
            <w:shd w:val="clear" w:color="auto" w:fill="auto"/>
            <w:noWrap/>
            <w:vAlign w:val="bottom"/>
            <w:hideMark/>
          </w:tcPr>
          <w:p w14:paraId="79AFBEC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0.314</w:t>
            </w:r>
          </w:p>
        </w:tc>
        <w:tc>
          <w:tcPr>
            <w:tcW w:w="708" w:type="dxa"/>
            <w:tcBorders>
              <w:top w:val="nil"/>
              <w:left w:val="nil"/>
              <w:bottom w:val="nil"/>
              <w:right w:val="nil"/>
            </w:tcBorders>
            <w:shd w:val="clear" w:color="auto" w:fill="auto"/>
            <w:noWrap/>
            <w:vAlign w:val="bottom"/>
            <w:hideMark/>
          </w:tcPr>
          <w:p w14:paraId="6635E83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0.538</w:t>
            </w:r>
          </w:p>
        </w:tc>
        <w:tc>
          <w:tcPr>
            <w:tcW w:w="626" w:type="dxa"/>
            <w:tcBorders>
              <w:top w:val="nil"/>
              <w:left w:val="nil"/>
              <w:bottom w:val="nil"/>
              <w:right w:val="nil"/>
            </w:tcBorders>
            <w:shd w:val="clear" w:color="auto" w:fill="auto"/>
            <w:noWrap/>
            <w:vAlign w:val="bottom"/>
            <w:hideMark/>
          </w:tcPr>
          <w:p w14:paraId="3D19E7A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0.021</w:t>
            </w:r>
          </w:p>
        </w:tc>
        <w:tc>
          <w:tcPr>
            <w:tcW w:w="1247" w:type="dxa"/>
            <w:tcBorders>
              <w:top w:val="nil"/>
              <w:left w:val="nil"/>
              <w:bottom w:val="nil"/>
              <w:right w:val="nil"/>
            </w:tcBorders>
            <w:shd w:val="clear" w:color="auto" w:fill="auto"/>
            <w:noWrap/>
            <w:vAlign w:val="bottom"/>
            <w:hideMark/>
          </w:tcPr>
          <w:p w14:paraId="25D81C6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0.117</w:t>
            </w:r>
          </w:p>
        </w:tc>
        <w:tc>
          <w:tcPr>
            <w:tcW w:w="698" w:type="dxa"/>
            <w:tcBorders>
              <w:top w:val="nil"/>
              <w:left w:val="nil"/>
              <w:bottom w:val="nil"/>
              <w:right w:val="single" w:sz="4" w:space="0" w:color="auto"/>
            </w:tcBorders>
            <w:shd w:val="clear" w:color="auto" w:fill="auto"/>
            <w:noWrap/>
            <w:vAlign w:val="bottom"/>
            <w:hideMark/>
          </w:tcPr>
          <w:p w14:paraId="6EC65A2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0.010</w:t>
            </w:r>
          </w:p>
        </w:tc>
        <w:tc>
          <w:tcPr>
            <w:tcW w:w="1071" w:type="dxa"/>
            <w:tcBorders>
              <w:top w:val="nil"/>
              <w:left w:val="single" w:sz="4" w:space="0" w:color="auto"/>
              <w:bottom w:val="nil"/>
              <w:right w:val="nil"/>
            </w:tcBorders>
            <w:shd w:val="clear" w:color="auto" w:fill="auto"/>
            <w:noWrap/>
            <w:vAlign w:val="bottom"/>
            <w:hideMark/>
          </w:tcPr>
          <w:p w14:paraId="4A7CA57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0.458</w:t>
            </w:r>
          </w:p>
        </w:tc>
        <w:tc>
          <w:tcPr>
            <w:tcW w:w="708" w:type="dxa"/>
            <w:tcBorders>
              <w:top w:val="nil"/>
              <w:left w:val="nil"/>
              <w:bottom w:val="nil"/>
              <w:right w:val="nil"/>
            </w:tcBorders>
            <w:shd w:val="clear" w:color="auto" w:fill="auto"/>
            <w:noWrap/>
            <w:vAlign w:val="bottom"/>
            <w:hideMark/>
          </w:tcPr>
          <w:p w14:paraId="2AE49B4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0.220</w:t>
            </w:r>
          </w:p>
        </w:tc>
        <w:tc>
          <w:tcPr>
            <w:tcW w:w="626" w:type="dxa"/>
            <w:tcBorders>
              <w:top w:val="nil"/>
              <w:left w:val="nil"/>
              <w:bottom w:val="nil"/>
              <w:right w:val="nil"/>
            </w:tcBorders>
            <w:shd w:val="clear" w:color="auto" w:fill="auto"/>
            <w:noWrap/>
            <w:vAlign w:val="bottom"/>
            <w:hideMark/>
          </w:tcPr>
          <w:p w14:paraId="1F25AC7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0.093</w:t>
            </w:r>
          </w:p>
        </w:tc>
        <w:tc>
          <w:tcPr>
            <w:tcW w:w="1247" w:type="dxa"/>
            <w:tcBorders>
              <w:top w:val="nil"/>
              <w:left w:val="nil"/>
              <w:bottom w:val="nil"/>
              <w:right w:val="nil"/>
            </w:tcBorders>
            <w:shd w:val="clear" w:color="auto" w:fill="auto"/>
            <w:noWrap/>
            <w:vAlign w:val="bottom"/>
            <w:hideMark/>
          </w:tcPr>
          <w:p w14:paraId="03570C0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0.222</w:t>
            </w:r>
          </w:p>
        </w:tc>
        <w:tc>
          <w:tcPr>
            <w:tcW w:w="698" w:type="dxa"/>
            <w:tcBorders>
              <w:top w:val="nil"/>
              <w:left w:val="nil"/>
              <w:bottom w:val="nil"/>
              <w:right w:val="nil"/>
            </w:tcBorders>
            <w:shd w:val="clear" w:color="auto" w:fill="auto"/>
            <w:noWrap/>
            <w:vAlign w:val="bottom"/>
            <w:hideMark/>
          </w:tcPr>
          <w:p w14:paraId="3D745EF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0.007</w:t>
            </w:r>
          </w:p>
        </w:tc>
      </w:tr>
      <w:tr w:rsidR="00304411" w:rsidRPr="00435469" w14:paraId="22D4911D" w14:textId="77777777" w:rsidTr="00E84FC8">
        <w:trPr>
          <w:trHeight w:val="264"/>
        </w:trPr>
        <w:tc>
          <w:tcPr>
            <w:tcW w:w="753" w:type="dxa"/>
            <w:vMerge/>
            <w:tcBorders>
              <w:top w:val="nil"/>
              <w:left w:val="nil"/>
              <w:bottom w:val="nil"/>
              <w:right w:val="nil"/>
            </w:tcBorders>
            <w:vAlign w:val="center"/>
            <w:hideMark/>
          </w:tcPr>
          <w:p w14:paraId="3D3CA3A8"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5A5F401E"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2006</w:t>
            </w:r>
          </w:p>
        </w:tc>
        <w:tc>
          <w:tcPr>
            <w:tcW w:w="1071" w:type="dxa"/>
            <w:tcBorders>
              <w:top w:val="nil"/>
              <w:left w:val="single" w:sz="4" w:space="0" w:color="auto"/>
              <w:bottom w:val="nil"/>
              <w:right w:val="nil"/>
            </w:tcBorders>
            <w:shd w:val="clear" w:color="auto" w:fill="auto"/>
            <w:noWrap/>
            <w:vAlign w:val="bottom"/>
            <w:hideMark/>
          </w:tcPr>
          <w:p w14:paraId="132BA1C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0.455</w:t>
            </w:r>
          </w:p>
        </w:tc>
        <w:tc>
          <w:tcPr>
            <w:tcW w:w="708" w:type="dxa"/>
            <w:tcBorders>
              <w:top w:val="nil"/>
              <w:left w:val="nil"/>
              <w:bottom w:val="nil"/>
              <w:right w:val="nil"/>
            </w:tcBorders>
            <w:shd w:val="clear" w:color="auto" w:fill="auto"/>
            <w:noWrap/>
            <w:vAlign w:val="bottom"/>
            <w:hideMark/>
          </w:tcPr>
          <w:p w14:paraId="0BEB2CB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0.266</w:t>
            </w:r>
          </w:p>
        </w:tc>
        <w:tc>
          <w:tcPr>
            <w:tcW w:w="626" w:type="dxa"/>
            <w:tcBorders>
              <w:top w:val="nil"/>
              <w:left w:val="nil"/>
              <w:bottom w:val="nil"/>
              <w:right w:val="nil"/>
            </w:tcBorders>
            <w:shd w:val="clear" w:color="auto" w:fill="auto"/>
            <w:noWrap/>
            <w:vAlign w:val="bottom"/>
            <w:hideMark/>
          </w:tcPr>
          <w:p w14:paraId="581E0F0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0.092</w:t>
            </w:r>
          </w:p>
        </w:tc>
        <w:tc>
          <w:tcPr>
            <w:tcW w:w="1247" w:type="dxa"/>
            <w:tcBorders>
              <w:top w:val="nil"/>
              <w:left w:val="nil"/>
              <w:bottom w:val="nil"/>
              <w:right w:val="nil"/>
            </w:tcBorders>
            <w:shd w:val="clear" w:color="auto" w:fill="auto"/>
            <w:noWrap/>
            <w:vAlign w:val="bottom"/>
            <w:hideMark/>
          </w:tcPr>
          <w:p w14:paraId="1433C7D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0.176</w:t>
            </w:r>
          </w:p>
        </w:tc>
        <w:tc>
          <w:tcPr>
            <w:tcW w:w="700" w:type="dxa"/>
            <w:tcBorders>
              <w:top w:val="nil"/>
              <w:left w:val="nil"/>
              <w:bottom w:val="nil"/>
              <w:right w:val="single" w:sz="4" w:space="0" w:color="auto"/>
            </w:tcBorders>
            <w:shd w:val="clear" w:color="auto" w:fill="auto"/>
            <w:noWrap/>
            <w:vAlign w:val="bottom"/>
            <w:hideMark/>
          </w:tcPr>
          <w:p w14:paraId="2185D7A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0.010</w:t>
            </w:r>
          </w:p>
        </w:tc>
        <w:tc>
          <w:tcPr>
            <w:tcW w:w="1071" w:type="dxa"/>
            <w:tcBorders>
              <w:top w:val="nil"/>
              <w:left w:val="single" w:sz="4" w:space="0" w:color="auto"/>
              <w:bottom w:val="nil"/>
              <w:right w:val="nil"/>
            </w:tcBorders>
            <w:shd w:val="clear" w:color="auto" w:fill="auto"/>
            <w:noWrap/>
            <w:vAlign w:val="bottom"/>
            <w:hideMark/>
          </w:tcPr>
          <w:p w14:paraId="26AEC7A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0.325</w:t>
            </w:r>
          </w:p>
        </w:tc>
        <w:tc>
          <w:tcPr>
            <w:tcW w:w="708" w:type="dxa"/>
            <w:tcBorders>
              <w:top w:val="nil"/>
              <w:left w:val="nil"/>
              <w:bottom w:val="nil"/>
              <w:right w:val="nil"/>
            </w:tcBorders>
            <w:shd w:val="clear" w:color="auto" w:fill="auto"/>
            <w:noWrap/>
            <w:vAlign w:val="bottom"/>
            <w:hideMark/>
          </w:tcPr>
          <w:p w14:paraId="1A2E556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0.522</w:t>
            </w:r>
          </w:p>
        </w:tc>
        <w:tc>
          <w:tcPr>
            <w:tcW w:w="626" w:type="dxa"/>
            <w:tcBorders>
              <w:top w:val="nil"/>
              <w:left w:val="nil"/>
              <w:bottom w:val="nil"/>
              <w:right w:val="nil"/>
            </w:tcBorders>
            <w:shd w:val="clear" w:color="auto" w:fill="auto"/>
            <w:noWrap/>
            <w:vAlign w:val="bottom"/>
            <w:hideMark/>
          </w:tcPr>
          <w:p w14:paraId="7E8EC39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0.025</w:t>
            </w:r>
          </w:p>
        </w:tc>
        <w:tc>
          <w:tcPr>
            <w:tcW w:w="1247" w:type="dxa"/>
            <w:tcBorders>
              <w:top w:val="nil"/>
              <w:left w:val="nil"/>
              <w:bottom w:val="nil"/>
              <w:right w:val="nil"/>
            </w:tcBorders>
            <w:shd w:val="clear" w:color="auto" w:fill="auto"/>
            <w:noWrap/>
            <w:vAlign w:val="bottom"/>
            <w:hideMark/>
          </w:tcPr>
          <w:p w14:paraId="45F2E8D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0.117</w:t>
            </w:r>
          </w:p>
        </w:tc>
        <w:tc>
          <w:tcPr>
            <w:tcW w:w="698" w:type="dxa"/>
            <w:tcBorders>
              <w:top w:val="nil"/>
              <w:left w:val="nil"/>
              <w:bottom w:val="nil"/>
              <w:right w:val="single" w:sz="4" w:space="0" w:color="auto"/>
            </w:tcBorders>
            <w:shd w:val="clear" w:color="auto" w:fill="auto"/>
            <w:noWrap/>
            <w:vAlign w:val="bottom"/>
            <w:hideMark/>
          </w:tcPr>
          <w:p w14:paraId="12DAC67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0.011</w:t>
            </w:r>
          </w:p>
        </w:tc>
        <w:tc>
          <w:tcPr>
            <w:tcW w:w="1071" w:type="dxa"/>
            <w:tcBorders>
              <w:top w:val="nil"/>
              <w:left w:val="single" w:sz="4" w:space="0" w:color="auto"/>
              <w:bottom w:val="nil"/>
              <w:right w:val="nil"/>
            </w:tcBorders>
            <w:shd w:val="clear" w:color="auto" w:fill="auto"/>
            <w:noWrap/>
            <w:vAlign w:val="bottom"/>
            <w:hideMark/>
          </w:tcPr>
          <w:p w14:paraId="6DFD691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0.475</w:t>
            </w:r>
          </w:p>
        </w:tc>
        <w:tc>
          <w:tcPr>
            <w:tcW w:w="708" w:type="dxa"/>
            <w:tcBorders>
              <w:top w:val="nil"/>
              <w:left w:val="nil"/>
              <w:bottom w:val="nil"/>
              <w:right w:val="nil"/>
            </w:tcBorders>
            <w:shd w:val="clear" w:color="auto" w:fill="auto"/>
            <w:noWrap/>
            <w:vAlign w:val="bottom"/>
            <w:hideMark/>
          </w:tcPr>
          <w:p w14:paraId="2DB5CD0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0.225</w:t>
            </w:r>
          </w:p>
        </w:tc>
        <w:tc>
          <w:tcPr>
            <w:tcW w:w="626" w:type="dxa"/>
            <w:tcBorders>
              <w:top w:val="nil"/>
              <w:left w:val="nil"/>
              <w:bottom w:val="nil"/>
              <w:right w:val="nil"/>
            </w:tcBorders>
            <w:shd w:val="clear" w:color="auto" w:fill="auto"/>
            <w:noWrap/>
            <w:vAlign w:val="bottom"/>
            <w:hideMark/>
          </w:tcPr>
          <w:p w14:paraId="32887E5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0.098</w:t>
            </w:r>
          </w:p>
        </w:tc>
        <w:tc>
          <w:tcPr>
            <w:tcW w:w="1247" w:type="dxa"/>
            <w:tcBorders>
              <w:top w:val="nil"/>
              <w:left w:val="nil"/>
              <w:bottom w:val="nil"/>
              <w:right w:val="nil"/>
            </w:tcBorders>
            <w:shd w:val="clear" w:color="auto" w:fill="auto"/>
            <w:noWrap/>
            <w:vAlign w:val="bottom"/>
            <w:hideMark/>
          </w:tcPr>
          <w:p w14:paraId="396454F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0.196</w:t>
            </w:r>
          </w:p>
        </w:tc>
        <w:tc>
          <w:tcPr>
            <w:tcW w:w="698" w:type="dxa"/>
            <w:tcBorders>
              <w:top w:val="nil"/>
              <w:left w:val="nil"/>
              <w:bottom w:val="nil"/>
              <w:right w:val="nil"/>
            </w:tcBorders>
            <w:shd w:val="clear" w:color="auto" w:fill="auto"/>
            <w:noWrap/>
            <w:vAlign w:val="bottom"/>
            <w:hideMark/>
          </w:tcPr>
          <w:p w14:paraId="591C040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0.007</w:t>
            </w:r>
          </w:p>
        </w:tc>
      </w:tr>
      <w:tr w:rsidR="00304411" w:rsidRPr="00435469" w14:paraId="1960F938" w14:textId="77777777" w:rsidTr="00E84FC8">
        <w:trPr>
          <w:trHeight w:val="264"/>
        </w:trPr>
        <w:tc>
          <w:tcPr>
            <w:tcW w:w="753" w:type="dxa"/>
            <w:vMerge/>
            <w:tcBorders>
              <w:top w:val="nil"/>
              <w:left w:val="nil"/>
              <w:bottom w:val="nil"/>
              <w:right w:val="nil"/>
            </w:tcBorders>
            <w:vAlign w:val="center"/>
            <w:hideMark/>
          </w:tcPr>
          <w:p w14:paraId="4FCFBAF5"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6F443666"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2007</w:t>
            </w:r>
          </w:p>
        </w:tc>
        <w:tc>
          <w:tcPr>
            <w:tcW w:w="1071" w:type="dxa"/>
            <w:tcBorders>
              <w:top w:val="nil"/>
              <w:left w:val="single" w:sz="4" w:space="0" w:color="auto"/>
              <w:bottom w:val="nil"/>
              <w:right w:val="nil"/>
            </w:tcBorders>
            <w:shd w:val="clear" w:color="auto" w:fill="auto"/>
            <w:noWrap/>
            <w:vAlign w:val="bottom"/>
            <w:hideMark/>
          </w:tcPr>
          <w:p w14:paraId="26E7C86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0.458</w:t>
            </w:r>
          </w:p>
        </w:tc>
        <w:tc>
          <w:tcPr>
            <w:tcW w:w="708" w:type="dxa"/>
            <w:tcBorders>
              <w:top w:val="nil"/>
              <w:left w:val="nil"/>
              <w:bottom w:val="nil"/>
              <w:right w:val="nil"/>
            </w:tcBorders>
            <w:shd w:val="clear" w:color="auto" w:fill="auto"/>
            <w:noWrap/>
            <w:vAlign w:val="bottom"/>
            <w:hideMark/>
          </w:tcPr>
          <w:p w14:paraId="24FF560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0.248</w:t>
            </w:r>
          </w:p>
        </w:tc>
        <w:tc>
          <w:tcPr>
            <w:tcW w:w="626" w:type="dxa"/>
            <w:tcBorders>
              <w:top w:val="nil"/>
              <w:left w:val="nil"/>
              <w:bottom w:val="nil"/>
              <w:right w:val="nil"/>
            </w:tcBorders>
            <w:shd w:val="clear" w:color="auto" w:fill="auto"/>
            <w:noWrap/>
            <w:vAlign w:val="bottom"/>
            <w:hideMark/>
          </w:tcPr>
          <w:p w14:paraId="72934E9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0.105</w:t>
            </w:r>
          </w:p>
        </w:tc>
        <w:tc>
          <w:tcPr>
            <w:tcW w:w="1247" w:type="dxa"/>
            <w:tcBorders>
              <w:top w:val="nil"/>
              <w:left w:val="nil"/>
              <w:bottom w:val="nil"/>
              <w:right w:val="nil"/>
            </w:tcBorders>
            <w:shd w:val="clear" w:color="auto" w:fill="auto"/>
            <w:noWrap/>
            <w:vAlign w:val="bottom"/>
            <w:hideMark/>
          </w:tcPr>
          <w:p w14:paraId="183BA63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0.179</w:t>
            </w:r>
          </w:p>
        </w:tc>
        <w:tc>
          <w:tcPr>
            <w:tcW w:w="700" w:type="dxa"/>
            <w:tcBorders>
              <w:top w:val="nil"/>
              <w:left w:val="nil"/>
              <w:bottom w:val="nil"/>
              <w:right w:val="single" w:sz="4" w:space="0" w:color="auto"/>
            </w:tcBorders>
            <w:shd w:val="clear" w:color="auto" w:fill="auto"/>
            <w:noWrap/>
            <w:vAlign w:val="bottom"/>
            <w:hideMark/>
          </w:tcPr>
          <w:p w14:paraId="43655DD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22CD8EE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0.372</w:t>
            </w:r>
          </w:p>
        </w:tc>
        <w:tc>
          <w:tcPr>
            <w:tcW w:w="708" w:type="dxa"/>
            <w:tcBorders>
              <w:top w:val="nil"/>
              <w:left w:val="nil"/>
              <w:bottom w:val="nil"/>
              <w:right w:val="nil"/>
            </w:tcBorders>
            <w:shd w:val="clear" w:color="auto" w:fill="auto"/>
            <w:noWrap/>
            <w:vAlign w:val="bottom"/>
            <w:hideMark/>
          </w:tcPr>
          <w:p w14:paraId="42EFAAD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0.455</w:t>
            </w:r>
          </w:p>
        </w:tc>
        <w:tc>
          <w:tcPr>
            <w:tcW w:w="626" w:type="dxa"/>
            <w:tcBorders>
              <w:top w:val="nil"/>
              <w:left w:val="nil"/>
              <w:bottom w:val="nil"/>
              <w:right w:val="nil"/>
            </w:tcBorders>
            <w:shd w:val="clear" w:color="auto" w:fill="auto"/>
            <w:noWrap/>
            <w:vAlign w:val="bottom"/>
            <w:hideMark/>
          </w:tcPr>
          <w:p w14:paraId="7F7A47D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0.031</w:t>
            </w:r>
          </w:p>
        </w:tc>
        <w:tc>
          <w:tcPr>
            <w:tcW w:w="1247" w:type="dxa"/>
            <w:tcBorders>
              <w:top w:val="nil"/>
              <w:left w:val="nil"/>
              <w:bottom w:val="nil"/>
              <w:right w:val="nil"/>
            </w:tcBorders>
            <w:shd w:val="clear" w:color="auto" w:fill="auto"/>
            <w:noWrap/>
            <w:vAlign w:val="bottom"/>
            <w:hideMark/>
          </w:tcPr>
          <w:p w14:paraId="1123948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0.129</w:t>
            </w:r>
          </w:p>
        </w:tc>
        <w:tc>
          <w:tcPr>
            <w:tcW w:w="698" w:type="dxa"/>
            <w:tcBorders>
              <w:top w:val="nil"/>
              <w:left w:val="nil"/>
              <w:bottom w:val="nil"/>
              <w:right w:val="single" w:sz="4" w:space="0" w:color="auto"/>
            </w:tcBorders>
            <w:shd w:val="clear" w:color="auto" w:fill="auto"/>
            <w:noWrap/>
            <w:vAlign w:val="bottom"/>
            <w:hideMark/>
          </w:tcPr>
          <w:p w14:paraId="1D0584D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0.013</w:t>
            </w:r>
          </w:p>
        </w:tc>
        <w:tc>
          <w:tcPr>
            <w:tcW w:w="1071" w:type="dxa"/>
            <w:tcBorders>
              <w:top w:val="nil"/>
              <w:left w:val="single" w:sz="4" w:space="0" w:color="auto"/>
              <w:bottom w:val="nil"/>
              <w:right w:val="nil"/>
            </w:tcBorders>
            <w:shd w:val="clear" w:color="auto" w:fill="auto"/>
            <w:noWrap/>
            <w:vAlign w:val="bottom"/>
            <w:hideMark/>
          </w:tcPr>
          <w:p w14:paraId="77C4F8E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0.466</w:t>
            </w:r>
          </w:p>
        </w:tc>
        <w:tc>
          <w:tcPr>
            <w:tcW w:w="708" w:type="dxa"/>
            <w:tcBorders>
              <w:top w:val="nil"/>
              <w:left w:val="nil"/>
              <w:bottom w:val="nil"/>
              <w:right w:val="nil"/>
            </w:tcBorders>
            <w:shd w:val="clear" w:color="auto" w:fill="auto"/>
            <w:noWrap/>
            <w:vAlign w:val="bottom"/>
            <w:hideMark/>
          </w:tcPr>
          <w:p w14:paraId="5A8C96F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0.234</w:t>
            </w:r>
          </w:p>
        </w:tc>
        <w:tc>
          <w:tcPr>
            <w:tcW w:w="626" w:type="dxa"/>
            <w:tcBorders>
              <w:top w:val="nil"/>
              <w:left w:val="nil"/>
              <w:bottom w:val="nil"/>
              <w:right w:val="nil"/>
            </w:tcBorders>
            <w:shd w:val="clear" w:color="auto" w:fill="auto"/>
            <w:noWrap/>
            <w:vAlign w:val="bottom"/>
            <w:hideMark/>
          </w:tcPr>
          <w:p w14:paraId="5E89849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0.100</w:t>
            </w:r>
          </w:p>
        </w:tc>
        <w:tc>
          <w:tcPr>
            <w:tcW w:w="1247" w:type="dxa"/>
            <w:tcBorders>
              <w:top w:val="nil"/>
              <w:left w:val="nil"/>
              <w:bottom w:val="nil"/>
              <w:right w:val="nil"/>
            </w:tcBorders>
            <w:shd w:val="clear" w:color="auto" w:fill="auto"/>
            <w:noWrap/>
            <w:vAlign w:val="bottom"/>
            <w:hideMark/>
          </w:tcPr>
          <w:p w14:paraId="5CB0411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0.192</w:t>
            </w:r>
          </w:p>
        </w:tc>
        <w:tc>
          <w:tcPr>
            <w:tcW w:w="698" w:type="dxa"/>
            <w:tcBorders>
              <w:top w:val="nil"/>
              <w:left w:val="nil"/>
              <w:bottom w:val="nil"/>
              <w:right w:val="nil"/>
            </w:tcBorders>
            <w:shd w:val="clear" w:color="auto" w:fill="auto"/>
            <w:noWrap/>
            <w:vAlign w:val="bottom"/>
            <w:hideMark/>
          </w:tcPr>
          <w:p w14:paraId="70BCE31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0.007</w:t>
            </w:r>
          </w:p>
        </w:tc>
      </w:tr>
      <w:tr w:rsidR="00304411" w:rsidRPr="00435469" w14:paraId="2AB951EA" w14:textId="77777777" w:rsidTr="00E84FC8">
        <w:trPr>
          <w:trHeight w:val="264"/>
        </w:trPr>
        <w:tc>
          <w:tcPr>
            <w:tcW w:w="753" w:type="dxa"/>
            <w:vMerge/>
            <w:tcBorders>
              <w:top w:val="nil"/>
              <w:left w:val="nil"/>
              <w:bottom w:val="nil"/>
              <w:right w:val="nil"/>
            </w:tcBorders>
            <w:vAlign w:val="center"/>
            <w:hideMark/>
          </w:tcPr>
          <w:p w14:paraId="3845A998"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6387F44C"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2008</w:t>
            </w:r>
          </w:p>
        </w:tc>
        <w:tc>
          <w:tcPr>
            <w:tcW w:w="1071" w:type="dxa"/>
            <w:tcBorders>
              <w:top w:val="nil"/>
              <w:left w:val="single" w:sz="4" w:space="0" w:color="auto"/>
              <w:bottom w:val="nil"/>
              <w:right w:val="nil"/>
            </w:tcBorders>
            <w:shd w:val="clear" w:color="auto" w:fill="auto"/>
            <w:noWrap/>
            <w:vAlign w:val="bottom"/>
            <w:hideMark/>
          </w:tcPr>
          <w:p w14:paraId="71B3FDC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0.465</w:t>
            </w:r>
          </w:p>
        </w:tc>
        <w:tc>
          <w:tcPr>
            <w:tcW w:w="708" w:type="dxa"/>
            <w:tcBorders>
              <w:top w:val="nil"/>
              <w:left w:val="nil"/>
              <w:bottom w:val="nil"/>
              <w:right w:val="nil"/>
            </w:tcBorders>
            <w:shd w:val="clear" w:color="auto" w:fill="auto"/>
            <w:noWrap/>
            <w:vAlign w:val="bottom"/>
            <w:hideMark/>
          </w:tcPr>
          <w:p w14:paraId="211B599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0.237</w:t>
            </w:r>
          </w:p>
        </w:tc>
        <w:tc>
          <w:tcPr>
            <w:tcW w:w="626" w:type="dxa"/>
            <w:tcBorders>
              <w:top w:val="nil"/>
              <w:left w:val="nil"/>
              <w:bottom w:val="nil"/>
              <w:right w:val="nil"/>
            </w:tcBorders>
            <w:shd w:val="clear" w:color="auto" w:fill="auto"/>
            <w:noWrap/>
            <w:vAlign w:val="bottom"/>
            <w:hideMark/>
          </w:tcPr>
          <w:p w14:paraId="3147D1D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0.116</w:t>
            </w:r>
          </w:p>
        </w:tc>
        <w:tc>
          <w:tcPr>
            <w:tcW w:w="1247" w:type="dxa"/>
            <w:tcBorders>
              <w:top w:val="nil"/>
              <w:left w:val="nil"/>
              <w:bottom w:val="nil"/>
              <w:right w:val="nil"/>
            </w:tcBorders>
            <w:shd w:val="clear" w:color="auto" w:fill="auto"/>
            <w:noWrap/>
            <w:vAlign w:val="bottom"/>
            <w:hideMark/>
          </w:tcPr>
          <w:p w14:paraId="2B49E77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0.174</w:t>
            </w:r>
          </w:p>
        </w:tc>
        <w:tc>
          <w:tcPr>
            <w:tcW w:w="700" w:type="dxa"/>
            <w:tcBorders>
              <w:top w:val="nil"/>
              <w:left w:val="nil"/>
              <w:bottom w:val="nil"/>
              <w:right w:val="single" w:sz="4" w:space="0" w:color="auto"/>
            </w:tcBorders>
            <w:shd w:val="clear" w:color="auto" w:fill="auto"/>
            <w:noWrap/>
            <w:vAlign w:val="bottom"/>
            <w:hideMark/>
          </w:tcPr>
          <w:p w14:paraId="4D42A41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109CEB1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0.433</w:t>
            </w:r>
          </w:p>
        </w:tc>
        <w:tc>
          <w:tcPr>
            <w:tcW w:w="708" w:type="dxa"/>
            <w:tcBorders>
              <w:top w:val="nil"/>
              <w:left w:val="nil"/>
              <w:bottom w:val="nil"/>
              <w:right w:val="nil"/>
            </w:tcBorders>
            <w:shd w:val="clear" w:color="auto" w:fill="auto"/>
            <w:noWrap/>
            <w:vAlign w:val="bottom"/>
            <w:hideMark/>
          </w:tcPr>
          <w:p w14:paraId="6EF436D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0.380</w:t>
            </w:r>
          </w:p>
        </w:tc>
        <w:tc>
          <w:tcPr>
            <w:tcW w:w="626" w:type="dxa"/>
            <w:tcBorders>
              <w:top w:val="nil"/>
              <w:left w:val="nil"/>
              <w:bottom w:val="nil"/>
              <w:right w:val="nil"/>
            </w:tcBorders>
            <w:shd w:val="clear" w:color="auto" w:fill="auto"/>
            <w:noWrap/>
            <w:vAlign w:val="bottom"/>
            <w:hideMark/>
          </w:tcPr>
          <w:p w14:paraId="29E97DC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0.041</w:t>
            </w:r>
          </w:p>
        </w:tc>
        <w:tc>
          <w:tcPr>
            <w:tcW w:w="1247" w:type="dxa"/>
            <w:tcBorders>
              <w:top w:val="nil"/>
              <w:left w:val="nil"/>
              <w:bottom w:val="nil"/>
              <w:right w:val="nil"/>
            </w:tcBorders>
            <w:shd w:val="clear" w:color="auto" w:fill="auto"/>
            <w:noWrap/>
            <w:vAlign w:val="bottom"/>
            <w:hideMark/>
          </w:tcPr>
          <w:p w14:paraId="7D8AE57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0.137</w:t>
            </w:r>
          </w:p>
        </w:tc>
        <w:tc>
          <w:tcPr>
            <w:tcW w:w="698" w:type="dxa"/>
            <w:tcBorders>
              <w:top w:val="nil"/>
              <w:left w:val="nil"/>
              <w:bottom w:val="nil"/>
              <w:right w:val="single" w:sz="4" w:space="0" w:color="auto"/>
            </w:tcBorders>
            <w:shd w:val="clear" w:color="auto" w:fill="auto"/>
            <w:noWrap/>
            <w:vAlign w:val="bottom"/>
            <w:hideMark/>
          </w:tcPr>
          <w:p w14:paraId="54925D4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0E112C4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0.477</w:t>
            </w:r>
          </w:p>
        </w:tc>
        <w:tc>
          <w:tcPr>
            <w:tcW w:w="708" w:type="dxa"/>
            <w:tcBorders>
              <w:top w:val="nil"/>
              <w:left w:val="nil"/>
              <w:bottom w:val="nil"/>
              <w:right w:val="nil"/>
            </w:tcBorders>
            <w:shd w:val="clear" w:color="auto" w:fill="auto"/>
            <w:noWrap/>
            <w:vAlign w:val="bottom"/>
            <w:hideMark/>
          </w:tcPr>
          <w:p w14:paraId="43DBB40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0.221</w:t>
            </w:r>
          </w:p>
        </w:tc>
        <w:tc>
          <w:tcPr>
            <w:tcW w:w="626" w:type="dxa"/>
            <w:tcBorders>
              <w:top w:val="nil"/>
              <w:left w:val="nil"/>
              <w:bottom w:val="nil"/>
              <w:right w:val="nil"/>
            </w:tcBorders>
            <w:shd w:val="clear" w:color="auto" w:fill="auto"/>
            <w:noWrap/>
            <w:vAlign w:val="bottom"/>
            <w:hideMark/>
          </w:tcPr>
          <w:p w14:paraId="5E97028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0.098</w:t>
            </w:r>
          </w:p>
        </w:tc>
        <w:tc>
          <w:tcPr>
            <w:tcW w:w="1247" w:type="dxa"/>
            <w:tcBorders>
              <w:top w:val="nil"/>
              <w:left w:val="nil"/>
              <w:bottom w:val="nil"/>
              <w:right w:val="nil"/>
            </w:tcBorders>
            <w:shd w:val="clear" w:color="auto" w:fill="auto"/>
            <w:noWrap/>
            <w:vAlign w:val="bottom"/>
            <w:hideMark/>
          </w:tcPr>
          <w:p w14:paraId="6249E56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0.197</w:t>
            </w:r>
          </w:p>
        </w:tc>
        <w:tc>
          <w:tcPr>
            <w:tcW w:w="698" w:type="dxa"/>
            <w:tcBorders>
              <w:top w:val="nil"/>
              <w:left w:val="nil"/>
              <w:bottom w:val="nil"/>
              <w:right w:val="nil"/>
            </w:tcBorders>
            <w:shd w:val="clear" w:color="auto" w:fill="auto"/>
            <w:noWrap/>
            <w:vAlign w:val="bottom"/>
            <w:hideMark/>
          </w:tcPr>
          <w:p w14:paraId="47F2051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0.007</w:t>
            </w:r>
          </w:p>
        </w:tc>
      </w:tr>
      <w:tr w:rsidR="00304411" w:rsidRPr="00435469" w14:paraId="482BB732" w14:textId="77777777" w:rsidTr="00E84FC8">
        <w:trPr>
          <w:trHeight w:val="264"/>
        </w:trPr>
        <w:tc>
          <w:tcPr>
            <w:tcW w:w="753" w:type="dxa"/>
            <w:vMerge/>
            <w:tcBorders>
              <w:top w:val="nil"/>
              <w:left w:val="nil"/>
              <w:bottom w:val="nil"/>
              <w:right w:val="nil"/>
            </w:tcBorders>
            <w:vAlign w:val="center"/>
            <w:hideMark/>
          </w:tcPr>
          <w:p w14:paraId="228857B3"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639931C3"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2009</w:t>
            </w:r>
          </w:p>
        </w:tc>
        <w:tc>
          <w:tcPr>
            <w:tcW w:w="1071" w:type="dxa"/>
            <w:tcBorders>
              <w:top w:val="nil"/>
              <w:left w:val="single" w:sz="4" w:space="0" w:color="auto"/>
              <w:bottom w:val="nil"/>
              <w:right w:val="nil"/>
            </w:tcBorders>
            <w:shd w:val="clear" w:color="auto" w:fill="auto"/>
            <w:noWrap/>
            <w:vAlign w:val="bottom"/>
            <w:hideMark/>
          </w:tcPr>
          <w:p w14:paraId="0716E77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0.472</w:t>
            </w:r>
          </w:p>
        </w:tc>
        <w:tc>
          <w:tcPr>
            <w:tcW w:w="708" w:type="dxa"/>
            <w:tcBorders>
              <w:top w:val="nil"/>
              <w:left w:val="nil"/>
              <w:bottom w:val="nil"/>
              <w:right w:val="nil"/>
            </w:tcBorders>
            <w:shd w:val="clear" w:color="auto" w:fill="auto"/>
            <w:noWrap/>
            <w:vAlign w:val="bottom"/>
            <w:hideMark/>
          </w:tcPr>
          <w:p w14:paraId="14BADA7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0.243</w:t>
            </w:r>
          </w:p>
        </w:tc>
        <w:tc>
          <w:tcPr>
            <w:tcW w:w="626" w:type="dxa"/>
            <w:tcBorders>
              <w:top w:val="nil"/>
              <w:left w:val="nil"/>
              <w:bottom w:val="nil"/>
              <w:right w:val="nil"/>
            </w:tcBorders>
            <w:shd w:val="clear" w:color="auto" w:fill="auto"/>
            <w:noWrap/>
            <w:vAlign w:val="bottom"/>
            <w:hideMark/>
          </w:tcPr>
          <w:p w14:paraId="5F5AA71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0.109</w:t>
            </w:r>
          </w:p>
        </w:tc>
        <w:tc>
          <w:tcPr>
            <w:tcW w:w="1247" w:type="dxa"/>
            <w:tcBorders>
              <w:top w:val="nil"/>
              <w:left w:val="nil"/>
              <w:bottom w:val="nil"/>
              <w:right w:val="nil"/>
            </w:tcBorders>
            <w:shd w:val="clear" w:color="auto" w:fill="auto"/>
            <w:noWrap/>
            <w:vAlign w:val="bottom"/>
            <w:hideMark/>
          </w:tcPr>
          <w:p w14:paraId="33CA1F1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0.167</w:t>
            </w:r>
          </w:p>
        </w:tc>
        <w:tc>
          <w:tcPr>
            <w:tcW w:w="700" w:type="dxa"/>
            <w:tcBorders>
              <w:top w:val="nil"/>
              <w:left w:val="nil"/>
              <w:bottom w:val="nil"/>
              <w:right w:val="single" w:sz="4" w:space="0" w:color="auto"/>
            </w:tcBorders>
            <w:shd w:val="clear" w:color="auto" w:fill="auto"/>
            <w:noWrap/>
            <w:vAlign w:val="bottom"/>
            <w:hideMark/>
          </w:tcPr>
          <w:p w14:paraId="6C176C2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599BFF5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0.463</w:t>
            </w:r>
          </w:p>
        </w:tc>
        <w:tc>
          <w:tcPr>
            <w:tcW w:w="708" w:type="dxa"/>
            <w:tcBorders>
              <w:top w:val="nil"/>
              <w:left w:val="nil"/>
              <w:bottom w:val="nil"/>
              <w:right w:val="nil"/>
            </w:tcBorders>
            <w:shd w:val="clear" w:color="auto" w:fill="auto"/>
            <w:noWrap/>
            <w:vAlign w:val="bottom"/>
            <w:hideMark/>
          </w:tcPr>
          <w:p w14:paraId="50A0507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0.359</w:t>
            </w:r>
          </w:p>
        </w:tc>
        <w:tc>
          <w:tcPr>
            <w:tcW w:w="626" w:type="dxa"/>
            <w:tcBorders>
              <w:top w:val="nil"/>
              <w:left w:val="nil"/>
              <w:bottom w:val="nil"/>
              <w:right w:val="nil"/>
            </w:tcBorders>
            <w:shd w:val="clear" w:color="auto" w:fill="auto"/>
            <w:noWrap/>
            <w:vAlign w:val="bottom"/>
            <w:hideMark/>
          </w:tcPr>
          <w:p w14:paraId="313B386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0.040</w:t>
            </w:r>
          </w:p>
        </w:tc>
        <w:tc>
          <w:tcPr>
            <w:tcW w:w="1247" w:type="dxa"/>
            <w:tcBorders>
              <w:top w:val="nil"/>
              <w:left w:val="nil"/>
              <w:bottom w:val="nil"/>
              <w:right w:val="nil"/>
            </w:tcBorders>
            <w:shd w:val="clear" w:color="auto" w:fill="auto"/>
            <w:noWrap/>
            <w:vAlign w:val="bottom"/>
            <w:hideMark/>
          </w:tcPr>
          <w:p w14:paraId="47F06F9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0.129</w:t>
            </w:r>
          </w:p>
        </w:tc>
        <w:tc>
          <w:tcPr>
            <w:tcW w:w="698" w:type="dxa"/>
            <w:tcBorders>
              <w:top w:val="nil"/>
              <w:left w:val="nil"/>
              <w:bottom w:val="nil"/>
              <w:right w:val="single" w:sz="4" w:space="0" w:color="auto"/>
            </w:tcBorders>
            <w:shd w:val="clear" w:color="auto" w:fill="auto"/>
            <w:noWrap/>
            <w:vAlign w:val="bottom"/>
            <w:hideMark/>
          </w:tcPr>
          <w:p w14:paraId="6DF68E7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26C50A9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0.500</w:t>
            </w:r>
          </w:p>
        </w:tc>
        <w:tc>
          <w:tcPr>
            <w:tcW w:w="708" w:type="dxa"/>
            <w:tcBorders>
              <w:top w:val="nil"/>
              <w:left w:val="nil"/>
              <w:bottom w:val="nil"/>
              <w:right w:val="nil"/>
            </w:tcBorders>
            <w:shd w:val="clear" w:color="auto" w:fill="auto"/>
            <w:noWrap/>
            <w:vAlign w:val="bottom"/>
            <w:hideMark/>
          </w:tcPr>
          <w:p w14:paraId="7033C06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0.228</w:t>
            </w:r>
          </w:p>
        </w:tc>
        <w:tc>
          <w:tcPr>
            <w:tcW w:w="626" w:type="dxa"/>
            <w:tcBorders>
              <w:top w:val="nil"/>
              <w:left w:val="nil"/>
              <w:bottom w:val="nil"/>
              <w:right w:val="nil"/>
            </w:tcBorders>
            <w:shd w:val="clear" w:color="auto" w:fill="auto"/>
            <w:noWrap/>
            <w:vAlign w:val="bottom"/>
            <w:hideMark/>
          </w:tcPr>
          <w:p w14:paraId="0C6849A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0.095</w:t>
            </w:r>
          </w:p>
        </w:tc>
        <w:tc>
          <w:tcPr>
            <w:tcW w:w="1247" w:type="dxa"/>
            <w:tcBorders>
              <w:top w:val="nil"/>
              <w:left w:val="nil"/>
              <w:bottom w:val="nil"/>
              <w:right w:val="nil"/>
            </w:tcBorders>
            <w:shd w:val="clear" w:color="auto" w:fill="auto"/>
            <w:noWrap/>
            <w:vAlign w:val="bottom"/>
            <w:hideMark/>
          </w:tcPr>
          <w:p w14:paraId="17DEE57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0.171</w:t>
            </w:r>
          </w:p>
        </w:tc>
        <w:tc>
          <w:tcPr>
            <w:tcW w:w="698" w:type="dxa"/>
            <w:tcBorders>
              <w:top w:val="nil"/>
              <w:left w:val="nil"/>
              <w:bottom w:val="nil"/>
              <w:right w:val="nil"/>
            </w:tcBorders>
            <w:shd w:val="clear" w:color="auto" w:fill="auto"/>
            <w:noWrap/>
            <w:vAlign w:val="bottom"/>
            <w:hideMark/>
          </w:tcPr>
          <w:p w14:paraId="5D16A10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0.006</w:t>
            </w:r>
          </w:p>
        </w:tc>
      </w:tr>
      <w:tr w:rsidR="00304411" w:rsidRPr="00435469" w14:paraId="3725DFEE" w14:textId="77777777" w:rsidTr="00E84FC8">
        <w:trPr>
          <w:trHeight w:val="264"/>
        </w:trPr>
        <w:tc>
          <w:tcPr>
            <w:tcW w:w="753" w:type="dxa"/>
            <w:vMerge/>
            <w:tcBorders>
              <w:top w:val="nil"/>
              <w:left w:val="nil"/>
              <w:bottom w:val="nil"/>
              <w:right w:val="nil"/>
            </w:tcBorders>
            <w:vAlign w:val="center"/>
            <w:hideMark/>
          </w:tcPr>
          <w:p w14:paraId="501FE177"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72196613"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2010</w:t>
            </w:r>
          </w:p>
        </w:tc>
        <w:tc>
          <w:tcPr>
            <w:tcW w:w="1071" w:type="dxa"/>
            <w:tcBorders>
              <w:top w:val="nil"/>
              <w:left w:val="single" w:sz="4" w:space="0" w:color="auto"/>
              <w:bottom w:val="nil"/>
              <w:right w:val="nil"/>
            </w:tcBorders>
            <w:shd w:val="clear" w:color="auto" w:fill="auto"/>
            <w:noWrap/>
            <w:vAlign w:val="bottom"/>
            <w:hideMark/>
          </w:tcPr>
          <w:p w14:paraId="536DCA8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0.472</w:t>
            </w:r>
          </w:p>
        </w:tc>
        <w:tc>
          <w:tcPr>
            <w:tcW w:w="708" w:type="dxa"/>
            <w:tcBorders>
              <w:top w:val="nil"/>
              <w:left w:val="nil"/>
              <w:bottom w:val="nil"/>
              <w:right w:val="nil"/>
            </w:tcBorders>
            <w:shd w:val="clear" w:color="auto" w:fill="auto"/>
            <w:noWrap/>
            <w:vAlign w:val="bottom"/>
            <w:hideMark/>
          </w:tcPr>
          <w:p w14:paraId="360099E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0.235</w:t>
            </w:r>
          </w:p>
        </w:tc>
        <w:tc>
          <w:tcPr>
            <w:tcW w:w="626" w:type="dxa"/>
            <w:tcBorders>
              <w:top w:val="nil"/>
              <w:left w:val="nil"/>
              <w:bottom w:val="nil"/>
              <w:right w:val="nil"/>
            </w:tcBorders>
            <w:shd w:val="clear" w:color="auto" w:fill="auto"/>
            <w:noWrap/>
            <w:vAlign w:val="bottom"/>
            <w:hideMark/>
          </w:tcPr>
          <w:p w14:paraId="501D177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0.100</w:t>
            </w:r>
          </w:p>
        </w:tc>
        <w:tc>
          <w:tcPr>
            <w:tcW w:w="1247" w:type="dxa"/>
            <w:tcBorders>
              <w:top w:val="nil"/>
              <w:left w:val="nil"/>
              <w:bottom w:val="nil"/>
              <w:right w:val="nil"/>
            </w:tcBorders>
            <w:shd w:val="clear" w:color="auto" w:fill="auto"/>
            <w:noWrap/>
            <w:vAlign w:val="bottom"/>
            <w:hideMark/>
          </w:tcPr>
          <w:p w14:paraId="071A4DA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0.185</w:t>
            </w:r>
          </w:p>
        </w:tc>
        <w:tc>
          <w:tcPr>
            <w:tcW w:w="700" w:type="dxa"/>
            <w:tcBorders>
              <w:top w:val="nil"/>
              <w:left w:val="nil"/>
              <w:bottom w:val="nil"/>
              <w:right w:val="single" w:sz="4" w:space="0" w:color="auto"/>
            </w:tcBorders>
            <w:shd w:val="clear" w:color="auto" w:fill="auto"/>
            <w:noWrap/>
            <w:vAlign w:val="bottom"/>
            <w:hideMark/>
          </w:tcPr>
          <w:p w14:paraId="1721F19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c>
          <w:tcPr>
            <w:tcW w:w="1071" w:type="dxa"/>
            <w:tcBorders>
              <w:top w:val="nil"/>
              <w:left w:val="single" w:sz="4" w:space="0" w:color="auto"/>
              <w:bottom w:val="nil"/>
              <w:right w:val="nil"/>
            </w:tcBorders>
            <w:shd w:val="clear" w:color="auto" w:fill="auto"/>
            <w:noWrap/>
            <w:vAlign w:val="bottom"/>
            <w:hideMark/>
          </w:tcPr>
          <w:p w14:paraId="0C3CD86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0.465</w:t>
            </w:r>
          </w:p>
        </w:tc>
        <w:tc>
          <w:tcPr>
            <w:tcW w:w="708" w:type="dxa"/>
            <w:tcBorders>
              <w:top w:val="nil"/>
              <w:left w:val="nil"/>
              <w:bottom w:val="nil"/>
              <w:right w:val="nil"/>
            </w:tcBorders>
            <w:shd w:val="clear" w:color="auto" w:fill="auto"/>
            <w:noWrap/>
            <w:vAlign w:val="bottom"/>
            <w:hideMark/>
          </w:tcPr>
          <w:p w14:paraId="154614D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0.338</w:t>
            </w:r>
          </w:p>
        </w:tc>
        <w:tc>
          <w:tcPr>
            <w:tcW w:w="626" w:type="dxa"/>
            <w:tcBorders>
              <w:top w:val="nil"/>
              <w:left w:val="nil"/>
              <w:bottom w:val="nil"/>
              <w:right w:val="nil"/>
            </w:tcBorders>
            <w:shd w:val="clear" w:color="auto" w:fill="auto"/>
            <w:noWrap/>
            <w:vAlign w:val="bottom"/>
            <w:hideMark/>
          </w:tcPr>
          <w:p w14:paraId="3C9A9C3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0.040</w:t>
            </w:r>
          </w:p>
        </w:tc>
        <w:tc>
          <w:tcPr>
            <w:tcW w:w="1247" w:type="dxa"/>
            <w:tcBorders>
              <w:top w:val="nil"/>
              <w:left w:val="nil"/>
              <w:bottom w:val="nil"/>
              <w:right w:val="nil"/>
            </w:tcBorders>
            <w:shd w:val="clear" w:color="auto" w:fill="auto"/>
            <w:noWrap/>
            <w:vAlign w:val="bottom"/>
            <w:hideMark/>
          </w:tcPr>
          <w:p w14:paraId="12683D4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0.149</w:t>
            </w:r>
          </w:p>
        </w:tc>
        <w:tc>
          <w:tcPr>
            <w:tcW w:w="698" w:type="dxa"/>
            <w:tcBorders>
              <w:top w:val="nil"/>
              <w:left w:val="nil"/>
              <w:bottom w:val="nil"/>
              <w:right w:val="single" w:sz="4" w:space="0" w:color="auto"/>
            </w:tcBorders>
            <w:shd w:val="clear" w:color="auto" w:fill="auto"/>
            <w:noWrap/>
            <w:vAlign w:val="bottom"/>
            <w:hideMark/>
          </w:tcPr>
          <w:p w14:paraId="4403AF5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c>
          <w:tcPr>
            <w:tcW w:w="1071" w:type="dxa"/>
            <w:tcBorders>
              <w:top w:val="nil"/>
              <w:left w:val="single" w:sz="4" w:space="0" w:color="auto"/>
              <w:bottom w:val="nil"/>
              <w:right w:val="nil"/>
            </w:tcBorders>
            <w:shd w:val="clear" w:color="auto" w:fill="auto"/>
            <w:noWrap/>
            <w:vAlign w:val="bottom"/>
            <w:hideMark/>
          </w:tcPr>
          <w:p w14:paraId="5C69D78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0.477</w:t>
            </w:r>
          </w:p>
        </w:tc>
        <w:tc>
          <w:tcPr>
            <w:tcW w:w="708" w:type="dxa"/>
            <w:tcBorders>
              <w:top w:val="nil"/>
              <w:left w:val="nil"/>
              <w:bottom w:val="nil"/>
              <w:right w:val="nil"/>
            </w:tcBorders>
            <w:shd w:val="clear" w:color="auto" w:fill="auto"/>
            <w:noWrap/>
            <w:vAlign w:val="bottom"/>
            <w:hideMark/>
          </w:tcPr>
          <w:p w14:paraId="637DF76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0.227</w:t>
            </w:r>
          </w:p>
        </w:tc>
        <w:tc>
          <w:tcPr>
            <w:tcW w:w="626" w:type="dxa"/>
            <w:tcBorders>
              <w:top w:val="nil"/>
              <w:left w:val="nil"/>
              <w:bottom w:val="nil"/>
              <w:right w:val="nil"/>
            </w:tcBorders>
            <w:shd w:val="clear" w:color="auto" w:fill="auto"/>
            <w:noWrap/>
            <w:vAlign w:val="bottom"/>
            <w:hideMark/>
          </w:tcPr>
          <w:p w14:paraId="7288644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0.093</w:t>
            </w:r>
          </w:p>
        </w:tc>
        <w:tc>
          <w:tcPr>
            <w:tcW w:w="1247" w:type="dxa"/>
            <w:tcBorders>
              <w:top w:val="nil"/>
              <w:left w:val="nil"/>
              <w:bottom w:val="nil"/>
              <w:right w:val="nil"/>
            </w:tcBorders>
            <w:shd w:val="clear" w:color="auto" w:fill="auto"/>
            <w:noWrap/>
            <w:vAlign w:val="bottom"/>
            <w:hideMark/>
          </w:tcPr>
          <w:p w14:paraId="757C1DC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0.195</w:t>
            </w:r>
          </w:p>
        </w:tc>
        <w:tc>
          <w:tcPr>
            <w:tcW w:w="698" w:type="dxa"/>
            <w:tcBorders>
              <w:top w:val="nil"/>
              <w:left w:val="nil"/>
              <w:bottom w:val="nil"/>
              <w:right w:val="nil"/>
            </w:tcBorders>
            <w:shd w:val="clear" w:color="auto" w:fill="auto"/>
            <w:noWrap/>
            <w:vAlign w:val="bottom"/>
            <w:hideMark/>
          </w:tcPr>
          <w:p w14:paraId="358E823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0.007</w:t>
            </w:r>
          </w:p>
        </w:tc>
      </w:tr>
      <w:tr w:rsidR="00304411" w:rsidRPr="00435469" w14:paraId="5485FDDA" w14:textId="77777777" w:rsidTr="00E84FC8">
        <w:trPr>
          <w:trHeight w:val="264"/>
        </w:trPr>
        <w:tc>
          <w:tcPr>
            <w:tcW w:w="753" w:type="dxa"/>
            <w:vMerge/>
            <w:tcBorders>
              <w:top w:val="nil"/>
              <w:left w:val="nil"/>
              <w:bottom w:val="nil"/>
              <w:right w:val="nil"/>
            </w:tcBorders>
            <w:vAlign w:val="center"/>
            <w:hideMark/>
          </w:tcPr>
          <w:p w14:paraId="430C7B89"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50EC1AF3"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2011</w:t>
            </w:r>
          </w:p>
        </w:tc>
        <w:tc>
          <w:tcPr>
            <w:tcW w:w="1071" w:type="dxa"/>
            <w:tcBorders>
              <w:top w:val="nil"/>
              <w:left w:val="single" w:sz="4" w:space="0" w:color="auto"/>
              <w:bottom w:val="nil"/>
              <w:right w:val="nil"/>
            </w:tcBorders>
            <w:shd w:val="clear" w:color="auto" w:fill="auto"/>
            <w:noWrap/>
            <w:vAlign w:val="bottom"/>
            <w:hideMark/>
          </w:tcPr>
          <w:p w14:paraId="0CD2B08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0.482</w:t>
            </w:r>
          </w:p>
        </w:tc>
        <w:tc>
          <w:tcPr>
            <w:tcW w:w="708" w:type="dxa"/>
            <w:tcBorders>
              <w:top w:val="nil"/>
              <w:left w:val="nil"/>
              <w:bottom w:val="nil"/>
              <w:right w:val="nil"/>
            </w:tcBorders>
            <w:shd w:val="clear" w:color="auto" w:fill="auto"/>
            <w:noWrap/>
            <w:vAlign w:val="bottom"/>
            <w:hideMark/>
          </w:tcPr>
          <w:p w14:paraId="09C9D84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0.264</w:t>
            </w:r>
          </w:p>
        </w:tc>
        <w:tc>
          <w:tcPr>
            <w:tcW w:w="626" w:type="dxa"/>
            <w:tcBorders>
              <w:top w:val="nil"/>
              <w:left w:val="nil"/>
              <w:bottom w:val="nil"/>
              <w:right w:val="nil"/>
            </w:tcBorders>
            <w:shd w:val="clear" w:color="auto" w:fill="auto"/>
            <w:noWrap/>
            <w:vAlign w:val="bottom"/>
            <w:hideMark/>
          </w:tcPr>
          <w:p w14:paraId="1F7AAAA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0.095</w:t>
            </w:r>
          </w:p>
        </w:tc>
        <w:tc>
          <w:tcPr>
            <w:tcW w:w="1247" w:type="dxa"/>
            <w:tcBorders>
              <w:top w:val="nil"/>
              <w:left w:val="nil"/>
              <w:bottom w:val="nil"/>
              <w:right w:val="nil"/>
            </w:tcBorders>
            <w:shd w:val="clear" w:color="auto" w:fill="auto"/>
            <w:noWrap/>
            <w:vAlign w:val="bottom"/>
            <w:hideMark/>
          </w:tcPr>
          <w:p w14:paraId="3FF0BAF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0.149</w:t>
            </w:r>
          </w:p>
        </w:tc>
        <w:tc>
          <w:tcPr>
            <w:tcW w:w="700" w:type="dxa"/>
            <w:tcBorders>
              <w:top w:val="nil"/>
              <w:left w:val="nil"/>
              <w:bottom w:val="nil"/>
              <w:right w:val="single" w:sz="4" w:space="0" w:color="auto"/>
            </w:tcBorders>
            <w:shd w:val="clear" w:color="auto" w:fill="auto"/>
            <w:noWrap/>
            <w:vAlign w:val="bottom"/>
            <w:hideMark/>
          </w:tcPr>
          <w:p w14:paraId="1141F68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0.010</w:t>
            </w:r>
          </w:p>
        </w:tc>
        <w:tc>
          <w:tcPr>
            <w:tcW w:w="1071" w:type="dxa"/>
            <w:tcBorders>
              <w:top w:val="nil"/>
              <w:left w:val="single" w:sz="4" w:space="0" w:color="auto"/>
              <w:bottom w:val="nil"/>
              <w:right w:val="nil"/>
            </w:tcBorders>
            <w:shd w:val="clear" w:color="auto" w:fill="auto"/>
            <w:noWrap/>
            <w:vAlign w:val="bottom"/>
            <w:hideMark/>
          </w:tcPr>
          <w:p w14:paraId="2A9AFCC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0.477</w:t>
            </w:r>
          </w:p>
        </w:tc>
        <w:tc>
          <w:tcPr>
            <w:tcW w:w="708" w:type="dxa"/>
            <w:tcBorders>
              <w:top w:val="nil"/>
              <w:left w:val="nil"/>
              <w:bottom w:val="nil"/>
              <w:right w:val="nil"/>
            </w:tcBorders>
            <w:shd w:val="clear" w:color="auto" w:fill="auto"/>
            <w:noWrap/>
            <w:vAlign w:val="bottom"/>
            <w:hideMark/>
          </w:tcPr>
          <w:p w14:paraId="16E0E59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0.351</w:t>
            </w:r>
          </w:p>
        </w:tc>
        <w:tc>
          <w:tcPr>
            <w:tcW w:w="626" w:type="dxa"/>
            <w:tcBorders>
              <w:top w:val="nil"/>
              <w:left w:val="nil"/>
              <w:bottom w:val="nil"/>
              <w:right w:val="nil"/>
            </w:tcBorders>
            <w:shd w:val="clear" w:color="auto" w:fill="auto"/>
            <w:noWrap/>
            <w:vAlign w:val="bottom"/>
            <w:hideMark/>
          </w:tcPr>
          <w:p w14:paraId="4CD4B6A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0.040</w:t>
            </w:r>
          </w:p>
        </w:tc>
        <w:tc>
          <w:tcPr>
            <w:tcW w:w="1247" w:type="dxa"/>
            <w:tcBorders>
              <w:top w:val="nil"/>
              <w:left w:val="nil"/>
              <w:bottom w:val="nil"/>
              <w:right w:val="nil"/>
            </w:tcBorders>
            <w:shd w:val="clear" w:color="auto" w:fill="auto"/>
            <w:noWrap/>
            <w:vAlign w:val="bottom"/>
            <w:hideMark/>
          </w:tcPr>
          <w:p w14:paraId="176F4A7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0.123</w:t>
            </w:r>
          </w:p>
        </w:tc>
        <w:tc>
          <w:tcPr>
            <w:tcW w:w="698" w:type="dxa"/>
            <w:tcBorders>
              <w:top w:val="nil"/>
              <w:left w:val="nil"/>
              <w:bottom w:val="nil"/>
              <w:right w:val="single" w:sz="4" w:space="0" w:color="auto"/>
            </w:tcBorders>
            <w:shd w:val="clear" w:color="auto" w:fill="auto"/>
            <w:noWrap/>
            <w:vAlign w:val="bottom"/>
            <w:hideMark/>
          </w:tcPr>
          <w:p w14:paraId="238829A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39B363A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0.505</w:t>
            </w:r>
          </w:p>
        </w:tc>
        <w:tc>
          <w:tcPr>
            <w:tcW w:w="708" w:type="dxa"/>
            <w:tcBorders>
              <w:top w:val="nil"/>
              <w:left w:val="nil"/>
              <w:bottom w:val="nil"/>
              <w:right w:val="nil"/>
            </w:tcBorders>
            <w:shd w:val="clear" w:color="auto" w:fill="auto"/>
            <w:noWrap/>
            <w:vAlign w:val="bottom"/>
            <w:hideMark/>
          </w:tcPr>
          <w:p w14:paraId="3203ECE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0.232</w:t>
            </w:r>
          </w:p>
        </w:tc>
        <w:tc>
          <w:tcPr>
            <w:tcW w:w="626" w:type="dxa"/>
            <w:tcBorders>
              <w:top w:val="nil"/>
              <w:left w:val="nil"/>
              <w:bottom w:val="nil"/>
              <w:right w:val="nil"/>
            </w:tcBorders>
            <w:shd w:val="clear" w:color="auto" w:fill="auto"/>
            <w:noWrap/>
            <w:vAlign w:val="bottom"/>
            <w:hideMark/>
          </w:tcPr>
          <w:p w14:paraId="5BA3C92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0.087</w:t>
            </w:r>
          </w:p>
        </w:tc>
        <w:tc>
          <w:tcPr>
            <w:tcW w:w="1247" w:type="dxa"/>
            <w:tcBorders>
              <w:top w:val="nil"/>
              <w:left w:val="nil"/>
              <w:bottom w:val="nil"/>
              <w:right w:val="nil"/>
            </w:tcBorders>
            <w:shd w:val="clear" w:color="auto" w:fill="auto"/>
            <w:noWrap/>
            <w:vAlign w:val="bottom"/>
            <w:hideMark/>
          </w:tcPr>
          <w:p w14:paraId="3568032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0.168</w:t>
            </w:r>
          </w:p>
        </w:tc>
        <w:tc>
          <w:tcPr>
            <w:tcW w:w="698" w:type="dxa"/>
            <w:tcBorders>
              <w:top w:val="nil"/>
              <w:left w:val="nil"/>
              <w:bottom w:val="nil"/>
              <w:right w:val="nil"/>
            </w:tcBorders>
            <w:shd w:val="clear" w:color="auto" w:fill="auto"/>
            <w:noWrap/>
            <w:vAlign w:val="bottom"/>
            <w:hideMark/>
          </w:tcPr>
          <w:p w14:paraId="724ECFC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0.007</w:t>
            </w:r>
          </w:p>
        </w:tc>
      </w:tr>
      <w:tr w:rsidR="00304411" w:rsidRPr="00435469" w14:paraId="02BAA480" w14:textId="77777777" w:rsidTr="00E84FC8">
        <w:trPr>
          <w:trHeight w:val="264"/>
        </w:trPr>
        <w:tc>
          <w:tcPr>
            <w:tcW w:w="753" w:type="dxa"/>
            <w:vMerge/>
            <w:tcBorders>
              <w:top w:val="nil"/>
              <w:left w:val="nil"/>
              <w:bottom w:val="nil"/>
              <w:right w:val="nil"/>
            </w:tcBorders>
            <w:vAlign w:val="center"/>
            <w:hideMark/>
          </w:tcPr>
          <w:p w14:paraId="33687813"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49D34F9D"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2012</w:t>
            </w:r>
          </w:p>
        </w:tc>
        <w:tc>
          <w:tcPr>
            <w:tcW w:w="1071" w:type="dxa"/>
            <w:tcBorders>
              <w:top w:val="nil"/>
              <w:left w:val="single" w:sz="4" w:space="0" w:color="auto"/>
              <w:bottom w:val="nil"/>
              <w:right w:val="nil"/>
            </w:tcBorders>
            <w:shd w:val="clear" w:color="auto" w:fill="auto"/>
            <w:noWrap/>
            <w:vAlign w:val="bottom"/>
            <w:hideMark/>
          </w:tcPr>
          <w:p w14:paraId="4AA2044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0.479</w:t>
            </w:r>
          </w:p>
        </w:tc>
        <w:tc>
          <w:tcPr>
            <w:tcW w:w="708" w:type="dxa"/>
            <w:tcBorders>
              <w:top w:val="nil"/>
              <w:left w:val="nil"/>
              <w:bottom w:val="nil"/>
              <w:right w:val="nil"/>
            </w:tcBorders>
            <w:shd w:val="clear" w:color="auto" w:fill="auto"/>
            <w:noWrap/>
            <w:vAlign w:val="bottom"/>
            <w:hideMark/>
          </w:tcPr>
          <w:p w14:paraId="448B64F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0.275</w:t>
            </w:r>
          </w:p>
        </w:tc>
        <w:tc>
          <w:tcPr>
            <w:tcW w:w="626" w:type="dxa"/>
            <w:tcBorders>
              <w:top w:val="nil"/>
              <w:left w:val="nil"/>
              <w:bottom w:val="nil"/>
              <w:right w:val="nil"/>
            </w:tcBorders>
            <w:shd w:val="clear" w:color="auto" w:fill="auto"/>
            <w:noWrap/>
            <w:vAlign w:val="bottom"/>
            <w:hideMark/>
          </w:tcPr>
          <w:p w14:paraId="32AC7E7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0.095</w:t>
            </w:r>
          </w:p>
        </w:tc>
        <w:tc>
          <w:tcPr>
            <w:tcW w:w="1247" w:type="dxa"/>
            <w:tcBorders>
              <w:top w:val="nil"/>
              <w:left w:val="nil"/>
              <w:bottom w:val="nil"/>
              <w:right w:val="nil"/>
            </w:tcBorders>
            <w:shd w:val="clear" w:color="auto" w:fill="auto"/>
            <w:noWrap/>
            <w:vAlign w:val="bottom"/>
            <w:hideMark/>
          </w:tcPr>
          <w:p w14:paraId="1E7D74C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0.140</w:t>
            </w:r>
          </w:p>
        </w:tc>
        <w:tc>
          <w:tcPr>
            <w:tcW w:w="700" w:type="dxa"/>
            <w:tcBorders>
              <w:top w:val="nil"/>
              <w:left w:val="nil"/>
              <w:bottom w:val="nil"/>
              <w:right w:val="single" w:sz="4" w:space="0" w:color="auto"/>
            </w:tcBorders>
            <w:shd w:val="clear" w:color="auto" w:fill="auto"/>
            <w:noWrap/>
            <w:vAlign w:val="bottom"/>
            <w:hideMark/>
          </w:tcPr>
          <w:p w14:paraId="4DF6ABD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0.011</w:t>
            </w:r>
          </w:p>
        </w:tc>
        <w:tc>
          <w:tcPr>
            <w:tcW w:w="1071" w:type="dxa"/>
            <w:tcBorders>
              <w:top w:val="nil"/>
              <w:left w:val="single" w:sz="4" w:space="0" w:color="auto"/>
              <w:bottom w:val="nil"/>
              <w:right w:val="nil"/>
            </w:tcBorders>
            <w:shd w:val="clear" w:color="auto" w:fill="auto"/>
            <w:noWrap/>
            <w:vAlign w:val="bottom"/>
            <w:hideMark/>
          </w:tcPr>
          <w:p w14:paraId="0B2A7ED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0.485</w:t>
            </w:r>
          </w:p>
        </w:tc>
        <w:tc>
          <w:tcPr>
            <w:tcW w:w="708" w:type="dxa"/>
            <w:tcBorders>
              <w:top w:val="nil"/>
              <w:left w:val="nil"/>
              <w:bottom w:val="nil"/>
              <w:right w:val="nil"/>
            </w:tcBorders>
            <w:shd w:val="clear" w:color="auto" w:fill="auto"/>
            <w:noWrap/>
            <w:vAlign w:val="bottom"/>
            <w:hideMark/>
          </w:tcPr>
          <w:p w14:paraId="7850D8F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0.351</w:t>
            </w:r>
          </w:p>
        </w:tc>
        <w:tc>
          <w:tcPr>
            <w:tcW w:w="626" w:type="dxa"/>
            <w:tcBorders>
              <w:top w:val="nil"/>
              <w:left w:val="nil"/>
              <w:bottom w:val="nil"/>
              <w:right w:val="nil"/>
            </w:tcBorders>
            <w:shd w:val="clear" w:color="auto" w:fill="auto"/>
            <w:noWrap/>
            <w:vAlign w:val="bottom"/>
            <w:hideMark/>
          </w:tcPr>
          <w:p w14:paraId="50A16EC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0.043</w:t>
            </w:r>
          </w:p>
        </w:tc>
        <w:tc>
          <w:tcPr>
            <w:tcW w:w="1247" w:type="dxa"/>
            <w:tcBorders>
              <w:top w:val="nil"/>
              <w:left w:val="nil"/>
              <w:bottom w:val="nil"/>
              <w:right w:val="nil"/>
            </w:tcBorders>
            <w:shd w:val="clear" w:color="auto" w:fill="auto"/>
            <w:noWrap/>
            <w:vAlign w:val="bottom"/>
            <w:hideMark/>
          </w:tcPr>
          <w:p w14:paraId="5C238E5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0.113</w:t>
            </w:r>
          </w:p>
        </w:tc>
        <w:tc>
          <w:tcPr>
            <w:tcW w:w="698" w:type="dxa"/>
            <w:tcBorders>
              <w:top w:val="nil"/>
              <w:left w:val="nil"/>
              <w:bottom w:val="nil"/>
              <w:right w:val="single" w:sz="4" w:space="0" w:color="auto"/>
            </w:tcBorders>
            <w:shd w:val="clear" w:color="auto" w:fill="auto"/>
            <w:noWrap/>
            <w:vAlign w:val="bottom"/>
            <w:hideMark/>
          </w:tcPr>
          <w:p w14:paraId="5B18E62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c>
          <w:tcPr>
            <w:tcW w:w="1071" w:type="dxa"/>
            <w:tcBorders>
              <w:top w:val="nil"/>
              <w:left w:val="single" w:sz="4" w:space="0" w:color="auto"/>
              <w:bottom w:val="nil"/>
              <w:right w:val="nil"/>
            </w:tcBorders>
            <w:shd w:val="clear" w:color="auto" w:fill="auto"/>
            <w:noWrap/>
            <w:vAlign w:val="bottom"/>
            <w:hideMark/>
          </w:tcPr>
          <w:p w14:paraId="6542C06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0.499</w:t>
            </w:r>
          </w:p>
        </w:tc>
        <w:tc>
          <w:tcPr>
            <w:tcW w:w="708" w:type="dxa"/>
            <w:tcBorders>
              <w:top w:val="nil"/>
              <w:left w:val="nil"/>
              <w:bottom w:val="nil"/>
              <w:right w:val="nil"/>
            </w:tcBorders>
            <w:shd w:val="clear" w:color="auto" w:fill="auto"/>
            <w:noWrap/>
            <w:vAlign w:val="bottom"/>
            <w:hideMark/>
          </w:tcPr>
          <w:p w14:paraId="4CDD40B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0.248</w:t>
            </w:r>
          </w:p>
        </w:tc>
        <w:tc>
          <w:tcPr>
            <w:tcW w:w="626" w:type="dxa"/>
            <w:tcBorders>
              <w:top w:val="nil"/>
              <w:left w:val="nil"/>
              <w:bottom w:val="nil"/>
              <w:right w:val="nil"/>
            </w:tcBorders>
            <w:shd w:val="clear" w:color="auto" w:fill="auto"/>
            <w:noWrap/>
            <w:vAlign w:val="bottom"/>
            <w:hideMark/>
          </w:tcPr>
          <w:p w14:paraId="5F09410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0.080</w:t>
            </w:r>
          </w:p>
        </w:tc>
        <w:tc>
          <w:tcPr>
            <w:tcW w:w="1247" w:type="dxa"/>
            <w:tcBorders>
              <w:top w:val="nil"/>
              <w:left w:val="nil"/>
              <w:bottom w:val="nil"/>
              <w:right w:val="nil"/>
            </w:tcBorders>
            <w:shd w:val="clear" w:color="auto" w:fill="auto"/>
            <w:noWrap/>
            <w:vAlign w:val="bottom"/>
            <w:hideMark/>
          </w:tcPr>
          <w:p w14:paraId="0111072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0.167</w:t>
            </w:r>
          </w:p>
        </w:tc>
        <w:tc>
          <w:tcPr>
            <w:tcW w:w="698" w:type="dxa"/>
            <w:tcBorders>
              <w:top w:val="nil"/>
              <w:left w:val="nil"/>
              <w:bottom w:val="nil"/>
              <w:right w:val="nil"/>
            </w:tcBorders>
            <w:shd w:val="clear" w:color="auto" w:fill="auto"/>
            <w:noWrap/>
            <w:vAlign w:val="bottom"/>
            <w:hideMark/>
          </w:tcPr>
          <w:p w14:paraId="054D54C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0.007</w:t>
            </w:r>
          </w:p>
        </w:tc>
      </w:tr>
      <w:tr w:rsidR="00304411" w:rsidRPr="00435469" w14:paraId="3D2F6F36" w14:textId="77777777" w:rsidTr="00E84FC8">
        <w:trPr>
          <w:trHeight w:val="264"/>
        </w:trPr>
        <w:tc>
          <w:tcPr>
            <w:tcW w:w="753" w:type="dxa"/>
            <w:vMerge/>
            <w:tcBorders>
              <w:top w:val="nil"/>
              <w:left w:val="nil"/>
              <w:bottom w:val="nil"/>
              <w:right w:val="nil"/>
            </w:tcBorders>
            <w:vAlign w:val="center"/>
            <w:hideMark/>
          </w:tcPr>
          <w:p w14:paraId="4D457CAD"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7DCCDFED"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2013</w:t>
            </w:r>
          </w:p>
        </w:tc>
        <w:tc>
          <w:tcPr>
            <w:tcW w:w="1071" w:type="dxa"/>
            <w:tcBorders>
              <w:top w:val="nil"/>
              <w:left w:val="single" w:sz="4" w:space="0" w:color="auto"/>
              <w:bottom w:val="nil"/>
              <w:right w:val="nil"/>
            </w:tcBorders>
            <w:shd w:val="clear" w:color="auto" w:fill="auto"/>
            <w:noWrap/>
            <w:vAlign w:val="bottom"/>
            <w:hideMark/>
          </w:tcPr>
          <w:p w14:paraId="37B775C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0.510</w:t>
            </w:r>
          </w:p>
        </w:tc>
        <w:tc>
          <w:tcPr>
            <w:tcW w:w="708" w:type="dxa"/>
            <w:tcBorders>
              <w:top w:val="nil"/>
              <w:left w:val="nil"/>
              <w:bottom w:val="nil"/>
              <w:right w:val="nil"/>
            </w:tcBorders>
            <w:shd w:val="clear" w:color="auto" w:fill="auto"/>
            <w:noWrap/>
            <w:vAlign w:val="bottom"/>
            <w:hideMark/>
          </w:tcPr>
          <w:p w14:paraId="142DC4F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0.262</w:t>
            </w:r>
          </w:p>
        </w:tc>
        <w:tc>
          <w:tcPr>
            <w:tcW w:w="626" w:type="dxa"/>
            <w:tcBorders>
              <w:top w:val="nil"/>
              <w:left w:val="nil"/>
              <w:bottom w:val="nil"/>
              <w:right w:val="nil"/>
            </w:tcBorders>
            <w:shd w:val="clear" w:color="auto" w:fill="auto"/>
            <w:noWrap/>
            <w:vAlign w:val="bottom"/>
            <w:hideMark/>
          </w:tcPr>
          <w:p w14:paraId="3AEAB6C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0.086</w:t>
            </w:r>
          </w:p>
        </w:tc>
        <w:tc>
          <w:tcPr>
            <w:tcW w:w="1247" w:type="dxa"/>
            <w:tcBorders>
              <w:top w:val="nil"/>
              <w:left w:val="nil"/>
              <w:bottom w:val="nil"/>
              <w:right w:val="nil"/>
            </w:tcBorders>
            <w:shd w:val="clear" w:color="auto" w:fill="auto"/>
            <w:noWrap/>
            <w:vAlign w:val="bottom"/>
            <w:hideMark/>
          </w:tcPr>
          <w:p w14:paraId="5973228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0.134</w:t>
            </w:r>
          </w:p>
        </w:tc>
        <w:tc>
          <w:tcPr>
            <w:tcW w:w="700" w:type="dxa"/>
            <w:tcBorders>
              <w:top w:val="nil"/>
              <w:left w:val="nil"/>
              <w:bottom w:val="nil"/>
              <w:right w:val="single" w:sz="4" w:space="0" w:color="auto"/>
            </w:tcBorders>
            <w:shd w:val="clear" w:color="auto" w:fill="auto"/>
            <w:noWrap/>
            <w:vAlign w:val="bottom"/>
            <w:hideMark/>
          </w:tcPr>
          <w:p w14:paraId="3101336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c>
          <w:tcPr>
            <w:tcW w:w="1071" w:type="dxa"/>
            <w:tcBorders>
              <w:top w:val="nil"/>
              <w:left w:val="single" w:sz="4" w:space="0" w:color="auto"/>
              <w:bottom w:val="nil"/>
              <w:right w:val="nil"/>
            </w:tcBorders>
            <w:shd w:val="clear" w:color="auto" w:fill="auto"/>
            <w:noWrap/>
            <w:vAlign w:val="bottom"/>
            <w:hideMark/>
          </w:tcPr>
          <w:p w14:paraId="161E728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0.532</w:t>
            </w:r>
          </w:p>
        </w:tc>
        <w:tc>
          <w:tcPr>
            <w:tcW w:w="708" w:type="dxa"/>
            <w:tcBorders>
              <w:top w:val="nil"/>
              <w:left w:val="nil"/>
              <w:bottom w:val="nil"/>
              <w:right w:val="nil"/>
            </w:tcBorders>
            <w:shd w:val="clear" w:color="auto" w:fill="auto"/>
            <w:noWrap/>
            <w:vAlign w:val="bottom"/>
            <w:hideMark/>
          </w:tcPr>
          <w:p w14:paraId="291D6D8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0.315</w:t>
            </w:r>
          </w:p>
        </w:tc>
        <w:tc>
          <w:tcPr>
            <w:tcW w:w="626" w:type="dxa"/>
            <w:tcBorders>
              <w:top w:val="nil"/>
              <w:left w:val="nil"/>
              <w:bottom w:val="nil"/>
              <w:right w:val="nil"/>
            </w:tcBorders>
            <w:shd w:val="clear" w:color="auto" w:fill="auto"/>
            <w:noWrap/>
            <w:vAlign w:val="bottom"/>
            <w:hideMark/>
          </w:tcPr>
          <w:p w14:paraId="68FFB9D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0.040</w:t>
            </w:r>
          </w:p>
        </w:tc>
        <w:tc>
          <w:tcPr>
            <w:tcW w:w="1247" w:type="dxa"/>
            <w:tcBorders>
              <w:top w:val="nil"/>
              <w:left w:val="nil"/>
              <w:bottom w:val="nil"/>
              <w:right w:val="nil"/>
            </w:tcBorders>
            <w:shd w:val="clear" w:color="auto" w:fill="auto"/>
            <w:noWrap/>
            <w:vAlign w:val="bottom"/>
            <w:hideMark/>
          </w:tcPr>
          <w:p w14:paraId="358A741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0.107</w:t>
            </w:r>
          </w:p>
        </w:tc>
        <w:tc>
          <w:tcPr>
            <w:tcW w:w="698" w:type="dxa"/>
            <w:tcBorders>
              <w:top w:val="nil"/>
              <w:left w:val="nil"/>
              <w:bottom w:val="nil"/>
              <w:right w:val="single" w:sz="4" w:space="0" w:color="auto"/>
            </w:tcBorders>
            <w:shd w:val="clear" w:color="auto" w:fill="auto"/>
            <w:noWrap/>
            <w:vAlign w:val="bottom"/>
            <w:hideMark/>
          </w:tcPr>
          <w:p w14:paraId="1B941BD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0.006</w:t>
            </w:r>
          </w:p>
        </w:tc>
        <w:tc>
          <w:tcPr>
            <w:tcW w:w="1071" w:type="dxa"/>
            <w:tcBorders>
              <w:top w:val="nil"/>
              <w:left w:val="single" w:sz="4" w:space="0" w:color="auto"/>
              <w:bottom w:val="nil"/>
              <w:right w:val="nil"/>
            </w:tcBorders>
            <w:shd w:val="clear" w:color="auto" w:fill="auto"/>
            <w:noWrap/>
            <w:vAlign w:val="bottom"/>
            <w:hideMark/>
          </w:tcPr>
          <w:p w14:paraId="1BFC517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0.502</w:t>
            </w:r>
          </w:p>
        </w:tc>
        <w:tc>
          <w:tcPr>
            <w:tcW w:w="708" w:type="dxa"/>
            <w:tcBorders>
              <w:top w:val="nil"/>
              <w:left w:val="nil"/>
              <w:bottom w:val="nil"/>
              <w:right w:val="nil"/>
            </w:tcBorders>
            <w:shd w:val="clear" w:color="auto" w:fill="auto"/>
            <w:noWrap/>
            <w:vAlign w:val="bottom"/>
            <w:hideMark/>
          </w:tcPr>
          <w:p w14:paraId="39CDCD3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0.227</w:t>
            </w:r>
          </w:p>
        </w:tc>
        <w:tc>
          <w:tcPr>
            <w:tcW w:w="626" w:type="dxa"/>
            <w:tcBorders>
              <w:top w:val="nil"/>
              <w:left w:val="nil"/>
              <w:bottom w:val="nil"/>
              <w:right w:val="nil"/>
            </w:tcBorders>
            <w:shd w:val="clear" w:color="auto" w:fill="auto"/>
            <w:noWrap/>
            <w:vAlign w:val="bottom"/>
            <w:hideMark/>
          </w:tcPr>
          <w:p w14:paraId="2747B84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0.080</w:t>
            </w:r>
          </w:p>
        </w:tc>
        <w:tc>
          <w:tcPr>
            <w:tcW w:w="1247" w:type="dxa"/>
            <w:tcBorders>
              <w:top w:val="nil"/>
              <w:left w:val="nil"/>
              <w:bottom w:val="nil"/>
              <w:right w:val="nil"/>
            </w:tcBorders>
            <w:shd w:val="clear" w:color="auto" w:fill="auto"/>
            <w:noWrap/>
            <w:vAlign w:val="bottom"/>
            <w:hideMark/>
          </w:tcPr>
          <w:p w14:paraId="0574BC0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0.185</w:t>
            </w:r>
          </w:p>
        </w:tc>
        <w:tc>
          <w:tcPr>
            <w:tcW w:w="698" w:type="dxa"/>
            <w:tcBorders>
              <w:top w:val="nil"/>
              <w:left w:val="nil"/>
              <w:bottom w:val="nil"/>
              <w:right w:val="nil"/>
            </w:tcBorders>
            <w:shd w:val="clear" w:color="auto" w:fill="auto"/>
            <w:noWrap/>
            <w:vAlign w:val="bottom"/>
            <w:hideMark/>
          </w:tcPr>
          <w:p w14:paraId="6A5E42A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0.006</w:t>
            </w:r>
          </w:p>
        </w:tc>
      </w:tr>
      <w:tr w:rsidR="00304411" w:rsidRPr="00435469" w14:paraId="4A08A915" w14:textId="77777777" w:rsidTr="00E84FC8">
        <w:trPr>
          <w:trHeight w:val="264"/>
        </w:trPr>
        <w:tc>
          <w:tcPr>
            <w:tcW w:w="753" w:type="dxa"/>
            <w:vMerge/>
            <w:tcBorders>
              <w:top w:val="nil"/>
              <w:left w:val="nil"/>
              <w:bottom w:val="nil"/>
              <w:right w:val="nil"/>
            </w:tcBorders>
            <w:vAlign w:val="center"/>
            <w:hideMark/>
          </w:tcPr>
          <w:p w14:paraId="5FCA3817"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6BD6C383"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2014</w:t>
            </w:r>
          </w:p>
        </w:tc>
        <w:tc>
          <w:tcPr>
            <w:tcW w:w="1071" w:type="dxa"/>
            <w:tcBorders>
              <w:top w:val="nil"/>
              <w:left w:val="single" w:sz="4" w:space="0" w:color="auto"/>
              <w:bottom w:val="nil"/>
              <w:right w:val="nil"/>
            </w:tcBorders>
            <w:shd w:val="clear" w:color="auto" w:fill="auto"/>
            <w:noWrap/>
            <w:vAlign w:val="bottom"/>
            <w:hideMark/>
          </w:tcPr>
          <w:p w14:paraId="29176DC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0.594</w:t>
            </w:r>
          </w:p>
        </w:tc>
        <w:tc>
          <w:tcPr>
            <w:tcW w:w="708" w:type="dxa"/>
            <w:tcBorders>
              <w:top w:val="nil"/>
              <w:left w:val="nil"/>
              <w:bottom w:val="nil"/>
              <w:right w:val="nil"/>
            </w:tcBorders>
            <w:shd w:val="clear" w:color="auto" w:fill="auto"/>
            <w:noWrap/>
            <w:vAlign w:val="bottom"/>
            <w:hideMark/>
          </w:tcPr>
          <w:p w14:paraId="02DB486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0.153</w:t>
            </w:r>
          </w:p>
        </w:tc>
        <w:tc>
          <w:tcPr>
            <w:tcW w:w="626" w:type="dxa"/>
            <w:tcBorders>
              <w:top w:val="nil"/>
              <w:left w:val="nil"/>
              <w:bottom w:val="nil"/>
              <w:right w:val="nil"/>
            </w:tcBorders>
            <w:shd w:val="clear" w:color="auto" w:fill="auto"/>
            <w:noWrap/>
            <w:vAlign w:val="bottom"/>
            <w:hideMark/>
          </w:tcPr>
          <w:p w14:paraId="3176755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0.073</w:t>
            </w:r>
          </w:p>
        </w:tc>
        <w:tc>
          <w:tcPr>
            <w:tcW w:w="1247" w:type="dxa"/>
            <w:tcBorders>
              <w:top w:val="nil"/>
              <w:left w:val="nil"/>
              <w:bottom w:val="nil"/>
              <w:right w:val="nil"/>
            </w:tcBorders>
            <w:shd w:val="clear" w:color="auto" w:fill="auto"/>
            <w:noWrap/>
            <w:vAlign w:val="bottom"/>
            <w:hideMark/>
          </w:tcPr>
          <w:p w14:paraId="288021C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0.170</w:t>
            </w:r>
          </w:p>
        </w:tc>
        <w:tc>
          <w:tcPr>
            <w:tcW w:w="700" w:type="dxa"/>
            <w:tcBorders>
              <w:top w:val="nil"/>
              <w:left w:val="nil"/>
              <w:bottom w:val="nil"/>
              <w:right w:val="single" w:sz="4" w:space="0" w:color="auto"/>
            </w:tcBorders>
            <w:shd w:val="clear" w:color="auto" w:fill="auto"/>
            <w:noWrap/>
            <w:vAlign w:val="bottom"/>
            <w:hideMark/>
          </w:tcPr>
          <w:p w14:paraId="569C053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3A7FE9F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0.603</w:t>
            </w:r>
          </w:p>
        </w:tc>
        <w:tc>
          <w:tcPr>
            <w:tcW w:w="708" w:type="dxa"/>
            <w:tcBorders>
              <w:top w:val="nil"/>
              <w:left w:val="nil"/>
              <w:bottom w:val="nil"/>
              <w:right w:val="nil"/>
            </w:tcBorders>
            <w:shd w:val="clear" w:color="auto" w:fill="auto"/>
            <w:noWrap/>
            <w:vAlign w:val="bottom"/>
            <w:hideMark/>
          </w:tcPr>
          <w:p w14:paraId="584069C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0.210</w:t>
            </w:r>
          </w:p>
        </w:tc>
        <w:tc>
          <w:tcPr>
            <w:tcW w:w="626" w:type="dxa"/>
            <w:tcBorders>
              <w:top w:val="nil"/>
              <w:left w:val="nil"/>
              <w:bottom w:val="nil"/>
              <w:right w:val="nil"/>
            </w:tcBorders>
            <w:shd w:val="clear" w:color="auto" w:fill="auto"/>
            <w:noWrap/>
            <w:vAlign w:val="bottom"/>
            <w:hideMark/>
          </w:tcPr>
          <w:p w14:paraId="3A279D9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0.038</w:t>
            </w:r>
          </w:p>
        </w:tc>
        <w:tc>
          <w:tcPr>
            <w:tcW w:w="1247" w:type="dxa"/>
            <w:tcBorders>
              <w:top w:val="nil"/>
              <w:left w:val="nil"/>
              <w:bottom w:val="nil"/>
              <w:right w:val="nil"/>
            </w:tcBorders>
            <w:shd w:val="clear" w:color="auto" w:fill="auto"/>
            <w:noWrap/>
            <w:vAlign w:val="bottom"/>
            <w:hideMark/>
          </w:tcPr>
          <w:p w14:paraId="1CD6561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0.143</w:t>
            </w:r>
          </w:p>
        </w:tc>
        <w:tc>
          <w:tcPr>
            <w:tcW w:w="698" w:type="dxa"/>
            <w:tcBorders>
              <w:top w:val="nil"/>
              <w:left w:val="nil"/>
              <w:bottom w:val="nil"/>
              <w:right w:val="single" w:sz="4" w:space="0" w:color="auto"/>
            </w:tcBorders>
            <w:shd w:val="clear" w:color="auto" w:fill="auto"/>
            <w:noWrap/>
            <w:vAlign w:val="bottom"/>
            <w:hideMark/>
          </w:tcPr>
          <w:p w14:paraId="65B1AA3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0.006</w:t>
            </w:r>
          </w:p>
        </w:tc>
        <w:tc>
          <w:tcPr>
            <w:tcW w:w="1071" w:type="dxa"/>
            <w:tcBorders>
              <w:top w:val="nil"/>
              <w:left w:val="single" w:sz="4" w:space="0" w:color="auto"/>
              <w:bottom w:val="nil"/>
              <w:right w:val="nil"/>
            </w:tcBorders>
            <w:shd w:val="clear" w:color="auto" w:fill="auto"/>
            <w:noWrap/>
            <w:vAlign w:val="bottom"/>
            <w:hideMark/>
          </w:tcPr>
          <w:p w14:paraId="6BDADA9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0.522</w:t>
            </w:r>
          </w:p>
        </w:tc>
        <w:tc>
          <w:tcPr>
            <w:tcW w:w="708" w:type="dxa"/>
            <w:tcBorders>
              <w:top w:val="nil"/>
              <w:left w:val="nil"/>
              <w:bottom w:val="nil"/>
              <w:right w:val="nil"/>
            </w:tcBorders>
            <w:shd w:val="clear" w:color="auto" w:fill="auto"/>
            <w:noWrap/>
            <w:vAlign w:val="bottom"/>
            <w:hideMark/>
          </w:tcPr>
          <w:p w14:paraId="4601977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0.117</w:t>
            </w:r>
          </w:p>
        </w:tc>
        <w:tc>
          <w:tcPr>
            <w:tcW w:w="626" w:type="dxa"/>
            <w:tcBorders>
              <w:top w:val="nil"/>
              <w:left w:val="nil"/>
              <w:bottom w:val="nil"/>
              <w:right w:val="nil"/>
            </w:tcBorders>
            <w:shd w:val="clear" w:color="auto" w:fill="auto"/>
            <w:noWrap/>
            <w:vAlign w:val="bottom"/>
            <w:hideMark/>
          </w:tcPr>
          <w:p w14:paraId="461BC52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0.083</w:t>
            </w:r>
          </w:p>
        </w:tc>
        <w:tc>
          <w:tcPr>
            <w:tcW w:w="1247" w:type="dxa"/>
            <w:tcBorders>
              <w:top w:val="nil"/>
              <w:left w:val="nil"/>
              <w:bottom w:val="nil"/>
              <w:right w:val="nil"/>
            </w:tcBorders>
            <w:shd w:val="clear" w:color="auto" w:fill="auto"/>
            <w:noWrap/>
            <w:vAlign w:val="bottom"/>
            <w:hideMark/>
          </w:tcPr>
          <w:p w14:paraId="32677A1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0.264</w:t>
            </w:r>
          </w:p>
        </w:tc>
        <w:tc>
          <w:tcPr>
            <w:tcW w:w="698" w:type="dxa"/>
            <w:tcBorders>
              <w:top w:val="nil"/>
              <w:left w:val="nil"/>
              <w:bottom w:val="nil"/>
              <w:right w:val="nil"/>
            </w:tcBorders>
            <w:shd w:val="clear" w:color="auto" w:fill="auto"/>
            <w:noWrap/>
            <w:vAlign w:val="bottom"/>
            <w:hideMark/>
          </w:tcPr>
          <w:p w14:paraId="46C3365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0.015</w:t>
            </w:r>
          </w:p>
        </w:tc>
      </w:tr>
      <w:tr w:rsidR="00304411" w:rsidRPr="00435469" w14:paraId="1C2A2BE2" w14:textId="77777777" w:rsidTr="00E84FC8">
        <w:trPr>
          <w:trHeight w:val="264"/>
        </w:trPr>
        <w:tc>
          <w:tcPr>
            <w:tcW w:w="753" w:type="dxa"/>
            <w:vMerge/>
            <w:tcBorders>
              <w:top w:val="nil"/>
              <w:left w:val="nil"/>
              <w:bottom w:val="nil"/>
              <w:right w:val="nil"/>
            </w:tcBorders>
            <w:vAlign w:val="center"/>
            <w:hideMark/>
          </w:tcPr>
          <w:p w14:paraId="494B5FAC"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6BA2298A"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2015</w:t>
            </w:r>
          </w:p>
        </w:tc>
        <w:tc>
          <w:tcPr>
            <w:tcW w:w="1071" w:type="dxa"/>
            <w:tcBorders>
              <w:top w:val="nil"/>
              <w:left w:val="single" w:sz="4" w:space="0" w:color="auto"/>
              <w:bottom w:val="nil"/>
              <w:right w:val="nil"/>
            </w:tcBorders>
            <w:shd w:val="clear" w:color="auto" w:fill="auto"/>
            <w:noWrap/>
            <w:vAlign w:val="bottom"/>
            <w:hideMark/>
          </w:tcPr>
          <w:p w14:paraId="47208E1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0.685</w:t>
            </w:r>
          </w:p>
        </w:tc>
        <w:tc>
          <w:tcPr>
            <w:tcW w:w="708" w:type="dxa"/>
            <w:tcBorders>
              <w:top w:val="nil"/>
              <w:left w:val="nil"/>
              <w:bottom w:val="nil"/>
              <w:right w:val="nil"/>
            </w:tcBorders>
            <w:shd w:val="clear" w:color="auto" w:fill="auto"/>
            <w:noWrap/>
            <w:vAlign w:val="bottom"/>
            <w:hideMark/>
          </w:tcPr>
          <w:p w14:paraId="46F7E50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0.121</w:t>
            </w:r>
          </w:p>
        </w:tc>
        <w:tc>
          <w:tcPr>
            <w:tcW w:w="626" w:type="dxa"/>
            <w:tcBorders>
              <w:top w:val="nil"/>
              <w:left w:val="nil"/>
              <w:bottom w:val="nil"/>
              <w:right w:val="nil"/>
            </w:tcBorders>
            <w:shd w:val="clear" w:color="auto" w:fill="auto"/>
            <w:noWrap/>
            <w:vAlign w:val="bottom"/>
            <w:hideMark/>
          </w:tcPr>
          <w:p w14:paraId="2F1AA4E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0.079</w:t>
            </w:r>
          </w:p>
        </w:tc>
        <w:tc>
          <w:tcPr>
            <w:tcW w:w="1247" w:type="dxa"/>
            <w:tcBorders>
              <w:top w:val="nil"/>
              <w:left w:val="nil"/>
              <w:bottom w:val="nil"/>
              <w:right w:val="nil"/>
            </w:tcBorders>
            <w:shd w:val="clear" w:color="auto" w:fill="auto"/>
            <w:noWrap/>
            <w:vAlign w:val="bottom"/>
            <w:hideMark/>
          </w:tcPr>
          <w:p w14:paraId="2C35C7F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0.107</w:t>
            </w:r>
          </w:p>
        </w:tc>
        <w:tc>
          <w:tcPr>
            <w:tcW w:w="700" w:type="dxa"/>
            <w:tcBorders>
              <w:top w:val="nil"/>
              <w:left w:val="nil"/>
              <w:bottom w:val="nil"/>
              <w:right w:val="single" w:sz="4" w:space="0" w:color="auto"/>
            </w:tcBorders>
            <w:shd w:val="clear" w:color="auto" w:fill="auto"/>
            <w:noWrap/>
            <w:vAlign w:val="bottom"/>
            <w:hideMark/>
          </w:tcPr>
          <w:p w14:paraId="26459E4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0.007</w:t>
            </w:r>
          </w:p>
        </w:tc>
        <w:tc>
          <w:tcPr>
            <w:tcW w:w="1071" w:type="dxa"/>
            <w:tcBorders>
              <w:top w:val="nil"/>
              <w:left w:val="single" w:sz="4" w:space="0" w:color="auto"/>
              <w:bottom w:val="nil"/>
              <w:right w:val="nil"/>
            </w:tcBorders>
            <w:shd w:val="clear" w:color="auto" w:fill="auto"/>
            <w:noWrap/>
            <w:vAlign w:val="bottom"/>
            <w:hideMark/>
          </w:tcPr>
          <w:p w14:paraId="57D60F8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0.695</w:t>
            </w:r>
          </w:p>
        </w:tc>
        <w:tc>
          <w:tcPr>
            <w:tcW w:w="708" w:type="dxa"/>
            <w:tcBorders>
              <w:top w:val="nil"/>
              <w:left w:val="nil"/>
              <w:bottom w:val="nil"/>
              <w:right w:val="nil"/>
            </w:tcBorders>
            <w:shd w:val="clear" w:color="auto" w:fill="auto"/>
            <w:noWrap/>
            <w:vAlign w:val="bottom"/>
            <w:hideMark/>
          </w:tcPr>
          <w:p w14:paraId="4A1F03B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0.175</w:t>
            </w:r>
          </w:p>
        </w:tc>
        <w:tc>
          <w:tcPr>
            <w:tcW w:w="626" w:type="dxa"/>
            <w:tcBorders>
              <w:top w:val="nil"/>
              <w:left w:val="nil"/>
              <w:bottom w:val="nil"/>
              <w:right w:val="nil"/>
            </w:tcBorders>
            <w:shd w:val="clear" w:color="auto" w:fill="auto"/>
            <w:noWrap/>
            <w:vAlign w:val="bottom"/>
            <w:hideMark/>
          </w:tcPr>
          <w:p w14:paraId="22DF450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0.037</w:t>
            </w:r>
          </w:p>
        </w:tc>
        <w:tc>
          <w:tcPr>
            <w:tcW w:w="1247" w:type="dxa"/>
            <w:tcBorders>
              <w:top w:val="nil"/>
              <w:left w:val="nil"/>
              <w:bottom w:val="nil"/>
              <w:right w:val="nil"/>
            </w:tcBorders>
            <w:shd w:val="clear" w:color="auto" w:fill="auto"/>
            <w:noWrap/>
            <w:vAlign w:val="bottom"/>
            <w:hideMark/>
          </w:tcPr>
          <w:p w14:paraId="6A66D49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0.088</w:t>
            </w:r>
          </w:p>
        </w:tc>
        <w:tc>
          <w:tcPr>
            <w:tcW w:w="698" w:type="dxa"/>
            <w:tcBorders>
              <w:top w:val="nil"/>
              <w:left w:val="nil"/>
              <w:bottom w:val="nil"/>
              <w:right w:val="single" w:sz="4" w:space="0" w:color="auto"/>
            </w:tcBorders>
            <w:shd w:val="clear" w:color="auto" w:fill="auto"/>
            <w:noWrap/>
            <w:vAlign w:val="bottom"/>
            <w:hideMark/>
          </w:tcPr>
          <w:p w14:paraId="05F6523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0.005</w:t>
            </w:r>
          </w:p>
        </w:tc>
        <w:tc>
          <w:tcPr>
            <w:tcW w:w="1071" w:type="dxa"/>
            <w:tcBorders>
              <w:top w:val="nil"/>
              <w:left w:val="single" w:sz="4" w:space="0" w:color="auto"/>
              <w:bottom w:val="nil"/>
              <w:right w:val="nil"/>
            </w:tcBorders>
            <w:shd w:val="clear" w:color="auto" w:fill="auto"/>
            <w:noWrap/>
            <w:vAlign w:val="bottom"/>
            <w:hideMark/>
          </w:tcPr>
          <w:p w14:paraId="55BBD12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0.639</w:t>
            </w:r>
          </w:p>
        </w:tc>
        <w:tc>
          <w:tcPr>
            <w:tcW w:w="708" w:type="dxa"/>
            <w:tcBorders>
              <w:top w:val="nil"/>
              <w:left w:val="nil"/>
              <w:bottom w:val="nil"/>
              <w:right w:val="nil"/>
            </w:tcBorders>
            <w:shd w:val="clear" w:color="auto" w:fill="auto"/>
            <w:noWrap/>
            <w:vAlign w:val="bottom"/>
            <w:hideMark/>
          </w:tcPr>
          <w:p w14:paraId="2153BD9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0.086</w:t>
            </w:r>
          </w:p>
        </w:tc>
        <w:tc>
          <w:tcPr>
            <w:tcW w:w="626" w:type="dxa"/>
            <w:tcBorders>
              <w:top w:val="nil"/>
              <w:left w:val="nil"/>
              <w:bottom w:val="nil"/>
              <w:right w:val="nil"/>
            </w:tcBorders>
            <w:shd w:val="clear" w:color="auto" w:fill="auto"/>
            <w:noWrap/>
            <w:vAlign w:val="bottom"/>
            <w:hideMark/>
          </w:tcPr>
          <w:p w14:paraId="249CACA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0.081</w:t>
            </w:r>
          </w:p>
        </w:tc>
        <w:tc>
          <w:tcPr>
            <w:tcW w:w="1247" w:type="dxa"/>
            <w:tcBorders>
              <w:top w:val="nil"/>
              <w:left w:val="nil"/>
              <w:bottom w:val="nil"/>
              <w:right w:val="nil"/>
            </w:tcBorders>
            <w:shd w:val="clear" w:color="auto" w:fill="auto"/>
            <w:noWrap/>
            <w:vAlign w:val="bottom"/>
            <w:hideMark/>
          </w:tcPr>
          <w:p w14:paraId="2997A2D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0.178</w:t>
            </w:r>
          </w:p>
        </w:tc>
        <w:tc>
          <w:tcPr>
            <w:tcW w:w="698" w:type="dxa"/>
            <w:tcBorders>
              <w:top w:val="nil"/>
              <w:left w:val="nil"/>
              <w:bottom w:val="nil"/>
              <w:right w:val="nil"/>
            </w:tcBorders>
            <w:shd w:val="clear" w:color="auto" w:fill="auto"/>
            <w:noWrap/>
            <w:vAlign w:val="bottom"/>
            <w:hideMark/>
          </w:tcPr>
          <w:p w14:paraId="394EB95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0.017</w:t>
            </w:r>
          </w:p>
        </w:tc>
      </w:tr>
      <w:tr w:rsidR="00304411" w:rsidRPr="00435469" w14:paraId="544C10AD" w14:textId="77777777" w:rsidTr="00E84FC8">
        <w:trPr>
          <w:trHeight w:val="264"/>
        </w:trPr>
        <w:tc>
          <w:tcPr>
            <w:tcW w:w="753" w:type="dxa"/>
            <w:vMerge/>
            <w:tcBorders>
              <w:top w:val="nil"/>
              <w:left w:val="nil"/>
              <w:bottom w:val="nil"/>
              <w:right w:val="nil"/>
            </w:tcBorders>
            <w:vAlign w:val="center"/>
            <w:hideMark/>
          </w:tcPr>
          <w:p w14:paraId="18E243B0"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3B4B6E76"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2016</w:t>
            </w:r>
          </w:p>
        </w:tc>
        <w:tc>
          <w:tcPr>
            <w:tcW w:w="1071" w:type="dxa"/>
            <w:tcBorders>
              <w:top w:val="nil"/>
              <w:left w:val="single" w:sz="4" w:space="0" w:color="auto"/>
              <w:bottom w:val="single" w:sz="4" w:space="0" w:color="auto"/>
              <w:right w:val="nil"/>
            </w:tcBorders>
            <w:shd w:val="clear" w:color="auto" w:fill="auto"/>
            <w:noWrap/>
            <w:vAlign w:val="bottom"/>
            <w:hideMark/>
          </w:tcPr>
          <w:p w14:paraId="57D96F3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0.641</w:t>
            </w:r>
          </w:p>
        </w:tc>
        <w:tc>
          <w:tcPr>
            <w:tcW w:w="708" w:type="dxa"/>
            <w:tcBorders>
              <w:top w:val="nil"/>
              <w:left w:val="nil"/>
              <w:bottom w:val="nil"/>
              <w:right w:val="nil"/>
            </w:tcBorders>
            <w:shd w:val="clear" w:color="auto" w:fill="auto"/>
            <w:noWrap/>
            <w:vAlign w:val="bottom"/>
            <w:hideMark/>
          </w:tcPr>
          <w:p w14:paraId="4B8BB23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0.161</w:t>
            </w:r>
          </w:p>
        </w:tc>
        <w:tc>
          <w:tcPr>
            <w:tcW w:w="626" w:type="dxa"/>
            <w:tcBorders>
              <w:top w:val="nil"/>
              <w:left w:val="nil"/>
              <w:bottom w:val="nil"/>
              <w:right w:val="nil"/>
            </w:tcBorders>
            <w:shd w:val="clear" w:color="auto" w:fill="auto"/>
            <w:noWrap/>
            <w:vAlign w:val="bottom"/>
            <w:hideMark/>
          </w:tcPr>
          <w:p w14:paraId="49400A9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0.078</w:t>
            </w:r>
          </w:p>
        </w:tc>
        <w:tc>
          <w:tcPr>
            <w:tcW w:w="1247" w:type="dxa"/>
            <w:tcBorders>
              <w:top w:val="nil"/>
              <w:left w:val="nil"/>
              <w:bottom w:val="nil"/>
              <w:right w:val="nil"/>
            </w:tcBorders>
            <w:shd w:val="clear" w:color="auto" w:fill="auto"/>
            <w:noWrap/>
            <w:vAlign w:val="bottom"/>
            <w:hideMark/>
          </w:tcPr>
          <w:p w14:paraId="38E4432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0.114</w:t>
            </w:r>
          </w:p>
        </w:tc>
        <w:tc>
          <w:tcPr>
            <w:tcW w:w="700" w:type="dxa"/>
            <w:tcBorders>
              <w:top w:val="nil"/>
              <w:left w:val="nil"/>
              <w:bottom w:val="nil"/>
              <w:right w:val="single" w:sz="4" w:space="0" w:color="auto"/>
            </w:tcBorders>
            <w:shd w:val="clear" w:color="auto" w:fill="auto"/>
            <w:noWrap/>
            <w:vAlign w:val="bottom"/>
            <w:hideMark/>
          </w:tcPr>
          <w:p w14:paraId="27F16E1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0.006</w:t>
            </w:r>
          </w:p>
        </w:tc>
        <w:tc>
          <w:tcPr>
            <w:tcW w:w="1071" w:type="dxa"/>
            <w:tcBorders>
              <w:top w:val="nil"/>
              <w:left w:val="single" w:sz="4" w:space="0" w:color="auto"/>
              <w:bottom w:val="single" w:sz="4" w:space="0" w:color="auto"/>
              <w:right w:val="nil"/>
            </w:tcBorders>
            <w:shd w:val="clear" w:color="auto" w:fill="auto"/>
            <w:noWrap/>
            <w:vAlign w:val="bottom"/>
            <w:hideMark/>
          </w:tcPr>
          <w:p w14:paraId="741914E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0.630</w:t>
            </w:r>
          </w:p>
        </w:tc>
        <w:tc>
          <w:tcPr>
            <w:tcW w:w="708" w:type="dxa"/>
            <w:tcBorders>
              <w:top w:val="nil"/>
              <w:left w:val="nil"/>
              <w:bottom w:val="nil"/>
              <w:right w:val="nil"/>
            </w:tcBorders>
            <w:shd w:val="clear" w:color="auto" w:fill="auto"/>
            <w:noWrap/>
            <w:vAlign w:val="bottom"/>
            <w:hideMark/>
          </w:tcPr>
          <w:p w14:paraId="014517F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0.237</w:t>
            </w:r>
          </w:p>
        </w:tc>
        <w:tc>
          <w:tcPr>
            <w:tcW w:w="626" w:type="dxa"/>
            <w:tcBorders>
              <w:top w:val="nil"/>
              <w:left w:val="nil"/>
              <w:bottom w:val="nil"/>
              <w:right w:val="nil"/>
            </w:tcBorders>
            <w:shd w:val="clear" w:color="auto" w:fill="auto"/>
            <w:noWrap/>
            <w:vAlign w:val="bottom"/>
            <w:hideMark/>
          </w:tcPr>
          <w:p w14:paraId="52B49A5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0.037</w:t>
            </w:r>
          </w:p>
        </w:tc>
        <w:tc>
          <w:tcPr>
            <w:tcW w:w="1247" w:type="dxa"/>
            <w:tcBorders>
              <w:top w:val="nil"/>
              <w:left w:val="nil"/>
              <w:bottom w:val="nil"/>
              <w:right w:val="nil"/>
            </w:tcBorders>
            <w:shd w:val="clear" w:color="auto" w:fill="auto"/>
            <w:noWrap/>
            <w:vAlign w:val="bottom"/>
            <w:hideMark/>
          </w:tcPr>
          <w:p w14:paraId="75911BD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0.090</w:t>
            </w:r>
          </w:p>
        </w:tc>
        <w:tc>
          <w:tcPr>
            <w:tcW w:w="698" w:type="dxa"/>
            <w:tcBorders>
              <w:top w:val="nil"/>
              <w:left w:val="nil"/>
              <w:bottom w:val="nil"/>
              <w:right w:val="single" w:sz="4" w:space="0" w:color="auto"/>
            </w:tcBorders>
            <w:shd w:val="clear" w:color="auto" w:fill="auto"/>
            <w:noWrap/>
            <w:vAlign w:val="bottom"/>
            <w:hideMark/>
          </w:tcPr>
          <w:p w14:paraId="5AE633E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0.006</w:t>
            </w:r>
          </w:p>
        </w:tc>
        <w:tc>
          <w:tcPr>
            <w:tcW w:w="1071" w:type="dxa"/>
            <w:tcBorders>
              <w:top w:val="nil"/>
              <w:left w:val="single" w:sz="4" w:space="0" w:color="auto"/>
              <w:bottom w:val="single" w:sz="4" w:space="0" w:color="auto"/>
              <w:right w:val="nil"/>
            </w:tcBorders>
            <w:shd w:val="clear" w:color="auto" w:fill="auto"/>
            <w:noWrap/>
            <w:vAlign w:val="bottom"/>
            <w:hideMark/>
          </w:tcPr>
          <w:p w14:paraId="4C61869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0.627</w:t>
            </w:r>
          </w:p>
        </w:tc>
        <w:tc>
          <w:tcPr>
            <w:tcW w:w="708" w:type="dxa"/>
            <w:tcBorders>
              <w:top w:val="nil"/>
              <w:left w:val="nil"/>
              <w:bottom w:val="nil"/>
              <w:right w:val="nil"/>
            </w:tcBorders>
            <w:shd w:val="clear" w:color="auto" w:fill="auto"/>
            <w:noWrap/>
            <w:vAlign w:val="bottom"/>
            <w:hideMark/>
          </w:tcPr>
          <w:p w14:paraId="5474799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0.114</w:t>
            </w:r>
          </w:p>
        </w:tc>
        <w:tc>
          <w:tcPr>
            <w:tcW w:w="626" w:type="dxa"/>
            <w:tcBorders>
              <w:top w:val="nil"/>
              <w:left w:val="nil"/>
              <w:bottom w:val="nil"/>
              <w:right w:val="nil"/>
            </w:tcBorders>
            <w:shd w:val="clear" w:color="auto" w:fill="auto"/>
            <w:noWrap/>
            <w:vAlign w:val="bottom"/>
            <w:hideMark/>
          </w:tcPr>
          <w:p w14:paraId="1369549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0.073</w:t>
            </w:r>
          </w:p>
        </w:tc>
        <w:tc>
          <w:tcPr>
            <w:tcW w:w="1247" w:type="dxa"/>
            <w:tcBorders>
              <w:top w:val="nil"/>
              <w:left w:val="nil"/>
              <w:bottom w:val="nil"/>
              <w:right w:val="nil"/>
            </w:tcBorders>
            <w:shd w:val="clear" w:color="auto" w:fill="auto"/>
            <w:noWrap/>
            <w:vAlign w:val="bottom"/>
            <w:hideMark/>
          </w:tcPr>
          <w:p w14:paraId="4ADE402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0.180</w:t>
            </w:r>
          </w:p>
        </w:tc>
        <w:tc>
          <w:tcPr>
            <w:tcW w:w="698" w:type="dxa"/>
            <w:tcBorders>
              <w:top w:val="nil"/>
              <w:left w:val="nil"/>
              <w:bottom w:val="nil"/>
              <w:right w:val="nil"/>
            </w:tcBorders>
            <w:shd w:val="clear" w:color="auto" w:fill="auto"/>
            <w:noWrap/>
            <w:vAlign w:val="bottom"/>
            <w:hideMark/>
          </w:tcPr>
          <w:p w14:paraId="4B4FED3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0.006</w:t>
            </w:r>
          </w:p>
        </w:tc>
      </w:tr>
      <w:tr w:rsidR="00304411" w:rsidRPr="00435469" w14:paraId="1CC99937" w14:textId="77777777" w:rsidTr="00E84FC8">
        <w:trPr>
          <w:trHeight w:val="264"/>
        </w:trPr>
        <w:tc>
          <w:tcPr>
            <w:tcW w:w="753" w:type="dxa"/>
            <w:vMerge w:val="restart"/>
            <w:tcBorders>
              <w:top w:val="single" w:sz="4" w:space="0" w:color="auto"/>
              <w:left w:val="nil"/>
              <w:bottom w:val="single" w:sz="4" w:space="0" w:color="000000"/>
              <w:right w:val="nil"/>
            </w:tcBorders>
            <w:shd w:val="clear" w:color="auto" w:fill="auto"/>
            <w:noWrap/>
            <w:vAlign w:val="center"/>
            <w:hideMark/>
          </w:tcPr>
          <w:p w14:paraId="0528917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Male</w:t>
            </w:r>
          </w:p>
        </w:tc>
        <w:tc>
          <w:tcPr>
            <w:tcW w:w="703" w:type="dxa"/>
            <w:tcBorders>
              <w:top w:val="single" w:sz="4" w:space="0" w:color="auto"/>
              <w:left w:val="nil"/>
              <w:bottom w:val="nil"/>
              <w:right w:val="single" w:sz="4" w:space="0" w:color="auto"/>
            </w:tcBorders>
            <w:shd w:val="clear" w:color="auto" w:fill="auto"/>
            <w:noWrap/>
            <w:vAlign w:val="bottom"/>
            <w:hideMark/>
          </w:tcPr>
          <w:p w14:paraId="006078AB"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2004</w:t>
            </w:r>
          </w:p>
        </w:tc>
        <w:tc>
          <w:tcPr>
            <w:tcW w:w="1071" w:type="dxa"/>
            <w:tcBorders>
              <w:top w:val="nil"/>
              <w:left w:val="single" w:sz="4" w:space="0" w:color="auto"/>
              <w:bottom w:val="nil"/>
              <w:right w:val="nil"/>
            </w:tcBorders>
            <w:shd w:val="clear" w:color="auto" w:fill="auto"/>
            <w:noWrap/>
            <w:vAlign w:val="bottom"/>
            <w:hideMark/>
          </w:tcPr>
          <w:p w14:paraId="1001D8B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0.415</w:t>
            </w:r>
          </w:p>
        </w:tc>
        <w:tc>
          <w:tcPr>
            <w:tcW w:w="708" w:type="dxa"/>
            <w:tcBorders>
              <w:top w:val="single" w:sz="4" w:space="0" w:color="auto"/>
              <w:left w:val="nil"/>
              <w:bottom w:val="nil"/>
              <w:right w:val="nil"/>
            </w:tcBorders>
            <w:shd w:val="clear" w:color="auto" w:fill="auto"/>
            <w:noWrap/>
            <w:vAlign w:val="bottom"/>
            <w:hideMark/>
          </w:tcPr>
          <w:p w14:paraId="31E3BED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0.238</w:t>
            </w:r>
          </w:p>
        </w:tc>
        <w:tc>
          <w:tcPr>
            <w:tcW w:w="626" w:type="dxa"/>
            <w:tcBorders>
              <w:top w:val="single" w:sz="4" w:space="0" w:color="auto"/>
              <w:left w:val="nil"/>
              <w:bottom w:val="nil"/>
              <w:right w:val="nil"/>
            </w:tcBorders>
            <w:shd w:val="clear" w:color="auto" w:fill="auto"/>
            <w:noWrap/>
            <w:vAlign w:val="bottom"/>
            <w:hideMark/>
          </w:tcPr>
          <w:p w14:paraId="091D4EE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0.074</w:t>
            </w:r>
          </w:p>
        </w:tc>
        <w:tc>
          <w:tcPr>
            <w:tcW w:w="1247" w:type="dxa"/>
            <w:tcBorders>
              <w:top w:val="single" w:sz="4" w:space="0" w:color="auto"/>
              <w:left w:val="nil"/>
              <w:bottom w:val="nil"/>
              <w:right w:val="nil"/>
            </w:tcBorders>
            <w:shd w:val="clear" w:color="auto" w:fill="auto"/>
            <w:noWrap/>
            <w:vAlign w:val="bottom"/>
            <w:hideMark/>
          </w:tcPr>
          <w:p w14:paraId="446999B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0.258</w:t>
            </w:r>
          </w:p>
        </w:tc>
        <w:tc>
          <w:tcPr>
            <w:tcW w:w="700" w:type="dxa"/>
            <w:tcBorders>
              <w:top w:val="single" w:sz="4" w:space="0" w:color="auto"/>
              <w:left w:val="nil"/>
              <w:bottom w:val="nil"/>
              <w:right w:val="single" w:sz="4" w:space="0" w:color="auto"/>
            </w:tcBorders>
            <w:shd w:val="clear" w:color="auto" w:fill="auto"/>
            <w:noWrap/>
            <w:vAlign w:val="bottom"/>
            <w:hideMark/>
          </w:tcPr>
          <w:p w14:paraId="223ABD2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0.014</w:t>
            </w:r>
          </w:p>
        </w:tc>
        <w:tc>
          <w:tcPr>
            <w:tcW w:w="1071" w:type="dxa"/>
            <w:tcBorders>
              <w:top w:val="nil"/>
              <w:left w:val="single" w:sz="4" w:space="0" w:color="auto"/>
              <w:bottom w:val="nil"/>
              <w:right w:val="nil"/>
            </w:tcBorders>
            <w:shd w:val="clear" w:color="auto" w:fill="auto"/>
            <w:noWrap/>
            <w:vAlign w:val="bottom"/>
            <w:hideMark/>
          </w:tcPr>
          <w:p w14:paraId="42763E9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0.342</w:t>
            </w:r>
          </w:p>
        </w:tc>
        <w:tc>
          <w:tcPr>
            <w:tcW w:w="708" w:type="dxa"/>
            <w:tcBorders>
              <w:top w:val="single" w:sz="4" w:space="0" w:color="auto"/>
              <w:left w:val="nil"/>
              <w:bottom w:val="nil"/>
              <w:right w:val="nil"/>
            </w:tcBorders>
            <w:shd w:val="clear" w:color="auto" w:fill="auto"/>
            <w:noWrap/>
            <w:vAlign w:val="bottom"/>
            <w:hideMark/>
          </w:tcPr>
          <w:p w14:paraId="4D4B985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0.487</w:t>
            </w:r>
          </w:p>
        </w:tc>
        <w:tc>
          <w:tcPr>
            <w:tcW w:w="626" w:type="dxa"/>
            <w:tcBorders>
              <w:top w:val="single" w:sz="4" w:space="0" w:color="auto"/>
              <w:left w:val="nil"/>
              <w:bottom w:val="nil"/>
              <w:right w:val="nil"/>
            </w:tcBorders>
            <w:shd w:val="clear" w:color="auto" w:fill="auto"/>
            <w:noWrap/>
            <w:vAlign w:val="bottom"/>
            <w:hideMark/>
          </w:tcPr>
          <w:p w14:paraId="681F527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0.019</w:t>
            </w:r>
          </w:p>
        </w:tc>
        <w:tc>
          <w:tcPr>
            <w:tcW w:w="1247" w:type="dxa"/>
            <w:tcBorders>
              <w:top w:val="single" w:sz="4" w:space="0" w:color="auto"/>
              <w:left w:val="nil"/>
              <w:bottom w:val="nil"/>
              <w:right w:val="nil"/>
            </w:tcBorders>
            <w:shd w:val="clear" w:color="auto" w:fill="auto"/>
            <w:noWrap/>
            <w:vAlign w:val="bottom"/>
            <w:hideMark/>
          </w:tcPr>
          <w:p w14:paraId="14AC50F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0.134</w:t>
            </w:r>
          </w:p>
        </w:tc>
        <w:tc>
          <w:tcPr>
            <w:tcW w:w="698" w:type="dxa"/>
            <w:tcBorders>
              <w:top w:val="single" w:sz="4" w:space="0" w:color="auto"/>
              <w:left w:val="nil"/>
              <w:bottom w:val="nil"/>
              <w:right w:val="single" w:sz="4" w:space="0" w:color="auto"/>
            </w:tcBorders>
            <w:shd w:val="clear" w:color="auto" w:fill="auto"/>
            <w:noWrap/>
            <w:vAlign w:val="bottom"/>
            <w:hideMark/>
          </w:tcPr>
          <w:p w14:paraId="31A9E4A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0.019</w:t>
            </w:r>
          </w:p>
        </w:tc>
        <w:tc>
          <w:tcPr>
            <w:tcW w:w="1071" w:type="dxa"/>
            <w:tcBorders>
              <w:top w:val="nil"/>
              <w:left w:val="single" w:sz="4" w:space="0" w:color="auto"/>
              <w:bottom w:val="nil"/>
              <w:right w:val="nil"/>
            </w:tcBorders>
            <w:shd w:val="clear" w:color="auto" w:fill="auto"/>
            <w:noWrap/>
            <w:vAlign w:val="bottom"/>
            <w:hideMark/>
          </w:tcPr>
          <w:p w14:paraId="5DB4950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0.410</w:t>
            </w:r>
          </w:p>
        </w:tc>
        <w:tc>
          <w:tcPr>
            <w:tcW w:w="708" w:type="dxa"/>
            <w:tcBorders>
              <w:top w:val="single" w:sz="4" w:space="0" w:color="auto"/>
              <w:left w:val="nil"/>
              <w:bottom w:val="nil"/>
              <w:right w:val="nil"/>
            </w:tcBorders>
            <w:shd w:val="clear" w:color="auto" w:fill="auto"/>
            <w:noWrap/>
            <w:vAlign w:val="bottom"/>
            <w:hideMark/>
          </w:tcPr>
          <w:p w14:paraId="73C5411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0.218</w:t>
            </w:r>
          </w:p>
        </w:tc>
        <w:tc>
          <w:tcPr>
            <w:tcW w:w="626" w:type="dxa"/>
            <w:tcBorders>
              <w:top w:val="single" w:sz="4" w:space="0" w:color="auto"/>
              <w:left w:val="nil"/>
              <w:bottom w:val="nil"/>
              <w:right w:val="nil"/>
            </w:tcBorders>
            <w:shd w:val="clear" w:color="auto" w:fill="auto"/>
            <w:noWrap/>
            <w:vAlign w:val="bottom"/>
            <w:hideMark/>
          </w:tcPr>
          <w:p w14:paraId="7160227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0.079</w:t>
            </w:r>
          </w:p>
        </w:tc>
        <w:tc>
          <w:tcPr>
            <w:tcW w:w="1247" w:type="dxa"/>
            <w:tcBorders>
              <w:top w:val="single" w:sz="4" w:space="0" w:color="auto"/>
              <w:left w:val="nil"/>
              <w:bottom w:val="nil"/>
              <w:right w:val="nil"/>
            </w:tcBorders>
            <w:shd w:val="clear" w:color="auto" w:fill="auto"/>
            <w:noWrap/>
            <w:vAlign w:val="bottom"/>
            <w:hideMark/>
          </w:tcPr>
          <w:p w14:paraId="1017382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0.285</w:t>
            </w:r>
          </w:p>
        </w:tc>
        <w:tc>
          <w:tcPr>
            <w:tcW w:w="698" w:type="dxa"/>
            <w:tcBorders>
              <w:top w:val="single" w:sz="4" w:space="0" w:color="auto"/>
              <w:left w:val="nil"/>
              <w:bottom w:val="nil"/>
              <w:right w:val="nil"/>
            </w:tcBorders>
            <w:shd w:val="clear" w:color="auto" w:fill="auto"/>
            <w:noWrap/>
            <w:vAlign w:val="bottom"/>
            <w:hideMark/>
          </w:tcPr>
          <w:p w14:paraId="65D0F81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r>
      <w:tr w:rsidR="00304411" w:rsidRPr="00435469" w14:paraId="28C6A9B1"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7D07A22D"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28E59854"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2005</w:t>
            </w:r>
          </w:p>
        </w:tc>
        <w:tc>
          <w:tcPr>
            <w:tcW w:w="1071" w:type="dxa"/>
            <w:tcBorders>
              <w:top w:val="nil"/>
              <w:left w:val="single" w:sz="4" w:space="0" w:color="auto"/>
              <w:bottom w:val="nil"/>
              <w:right w:val="nil"/>
            </w:tcBorders>
            <w:shd w:val="clear" w:color="auto" w:fill="auto"/>
            <w:noWrap/>
            <w:vAlign w:val="bottom"/>
            <w:hideMark/>
          </w:tcPr>
          <w:p w14:paraId="0B118B4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0.417</w:t>
            </w:r>
          </w:p>
        </w:tc>
        <w:tc>
          <w:tcPr>
            <w:tcW w:w="708" w:type="dxa"/>
            <w:tcBorders>
              <w:top w:val="nil"/>
              <w:left w:val="nil"/>
              <w:bottom w:val="nil"/>
              <w:right w:val="nil"/>
            </w:tcBorders>
            <w:shd w:val="clear" w:color="auto" w:fill="auto"/>
            <w:noWrap/>
            <w:vAlign w:val="bottom"/>
            <w:hideMark/>
          </w:tcPr>
          <w:p w14:paraId="3B192EE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0.264</w:t>
            </w:r>
          </w:p>
        </w:tc>
        <w:tc>
          <w:tcPr>
            <w:tcW w:w="626" w:type="dxa"/>
            <w:tcBorders>
              <w:top w:val="nil"/>
              <w:left w:val="nil"/>
              <w:bottom w:val="nil"/>
              <w:right w:val="nil"/>
            </w:tcBorders>
            <w:shd w:val="clear" w:color="auto" w:fill="auto"/>
            <w:noWrap/>
            <w:vAlign w:val="bottom"/>
            <w:hideMark/>
          </w:tcPr>
          <w:p w14:paraId="50296DB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0.093</w:t>
            </w:r>
          </w:p>
        </w:tc>
        <w:tc>
          <w:tcPr>
            <w:tcW w:w="1247" w:type="dxa"/>
            <w:tcBorders>
              <w:top w:val="nil"/>
              <w:left w:val="nil"/>
              <w:bottom w:val="nil"/>
              <w:right w:val="nil"/>
            </w:tcBorders>
            <w:shd w:val="clear" w:color="auto" w:fill="auto"/>
            <w:noWrap/>
            <w:vAlign w:val="bottom"/>
            <w:hideMark/>
          </w:tcPr>
          <w:p w14:paraId="60640EB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0.213</w:t>
            </w:r>
          </w:p>
        </w:tc>
        <w:tc>
          <w:tcPr>
            <w:tcW w:w="700" w:type="dxa"/>
            <w:tcBorders>
              <w:top w:val="nil"/>
              <w:left w:val="nil"/>
              <w:bottom w:val="nil"/>
              <w:right w:val="single" w:sz="4" w:space="0" w:color="auto"/>
            </w:tcBorders>
            <w:shd w:val="clear" w:color="auto" w:fill="auto"/>
            <w:noWrap/>
            <w:vAlign w:val="bottom"/>
            <w:hideMark/>
          </w:tcPr>
          <w:p w14:paraId="7994F2D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0.012</w:t>
            </w:r>
          </w:p>
        </w:tc>
        <w:tc>
          <w:tcPr>
            <w:tcW w:w="1071" w:type="dxa"/>
            <w:tcBorders>
              <w:top w:val="nil"/>
              <w:left w:val="single" w:sz="4" w:space="0" w:color="auto"/>
              <w:bottom w:val="nil"/>
              <w:right w:val="nil"/>
            </w:tcBorders>
            <w:shd w:val="clear" w:color="auto" w:fill="auto"/>
            <w:noWrap/>
            <w:vAlign w:val="bottom"/>
            <w:hideMark/>
          </w:tcPr>
          <w:p w14:paraId="62343D8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0.271</w:t>
            </w:r>
          </w:p>
        </w:tc>
        <w:tc>
          <w:tcPr>
            <w:tcW w:w="708" w:type="dxa"/>
            <w:tcBorders>
              <w:top w:val="nil"/>
              <w:left w:val="nil"/>
              <w:bottom w:val="nil"/>
              <w:right w:val="nil"/>
            </w:tcBorders>
            <w:shd w:val="clear" w:color="auto" w:fill="auto"/>
            <w:noWrap/>
            <w:vAlign w:val="bottom"/>
            <w:hideMark/>
          </w:tcPr>
          <w:p w14:paraId="092A2D5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0.530</w:t>
            </w:r>
          </w:p>
        </w:tc>
        <w:tc>
          <w:tcPr>
            <w:tcW w:w="626" w:type="dxa"/>
            <w:tcBorders>
              <w:top w:val="nil"/>
              <w:left w:val="nil"/>
              <w:bottom w:val="nil"/>
              <w:right w:val="nil"/>
            </w:tcBorders>
            <w:shd w:val="clear" w:color="auto" w:fill="auto"/>
            <w:noWrap/>
            <w:vAlign w:val="bottom"/>
            <w:hideMark/>
          </w:tcPr>
          <w:p w14:paraId="321ABB7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0.027</w:t>
            </w:r>
          </w:p>
        </w:tc>
        <w:tc>
          <w:tcPr>
            <w:tcW w:w="1247" w:type="dxa"/>
            <w:tcBorders>
              <w:top w:val="nil"/>
              <w:left w:val="nil"/>
              <w:bottom w:val="nil"/>
              <w:right w:val="nil"/>
            </w:tcBorders>
            <w:shd w:val="clear" w:color="auto" w:fill="auto"/>
            <w:noWrap/>
            <w:vAlign w:val="bottom"/>
            <w:hideMark/>
          </w:tcPr>
          <w:p w14:paraId="4695F7E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0.161</w:t>
            </w:r>
          </w:p>
        </w:tc>
        <w:tc>
          <w:tcPr>
            <w:tcW w:w="698" w:type="dxa"/>
            <w:tcBorders>
              <w:top w:val="nil"/>
              <w:left w:val="nil"/>
              <w:bottom w:val="nil"/>
              <w:right w:val="single" w:sz="4" w:space="0" w:color="auto"/>
            </w:tcBorders>
            <w:shd w:val="clear" w:color="auto" w:fill="auto"/>
            <w:noWrap/>
            <w:vAlign w:val="bottom"/>
            <w:hideMark/>
          </w:tcPr>
          <w:p w14:paraId="0253490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0.011</w:t>
            </w:r>
          </w:p>
        </w:tc>
        <w:tc>
          <w:tcPr>
            <w:tcW w:w="1071" w:type="dxa"/>
            <w:tcBorders>
              <w:top w:val="nil"/>
              <w:left w:val="single" w:sz="4" w:space="0" w:color="auto"/>
              <w:bottom w:val="nil"/>
              <w:right w:val="nil"/>
            </w:tcBorders>
            <w:shd w:val="clear" w:color="auto" w:fill="auto"/>
            <w:noWrap/>
            <w:vAlign w:val="bottom"/>
            <w:hideMark/>
          </w:tcPr>
          <w:p w14:paraId="5026818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0.422</w:t>
            </w:r>
          </w:p>
        </w:tc>
        <w:tc>
          <w:tcPr>
            <w:tcW w:w="708" w:type="dxa"/>
            <w:tcBorders>
              <w:top w:val="nil"/>
              <w:left w:val="nil"/>
              <w:bottom w:val="nil"/>
              <w:right w:val="nil"/>
            </w:tcBorders>
            <w:shd w:val="clear" w:color="auto" w:fill="auto"/>
            <w:noWrap/>
            <w:vAlign w:val="bottom"/>
            <w:hideMark/>
          </w:tcPr>
          <w:p w14:paraId="7043803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0.230</w:t>
            </w:r>
          </w:p>
        </w:tc>
        <w:tc>
          <w:tcPr>
            <w:tcW w:w="626" w:type="dxa"/>
            <w:tcBorders>
              <w:top w:val="nil"/>
              <w:left w:val="nil"/>
              <w:bottom w:val="nil"/>
              <w:right w:val="nil"/>
            </w:tcBorders>
            <w:shd w:val="clear" w:color="auto" w:fill="auto"/>
            <w:noWrap/>
            <w:vAlign w:val="bottom"/>
            <w:hideMark/>
          </w:tcPr>
          <w:p w14:paraId="689AB7F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0.089</w:t>
            </w:r>
          </w:p>
        </w:tc>
        <w:tc>
          <w:tcPr>
            <w:tcW w:w="1247" w:type="dxa"/>
            <w:tcBorders>
              <w:top w:val="nil"/>
              <w:left w:val="nil"/>
              <w:bottom w:val="nil"/>
              <w:right w:val="nil"/>
            </w:tcBorders>
            <w:shd w:val="clear" w:color="auto" w:fill="auto"/>
            <w:noWrap/>
            <w:vAlign w:val="bottom"/>
            <w:hideMark/>
          </w:tcPr>
          <w:p w14:paraId="12904D7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0.251</w:t>
            </w:r>
          </w:p>
        </w:tc>
        <w:tc>
          <w:tcPr>
            <w:tcW w:w="698" w:type="dxa"/>
            <w:tcBorders>
              <w:top w:val="nil"/>
              <w:left w:val="nil"/>
              <w:bottom w:val="nil"/>
              <w:right w:val="nil"/>
            </w:tcBorders>
            <w:shd w:val="clear" w:color="auto" w:fill="auto"/>
            <w:noWrap/>
            <w:vAlign w:val="bottom"/>
            <w:hideMark/>
          </w:tcPr>
          <w:p w14:paraId="44F93DD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r>
      <w:tr w:rsidR="00304411" w:rsidRPr="00435469" w14:paraId="479BDB21"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6868A871"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1212D949"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2006</w:t>
            </w:r>
          </w:p>
        </w:tc>
        <w:tc>
          <w:tcPr>
            <w:tcW w:w="1071" w:type="dxa"/>
            <w:tcBorders>
              <w:top w:val="nil"/>
              <w:left w:val="single" w:sz="4" w:space="0" w:color="auto"/>
              <w:bottom w:val="nil"/>
              <w:right w:val="nil"/>
            </w:tcBorders>
            <w:shd w:val="clear" w:color="auto" w:fill="auto"/>
            <w:noWrap/>
            <w:vAlign w:val="bottom"/>
            <w:hideMark/>
          </w:tcPr>
          <w:p w14:paraId="78267E0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0.390</w:t>
            </w:r>
          </w:p>
        </w:tc>
        <w:tc>
          <w:tcPr>
            <w:tcW w:w="708" w:type="dxa"/>
            <w:tcBorders>
              <w:top w:val="nil"/>
              <w:left w:val="nil"/>
              <w:bottom w:val="nil"/>
              <w:right w:val="nil"/>
            </w:tcBorders>
            <w:shd w:val="clear" w:color="auto" w:fill="auto"/>
            <w:noWrap/>
            <w:vAlign w:val="bottom"/>
            <w:hideMark/>
          </w:tcPr>
          <w:p w14:paraId="77BD37A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0.285</w:t>
            </w:r>
          </w:p>
        </w:tc>
        <w:tc>
          <w:tcPr>
            <w:tcW w:w="626" w:type="dxa"/>
            <w:tcBorders>
              <w:top w:val="nil"/>
              <w:left w:val="nil"/>
              <w:bottom w:val="nil"/>
              <w:right w:val="nil"/>
            </w:tcBorders>
            <w:shd w:val="clear" w:color="auto" w:fill="auto"/>
            <w:noWrap/>
            <w:vAlign w:val="bottom"/>
            <w:hideMark/>
          </w:tcPr>
          <w:p w14:paraId="310C86D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0.102</w:t>
            </w:r>
          </w:p>
        </w:tc>
        <w:tc>
          <w:tcPr>
            <w:tcW w:w="1247" w:type="dxa"/>
            <w:tcBorders>
              <w:top w:val="nil"/>
              <w:left w:val="nil"/>
              <w:bottom w:val="nil"/>
              <w:right w:val="nil"/>
            </w:tcBorders>
            <w:shd w:val="clear" w:color="auto" w:fill="auto"/>
            <w:noWrap/>
            <w:vAlign w:val="bottom"/>
            <w:hideMark/>
          </w:tcPr>
          <w:p w14:paraId="489DAE1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0.214</w:t>
            </w:r>
          </w:p>
        </w:tc>
        <w:tc>
          <w:tcPr>
            <w:tcW w:w="700" w:type="dxa"/>
            <w:tcBorders>
              <w:top w:val="nil"/>
              <w:left w:val="nil"/>
              <w:bottom w:val="nil"/>
              <w:right w:val="single" w:sz="4" w:space="0" w:color="auto"/>
            </w:tcBorders>
            <w:shd w:val="clear" w:color="auto" w:fill="auto"/>
            <w:noWrap/>
            <w:vAlign w:val="bottom"/>
            <w:hideMark/>
          </w:tcPr>
          <w:p w14:paraId="642D575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0.010</w:t>
            </w:r>
          </w:p>
        </w:tc>
        <w:tc>
          <w:tcPr>
            <w:tcW w:w="1071" w:type="dxa"/>
            <w:tcBorders>
              <w:top w:val="nil"/>
              <w:left w:val="single" w:sz="4" w:space="0" w:color="auto"/>
              <w:bottom w:val="nil"/>
              <w:right w:val="nil"/>
            </w:tcBorders>
            <w:shd w:val="clear" w:color="auto" w:fill="auto"/>
            <w:noWrap/>
            <w:vAlign w:val="bottom"/>
            <w:hideMark/>
          </w:tcPr>
          <w:p w14:paraId="3A7D79E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0.275</w:t>
            </w:r>
          </w:p>
        </w:tc>
        <w:tc>
          <w:tcPr>
            <w:tcW w:w="708" w:type="dxa"/>
            <w:tcBorders>
              <w:top w:val="nil"/>
              <w:left w:val="nil"/>
              <w:bottom w:val="nil"/>
              <w:right w:val="nil"/>
            </w:tcBorders>
            <w:shd w:val="clear" w:color="auto" w:fill="auto"/>
            <w:noWrap/>
            <w:vAlign w:val="bottom"/>
            <w:hideMark/>
          </w:tcPr>
          <w:p w14:paraId="7ABA7B1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0.500</w:t>
            </w:r>
          </w:p>
        </w:tc>
        <w:tc>
          <w:tcPr>
            <w:tcW w:w="626" w:type="dxa"/>
            <w:tcBorders>
              <w:top w:val="nil"/>
              <w:left w:val="nil"/>
              <w:bottom w:val="nil"/>
              <w:right w:val="nil"/>
            </w:tcBorders>
            <w:shd w:val="clear" w:color="auto" w:fill="auto"/>
            <w:noWrap/>
            <w:vAlign w:val="bottom"/>
            <w:hideMark/>
          </w:tcPr>
          <w:p w14:paraId="5F10277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0.032</w:t>
            </w:r>
          </w:p>
        </w:tc>
        <w:tc>
          <w:tcPr>
            <w:tcW w:w="1247" w:type="dxa"/>
            <w:tcBorders>
              <w:top w:val="nil"/>
              <w:left w:val="nil"/>
              <w:bottom w:val="nil"/>
              <w:right w:val="nil"/>
            </w:tcBorders>
            <w:shd w:val="clear" w:color="auto" w:fill="auto"/>
            <w:noWrap/>
            <w:vAlign w:val="bottom"/>
            <w:hideMark/>
          </w:tcPr>
          <w:p w14:paraId="09C62C6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0.178</w:t>
            </w:r>
          </w:p>
        </w:tc>
        <w:tc>
          <w:tcPr>
            <w:tcW w:w="698" w:type="dxa"/>
            <w:tcBorders>
              <w:top w:val="nil"/>
              <w:left w:val="nil"/>
              <w:bottom w:val="nil"/>
              <w:right w:val="single" w:sz="4" w:space="0" w:color="auto"/>
            </w:tcBorders>
            <w:shd w:val="clear" w:color="auto" w:fill="auto"/>
            <w:noWrap/>
            <w:vAlign w:val="bottom"/>
            <w:hideMark/>
          </w:tcPr>
          <w:p w14:paraId="12A1A1F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0.015</w:t>
            </w:r>
          </w:p>
        </w:tc>
        <w:tc>
          <w:tcPr>
            <w:tcW w:w="1071" w:type="dxa"/>
            <w:tcBorders>
              <w:top w:val="nil"/>
              <w:left w:val="single" w:sz="4" w:space="0" w:color="auto"/>
              <w:bottom w:val="nil"/>
              <w:right w:val="nil"/>
            </w:tcBorders>
            <w:shd w:val="clear" w:color="auto" w:fill="auto"/>
            <w:noWrap/>
            <w:vAlign w:val="bottom"/>
            <w:hideMark/>
          </w:tcPr>
          <w:p w14:paraId="5DD0407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0.435</w:t>
            </w:r>
          </w:p>
        </w:tc>
        <w:tc>
          <w:tcPr>
            <w:tcW w:w="708" w:type="dxa"/>
            <w:tcBorders>
              <w:top w:val="nil"/>
              <w:left w:val="nil"/>
              <w:bottom w:val="nil"/>
              <w:right w:val="nil"/>
            </w:tcBorders>
            <w:shd w:val="clear" w:color="auto" w:fill="auto"/>
            <w:noWrap/>
            <w:vAlign w:val="bottom"/>
            <w:hideMark/>
          </w:tcPr>
          <w:p w14:paraId="194557F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0.236</w:t>
            </w:r>
          </w:p>
        </w:tc>
        <w:tc>
          <w:tcPr>
            <w:tcW w:w="626" w:type="dxa"/>
            <w:tcBorders>
              <w:top w:val="nil"/>
              <w:left w:val="nil"/>
              <w:bottom w:val="nil"/>
              <w:right w:val="nil"/>
            </w:tcBorders>
            <w:shd w:val="clear" w:color="auto" w:fill="auto"/>
            <w:noWrap/>
            <w:vAlign w:val="bottom"/>
            <w:hideMark/>
          </w:tcPr>
          <w:p w14:paraId="144B7C1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0.095</w:t>
            </w:r>
          </w:p>
        </w:tc>
        <w:tc>
          <w:tcPr>
            <w:tcW w:w="1247" w:type="dxa"/>
            <w:tcBorders>
              <w:top w:val="nil"/>
              <w:left w:val="nil"/>
              <w:bottom w:val="nil"/>
              <w:right w:val="nil"/>
            </w:tcBorders>
            <w:shd w:val="clear" w:color="auto" w:fill="auto"/>
            <w:noWrap/>
            <w:vAlign w:val="bottom"/>
            <w:hideMark/>
          </w:tcPr>
          <w:p w14:paraId="2EE33E8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0.225</w:t>
            </w:r>
          </w:p>
        </w:tc>
        <w:tc>
          <w:tcPr>
            <w:tcW w:w="698" w:type="dxa"/>
            <w:tcBorders>
              <w:top w:val="nil"/>
              <w:left w:val="nil"/>
              <w:bottom w:val="nil"/>
              <w:right w:val="nil"/>
            </w:tcBorders>
            <w:shd w:val="clear" w:color="auto" w:fill="auto"/>
            <w:noWrap/>
            <w:vAlign w:val="bottom"/>
            <w:hideMark/>
          </w:tcPr>
          <w:p w14:paraId="5EE30DF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r>
      <w:tr w:rsidR="00304411" w:rsidRPr="00435469" w14:paraId="25D8F910"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41325A61"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43C20977"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2007</w:t>
            </w:r>
          </w:p>
        </w:tc>
        <w:tc>
          <w:tcPr>
            <w:tcW w:w="1071" w:type="dxa"/>
            <w:tcBorders>
              <w:top w:val="nil"/>
              <w:left w:val="single" w:sz="4" w:space="0" w:color="auto"/>
              <w:bottom w:val="nil"/>
              <w:right w:val="nil"/>
            </w:tcBorders>
            <w:shd w:val="clear" w:color="auto" w:fill="auto"/>
            <w:noWrap/>
            <w:vAlign w:val="bottom"/>
            <w:hideMark/>
          </w:tcPr>
          <w:p w14:paraId="05F1E5F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0.422</w:t>
            </w:r>
          </w:p>
        </w:tc>
        <w:tc>
          <w:tcPr>
            <w:tcW w:w="708" w:type="dxa"/>
            <w:tcBorders>
              <w:top w:val="nil"/>
              <w:left w:val="nil"/>
              <w:bottom w:val="nil"/>
              <w:right w:val="nil"/>
            </w:tcBorders>
            <w:shd w:val="clear" w:color="auto" w:fill="auto"/>
            <w:noWrap/>
            <w:vAlign w:val="bottom"/>
            <w:hideMark/>
          </w:tcPr>
          <w:p w14:paraId="2C10C08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0.249</w:t>
            </w:r>
          </w:p>
        </w:tc>
        <w:tc>
          <w:tcPr>
            <w:tcW w:w="626" w:type="dxa"/>
            <w:tcBorders>
              <w:top w:val="nil"/>
              <w:left w:val="nil"/>
              <w:bottom w:val="nil"/>
              <w:right w:val="nil"/>
            </w:tcBorders>
            <w:shd w:val="clear" w:color="auto" w:fill="auto"/>
            <w:noWrap/>
            <w:vAlign w:val="bottom"/>
            <w:hideMark/>
          </w:tcPr>
          <w:p w14:paraId="19B6B59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0.110</w:t>
            </w:r>
          </w:p>
        </w:tc>
        <w:tc>
          <w:tcPr>
            <w:tcW w:w="1247" w:type="dxa"/>
            <w:tcBorders>
              <w:top w:val="nil"/>
              <w:left w:val="nil"/>
              <w:bottom w:val="nil"/>
              <w:right w:val="nil"/>
            </w:tcBorders>
            <w:shd w:val="clear" w:color="auto" w:fill="auto"/>
            <w:noWrap/>
            <w:vAlign w:val="bottom"/>
            <w:hideMark/>
          </w:tcPr>
          <w:p w14:paraId="116029D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0.208</w:t>
            </w:r>
          </w:p>
        </w:tc>
        <w:tc>
          <w:tcPr>
            <w:tcW w:w="700" w:type="dxa"/>
            <w:tcBorders>
              <w:top w:val="nil"/>
              <w:left w:val="nil"/>
              <w:bottom w:val="nil"/>
              <w:right w:val="single" w:sz="4" w:space="0" w:color="auto"/>
            </w:tcBorders>
            <w:shd w:val="clear" w:color="auto" w:fill="auto"/>
            <w:noWrap/>
            <w:vAlign w:val="bottom"/>
            <w:hideMark/>
          </w:tcPr>
          <w:p w14:paraId="3131A60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0.012</w:t>
            </w:r>
          </w:p>
        </w:tc>
        <w:tc>
          <w:tcPr>
            <w:tcW w:w="1071" w:type="dxa"/>
            <w:tcBorders>
              <w:top w:val="nil"/>
              <w:left w:val="single" w:sz="4" w:space="0" w:color="auto"/>
              <w:bottom w:val="nil"/>
              <w:right w:val="nil"/>
            </w:tcBorders>
            <w:shd w:val="clear" w:color="auto" w:fill="auto"/>
            <w:noWrap/>
            <w:vAlign w:val="bottom"/>
            <w:hideMark/>
          </w:tcPr>
          <w:p w14:paraId="58BAFF4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0.321</w:t>
            </w:r>
          </w:p>
        </w:tc>
        <w:tc>
          <w:tcPr>
            <w:tcW w:w="708" w:type="dxa"/>
            <w:tcBorders>
              <w:top w:val="nil"/>
              <w:left w:val="nil"/>
              <w:bottom w:val="nil"/>
              <w:right w:val="nil"/>
            </w:tcBorders>
            <w:shd w:val="clear" w:color="auto" w:fill="auto"/>
            <w:noWrap/>
            <w:vAlign w:val="bottom"/>
            <w:hideMark/>
          </w:tcPr>
          <w:p w14:paraId="18DF60F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0.444</w:t>
            </w:r>
          </w:p>
        </w:tc>
        <w:tc>
          <w:tcPr>
            <w:tcW w:w="626" w:type="dxa"/>
            <w:tcBorders>
              <w:top w:val="nil"/>
              <w:left w:val="nil"/>
              <w:bottom w:val="nil"/>
              <w:right w:val="nil"/>
            </w:tcBorders>
            <w:shd w:val="clear" w:color="auto" w:fill="auto"/>
            <w:noWrap/>
            <w:vAlign w:val="bottom"/>
            <w:hideMark/>
          </w:tcPr>
          <w:p w14:paraId="4C97C35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0.042</w:t>
            </w:r>
          </w:p>
        </w:tc>
        <w:tc>
          <w:tcPr>
            <w:tcW w:w="1247" w:type="dxa"/>
            <w:tcBorders>
              <w:top w:val="nil"/>
              <w:left w:val="nil"/>
              <w:bottom w:val="nil"/>
              <w:right w:val="nil"/>
            </w:tcBorders>
            <w:shd w:val="clear" w:color="auto" w:fill="auto"/>
            <w:noWrap/>
            <w:vAlign w:val="bottom"/>
            <w:hideMark/>
          </w:tcPr>
          <w:p w14:paraId="752DB1C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0.178</w:t>
            </w:r>
          </w:p>
        </w:tc>
        <w:tc>
          <w:tcPr>
            <w:tcW w:w="698" w:type="dxa"/>
            <w:tcBorders>
              <w:top w:val="nil"/>
              <w:left w:val="nil"/>
              <w:bottom w:val="nil"/>
              <w:right w:val="single" w:sz="4" w:space="0" w:color="auto"/>
            </w:tcBorders>
            <w:shd w:val="clear" w:color="auto" w:fill="auto"/>
            <w:noWrap/>
            <w:vAlign w:val="bottom"/>
            <w:hideMark/>
          </w:tcPr>
          <w:p w14:paraId="7509081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0.015</w:t>
            </w:r>
          </w:p>
        </w:tc>
        <w:tc>
          <w:tcPr>
            <w:tcW w:w="1071" w:type="dxa"/>
            <w:tcBorders>
              <w:top w:val="nil"/>
              <w:left w:val="single" w:sz="4" w:space="0" w:color="auto"/>
              <w:bottom w:val="nil"/>
              <w:right w:val="nil"/>
            </w:tcBorders>
            <w:shd w:val="clear" w:color="auto" w:fill="auto"/>
            <w:noWrap/>
            <w:vAlign w:val="bottom"/>
            <w:hideMark/>
          </w:tcPr>
          <w:p w14:paraId="76881F3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0.428</w:t>
            </w:r>
          </w:p>
        </w:tc>
        <w:tc>
          <w:tcPr>
            <w:tcW w:w="708" w:type="dxa"/>
            <w:tcBorders>
              <w:top w:val="nil"/>
              <w:left w:val="nil"/>
              <w:bottom w:val="nil"/>
              <w:right w:val="nil"/>
            </w:tcBorders>
            <w:shd w:val="clear" w:color="auto" w:fill="auto"/>
            <w:noWrap/>
            <w:vAlign w:val="bottom"/>
            <w:hideMark/>
          </w:tcPr>
          <w:p w14:paraId="5F22581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0.240</w:t>
            </w:r>
          </w:p>
        </w:tc>
        <w:tc>
          <w:tcPr>
            <w:tcW w:w="626" w:type="dxa"/>
            <w:tcBorders>
              <w:top w:val="nil"/>
              <w:left w:val="nil"/>
              <w:bottom w:val="nil"/>
              <w:right w:val="nil"/>
            </w:tcBorders>
            <w:shd w:val="clear" w:color="auto" w:fill="auto"/>
            <w:noWrap/>
            <w:vAlign w:val="bottom"/>
            <w:hideMark/>
          </w:tcPr>
          <w:p w14:paraId="439B80B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0.100</w:t>
            </w:r>
          </w:p>
        </w:tc>
        <w:tc>
          <w:tcPr>
            <w:tcW w:w="1247" w:type="dxa"/>
            <w:tcBorders>
              <w:top w:val="nil"/>
              <w:left w:val="nil"/>
              <w:bottom w:val="nil"/>
              <w:right w:val="nil"/>
            </w:tcBorders>
            <w:shd w:val="clear" w:color="auto" w:fill="auto"/>
            <w:noWrap/>
            <w:vAlign w:val="bottom"/>
            <w:hideMark/>
          </w:tcPr>
          <w:p w14:paraId="3FA4E19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0.223</w:t>
            </w:r>
          </w:p>
        </w:tc>
        <w:tc>
          <w:tcPr>
            <w:tcW w:w="698" w:type="dxa"/>
            <w:tcBorders>
              <w:top w:val="nil"/>
              <w:left w:val="nil"/>
              <w:bottom w:val="nil"/>
              <w:right w:val="nil"/>
            </w:tcBorders>
            <w:shd w:val="clear" w:color="auto" w:fill="auto"/>
            <w:noWrap/>
            <w:vAlign w:val="bottom"/>
            <w:hideMark/>
          </w:tcPr>
          <w:p w14:paraId="336E344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r>
      <w:tr w:rsidR="00304411" w:rsidRPr="00435469" w14:paraId="2C32E3D5"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0FD7B029"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608DC419"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2008</w:t>
            </w:r>
          </w:p>
        </w:tc>
        <w:tc>
          <w:tcPr>
            <w:tcW w:w="1071" w:type="dxa"/>
            <w:tcBorders>
              <w:top w:val="nil"/>
              <w:left w:val="single" w:sz="4" w:space="0" w:color="auto"/>
              <w:bottom w:val="nil"/>
              <w:right w:val="nil"/>
            </w:tcBorders>
            <w:shd w:val="clear" w:color="auto" w:fill="auto"/>
            <w:noWrap/>
            <w:vAlign w:val="bottom"/>
            <w:hideMark/>
          </w:tcPr>
          <w:p w14:paraId="39A8DD8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0.429</w:t>
            </w:r>
          </w:p>
        </w:tc>
        <w:tc>
          <w:tcPr>
            <w:tcW w:w="708" w:type="dxa"/>
            <w:tcBorders>
              <w:top w:val="nil"/>
              <w:left w:val="nil"/>
              <w:bottom w:val="nil"/>
              <w:right w:val="nil"/>
            </w:tcBorders>
            <w:shd w:val="clear" w:color="auto" w:fill="auto"/>
            <w:noWrap/>
            <w:vAlign w:val="bottom"/>
            <w:hideMark/>
          </w:tcPr>
          <w:p w14:paraId="1E486EB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0.238</w:t>
            </w:r>
          </w:p>
        </w:tc>
        <w:tc>
          <w:tcPr>
            <w:tcW w:w="626" w:type="dxa"/>
            <w:tcBorders>
              <w:top w:val="nil"/>
              <w:left w:val="nil"/>
              <w:bottom w:val="nil"/>
              <w:right w:val="nil"/>
            </w:tcBorders>
            <w:shd w:val="clear" w:color="auto" w:fill="auto"/>
            <w:noWrap/>
            <w:vAlign w:val="bottom"/>
            <w:hideMark/>
          </w:tcPr>
          <w:p w14:paraId="5BCB81E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0.124</w:t>
            </w:r>
          </w:p>
        </w:tc>
        <w:tc>
          <w:tcPr>
            <w:tcW w:w="1247" w:type="dxa"/>
            <w:tcBorders>
              <w:top w:val="nil"/>
              <w:left w:val="nil"/>
              <w:bottom w:val="nil"/>
              <w:right w:val="nil"/>
            </w:tcBorders>
            <w:shd w:val="clear" w:color="auto" w:fill="auto"/>
            <w:noWrap/>
            <w:vAlign w:val="bottom"/>
            <w:hideMark/>
          </w:tcPr>
          <w:p w14:paraId="2943293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0.200</w:t>
            </w:r>
          </w:p>
        </w:tc>
        <w:tc>
          <w:tcPr>
            <w:tcW w:w="700" w:type="dxa"/>
            <w:tcBorders>
              <w:top w:val="nil"/>
              <w:left w:val="nil"/>
              <w:bottom w:val="nil"/>
              <w:right w:val="single" w:sz="4" w:space="0" w:color="auto"/>
            </w:tcBorders>
            <w:shd w:val="clear" w:color="auto" w:fill="auto"/>
            <w:noWrap/>
            <w:vAlign w:val="bottom"/>
            <w:hideMark/>
          </w:tcPr>
          <w:p w14:paraId="1091534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0.010</w:t>
            </w:r>
          </w:p>
        </w:tc>
        <w:tc>
          <w:tcPr>
            <w:tcW w:w="1071" w:type="dxa"/>
            <w:tcBorders>
              <w:top w:val="nil"/>
              <w:left w:val="single" w:sz="4" w:space="0" w:color="auto"/>
              <w:bottom w:val="nil"/>
              <w:right w:val="nil"/>
            </w:tcBorders>
            <w:shd w:val="clear" w:color="auto" w:fill="auto"/>
            <w:noWrap/>
            <w:vAlign w:val="bottom"/>
            <w:hideMark/>
          </w:tcPr>
          <w:p w14:paraId="323500B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0.381</w:t>
            </w:r>
          </w:p>
        </w:tc>
        <w:tc>
          <w:tcPr>
            <w:tcW w:w="708" w:type="dxa"/>
            <w:tcBorders>
              <w:top w:val="nil"/>
              <w:left w:val="nil"/>
              <w:bottom w:val="nil"/>
              <w:right w:val="nil"/>
            </w:tcBorders>
            <w:shd w:val="clear" w:color="auto" w:fill="auto"/>
            <w:noWrap/>
            <w:vAlign w:val="bottom"/>
            <w:hideMark/>
          </w:tcPr>
          <w:p w14:paraId="36696D9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0.384</w:t>
            </w:r>
          </w:p>
        </w:tc>
        <w:tc>
          <w:tcPr>
            <w:tcW w:w="626" w:type="dxa"/>
            <w:tcBorders>
              <w:top w:val="nil"/>
              <w:left w:val="nil"/>
              <w:bottom w:val="nil"/>
              <w:right w:val="nil"/>
            </w:tcBorders>
            <w:shd w:val="clear" w:color="auto" w:fill="auto"/>
            <w:noWrap/>
            <w:vAlign w:val="bottom"/>
            <w:hideMark/>
          </w:tcPr>
          <w:p w14:paraId="059DC5B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0.051</w:t>
            </w:r>
          </w:p>
        </w:tc>
        <w:tc>
          <w:tcPr>
            <w:tcW w:w="1247" w:type="dxa"/>
            <w:tcBorders>
              <w:top w:val="nil"/>
              <w:left w:val="nil"/>
              <w:bottom w:val="nil"/>
              <w:right w:val="nil"/>
            </w:tcBorders>
            <w:shd w:val="clear" w:color="auto" w:fill="auto"/>
            <w:noWrap/>
            <w:vAlign w:val="bottom"/>
            <w:hideMark/>
          </w:tcPr>
          <w:p w14:paraId="10B60BF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0.172</w:t>
            </w:r>
          </w:p>
        </w:tc>
        <w:tc>
          <w:tcPr>
            <w:tcW w:w="698" w:type="dxa"/>
            <w:tcBorders>
              <w:top w:val="nil"/>
              <w:left w:val="nil"/>
              <w:bottom w:val="nil"/>
              <w:right w:val="single" w:sz="4" w:space="0" w:color="auto"/>
            </w:tcBorders>
            <w:shd w:val="clear" w:color="auto" w:fill="auto"/>
            <w:noWrap/>
            <w:vAlign w:val="bottom"/>
            <w:hideMark/>
          </w:tcPr>
          <w:p w14:paraId="32F5D57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0.012</w:t>
            </w:r>
          </w:p>
        </w:tc>
        <w:tc>
          <w:tcPr>
            <w:tcW w:w="1071" w:type="dxa"/>
            <w:tcBorders>
              <w:top w:val="nil"/>
              <w:left w:val="single" w:sz="4" w:space="0" w:color="auto"/>
              <w:bottom w:val="nil"/>
              <w:right w:val="nil"/>
            </w:tcBorders>
            <w:shd w:val="clear" w:color="auto" w:fill="auto"/>
            <w:noWrap/>
            <w:vAlign w:val="bottom"/>
            <w:hideMark/>
          </w:tcPr>
          <w:p w14:paraId="1C0A8B0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0.433</w:t>
            </w:r>
          </w:p>
        </w:tc>
        <w:tc>
          <w:tcPr>
            <w:tcW w:w="708" w:type="dxa"/>
            <w:tcBorders>
              <w:top w:val="nil"/>
              <w:left w:val="nil"/>
              <w:bottom w:val="nil"/>
              <w:right w:val="nil"/>
            </w:tcBorders>
            <w:shd w:val="clear" w:color="auto" w:fill="auto"/>
            <w:noWrap/>
            <w:vAlign w:val="bottom"/>
            <w:hideMark/>
          </w:tcPr>
          <w:p w14:paraId="5B8339E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0.232</w:t>
            </w:r>
          </w:p>
        </w:tc>
        <w:tc>
          <w:tcPr>
            <w:tcW w:w="626" w:type="dxa"/>
            <w:tcBorders>
              <w:top w:val="nil"/>
              <w:left w:val="nil"/>
              <w:bottom w:val="nil"/>
              <w:right w:val="nil"/>
            </w:tcBorders>
            <w:shd w:val="clear" w:color="auto" w:fill="auto"/>
            <w:noWrap/>
            <w:vAlign w:val="bottom"/>
            <w:hideMark/>
          </w:tcPr>
          <w:p w14:paraId="5450D73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0.100</w:t>
            </w:r>
          </w:p>
        </w:tc>
        <w:tc>
          <w:tcPr>
            <w:tcW w:w="1247" w:type="dxa"/>
            <w:tcBorders>
              <w:top w:val="nil"/>
              <w:left w:val="nil"/>
              <w:bottom w:val="nil"/>
              <w:right w:val="nil"/>
            </w:tcBorders>
            <w:shd w:val="clear" w:color="auto" w:fill="auto"/>
            <w:noWrap/>
            <w:vAlign w:val="bottom"/>
            <w:hideMark/>
          </w:tcPr>
          <w:p w14:paraId="3C5C33D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0.227</w:t>
            </w:r>
          </w:p>
        </w:tc>
        <w:tc>
          <w:tcPr>
            <w:tcW w:w="698" w:type="dxa"/>
            <w:tcBorders>
              <w:top w:val="nil"/>
              <w:left w:val="nil"/>
              <w:bottom w:val="nil"/>
              <w:right w:val="nil"/>
            </w:tcBorders>
            <w:shd w:val="clear" w:color="auto" w:fill="auto"/>
            <w:noWrap/>
            <w:vAlign w:val="bottom"/>
            <w:hideMark/>
          </w:tcPr>
          <w:p w14:paraId="383D8C0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r>
      <w:tr w:rsidR="00304411" w:rsidRPr="00435469" w14:paraId="515F3032"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375B27B0"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3F0E6574"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2009</w:t>
            </w:r>
          </w:p>
        </w:tc>
        <w:tc>
          <w:tcPr>
            <w:tcW w:w="1071" w:type="dxa"/>
            <w:tcBorders>
              <w:top w:val="nil"/>
              <w:left w:val="single" w:sz="4" w:space="0" w:color="auto"/>
              <w:bottom w:val="nil"/>
              <w:right w:val="nil"/>
            </w:tcBorders>
            <w:shd w:val="clear" w:color="auto" w:fill="auto"/>
            <w:noWrap/>
            <w:vAlign w:val="bottom"/>
            <w:hideMark/>
          </w:tcPr>
          <w:p w14:paraId="2656D6C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0.439</w:t>
            </w:r>
          </w:p>
        </w:tc>
        <w:tc>
          <w:tcPr>
            <w:tcW w:w="708" w:type="dxa"/>
            <w:tcBorders>
              <w:top w:val="nil"/>
              <w:left w:val="nil"/>
              <w:bottom w:val="nil"/>
              <w:right w:val="nil"/>
            </w:tcBorders>
            <w:shd w:val="clear" w:color="auto" w:fill="auto"/>
            <w:noWrap/>
            <w:vAlign w:val="bottom"/>
            <w:hideMark/>
          </w:tcPr>
          <w:p w14:paraId="6C7B512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0.240</w:t>
            </w:r>
          </w:p>
        </w:tc>
        <w:tc>
          <w:tcPr>
            <w:tcW w:w="626" w:type="dxa"/>
            <w:tcBorders>
              <w:top w:val="nil"/>
              <w:left w:val="nil"/>
              <w:bottom w:val="nil"/>
              <w:right w:val="nil"/>
            </w:tcBorders>
            <w:shd w:val="clear" w:color="auto" w:fill="auto"/>
            <w:noWrap/>
            <w:vAlign w:val="bottom"/>
            <w:hideMark/>
          </w:tcPr>
          <w:p w14:paraId="51E47D5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0.121</w:t>
            </w:r>
          </w:p>
        </w:tc>
        <w:tc>
          <w:tcPr>
            <w:tcW w:w="1247" w:type="dxa"/>
            <w:tcBorders>
              <w:top w:val="nil"/>
              <w:left w:val="nil"/>
              <w:bottom w:val="nil"/>
              <w:right w:val="nil"/>
            </w:tcBorders>
            <w:shd w:val="clear" w:color="auto" w:fill="auto"/>
            <w:noWrap/>
            <w:vAlign w:val="bottom"/>
            <w:hideMark/>
          </w:tcPr>
          <w:p w14:paraId="45A8388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0.190</w:t>
            </w:r>
          </w:p>
        </w:tc>
        <w:tc>
          <w:tcPr>
            <w:tcW w:w="700" w:type="dxa"/>
            <w:tcBorders>
              <w:top w:val="nil"/>
              <w:left w:val="nil"/>
              <w:bottom w:val="nil"/>
              <w:right w:val="single" w:sz="4" w:space="0" w:color="auto"/>
            </w:tcBorders>
            <w:shd w:val="clear" w:color="auto" w:fill="auto"/>
            <w:noWrap/>
            <w:vAlign w:val="bottom"/>
            <w:hideMark/>
          </w:tcPr>
          <w:p w14:paraId="618E9F4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3780BAF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0.407</w:t>
            </w:r>
          </w:p>
        </w:tc>
        <w:tc>
          <w:tcPr>
            <w:tcW w:w="708" w:type="dxa"/>
            <w:tcBorders>
              <w:top w:val="nil"/>
              <w:left w:val="nil"/>
              <w:bottom w:val="nil"/>
              <w:right w:val="nil"/>
            </w:tcBorders>
            <w:shd w:val="clear" w:color="auto" w:fill="auto"/>
            <w:noWrap/>
            <w:vAlign w:val="bottom"/>
            <w:hideMark/>
          </w:tcPr>
          <w:p w14:paraId="60913F3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0.373</w:t>
            </w:r>
          </w:p>
        </w:tc>
        <w:tc>
          <w:tcPr>
            <w:tcW w:w="626" w:type="dxa"/>
            <w:tcBorders>
              <w:top w:val="nil"/>
              <w:left w:val="nil"/>
              <w:bottom w:val="nil"/>
              <w:right w:val="nil"/>
            </w:tcBorders>
            <w:shd w:val="clear" w:color="auto" w:fill="auto"/>
            <w:noWrap/>
            <w:vAlign w:val="bottom"/>
            <w:hideMark/>
          </w:tcPr>
          <w:p w14:paraId="3F33F92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0.051</w:t>
            </w:r>
          </w:p>
        </w:tc>
        <w:tc>
          <w:tcPr>
            <w:tcW w:w="1247" w:type="dxa"/>
            <w:tcBorders>
              <w:top w:val="nil"/>
              <w:left w:val="nil"/>
              <w:bottom w:val="nil"/>
              <w:right w:val="nil"/>
            </w:tcBorders>
            <w:shd w:val="clear" w:color="auto" w:fill="auto"/>
            <w:noWrap/>
            <w:vAlign w:val="bottom"/>
            <w:hideMark/>
          </w:tcPr>
          <w:p w14:paraId="47E9250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0.158</w:t>
            </w:r>
          </w:p>
        </w:tc>
        <w:tc>
          <w:tcPr>
            <w:tcW w:w="698" w:type="dxa"/>
            <w:tcBorders>
              <w:top w:val="nil"/>
              <w:left w:val="nil"/>
              <w:bottom w:val="nil"/>
              <w:right w:val="single" w:sz="4" w:space="0" w:color="auto"/>
            </w:tcBorders>
            <w:shd w:val="clear" w:color="auto" w:fill="auto"/>
            <w:noWrap/>
            <w:vAlign w:val="bottom"/>
            <w:hideMark/>
          </w:tcPr>
          <w:p w14:paraId="563E66A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0.012</w:t>
            </w:r>
          </w:p>
        </w:tc>
        <w:tc>
          <w:tcPr>
            <w:tcW w:w="1071" w:type="dxa"/>
            <w:tcBorders>
              <w:top w:val="nil"/>
              <w:left w:val="single" w:sz="4" w:space="0" w:color="auto"/>
              <w:bottom w:val="nil"/>
              <w:right w:val="nil"/>
            </w:tcBorders>
            <w:shd w:val="clear" w:color="auto" w:fill="auto"/>
            <w:noWrap/>
            <w:vAlign w:val="bottom"/>
            <w:hideMark/>
          </w:tcPr>
          <w:p w14:paraId="32F581E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0.442</w:t>
            </w:r>
          </w:p>
        </w:tc>
        <w:tc>
          <w:tcPr>
            <w:tcW w:w="708" w:type="dxa"/>
            <w:tcBorders>
              <w:top w:val="nil"/>
              <w:left w:val="nil"/>
              <w:bottom w:val="nil"/>
              <w:right w:val="nil"/>
            </w:tcBorders>
            <w:shd w:val="clear" w:color="auto" w:fill="auto"/>
            <w:noWrap/>
            <w:vAlign w:val="bottom"/>
            <w:hideMark/>
          </w:tcPr>
          <w:p w14:paraId="0F84E48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0.243</w:t>
            </w:r>
          </w:p>
        </w:tc>
        <w:tc>
          <w:tcPr>
            <w:tcW w:w="626" w:type="dxa"/>
            <w:tcBorders>
              <w:top w:val="nil"/>
              <w:left w:val="nil"/>
              <w:bottom w:val="nil"/>
              <w:right w:val="nil"/>
            </w:tcBorders>
            <w:shd w:val="clear" w:color="auto" w:fill="auto"/>
            <w:noWrap/>
            <w:vAlign w:val="bottom"/>
            <w:hideMark/>
          </w:tcPr>
          <w:p w14:paraId="783F69E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0.097</w:t>
            </w:r>
          </w:p>
        </w:tc>
        <w:tc>
          <w:tcPr>
            <w:tcW w:w="1247" w:type="dxa"/>
            <w:tcBorders>
              <w:top w:val="nil"/>
              <w:left w:val="nil"/>
              <w:bottom w:val="nil"/>
              <w:right w:val="nil"/>
            </w:tcBorders>
            <w:shd w:val="clear" w:color="auto" w:fill="auto"/>
            <w:noWrap/>
            <w:vAlign w:val="bottom"/>
            <w:hideMark/>
          </w:tcPr>
          <w:p w14:paraId="33CDB2F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0.209</w:t>
            </w:r>
          </w:p>
        </w:tc>
        <w:tc>
          <w:tcPr>
            <w:tcW w:w="698" w:type="dxa"/>
            <w:tcBorders>
              <w:top w:val="nil"/>
              <w:left w:val="nil"/>
              <w:bottom w:val="nil"/>
              <w:right w:val="nil"/>
            </w:tcBorders>
            <w:shd w:val="clear" w:color="auto" w:fill="auto"/>
            <w:noWrap/>
            <w:vAlign w:val="bottom"/>
            <w:hideMark/>
          </w:tcPr>
          <w:p w14:paraId="755823B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r>
      <w:tr w:rsidR="00304411" w:rsidRPr="00435469" w14:paraId="1D523029"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4BC8CCCC"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716597C1"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2010</w:t>
            </w:r>
          </w:p>
        </w:tc>
        <w:tc>
          <w:tcPr>
            <w:tcW w:w="1071" w:type="dxa"/>
            <w:tcBorders>
              <w:top w:val="nil"/>
              <w:left w:val="single" w:sz="4" w:space="0" w:color="auto"/>
              <w:bottom w:val="nil"/>
              <w:right w:val="nil"/>
            </w:tcBorders>
            <w:shd w:val="clear" w:color="auto" w:fill="auto"/>
            <w:noWrap/>
            <w:vAlign w:val="bottom"/>
            <w:hideMark/>
          </w:tcPr>
          <w:p w14:paraId="617BCBA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0.436</w:t>
            </w:r>
          </w:p>
        </w:tc>
        <w:tc>
          <w:tcPr>
            <w:tcW w:w="708" w:type="dxa"/>
            <w:tcBorders>
              <w:top w:val="nil"/>
              <w:left w:val="nil"/>
              <w:bottom w:val="nil"/>
              <w:right w:val="nil"/>
            </w:tcBorders>
            <w:shd w:val="clear" w:color="auto" w:fill="auto"/>
            <w:noWrap/>
            <w:vAlign w:val="bottom"/>
            <w:hideMark/>
          </w:tcPr>
          <w:p w14:paraId="6540F8A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0.236</w:t>
            </w:r>
          </w:p>
        </w:tc>
        <w:tc>
          <w:tcPr>
            <w:tcW w:w="626" w:type="dxa"/>
            <w:tcBorders>
              <w:top w:val="nil"/>
              <w:left w:val="nil"/>
              <w:bottom w:val="nil"/>
              <w:right w:val="nil"/>
            </w:tcBorders>
            <w:shd w:val="clear" w:color="auto" w:fill="auto"/>
            <w:noWrap/>
            <w:vAlign w:val="bottom"/>
            <w:hideMark/>
          </w:tcPr>
          <w:p w14:paraId="0890B60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0.111</w:t>
            </w:r>
          </w:p>
        </w:tc>
        <w:tc>
          <w:tcPr>
            <w:tcW w:w="1247" w:type="dxa"/>
            <w:tcBorders>
              <w:top w:val="nil"/>
              <w:left w:val="nil"/>
              <w:bottom w:val="nil"/>
              <w:right w:val="nil"/>
            </w:tcBorders>
            <w:shd w:val="clear" w:color="auto" w:fill="auto"/>
            <w:noWrap/>
            <w:vAlign w:val="bottom"/>
            <w:hideMark/>
          </w:tcPr>
          <w:p w14:paraId="32A2FDD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0.208</w:t>
            </w:r>
          </w:p>
        </w:tc>
        <w:tc>
          <w:tcPr>
            <w:tcW w:w="700" w:type="dxa"/>
            <w:tcBorders>
              <w:top w:val="nil"/>
              <w:left w:val="nil"/>
              <w:bottom w:val="nil"/>
              <w:right w:val="single" w:sz="4" w:space="0" w:color="auto"/>
            </w:tcBorders>
            <w:shd w:val="clear" w:color="auto" w:fill="auto"/>
            <w:noWrap/>
            <w:vAlign w:val="bottom"/>
            <w:hideMark/>
          </w:tcPr>
          <w:p w14:paraId="31F0BA6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7B2CF6E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0.408</w:t>
            </w:r>
          </w:p>
        </w:tc>
        <w:tc>
          <w:tcPr>
            <w:tcW w:w="708" w:type="dxa"/>
            <w:tcBorders>
              <w:top w:val="nil"/>
              <w:left w:val="nil"/>
              <w:bottom w:val="nil"/>
              <w:right w:val="nil"/>
            </w:tcBorders>
            <w:shd w:val="clear" w:color="auto" w:fill="auto"/>
            <w:noWrap/>
            <w:vAlign w:val="bottom"/>
            <w:hideMark/>
          </w:tcPr>
          <w:p w14:paraId="070A1B0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0.352</w:t>
            </w:r>
          </w:p>
        </w:tc>
        <w:tc>
          <w:tcPr>
            <w:tcW w:w="626" w:type="dxa"/>
            <w:tcBorders>
              <w:top w:val="nil"/>
              <w:left w:val="nil"/>
              <w:bottom w:val="nil"/>
              <w:right w:val="nil"/>
            </w:tcBorders>
            <w:shd w:val="clear" w:color="auto" w:fill="auto"/>
            <w:noWrap/>
            <w:vAlign w:val="bottom"/>
            <w:hideMark/>
          </w:tcPr>
          <w:p w14:paraId="29BB73B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0.051</w:t>
            </w:r>
          </w:p>
        </w:tc>
        <w:tc>
          <w:tcPr>
            <w:tcW w:w="1247" w:type="dxa"/>
            <w:tcBorders>
              <w:top w:val="nil"/>
              <w:left w:val="nil"/>
              <w:bottom w:val="nil"/>
              <w:right w:val="nil"/>
            </w:tcBorders>
            <w:shd w:val="clear" w:color="auto" w:fill="auto"/>
            <w:noWrap/>
            <w:vAlign w:val="bottom"/>
            <w:hideMark/>
          </w:tcPr>
          <w:p w14:paraId="1754339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0.179</w:t>
            </w:r>
          </w:p>
        </w:tc>
        <w:tc>
          <w:tcPr>
            <w:tcW w:w="698" w:type="dxa"/>
            <w:tcBorders>
              <w:top w:val="nil"/>
              <w:left w:val="nil"/>
              <w:bottom w:val="nil"/>
              <w:right w:val="single" w:sz="4" w:space="0" w:color="auto"/>
            </w:tcBorders>
            <w:shd w:val="clear" w:color="auto" w:fill="auto"/>
            <w:noWrap/>
            <w:vAlign w:val="bottom"/>
            <w:hideMark/>
          </w:tcPr>
          <w:p w14:paraId="144AF89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0.011</w:t>
            </w:r>
          </w:p>
        </w:tc>
        <w:tc>
          <w:tcPr>
            <w:tcW w:w="1071" w:type="dxa"/>
            <w:tcBorders>
              <w:top w:val="nil"/>
              <w:left w:val="single" w:sz="4" w:space="0" w:color="auto"/>
              <w:bottom w:val="nil"/>
              <w:right w:val="nil"/>
            </w:tcBorders>
            <w:shd w:val="clear" w:color="auto" w:fill="auto"/>
            <w:noWrap/>
            <w:vAlign w:val="bottom"/>
            <w:hideMark/>
          </w:tcPr>
          <w:p w14:paraId="1B2FE4E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0.420</w:t>
            </w:r>
          </w:p>
        </w:tc>
        <w:tc>
          <w:tcPr>
            <w:tcW w:w="708" w:type="dxa"/>
            <w:tcBorders>
              <w:top w:val="nil"/>
              <w:left w:val="nil"/>
              <w:bottom w:val="nil"/>
              <w:right w:val="nil"/>
            </w:tcBorders>
            <w:shd w:val="clear" w:color="auto" w:fill="auto"/>
            <w:noWrap/>
            <w:vAlign w:val="bottom"/>
            <w:hideMark/>
          </w:tcPr>
          <w:p w14:paraId="176CDA7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0.250</w:t>
            </w:r>
          </w:p>
        </w:tc>
        <w:tc>
          <w:tcPr>
            <w:tcW w:w="626" w:type="dxa"/>
            <w:tcBorders>
              <w:top w:val="nil"/>
              <w:left w:val="nil"/>
              <w:bottom w:val="nil"/>
              <w:right w:val="nil"/>
            </w:tcBorders>
            <w:shd w:val="clear" w:color="auto" w:fill="auto"/>
            <w:noWrap/>
            <w:vAlign w:val="bottom"/>
            <w:hideMark/>
          </w:tcPr>
          <w:p w14:paraId="4605E6B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0.094</w:t>
            </w:r>
          </w:p>
        </w:tc>
        <w:tc>
          <w:tcPr>
            <w:tcW w:w="1247" w:type="dxa"/>
            <w:tcBorders>
              <w:top w:val="nil"/>
              <w:left w:val="nil"/>
              <w:bottom w:val="nil"/>
              <w:right w:val="nil"/>
            </w:tcBorders>
            <w:shd w:val="clear" w:color="auto" w:fill="auto"/>
            <w:noWrap/>
            <w:vAlign w:val="bottom"/>
            <w:hideMark/>
          </w:tcPr>
          <w:p w14:paraId="6B6FD78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0.227</w:t>
            </w:r>
          </w:p>
        </w:tc>
        <w:tc>
          <w:tcPr>
            <w:tcW w:w="698" w:type="dxa"/>
            <w:tcBorders>
              <w:top w:val="nil"/>
              <w:left w:val="nil"/>
              <w:bottom w:val="nil"/>
              <w:right w:val="nil"/>
            </w:tcBorders>
            <w:shd w:val="clear" w:color="auto" w:fill="auto"/>
            <w:noWrap/>
            <w:vAlign w:val="bottom"/>
            <w:hideMark/>
          </w:tcPr>
          <w:p w14:paraId="3CAB93C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r>
      <w:tr w:rsidR="00304411" w:rsidRPr="00435469" w14:paraId="28D37811"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750E6511"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444824A7"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2011</w:t>
            </w:r>
          </w:p>
        </w:tc>
        <w:tc>
          <w:tcPr>
            <w:tcW w:w="1071" w:type="dxa"/>
            <w:tcBorders>
              <w:top w:val="nil"/>
              <w:left w:val="single" w:sz="4" w:space="0" w:color="auto"/>
              <w:bottom w:val="nil"/>
              <w:right w:val="nil"/>
            </w:tcBorders>
            <w:shd w:val="clear" w:color="auto" w:fill="auto"/>
            <w:noWrap/>
            <w:vAlign w:val="bottom"/>
            <w:hideMark/>
          </w:tcPr>
          <w:p w14:paraId="1EB2EEA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0.444</w:t>
            </w:r>
          </w:p>
        </w:tc>
        <w:tc>
          <w:tcPr>
            <w:tcW w:w="708" w:type="dxa"/>
            <w:tcBorders>
              <w:top w:val="nil"/>
              <w:left w:val="nil"/>
              <w:bottom w:val="nil"/>
              <w:right w:val="nil"/>
            </w:tcBorders>
            <w:shd w:val="clear" w:color="auto" w:fill="auto"/>
            <w:noWrap/>
            <w:vAlign w:val="bottom"/>
            <w:hideMark/>
          </w:tcPr>
          <w:p w14:paraId="517ABAF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0.259</w:t>
            </w:r>
          </w:p>
        </w:tc>
        <w:tc>
          <w:tcPr>
            <w:tcW w:w="626" w:type="dxa"/>
            <w:tcBorders>
              <w:top w:val="nil"/>
              <w:left w:val="nil"/>
              <w:bottom w:val="nil"/>
              <w:right w:val="nil"/>
            </w:tcBorders>
            <w:shd w:val="clear" w:color="auto" w:fill="auto"/>
            <w:noWrap/>
            <w:vAlign w:val="bottom"/>
            <w:hideMark/>
          </w:tcPr>
          <w:p w14:paraId="6C643D7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0.111</w:t>
            </w:r>
          </w:p>
        </w:tc>
        <w:tc>
          <w:tcPr>
            <w:tcW w:w="1247" w:type="dxa"/>
            <w:tcBorders>
              <w:top w:val="nil"/>
              <w:left w:val="nil"/>
              <w:bottom w:val="nil"/>
              <w:right w:val="nil"/>
            </w:tcBorders>
            <w:shd w:val="clear" w:color="auto" w:fill="auto"/>
            <w:noWrap/>
            <w:vAlign w:val="bottom"/>
            <w:hideMark/>
          </w:tcPr>
          <w:p w14:paraId="5C97225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0.175</w:t>
            </w:r>
          </w:p>
        </w:tc>
        <w:tc>
          <w:tcPr>
            <w:tcW w:w="700" w:type="dxa"/>
            <w:tcBorders>
              <w:top w:val="nil"/>
              <w:left w:val="nil"/>
              <w:bottom w:val="nil"/>
              <w:right w:val="single" w:sz="4" w:space="0" w:color="auto"/>
            </w:tcBorders>
            <w:shd w:val="clear" w:color="auto" w:fill="auto"/>
            <w:noWrap/>
            <w:vAlign w:val="bottom"/>
            <w:hideMark/>
          </w:tcPr>
          <w:p w14:paraId="2D0C9C3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0.011</w:t>
            </w:r>
          </w:p>
        </w:tc>
        <w:tc>
          <w:tcPr>
            <w:tcW w:w="1071" w:type="dxa"/>
            <w:tcBorders>
              <w:top w:val="nil"/>
              <w:left w:val="single" w:sz="4" w:space="0" w:color="auto"/>
              <w:bottom w:val="nil"/>
              <w:right w:val="nil"/>
            </w:tcBorders>
            <w:shd w:val="clear" w:color="auto" w:fill="auto"/>
            <w:noWrap/>
            <w:vAlign w:val="bottom"/>
            <w:hideMark/>
          </w:tcPr>
          <w:p w14:paraId="57D1266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0.417</w:t>
            </w:r>
          </w:p>
        </w:tc>
        <w:tc>
          <w:tcPr>
            <w:tcW w:w="708" w:type="dxa"/>
            <w:tcBorders>
              <w:top w:val="nil"/>
              <w:left w:val="nil"/>
              <w:bottom w:val="nil"/>
              <w:right w:val="nil"/>
            </w:tcBorders>
            <w:shd w:val="clear" w:color="auto" w:fill="auto"/>
            <w:noWrap/>
            <w:vAlign w:val="bottom"/>
            <w:hideMark/>
          </w:tcPr>
          <w:p w14:paraId="0DBAD0A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0.363</w:t>
            </w:r>
          </w:p>
        </w:tc>
        <w:tc>
          <w:tcPr>
            <w:tcW w:w="626" w:type="dxa"/>
            <w:tcBorders>
              <w:top w:val="nil"/>
              <w:left w:val="nil"/>
              <w:bottom w:val="nil"/>
              <w:right w:val="nil"/>
            </w:tcBorders>
            <w:shd w:val="clear" w:color="auto" w:fill="auto"/>
            <w:noWrap/>
            <w:vAlign w:val="bottom"/>
            <w:hideMark/>
          </w:tcPr>
          <w:p w14:paraId="52E44A7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0.052</w:t>
            </w:r>
          </w:p>
        </w:tc>
        <w:tc>
          <w:tcPr>
            <w:tcW w:w="1247" w:type="dxa"/>
            <w:tcBorders>
              <w:top w:val="nil"/>
              <w:left w:val="nil"/>
              <w:bottom w:val="nil"/>
              <w:right w:val="nil"/>
            </w:tcBorders>
            <w:shd w:val="clear" w:color="auto" w:fill="auto"/>
            <w:noWrap/>
            <w:vAlign w:val="bottom"/>
            <w:hideMark/>
          </w:tcPr>
          <w:p w14:paraId="1B09E4B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0.157</w:t>
            </w:r>
          </w:p>
        </w:tc>
        <w:tc>
          <w:tcPr>
            <w:tcW w:w="698" w:type="dxa"/>
            <w:tcBorders>
              <w:top w:val="nil"/>
              <w:left w:val="nil"/>
              <w:bottom w:val="nil"/>
              <w:right w:val="single" w:sz="4" w:space="0" w:color="auto"/>
            </w:tcBorders>
            <w:shd w:val="clear" w:color="auto" w:fill="auto"/>
            <w:noWrap/>
            <w:vAlign w:val="bottom"/>
            <w:hideMark/>
          </w:tcPr>
          <w:p w14:paraId="659720E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0.010</w:t>
            </w:r>
          </w:p>
        </w:tc>
        <w:tc>
          <w:tcPr>
            <w:tcW w:w="1071" w:type="dxa"/>
            <w:tcBorders>
              <w:top w:val="nil"/>
              <w:left w:val="single" w:sz="4" w:space="0" w:color="auto"/>
              <w:bottom w:val="nil"/>
              <w:right w:val="nil"/>
            </w:tcBorders>
            <w:shd w:val="clear" w:color="auto" w:fill="auto"/>
            <w:noWrap/>
            <w:vAlign w:val="bottom"/>
            <w:hideMark/>
          </w:tcPr>
          <w:p w14:paraId="71D55BF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0.443</w:t>
            </w:r>
          </w:p>
        </w:tc>
        <w:tc>
          <w:tcPr>
            <w:tcW w:w="708" w:type="dxa"/>
            <w:tcBorders>
              <w:top w:val="nil"/>
              <w:left w:val="nil"/>
              <w:bottom w:val="nil"/>
              <w:right w:val="nil"/>
            </w:tcBorders>
            <w:shd w:val="clear" w:color="auto" w:fill="auto"/>
            <w:noWrap/>
            <w:vAlign w:val="bottom"/>
            <w:hideMark/>
          </w:tcPr>
          <w:p w14:paraId="2136C33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0.253</w:t>
            </w:r>
          </w:p>
        </w:tc>
        <w:tc>
          <w:tcPr>
            <w:tcW w:w="626" w:type="dxa"/>
            <w:tcBorders>
              <w:top w:val="nil"/>
              <w:left w:val="nil"/>
              <w:bottom w:val="nil"/>
              <w:right w:val="nil"/>
            </w:tcBorders>
            <w:shd w:val="clear" w:color="auto" w:fill="auto"/>
            <w:noWrap/>
            <w:vAlign w:val="bottom"/>
            <w:hideMark/>
          </w:tcPr>
          <w:p w14:paraId="4CECDC3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0.089</w:t>
            </w:r>
          </w:p>
        </w:tc>
        <w:tc>
          <w:tcPr>
            <w:tcW w:w="1247" w:type="dxa"/>
            <w:tcBorders>
              <w:top w:val="nil"/>
              <w:left w:val="nil"/>
              <w:bottom w:val="nil"/>
              <w:right w:val="nil"/>
            </w:tcBorders>
            <w:shd w:val="clear" w:color="auto" w:fill="auto"/>
            <w:noWrap/>
            <w:vAlign w:val="bottom"/>
            <w:hideMark/>
          </w:tcPr>
          <w:p w14:paraId="35C8264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0.208</w:t>
            </w:r>
          </w:p>
        </w:tc>
        <w:tc>
          <w:tcPr>
            <w:tcW w:w="698" w:type="dxa"/>
            <w:tcBorders>
              <w:top w:val="nil"/>
              <w:left w:val="nil"/>
              <w:bottom w:val="nil"/>
              <w:right w:val="nil"/>
            </w:tcBorders>
            <w:shd w:val="clear" w:color="auto" w:fill="auto"/>
            <w:noWrap/>
            <w:vAlign w:val="bottom"/>
            <w:hideMark/>
          </w:tcPr>
          <w:p w14:paraId="5A707F6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r>
      <w:tr w:rsidR="00304411" w:rsidRPr="00435469" w14:paraId="70D376B2"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53B1F71F"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6D623D05"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2012</w:t>
            </w:r>
          </w:p>
        </w:tc>
        <w:tc>
          <w:tcPr>
            <w:tcW w:w="1071" w:type="dxa"/>
            <w:tcBorders>
              <w:top w:val="nil"/>
              <w:left w:val="single" w:sz="4" w:space="0" w:color="auto"/>
              <w:bottom w:val="nil"/>
              <w:right w:val="nil"/>
            </w:tcBorders>
            <w:shd w:val="clear" w:color="auto" w:fill="auto"/>
            <w:noWrap/>
            <w:vAlign w:val="bottom"/>
            <w:hideMark/>
          </w:tcPr>
          <w:p w14:paraId="6CCBE41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0.447</w:t>
            </w:r>
          </w:p>
        </w:tc>
        <w:tc>
          <w:tcPr>
            <w:tcW w:w="708" w:type="dxa"/>
            <w:tcBorders>
              <w:top w:val="nil"/>
              <w:left w:val="nil"/>
              <w:bottom w:val="nil"/>
              <w:right w:val="nil"/>
            </w:tcBorders>
            <w:shd w:val="clear" w:color="auto" w:fill="auto"/>
            <w:noWrap/>
            <w:vAlign w:val="bottom"/>
            <w:hideMark/>
          </w:tcPr>
          <w:p w14:paraId="64F97F1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0.275</w:t>
            </w:r>
          </w:p>
        </w:tc>
        <w:tc>
          <w:tcPr>
            <w:tcW w:w="626" w:type="dxa"/>
            <w:tcBorders>
              <w:top w:val="nil"/>
              <w:left w:val="nil"/>
              <w:bottom w:val="nil"/>
              <w:right w:val="nil"/>
            </w:tcBorders>
            <w:shd w:val="clear" w:color="auto" w:fill="auto"/>
            <w:noWrap/>
            <w:vAlign w:val="bottom"/>
            <w:hideMark/>
          </w:tcPr>
          <w:p w14:paraId="528DC5F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0.108</w:t>
            </w:r>
          </w:p>
        </w:tc>
        <w:tc>
          <w:tcPr>
            <w:tcW w:w="1247" w:type="dxa"/>
            <w:tcBorders>
              <w:top w:val="nil"/>
              <w:left w:val="nil"/>
              <w:bottom w:val="nil"/>
              <w:right w:val="nil"/>
            </w:tcBorders>
            <w:shd w:val="clear" w:color="auto" w:fill="auto"/>
            <w:noWrap/>
            <w:vAlign w:val="bottom"/>
            <w:hideMark/>
          </w:tcPr>
          <w:p w14:paraId="23F04D1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0.160</w:t>
            </w:r>
          </w:p>
        </w:tc>
        <w:tc>
          <w:tcPr>
            <w:tcW w:w="700" w:type="dxa"/>
            <w:tcBorders>
              <w:top w:val="nil"/>
              <w:left w:val="nil"/>
              <w:bottom w:val="nil"/>
              <w:right w:val="single" w:sz="4" w:space="0" w:color="auto"/>
            </w:tcBorders>
            <w:shd w:val="clear" w:color="auto" w:fill="auto"/>
            <w:noWrap/>
            <w:vAlign w:val="bottom"/>
            <w:hideMark/>
          </w:tcPr>
          <w:p w14:paraId="54C9C28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0.011</w:t>
            </w:r>
          </w:p>
        </w:tc>
        <w:tc>
          <w:tcPr>
            <w:tcW w:w="1071" w:type="dxa"/>
            <w:tcBorders>
              <w:top w:val="nil"/>
              <w:left w:val="single" w:sz="4" w:space="0" w:color="auto"/>
              <w:bottom w:val="nil"/>
              <w:right w:val="nil"/>
            </w:tcBorders>
            <w:shd w:val="clear" w:color="auto" w:fill="auto"/>
            <w:noWrap/>
            <w:vAlign w:val="bottom"/>
            <w:hideMark/>
          </w:tcPr>
          <w:p w14:paraId="5B38426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0.422</w:t>
            </w:r>
          </w:p>
        </w:tc>
        <w:tc>
          <w:tcPr>
            <w:tcW w:w="708" w:type="dxa"/>
            <w:tcBorders>
              <w:top w:val="nil"/>
              <w:left w:val="nil"/>
              <w:bottom w:val="nil"/>
              <w:right w:val="nil"/>
            </w:tcBorders>
            <w:shd w:val="clear" w:color="auto" w:fill="auto"/>
            <w:noWrap/>
            <w:vAlign w:val="bottom"/>
            <w:hideMark/>
          </w:tcPr>
          <w:p w14:paraId="185769D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0.370</w:t>
            </w:r>
          </w:p>
        </w:tc>
        <w:tc>
          <w:tcPr>
            <w:tcW w:w="626" w:type="dxa"/>
            <w:tcBorders>
              <w:top w:val="nil"/>
              <w:left w:val="nil"/>
              <w:bottom w:val="nil"/>
              <w:right w:val="nil"/>
            </w:tcBorders>
            <w:shd w:val="clear" w:color="auto" w:fill="auto"/>
            <w:noWrap/>
            <w:vAlign w:val="bottom"/>
            <w:hideMark/>
          </w:tcPr>
          <w:p w14:paraId="6C8343F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0.054</w:t>
            </w:r>
          </w:p>
        </w:tc>
        <w:tc>
          <w:tcPr>
            <w:tcW w:w="1247" w:type="dxa"/>
            <w:tcBorders>
              <w:top w:val="nil"/>
              <w:left w:val="nil"/>
              <w:bottom w:val="nil"/>
              <w:right w:val="nil"/>
            </w:tcBorders>
            <w:shd w:val="clear" w:color="auto" w:fill="auto"/>
            <w:noWrap/>
            <w:vAlign w:val="bottom"/>
            <w:hideMark/>
          </w:tcPr>
          <w:p w14:paraId="02D2B6F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0.145</w:t>
            </w:r>
          </w:p>
        </w:tc>
        <w:tc>
          <w:tcPr>
            <w:tcW w:w="698" w:type="dxa"/>
            <w:tcBorders>
              <w:top w:val="nil"/>
              <w:left w:val="nil"/>
              <w:bottom w:val="nil"/>
              <w:right w:val="single" w:sz="4" w:space="0" w:color="auto"/>
            </w:tcBorders>
            <w:shd w:val="clear" w:color="auto" w:fill="auto"/>
            <w:noWrap/>
            <w:vAlign w:val="bottom"/>
            <w:hideMark/>
          </w:tcPr>
          <w:p w14:paraId="68C2EF8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0.010</w:t>
            </w:r>
          </w:p>
        </w:tc>
        <w:tc>
          <w:tcPr>
            <w:tcW w:w="1071" w:type="dxa"/>
            <w:tcBorders>
              <w:top w:val="nil"/>
              <w:left w:val="single" w:sz="4" w:space="0" w:color="auto"/>
              <w:bottom w:val="nil"/>
              <w:right w:val="nil"/>
            </w:tcBorders>
            <w:shd w:val="clear" w:color="auto" w:fill="auto"/>
            <w:noWrap/>
            <w:vAlign w:val="bottom"/>
            <w:hideMark/>
          </w:tcPr>
          <w:p w14:paraId="196C3CA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0.425</w:t>
            </w:r>
          </w:p>
        </w:tc>
        <w:tc>
          <w:tcPr>
            <w:tcW w:w="708" w:type="dxa"/>
            <w:tcBorders>
              <w:top w:val="nil"/>
              <w:left w:val="nil"/>
              <w:bottom w:val="nil"/>
              <w:right w:val="nil"/>
            </w:tcBorders>
            <w:shd w:val="clear" w:color="auto" w:fill="auto"/>
            <w:noWrap/>
            <w:vAlign w:val="bottom"/>
            <w:hideMark/>
          </w:tcPr>
          <w:p w14:paraId="685EBF8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0.282</w:t>
            </w:r>
          </w:p>
        </w:tc>
        <w:tc>
          <w:tcPr>
            <w:tcW w:w="626" w:type="dxa"/>
            <w:tcBorders>
              <w:top w:val="nil"/>
              <w:left w:val="nil"/>
              <w:bottom w:val="nil"/>
              <w:right w:val="nil"/>
            </w:tcBorders>
            <w:shd w:val="clear" w:color="auto" w:fill="auto"/>
            <w:noWrap/>
            <w:vAlign w:val="bottom"/>
            <w:hideMark/>
          </w:tcPr>
          <w:p w14:paraId="15E5C1F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0.087</w:t>
            </w:r>
          </w:p>
        </w:tc>
        <w:tc>
          <w:tcPr>
            <w:tcW w:w="1247" w:type="dxa"/>
            <w:tcBorders>
              <w:top w:val="nil"/>
              <w:left w:val="nil"/>
              <w:bottom w:val="nil"/>
              <w:right w:val="nil"/>
            </w:tcBorders>
            <w:shd w:val="clear" w:color="auto" w:fill="auto"/>
            <w:noWrap/>
            <w:vAlign w:val="bottom"/>
            <w:hideMark/>
          </w:tcPr>
          <w:p w14:paraId="2A4EA4C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0.198</w:t>
            </w:r>
          </w:p>
        </w:tc>
        <w:tc>
          <w:tcPr>
            <w:tcW w:w="698" w:type="dxa"/>
            <w:tcBorders>
              <w:top w:val="nil"/>
              <w:left w:val="nil"/>
              <w:bottom w:val="nil"/>
              <w:right w:val="nil"/>
            </w:tcBorders>
            <w:shd w:val="clear" w:color="auto" w:fill="auto"/>
            <w:noWrap/>
            <w:vAlign w:val="bottom"/>
            <w:hideMark/>
          </w:tcPr>
          <w:p w14:paraId="261438C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r>
      <w:tr w:rsidR="00304411" w:rsidRPr="00435469" w14:paraId="241EE2BD"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7B7D7848"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177C5879"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2013</w:t>
            </w:r>
          </w:p>
        </w:tc>
        <w:tc>
          <w:tcPr>
            <w:tcW w:w="1071" w:type="dxa"/>
            <w:tcBorders>
              <w:top w:val="nil"/>
              <w:left w:val="single" w:sz="4" w:space="0" w:color="auto"/>
              <w:bottom w:val="nil"/>
              <w:right w:val="nil"/>
            </w:tcBorders>
            <w:shd w:val="clear" w:color="auto" w:fill="auto"/>
            <w:noWrap/>
            <w:vAlign w:val="bottom"/>
            <w:hideMark/>
          </w:tcPr>
          <w:p w14:paraId="185AC63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0.478</w:t>
            </w:r>
          </w:p>
        </w:tc>
        <w:tc>
          <w:tcPr>
            <w:tcW w:w="708" w:type="dxa"/>
            <w:tcBorders>
              <w:top w:val="nil"/>
              <w:left w:val="nil"/>
              <w:bottom w:val="nil"/>
              <w:right w:val="nil"/>
            </w:tcBorders>
            <w:shd w:val="clear" w:color="auto" w:fill="auto"/>
            <w:noWrap/>
            <w:vAlign w:val="bottom"/>
            <w:hideMark/>
          </w:tcPr>
          <w:p w14:paraId="6D73F96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0.267</w:t>
            </w:r>
          </w:p>
        </w:tc>
        <w:tc>
          <w:tcPr>
            <w:tcW w:w="626" w:type="dxa"/>
            <w:tcBorders>
              <w:top w:val="nil"/>
              <w:left w:val="nil"/>
              <w:bottom w:val="nil"/>
              <w:right w:val="nil"/>
            </w:tcBorders>
            <w:shd w:val="clear" w:color="auto" w:fill="auto"/>
            <w:noWrap/>
            <w:vAlign w:val="bottom"/>
            <w:hideMark/>
          </w:tcPr>
          <w:p w14:paraId="1534168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0.094</w:t>
            </w:r>
          </w:p>
        </w:tc>
        <w:tc>
          <w:tcPr>
            <w:tcW w:w="1247" w:type="dxa"/>
            <w:tcBorders>
              <w:top w:val="nil"/>
              <w:left w:val="nil"/>
              <w:bottom w:val="nil"/>
              <w:right w:val="nil"/>
            </w:tcBorders>
            <w:shd w:val="clear" w:color="auto" w:fill="auto"/>
            <w:noWrap/>
            <w:vAlign w:val="bottom"/>
            <w:hideMark/>
          </w:tcPr>
          <w:p w14:paraId="0A50E36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0.152</w:t>
            </w:r>
          </w:p>
        </w:tc>
        <w:tc>
          <w:tcPr>
            <w:tcW w:w="700" w:type="dxa"/>
            <w:tcBorders>
              <w:top w:val="nil"/>
              <w:left w:val="nil"/>
              <w:bottom w:val="nil"/>
              <w:right w:val="single" w:sz="4" w:space="0" w:color="auto"/>
            </w:tcBorders>
            <w:shd w:val="clear" w:color="auto" w:fill="auto"/>
            <w:noWrap/>
            <w:vAlign w:val="bottom"/>
            <w:hideMark/>
          </w:tcPr>
          <w:p w14:paraId="5C2FCBC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30A8FBA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0.463</w:t>
            </w:r>
          </w:p>
        </w:tc>
        <w:tc>
          <w:tcPr>
            <w:tcW w:w="708" w:type="dxa"/>
            <w:tcBorders>
              <w:top w:val="nil"/>
              <w:left w:val="nil"/>
              <w:bottom w:val="nil"/>
              <w:right w:val="nil"/>
            </w:tcBorders>
            <w:shd w:val="clear" w:color="auto" w:fill="auto"/>
            <w:noWrap/>
            <w:vAlign w:val="bottom"/>
            <w:hideMark/>
          </w:tcPr>
          <w:p w14:paraId="5DCA897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0.342</w:t>
            </w:r>
          </w:p>
        </w:tc>
        <w:tc>
          <w:tcPr>
            <w:tcW w:w="626" w:type="dxa"/>
            <w:tcBorders>
              <w:top w:val="nil"/>
              <w:left w:val="nil"/>
              <w:bottom w:val="nil"/>
              <w:right w:val="nil"/>
            </w:tcBorders>
            <w:shd w:val="clear" w:color="auto" w:fill="auto"/>
            <w:noWrap/>
            <w:vAlign w:val="bottom"/>
            <w:hideMark/>
          </w:tcPr>
          <w:p w14:paraId="3E08474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0.049</w:t>
            </w:r>
          </w:p>
        </w:tc>
        <w:tc>
          <w:tcPr>
            <w:tcW w:w="1247" w:type="dxa"/>
            <w:tcBorders>
              <w:top w:val="nil"/>
              <w:left w:val="nil"/>
              <w:bottom w:val="nil"/>
              <w:right w:val="nil"/>
            </w:tcBorders>
            <w:shd w:val="clear" w:color="auto" w:fill="auto"/>
            <w:noWrap/>
            <w:vAlign w:val="bottom"/>
            <w:hideMark/>
          </w:tcPr>
          <w:p w14:paraId="5EA2B58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0.136</w:t>
            </w:r>
          </w:p>
        </w:tc>
        <w:tc>
          <w:tcPr>
            <w:tcW w:w="698" w:type="dxa"/>
            <w:tcBorders>
              <w:top w:val="nil"/>
              <w:left w:val="nil"/>
              <w:bottom w:val="nil"/>
              <w:right w:val="single" w:sz="4" w:space="0" w:color="auto"/>
            </w:tcBorders>
            <w:shd w:val="clear" w:color="auto" w:fill="auto"/>
            <w:noWrap/>
            <w:vAlign w:val="bottom"/>
            <w:hideMark/>
          </w:tcPr>
          <w:p w14:paraId="231B9E6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759836B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0.440</w:t>
            </w:r>
          </w:p>
        </w:tc>
        <w:tc>
          <w:tcPr>
            <w:tcW w:w="708" w:type="dxa"/>
            <w:tcBorders>
              <w:top w:val="nil"/>
              <w:left w:val="nil"/>
              <w:bottom w:val="nil"/>
              <w:right w:val="nil"/>
            </w:tcBorders>
            <w:shd w:val="clear" w:color="auto" w:fill="auto"/>
            <w:noWrap/>
            <w:vAlign w:val="bottom"/>
            <w:hideMark/>
          </w:tcPr>
          <w:p w14:paraId="6B7738B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0.266</w:t>
            </w:r>
          </w:p>
        </w:tc>
        <w:tc>
          <w:tcPr>
            <w:tcW w:w="626" w:type="dxa"/>
            <w:tcBorders>
              <w:top w:val="nil"/>
              <w:left w:val="nil"/>
              <w:bottom w:val="nil"/>
              <w:right w:val="nil"/>
            </w:tcBorders>
            <w:shd w:val="clear" w:color="auto" w:fill="auto"/>
            <w:noWrap/>
            <w:vAlign w:val="bottom"/>
            <w:hideMark/>
          </w:tcPr>
          <w:p w14:paraId="57C857B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0.077</w:t>
            </w:r>
          </w:p>
        </w:tc>
        <w:tc>
          <w:tcPr>
            <w:tcW w:w="1247" w:type="dxa"/>
            <w:tcBorders>
              <w:top w:val="nil"/>
              <w:left w:val="nil"/>
              <w:bottom w:val="nil"/>
              <w:right w:val="nil"/>
            </w:tcBorders>
            <w:shd w:val="clear" w:color="auto" w:fill="auto"/>
            <w:noWrap/>
            <w:vAlign w:val="bottom"/>
            <w:hideMark/>
          </w:tcPr>
          <w:p w14:paraId="3BD90196"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0.207</w:t>
            </w:r>
          </w:p>
        </w:tc>
        <w:tc>
          <w:tcPr>
            <w:tcW w:w="698" w:type="dxa"/>
            <w:tcBorders>
              <w:top w:val="nil"/>
              <w:left w:val="nil"/>
              <w:bottom w:val="nil"/>
              <w:right w:val="nil"/>
            </w:tcBorders>
            <w:shd w:val="clear" w:color="auto" w:fill="auto"/>
            <w:noWrap/>
            <w:vAlign w:val="bottom"/>
            <w:hideMark/>
          </w:tcPr>
          <w:p w14:paraId="0F1E9AA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r>
      <w:tr w:rsidR="00304411" w:rsidRPr="00435469" w14:paraId="46354DDA"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4FED34BE"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5A0D2CD2"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2014</w:t>
            </w:r>
          </w:p>
        </w:tc>
        <w:tc>
          <w:tcPr>
            <w:tcW w:w="1071" w:type="dxa"/>
            <w:tcBorders>
              <w:top w:val="nil"/>
              <w:left w:val="single" w:sz="4" w:space="0" w:color="auto"/>
              <w:bottom w:val="nil"/>
              <w:right w:val="nil"/>
            </w:tcBorders>
            <w:shd w:val="clear" w:color="auto" w:fill="auto"/>
            <w:noWrap/>
            <w:vAlign w:val="bottom"/>
            <w:hideMark/>
          </w:tcPr>
          <w:p w14:paraId="467D5F4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0.562</w:t>
            </w:r>
          </w:p>
        </w:tc>
        <w:tc>
          <w:tcPr>
            <w:tcW w:w="708" w:type="dxa"/>
            <w:tcBorders>
              <w:top w:val="nil"/>
              <w:left w:val="nil"/>
              <w:bottom w:val="nil"/>
              <w:right w:val="nil"/>
            </w:tcBorders>
            <w:shd w:val="clear" w:color="auto" w:fill="auto"/>
            <w:noWrap/>
            <w:vAlign w:val="bottom"/>
            <w:hideMark/>
          </w:tcPr>
          <w:p w14:paraId="52BD5C0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0.161</w:t>
            </w:r>
          </w:p>
        </w:tc>
        <w:tc>
          <w:tcPr>
            <w:tcW w:w="626" w:type="dxa"/>
            <w:tcBorders>
              <w:top w:val="nil"/>
              <w:left w:val="nil"/>
              <w:bottom w:val="nil"/>
              <w:right w:val="nil"/>
            </w:tcBorders>
            <w:shd w:val="clear" w:color="auto" w:fill="auto"/>
            <w:noWrap/>
            <w:vAlign w:val="bottom"/>
            <w:hideMark/>
          </w:tcPr>
          <w:p w14:paraId="4580FAB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0.082</w:t>
            </w:r>
          </w:p>
        </w:tc>
        <w:tc>
          <w:tcPr>
            <w:tcW w:w="1247" w:type="dxa"/>
            <w:tcBorders>
              <w:top w:val="nil"/>
              <w:left w:val="nil"/>
              <w:bottom w:val="nil"/>
              <w:right w:val="nil"/>
            </w:tcBorders>
            <w:shd w:val="clear" w:color="auto" w:fill="auto"/>
            <w:noWrap/>
            <w:vAlign w:val="bottom"/>
            <w:hideMark/>
          </w:tcPr>
          <w:p w14:paraId="002048A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0.185</w:t>
            </w:r>
          </w:p>
        </w:tc>
        <w:tc>
          <w:tcPr>
            <w:tcW w:w="700" w:type="dxa"/>
            <w:tcBorders>
              <w:top w:val="nil"/>
              <w:left w:val="nil"/>
              <w:bottom w:val="nil"/>
              <w:right w:val="single" w:sz="4" w:space="0" w:color="auto"/>
            </w:tcBorders>
            <w:shd w:val="clear" w:color="auto" w:fill="auto"/>
            <w:noWrap/>
            <w:vAlign w:val="bottom"/>
            <w:hideMark/>
          </w:tcPr>
          <w:p w14:paraId="7191062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0.010</w:t>
            </w:r>
          </w:p>
        </w:tc>
        <w:tc>
          <w:tcPr>
            <w:tcW w:w="1071" w:type="dxa"/>
            <w:tcBorders>
              <w:top w:val="nil"/>
              <w:left w:val="single" w:sz="4" w:space="0" w:color="auto"/>
              <w:bottom w:val="nil"/>
              <w:right w:val="nil"/>
            </w:tcBorders>
            <w:shd w:val="clear" w:color="auto" w:fill="auto"/>
            <w:noWrap/>
            <w:vAlign w:val="bottom"/>
            <w:hideMark/>
          </w:tcPr>
          <w:p w14:paraId="63A55F21"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0.547</w:t>
            </w:r>
          </w:p>
        </w:tc>
        <w:tc>
          <w:tcPr>
            <w:tcW w:w="708" w:type="dxa"/>
            <w:tcBorders>
              <w:top w:val="nil"/>
              <w:left w:val="nil"/>
              <w:bottom w:val="nil"/>
              <w:right w:val="nil"/>
            </w:tcBorders>
            <w:shd w:val="clear" w:color="auto" w:fill="auto"/>
            <w:noWrap/>
            <w:vAlign w:val="bottom"/>
            <w:hideMark/>
          </w:tcPr>
          <w:p w14:paraId="5A3F6B4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0.230</w:t>
            </w:r>
          </w:p>
        </w:tc>
        <w:tc>
          <w:tcPr>
            <w:tcW w:w="626" w:type="dxa"/>
            <w:tcBorders>
              <w:top w:val="nil"/>
              <w:left w:val="nil"/>
              <w:bottom w:val="nil"/>
              <w:right w:val="nil"/>
            </w:tcBorders>
            <w:shd w:val="clear" w:color="auto" w:fill="auto"/>
            <w:noWrap/>
            <w:vAlign w:val="bottom"/>
            <w:hideMark/>
          </w:tcPr>
          <w:p w14:paraId="4E043B8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0.047</w:t>
            </w:r>
          </w:p>
        </w:tc>
        <w:tc>
          <w:tcPr>
            <w:tcW w:w="1247" w:type="dxa"/>
            <w:tcBorders>
              <w:top w:val="nil"/>
              <w:left w:val="nil"/>
              <w:bottom w:val="nil"/>
              <w:right w:val="nil"/>
            </w:tcBorders>
            <w:shd w:val="clear" w:color="auto" w:fill="auto"/>
            <w:noWrap/>
            <w:vAlign w:val="bottom"/>
            <w:hideMark/>
          </w:tcPr>
          <w:p w14:paraId="136D23C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0.167</w:t>
            </w:r>
          </w:p>
        </w:tc>
        <w:tc>
          <w:tcPr>
            <w:tcW w:w="698" w:type="dxa"/>
            <w:tcBorders>
              <w:top w:val="nil"/>
              <w:left w:val="nil"/>
              <w:bottom w:val="nil"/>
              <w:right w:val="single" w:sz="4" w:space="0" w:color="auto"/>
            </w:tcBorders>
            <w:shd w:val="clear" w:color="auto" w:fill="auto"/>
            <w:noWrap/>
            <w:vAlign w:val="bottom"/>
            <w:hideMark/>
          </w:tcPr>
          <w:p w14:paraId="5D0272C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0.009</w:t>
            </w:r>
          </w:p>
        </w:tc>
        <w:tc>
          <w:tcPr>
            <w:tcW w:w="1071" w:type="dxa"/>
            <w:tcBorders>
              <w:top w:val="nil"/>
              <w:left w:val="single" w:sz="4" w:space="0" w:color="auto"/>
              <w:bottom w:val="nil"/>
              <w:right w:val="nil"/>
            </w:tcBorders>
            <w:shd w:val="clear" w:color="auto" w:fill="auto"/>
            <w:noWrap/>
            <w:vAlign w:val="bottom"/>
            <w:hideMark/>
          </w:tcPr>
          <w:p w14:paraId="41FAA5F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0.480</w:t>
            </w:r>
          </w:p>
        </w:tc>
        <w:tc>
          <w:tcPr>
            <w:tcW w:w="708" w:type="dxa"/>
            <w:tcBorders>
              <w:top w:val="nil"/>
              <w:left w:val="nil"/>
              <w:bottom w:val="nil"/>
              <w:right w:val="nil"/>
            </w:tcBorders>
            <w:shd w:val="clear" w:color="auto" w:fill="auto"/>
            <w:noWrap/>
            <w:vAlign w:val="bottom"/>
            <w:hideMark/>
          </w:tcPr>
          <w:p w14:paraId="47BEEFB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0.149</w:t>
            </w:r>
          </w:p>
        </w:tc>
        <w:tc>
          <w:tcPr>
            <w:tcW w:w="626" w:type="dxa"/>
            <w:tcBorders>
              <w:top w:val="nil"/>
              <w:left w:val="nil"/>
              <w:bottom w:val="nil"/>
              <w:right w:val="nil"/>
            </w:tcBorders>
            <w:shd w:val="clear" w:color="auto" w:fill="auto"/>
            <w:noWrap/>
            <w:vAlign w:val="bottom"/>
            <w:hideMark/>
          </w:tcPr>
          <w:p w14:paraId="02FF35A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0.077</w:t>
            </w:r>
          </w:p>
        </w:tc>
        <w:tc>
          <w:tcPr>
            <w:tcW w:w="1247" w:type="dxa"/>
            <w:tcBorders>
              <w:top w:val="nil"/>
              <w:left w:val="nil"/>
              <w:bottom w:val="nil"/>
              <w:right w:val="nil"/>
            </w:tcBorders>
            <w:shd w:val="clear" w:color="auto" w:fill="auto"/>
            <w:noWrap/>
            <w:vAlign w:val="bottom"/>
            <w:hideMark/>
          </w:tcPr>
          <w:p w14:paraId="13B9BF9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0.278</w:t>
            </w:r>
          </w:p>
        </w:tc>
        <w:tc>
          <w:tcPr>
            <w:tcW w:w="698" w:type="dxa"/>
            <w:tcBorders>
              <w:top w:val="nil"/>
              <w:left w:val="nil"/>
              <w:bottom w:val="nil"/>
              <w:right w:val="nil"/>
            </w:tcBorders>
            <w:shd w:val="clear" w:color="auto" w:fill="auto"/>
            <w:noWrap/>
            <w:vAlign w:val="bottom"/>
            <w:hideMark/>
          </w:tcPr>
          <w:p w14:paraId="57F752E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0.015</w:t>
            </w:r>
          </w:p>
        </w:tc>
      </w:tr>
      <w:tr w:rsidR="00304411" w:rsidRPr="00435469" w14:paraId="3EF379D1"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05F8726D"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nil"/>
              <w:right w:val="single" w:sz="4" w:space="0" w:color="auto"/>
            </w:tcBorders>
            <w:shd w:val="clear" w:color="auto" w:fill="auto"/>
            <w:noWrap/>
            <w:vAlign w:val="bottom"/>
            <w:hideMark/>
          </w:tcPr>
          <w:p w14:paraId="274A64FD"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2015</w:t>
            </w:r>
          </w:p>
        </w:tc>
        <w:tc>
          <w:tcPr>
            <w:tcW w:w="1071" w:type="dxa"/>
            <w:tcBorders>
              <w:top w:val="nil"/>
              <w:left w:val="single" w:sz="4" w:space="0" w:color="auto"/>
              <w:bottom w:val="nil"/>
              <w:right w:val="nil"/>
            </w:tcBorders>
            <w:shd w:val="clear" w:color="auto" w:fill="auto"/>
            <w:noWrap/>
            <w:vAlign w:val="bottom"/>
            <w:hideMark/>
          </w:tcPr>
          <w:p w14:paraId="6C1109E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0.655</w:t>
            </w:r>
          </w:p>
        </w:tc>
        <w:tc>
          <w:tcPr>
            <w:tcW w:w="708" w:type="dxa"/>
            <w:tcBorders>
              <w:top w:val="nil"/>
              <w:left w:val="nil"/>
              <w:bottom w:val="nil"/>
              <w:right w:val="nil"/>
            </w:tcBorders>
            <w:shd w:val="clear" w:color="auto" w:fill="auto"/>
            <w:noWrap/>
            <w:vAlign w:val="bottom"/>
            <w:hideMark/>
          </w:tcPr>
          <w:p w14:paraId="64B52A5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0.130</w:t>
            </w:r>
          </w:p>
        </w:tc>
        <w:tc>
          <w:tcPr>
            <w:tcW w:w="626" w:type="dxa"/>
            <w:tcBorders>
              <w:top w:val="nil"/>
              <w:left w:val="nil"/>
              <w:bottom w:val="nil"/>
              <w:right w:val="nil"/>
            </w:tcBorders>
            <w:shd w:val="clear" w:color="auto" w:fill="auto"/>
            <w:noWrap/>
            <w:vAlign w:val="bottom"/>
            <w:hideMark/>
          </w:tcPr>
          <w:p w14:paraId="15266CE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0.083</w:t>
            </w:r>
          </w:p>
        </w:tc>
        <w:tc>
          <w:tcPr>
            <w:tcW w:w="1247" w:type="dxa"/>
            <w:tcBorders>
              <w:top w:val="nil"/>
              <w:left w:val="nil"/>
              <w:bottom w:val="nil"/>
              <w:right w:val="nil"/>
            </w:tcBorders>
            <w:shd w:val="clear" w:color="auto" w:fill="auto"/>
            <w:noWrap/>
            <w:vAlign w:val="bottom"/>
            <w:hideMark/>
          </w:tcPr>
          <w:p w14:paraId="7E2D9CB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0.124</w:t>
            </w:r>
          </w:p>
        </w:tc>
        <w:tc>
          <w:tcPr>
            <w:tcW w:w="700" w:type="dxa"/>
            <w:tcBorders>
              <w:top w:val="nil"/>
              <w:left w:val="nil"/>
              <w:bottom w:val="nil"/>
              <w:right w:val="single" w:sz="4" w:space="0" w:color="auto"/>
            </w:tcBorders>
            <w:shd w:val="clear" w:color="auto" w:fill="auto"/>
            <w:noWrap/>
            <w:vAlign w:val="bottom"/>
            <w:hideMark/>
          </w:tcPr>
          <w:p w14:paraId="36E1B913"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c>
          <w:tcPr>
            <w:tcW w:w="1071" w:type="dxa"/>
            <w:tcBorders>
              <w:top w:val="nil"/>
              <w:left w:val="single" w:sz="4" w:space="0" w:color="auto"/>
              <w:bottom w:val="nil"/>
              <w:right w:val="nil"/>
            </w:tcBorders>
            <w:shd w:val="clear" w:color="auto" w:fill="auto"/>
            <w:noWrap/>
            <w:vAlign w:val="bottom"/>
            <w:hideMark/>
          </w:tcPr>
          <w:p w14:paraId="0C85E858"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0.626</w:t>
            </w:r>
          </w:p>
        </w:tc>
        <w:tc>
          <w:tcPr>
            <w:tcW w:w="708" w:type="dxa"/>
            <w:tcBorders>
              <w:top w:val="nil"/>
              <w:left w:val="nil"/>
              <w:bottom w:val="nil"/>
              <w:right w:val="nil"/>
            </w:tcBorders>
            <w:shd w:val="clear" w:color="auto" w:fill="auto"/>
            <w:noWrap/>
            <w:vAlign w:val="bottom"/>
            <w:hideMark/>
          </w:tcPr>
          <w:p w14:paraId="082F34AA"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0.202</w:t>
            </w:r>
          </w:p>
        </w:tc>
        <w:tc>
          <w:tcPr>
            <w:tcW w:w="626" w:type="dxa"/>
            <w:tcBorders>
              <w:top w:val="nil"/>
              <w:left w:val="nil"/>
              <w:bottom w:val="nil"/>
              <w:right w:val="nil"/>
            </w:tcBorders>
            <w:shd w:val="clear" w:color="auto" w:fill="auto"/>
            <w:noWrap/>
            <w:vAlign w:val="bottom"/>
            <w:hideMark/>
          </w:tcPr>
          <w:p w14:paraId="1604162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0.047</w:t>
            </w:r>
          </w:p>
        </w:tc>
        <w:tc>
          <w:tcPr>
            <w:tcW w:w="1247" w:type="dxa"/>
            <w:tcBorders>
              <w:top w:val="nil"/>
              <w:left w:val="nil"/>
              <w:bottom w:val="nil"/>
              <w:right w:val="nil"/>
            </w:tcBorders>
            <w:shd w:val="clear" w:color="auto" w:fill="auto"/>
            <w:noWrap/>
            <w:vAlign w:val="bottom"/>
            <w:hideMark/>
          </w:tcPr>
          <w:p w14:paraId="35D3B3EF"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0.118</w:t>
            </w:r>
          </w:p>
        </w:tc>
        <w:tc>
          <w:tcPr>
            <w:tcW w:w="698" w:type="dxa"/>
            <w:tcBorders>
              <w:top w:val="nil"/>
              <w:left w:val="nil"/>
              <w:bottom w:val="nil"/>
              <w:right w:val="single" w:sz="4" w:space="0" w:color="auto"/>
            </w:tcBorders>
            <w:shd w:val="clear" w:color="auto" w:fill="auto"/>
            <w:noWrap/>
            <w:vAlign w:val="bottom"/>
            <w:hideMark/>
          </w:tcPr>
          <w:p w14:paraId="15AAADC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c>
          <w:tcPr>
            <w:tcW w:w="1071" w:type="dxa"/>
            <w:tcBorders>
              <w:top w:val="nil"/>
              <w:left w:val="single" w:sz="4" w:space="0" w:color="auto"/>
              <w:bottom w:val="nil"/>
              <w:right w:val="nil"/>
            </w:tcBorders>
            <w:shd w:val="clear" w:color="auto" w:fill="auto"/>
            <w:noWrap/>
            <w:vAlign w:val="bottom"/>
            <w:hideMark/>
          </w:tcPr>
          <w:p w14:paraId="4FD91F27"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0.579</w:t>
            </w:r>
          </w:p>
        </w:tc>
        <w:tc>
          <w:tcPr>
            <w:tcW w:w="708" w:type="dxa"/>
            <w:tcBorders>
              <w:top w:val="nil"/>
              <w:left w:val="nil"/>
              <w:bottom w:val="nil"/>
              <w:right w:val="nil"/>
            </w:tcBorders>
            <w:shd w:val="clear" w:color="auto" w:fill="auto"/>
            <w:noWrap/>
            <w:vAlign w:val="bottom"/>
            <w:hideMark/>
          </w:tcPr>
          <w:p w14:paraId="578D0B0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0.123</w:t>
            </w:r>
          </w:p>
        </w:tc>
        <w:tc>
          <w:tcPr>
            <w:tcW w:w="626" w:type="dxa"/>
            <w:tcBorders>
              <w:top w:val="nil"/>
              <w:left w:val="nil"/>
              <w:bottom w:val="nil"/>
              <w:right w:val="nil"/>
            </w:tcBorders>
            <w:shd w:val="clear" w:color="auto" w:fill="auto"/>
            <w:noWrap/>
            <w:vAlign w:val="bottom"/>
            <w:hideMark/>
          </w:tcPr>
          <w:p w14:paraId="58ED396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0.087</w:t>
            </w:r>
          </w:p>
        </w:tc>
        <w:tc>
          <w:tcPr>
            <w:tcW w:w="1247" w:type="dxa"/>
            <w:tcBorders>
              <w:top w:val="nil"/>
              <w:left w:val="nil"/>
              <w:bottom w:val="nil"/>
              <w:right w:val="nil"/>
            </w:tcBorders>
            <w:shd w:val="clear" w:color="auto" w:fill="auto"/>
            <w:noWrap/>
            <w:vAlign w:val="bottom"/>
            <w:hideMark/>
          </w:tcPr>
          <w:p w14:paraId="1FBF014D"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0.197</w:t>
            </w:r>
          </w:p>
        </w:tc>
        <w:tc>
          <w:tcPr>
            <w:tcW w:w="698" w:type="dxa"/>
            <w:tcBorders>
              <w:top w:val="nil"/>
              <w:left w:val="nil"/>
              <w:bottom w:val="nil"/>
              <w:right w:val="nil"/>
            </w:tcBorders>
            <w:shd w:val="clear" w:color="auto" w:fill="auto"/>
            <w:noWrap/>
            <w:vAlign w:val="bottom"/>
            <w:hideMark/>
          </w:tcPr>
          <w:p w14:paraId="7DA1B04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0.013</w:t>
            </w:r>
          </w:p>
        </w:tc>
      </w:tr>
      <w:tr w:rsidR="00304411" w:rsidRPr="00435469" w14:paraId="7DFC9289" w14:textId="77777777" w:rsidTr="00E84FC8">
        <w:trPr>
          <w:trHeight w:val="264"/>
        </w:trPr>
        <w:tc>
          <w:tcPr>
            <w:tcW w:w="753" w:type="dxa"/>
            <w:vMerge/>
            <w:tcBorders>
              <w:top w:val="single" w:sz="4" w:space="0" w:color="auto"/>
              <w:left w:val="nil"/>
              <w:bottom w:val="single" w:sz="4" w:space="0" w:color="000000"/>
              <w:right w:val="nil"/>
            </w:tcBorders>
            <w:vAlign w:val="center"/>
            <w:hideMark/>
          </w:tcPr>
          <w:p w14:paraId="1D95166D" w14:textId="77777777" w:rsidR="00B33A5D" w:rsidRPr="00435469" w:rsidRDefault="00B33A5D" w:rsidP="00955FFB">
            <w:pPr>
              <w:spacing w:after="0" w:line="240" w:lineRule="auto"/>
              <w:rPr>
                <w:rFonts w:eastAsia="Times New Roman" w:cs="Times New Roman"/>
                <w:sz w:val="16"/>
                <w:szCs w:val="16"/>
                <w:lang w:eastAsia="en-ZA"/>
              </w:rPr>
            </w:pPr>
          </w:p>
        </w:tc>
        <w:tc>
          <w:tcPr>
            <w:tcW w:w="703" w:type="dxa"/>
            <w:tcBorders>
              <w:top w:val="nil"/>
              <w:left w:val="nil"/>
              <w:bottom w:val="single" w:sz="4" w:space="0" w:color="auto"/>
              <w:right w:val="single" w:sz="4" w:space="0" w:color="auto"/>
            </w:tcBorders>
            <w:shd w:val="clear" w:color="auto" w:fill="auto"/>
            <w:noWrap/>
            <w:vAlign w:val="bottom"/>
            <w:hideMark/>
          </w:tcPr>
          <w:p w14:paraId="7B8A22B8" w14:textId="77777777" w:rsidR="00B33A5D" w:rsidRPr="00435469" w:rsidRDefault="00B33A5D"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2016</w:t>
            </w:r>
          </w:p>
        </w:tc>
        <w:tc>
          <w:tcPr>
            <w:tcW w:w="1071" w:type="dxa"/>
            <w:tcBorders>
              <w:top w:val="nil"/>
              <w:left w:val="single" w:sz="4" w:space="0" w:color="auto"/>
              <w:bottom w:val="single" w:sz="4" w:space="0" w:color="auto"/>
              <w:right w:val="nil"/>
            </w:tcBorders>
            <w:shd w:val="clear" w:color="auto" w:fill="auto"/>
            <w:noWrap/>
            <w:vAlign w:val="bottom"/>
            <w:hideMark/>
          </w:tcPr>
          <w:p w14:paraId="7D62E5D9"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cs="Times New Roman"/>
                <w:sz w:val="16"/>
                <w:szCs w:val="16"/>
              </w:rPr>
              <w:t>0.611</w:t>
            </w:r>
          </w:p>
        </w:tc>
        <w:tc>
          <w:tcPr>
            <w:tcW w:w="708" w:type="dxa"/>
            <w:tcBorders>
              <w:top w:val="nil"/>
              <w:left w:val="nil"/>
              <w:bottom w:val="single" w:sz="4" w:space="0" w:color="auto"/>
              <w:right w:val="nil"/>
            </w:tcBorders>
            <w:shd w:val="clear" w:color="auto" w:fill="auto"/>
            <w:noWrap/>
            <w:vAlign w:val="bottom"/>
            <w:hideMark/>
          </w:tcPr>
          <w:p w14:paraId="5618C38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0.176</w:t>
            </w:r>
          </w:p>
        </w:tc>
        <w:tc>
          <w:tcPr>
            <w:tcW w:w="626" w:type="dxa"/>
            <w:tcBorders>
              <w:top w:val="nil"/>
              <w:left w:val="nil"/>
              <w:bottom w:val="single" w:sz="4" w:space="0" w:color="auto"/>
              <w:right w:val="nil"/>
            </w:tcBorders>
            <w:shd w:val="clear" w:color="auto" w:fill="auto"/>
            <w:noWrap/>
            <w:vAlign w:val="bottom"/>
            <w:hideMark/>
          </w:tcPr>
          <w:p w14:paraId="0F11B1B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0.080</w:t>
            </w:r>
          </w:p>
        </w:tc>
        <w:tc>
          <w:tcPr>
            <w:tcW w:w="1247" w:type="dxa"/>
            <w:tcBorders>
              <w:top w:val="nil"/>
              <w:left w:val="nil"/>
              <w:bottom w:val="single" w:sz="4" w:space="0" w:color="auto"/>
              <w:right w:val="nil"/>
            </w:tcBorders>
            <w:shd w:val="clear" w:color="auto" w:fill="auto"/>
            <w:noWrap/>
            <w:vAlign w:val="bottom"/>
            <w:hideMark/>
          </w:tcPr>
          <w:p w14:paraId="34DC732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0.125</w:t>
            </w:r>
          </w:p>
        </w:tc>
        <w:tc>
          <w:tcPr>
            <w:tcW w:w="700" w:type="dxa"/>
            <w:tcBorders>
              <w:top w:val="nil"/>
              <w:left w:val="nil"/>
              <w:bottom w:val="single" w:sz="4" w:space="0" w:color="auto"/>
              <w:right w:val="single" w:sz="4" w:space="0" w:color="auto"/>
            </w:tcBorders>
            <w:shd w:val="clear" w:color="auto" w:fill="auto"/>
            <w:noWrap/>
            <w:vAlign w:val="bottom"/>
            <w:hideMark/>
          </w:tcPr>
          <w:p w14:paraId="0839A02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c>
          <w:tcPr>
            <w:tcW w:w="1071" w:type="dxa"/>
            <w:tcBorders>
              <w:top w:val="nil"/>
              <w:left w:val="single" w:sz="4" w:space="0" w:color="auto"/>
              <w:bottom w:val="single" w:sz="4" w:space="0" w:color="auto"/>
              <w:right w:val="nil"/>
            </w:tcBorders>
            <w:shd w:val="clear" w:color="auto" w:fill="auto"/>
            <w:noWrap/>
            <w:vAlign w:val="bottom"/>
            <w:hideMark/>
          </w:tcPr>
          <w:p w14:paraId="25C249AB"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0.566</w:t>
            </w:r>
          </w:p>
        </w:tc>
        <w:tc>
          <w:tcPr>
            <w:tcW w:w="708" w:type="dxa"/>
            <w:tcBorders>
              <w:top w:val="nil"/>
              <w:left w:val="nil"/>
              <w:bottom w:val="single" w:sz="4" w:space="0" w:color="auto"/>
              <w:right w:val="nil"/>
            </w:tcBorders>
            <w:shd w:val="clear" w:color="auto" w:fill="auto"/>
            <w:noWrap/>
            <w:vAlign w:val="bottom"/>
            <w:hideMark/>
          </w:tcPr>
          <w:p w14:paraId="2990F9D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0.263</w:t>
            </w:r>
          </w:p>
        </w:tc>
        <w:tc>
          <w:tcPr>
            <w:tcW w:w="626" w:type="dxa"/>
            <w:tcBorders>
              <w:top w:val="nil"/>
              <w:left w:val="nil"/>
              <w:bottom w:val="single" w:sz="4" w:space="0" w:color="auto"/>
              <w:right w:val="nil"/>
            </w:tcBorders>
            <w:shd w:val="clear" w:color="auto" w:fill="auto"/>
            <w:noWrap/>
            <w:vAlign w:val="bottom"/>
            <w:hideMark/>
          </w:tcPr>
          <w:p w14:paraId="39CE7DD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0.046</w:t>
            </w:r>
          </w:p>
        </w:tc>
        <w:tc>
          <w:tcPr>
            <w:tcW w:w="1247" w:type="dxa"/>
            <w:tcBorders>
              <w:top w:val="nil"/>
              <w:left w:val="nil"/>
              <w:bottom w:val="single" w:sz="4" w:space="0" w:color="auto"/>
              <w:right w:val="nil"/>
            </w:tcBorders>
            <w:shd w:val="clear" w:color="auto" w:fill="auto"/>
            <w:noWrap/>
            <w:vAlign w:val="bottom"/>
            <w:hideMark/>
          </w:tcPr>
          <w:p w14:paraId="41BE3975"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0.117</w:t>
            </w:r>
          </w:p>
        </w:tc>
        <w:tc>
          <w:tcPr>
            <w:tcW w:w="698" w:type="dxa"/>
            <w:tcBorders>
              <w:top w:val="nil"/>
              <w:left w:val="nil"/>
              <w:bottom w:val="single" w:sz="4" w:space="0" w:color="auto"/>
              <w:right w:val="single" w:sz="4" w:space="0" w:color="auto"/>
            </w:tcBorders>
            <w:shd w:val="clear" w:color="auto" w:fill="auto"/>
            <w:noWrap/>
            <w:vAlign w:val="bottom"/>
            <w:hideMark/>
          </w:tcPr>
          <w:p w14:paraId="39AF189E"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0.008</w:t>
            </w:r>
          </w:p>
        </w:tc>
        <w:tc>
          <w:tcPr>
            <w:tcW w:w="1071" w:type="dxa"/>
            <w:tcBorders>
              <w:top w:val="nil"/>
              <w:left w:val="single" w:sz="4" w:space="0" w:color="auto"/>
              <w:bottom w:val="single" w:sz="4" w:space="0" w:color="auto"/>
              <w:right w:val="nil"/>
            </w:tcBorders>
            <w:shd w:val="clear" w:color="auto" w:fill="auto"/>
            <w:noWrap/>
            <w:vAlign w:val="bottom"/>
            <w:hideMark/>
          </w:tcPr>
          <w:p w14:paraId="0D503A7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0.569</w:t>
            </w:r>
          </w:p>
        </w:tc>
        <w:tc>
          <w:tcPr>
            <w:tcW w:w="708" w:type="dxa"/>
            <w:tcBorders>
              <w:top w:val="nil"/>
              <w:left w:val="nil"/>
              <w:bottom w:val="single" w:sz="4" w:space="0" w:color="auto"/>
              <w:right w:val="nil"/>
            </w:tcBorders>
            <w:shd w:val="clear" w:color="auto" w:fill="auto"/>
            <w:noWrap/>
            <w:vAlign w:val="bottom"/>
            <w:hideMark/>
          </w:tcPr>
          <w:p w14:paraId="59DEE11C"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0.158</w:t>
            </w:r>
          </w:p>
        </w:tc>
        <w:tc>
          <w:tcPr>
            <w:tcW w:w="626" w:type="dxa"/>
            <w:tcBorders>
              <w:top w:val="nil"/>
              <w:left w:val="nil"/>
              <w:bottom w:val="single" w:sz="4" w:space="0" w:color="auto"/>
              <w:right w:val="nil"/>
            </w:tcBorders>
            <w:shd w:val="clear" w:color="auto" w:fill="auto"/>
            <w:noWrap/>
            <w:vAlign w:val="bottom"/>
            <w:hideMark/>
          </w:tcPr>
          <w:p w14:paraId="566EC3C4"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0.069</w:t>
            </w:r>
          </w:p>
        </w:tc>
        <w:tc>
          <w:tcPr>
            <w:tcW w:w="1247" w:type="dxa"/>
            <w:tcBorders>
              <w:top w:val="nil"/>
              <w:left w:val="nil"/>
              <w:bottom w:val="single" w:sz="4" w:space="0" w:color="auto"/>
              <w:right w:val="nil"/>
            </w:tcBorders>
            <w:shd w:val="clear" w:color="auto" w:fill="auto"/>
            <w:noWrap/>
            <w:vAlign w:val="bottom"/>
            <w:hideMark/>
          </w:tcPr>
          <w:p w14:paraId="725912D0"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0.198</w:t>
            </w:r>
          </w:p>
        </w:tc>
        <w:tc>
          <w:tcPr>
            <w:tcW w:w="698" w:type="dxa"/>
            <w:tcBorders>
              <w:top w:val="nil"/>
              <w:left w:val="nil"/>
              <w:bottom w:val="single" w:sz="4" w:space="0" w:color="auto"/>
              <w:right w:val="nil"/>
            </w:tcBorders>
            <w:shd w:val="clear" w:color="auto" w:fill="auto"/>
            <w:noWrap/>
            <w:vAlign w:val="bottom"/>
            <w:hideMark/>
          </w:tcPr>
          <w:p w14:paraId="5E33A2E2" w14:textId="77777777" w:rsidR="00B33A5D" w:rsidRPr="00435469" w:rsidRDefault="00B33A5D"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0.007</w:t>
            </w:r>
          </w:p>
        </w:tc>
      </w:tr>
    </w:tbl>
    <w:p w14:paraId="72D36A71" w14:textId="77777777" w:rsidR="005F4979" w:rsidRDefault="005F4979" w:rsidP="00955FFB">
      <w:pPr>
        <w:spacing w:line="240" w:lineRule="auto"/>
        <w:rPr>
          <w:rFonts w:eastAsia="Yu Gothic Light" w:cs="Times New Roman"/>
          <w:sz w:val="20"/>
          <w:szCs w:val="20"/>
        </w:rPr>
      </w:pPr>
    </w:p>
    <w:p w14:paraId="7342E1B2" w14:textId="77777777" w:rsidR="00BE782A" w:rsidRPr="00435469" w:rsidRDefault="00BE782A" w:rsidP="00955FFB">
      <w:pPr>
        <w:spacing w:line="240" w:lineRule="auto"/>
        <w:rPr>
          <w:rFonts w:eastAsia="Yu Gothic Light" w:cs="Times New Roman"/>
          <w:sz w:val="20"/>
          <w:szCs w:val="20"/>
        </w:rPr>
      </w:pPr>
    </w:p>
    <w:p w14:paraId="561412BF" w14:textId="5B0FBA41" w:rsidR="004A7C71" w:rsidRPr="00940473" w:rsidRDefault="004A7C71" w:rsidP="00AD6E54">
      <w:pPr>
        <w:pStyle w:val="3TableHead"/>
        <w:rPr>
          <w:rFonts w:eastAsiaTheme="majorEastAsia"/>
          <w:bCs/>
        </w:rPr>
      </w:pPr>
      <w:bookmarkStart w:id="200" w:name="_Ref65667633"/>
      <w:bookmarkStart w:id="201" w:name="_Toc59986834"/>
      <w:bookmarkStart w:id="202" w:name="_Toc103253666"/>
      <w:r w:rsidRPr="009D21A1">
        <w:rPr>
          <w:sz w:val="20"/>
          <w:szCs w:val="18"/>
        </w:rPr>
        <w:lastRenderedPageBreak/>
        <w:t xml:space="preserve">Table </w:t>
      </w:r>
      <w:r w:rsidR="00AB530B" w:rsidRPr="009D21A1">
        <w:rPr>
          <w:sz w:val="20"/>
          <w:szCs w:val="18"/>
        </w:rPr>
        <w:fldChar w:fldCharType="begin"/>
      </w:r>
      <w:r w:rsidR="00AB530B" w:rsidRPr="009D21A1">
        <w:rPr>
          <w:sz w:val="20"/>
          <w:szCs w:val="18"/>
        </w:rPr>
        <w:instrText xml:space="preserve"> SEQ Table \* ARABIC </w:instrText>
      </w:r>
      <w:r w:rsidR="00AB530B" w:rsidRPr="009D21A1">
        <w:rPr>
          <w:sz w:val="20"/>
          <w:szCs w:val="18"/>
        </w:rPr>
        <w:fldChar w:fldCharType="separate"/>
      </w:r>
      <w:r w:rsidR="00186C2F" w:rsidRPr="009D21A1">
        <w:rPr>
          <w:noProof/>
          <w:sz w:val="20"/>
          <w:szCs w:val="18"/>
        </w:rPr>
        <w:t>13</w:t>
      </w:r>
      <w:r w:rsidR="00AB530B" w:rsidRPr="009D21A1">
        <w:rPr>
          <w:noProof/>
          <w:sz w:val="20"/>
          <w:szCs w:val="18"/>
        </w:rPr>
        <w:fldChar w:fldCharType="end"/>
      </w:r>
      <w:bookmarkEnd w:id="200"/>
      <w:r w:rsidRPr="009D21A1">
        <w:rPr>
          <w:sz w:val="20"/>
          <w:szCs w:val="18"/>
        </w:rPr>
        <w:t xml:space="preserve">: </w:t>
      </w:r>
      <w:r w:rsidR="008D34B8" w:rsidRPr="009D21A1">
        <w:rPr>
          <w:sz w:val="20"/>
          <w:szCs w:val="18"/>
        </w:rPr>
        <w:t xml:space="preserve">Electronic Tuberculosis Register </w:t>
      </w:r>
      <w:r w:rsidR="008D34B8" w:rsidRPr="009D21A1">
        <w:rPr>
          <w:rFonts w:eastAsia="Calibri"/>
          <w:sz w:val="20"/>
          <w:szCs w:val="18"/>
        </w:rPr>
        <w:t xml:space="preserve">Treatment outcomes </w:t>
      </w:r>
      <w:r w:rsidRPr="009D21A1">
        <w:rPr>
          <w:sz w:val="20"/>
          <w:szCs w:val="18"/>
        </w:rPr>
        <w:t>by year</w:t>
      </w:r>
      <w:r w:rsidR="00825058" w:rsidRPr="009D21A1">
        <w:rPr>
          <w:sz w:val="20"/>
          <w:szCs w:val="18"/>
        </w:rPr>
        <w:t xml:space="preserve"> </w:t>
      </w:r>
      <w:r w:rsidR="008E348A" w:rsidRPr="009D21A1">
        <w:rPr>
          <w:rFonts w:eastAsia="Calibri"/>
          <w:sz w:val="20"/>
          <w:szCs w:val="18"/>
        </w:rPr>
        <w:t>(2004 – 2016)</w:t>
      </w:r>
      <w:r w:rsidRPr="009D21A1">
        <w:rPr>
          <w:sz w:val="20"/>
          <w:szCs w:val="18"/>
        </w:rPr>
        <w:t xml:space="preserve">, sex and HIV-status expressed as </w:t>
      </w:r>
      <w:r w:rsidR="006E7016" w:rsidRPr="009D21A1">
        <w:rPr>
          <w:sz w:val="20"/>
          <w:szCs w:val="18"/>
        </w:rPr>
        <w:t xml:space="preserve">annual </w:t>
      </w:r>
      <w:r w:rsidRPr="009D21A1">
        <w:rPr>
          <w:sz w:val="20"/>
          <w:szCs w:val="18"/>
        </w:rPr>
        <w:t>rates</w:t>
      </w:r>
      <w:bookmarkEnd w:id="201"/>
      <w:bookmarkEnd w:id="202"/>
    </w:p>
    <w:tbl>
      <w:tblPr>
        <w:tblW w:w="15026" w:type="dxa"/>
        <w:tblInd w:w="-142" w:type="dxa"/>
        <w:tblLook w:val="04A0" w:firstRow="1" w:lastRow="0" w:firstColumn="1" w:lastColumn="0" w:noHBand="0" w:noVBand="1"/>
      </w:tblPr>
      <w:tblGrid>
        <w:gridCol w:w="906"/>
        <w:gridCol w:w="728"/>
        <w:gridCol w:w="891"/>
        <w:gridCol w:w="728"/>
        <w:gridCol w:w="1728"/>
        <w:gridCol w:w="772"/>
        <w:gridCol w:w="471"/>
        <w:gridCol w:w="890"/>
        <w:gridCol w:w="728"/>
        <w:gridCol w:w="1728"/>
        <w:gridCol w:w="772"/>
        <w:gridCol w:w="484"/>
        <w:gridCol w:w="890"/>
        <w:gridCol w:w="728"/>
        <w:gridCol w:w="1728"/>
        <w:gridCol w:w="854"/>
      </w:tblGrid>
      <w:tr w:rsidR="00304411" w:rsidRPr="00435469" w14:paraId="4E5A4FC4" w14:textId="77777777" w:rsidTr="00E84FC8">
        <w:trPr>
          <w:trHeight w:val="277"/>
        </w:trPr>
        <w:tc>
          <w:tcPr>
            <w:tcW w:w="906" w:type="dxa"/>
            <w:tcBorders>
              <w:top w:val="single" w:sz="4" w:space="0" w:color="auto"/>
              <w:left w:val="nil"/>
              <w:right w:val="nil"/>
            </w:tcBorders>
            <w:shd w:val="clear" w:color="auto" w:fill="auto"/>
            <w:noWrap/>
            <w:vAlign w:val="bottom"/>
            <w:hideMark/>
          </w:tcPr>
          <w:p w14:paraId="5B200FAA"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single" w:sz="4" w:space="0" w:color="auto"/>
              <w:left w:val="nil"/>
              <w:right w:val="nil"/>
            </w:tcBorders>
            <w:shd w:val="clear" w:color="auto" w:fill="auto"/>
            <w:noWrap/>
            <w:vAlign w:val="bottom"/>
            <w:hideMark/>
          </w:tcPr>
          <w:p w14:paraId="7805C445" w14:textId="77777777" w:rsidR="004A7C71" w:rsidRPr="00435469" w:rsidRDefault="004A7C71" w:rsidP="00955FFB">
            <w:pPr>
              <w:spacing w:after="0" w:line="240" w:lineRule="auto"/>
              <w:rPr>
                <w:rFonts w:eastAsia="Times New Roman" w:cs="Times New Roman"/>
                <w:sz w:val="16"/>
                <w:szCs w:val="16"/>
                <w:lang w:eastAsia="en-ZA"/>
              </w:rPr>
            </w:pPr>
          </w:p>
        </w:tc>
        <w:tc>
          <w:tcPr>
            <w:tcW w:w="4119" w:type="dxa"/>
            <w:gridSpan w:val="4"/>
            <w:tcBorders>
              <w:top w:val="single" w:sz="4" w:space="0" w:color="auto"/>
              <w:left w:val="nil"/>
              <w:bottom w:val="single" w:sz="4" w:space="0" w:color="auto"/>
              <w:right w:val="nil"/>
            </w:tcBorders>
            <w:shd w:val="clear" w:color="auto" w:fill="auto"/>
            <w:noWrap/>
            <w:vAlign w:val="bottom"/>
            <w:hideMark/>
          </w:tcPr>
          <w:p w14:paraId="10479144"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HIV-infected</w:t>
            </w:r>
          </w:p>
        </w:tc>
        <w:tc>
          <w:tcPr>
            <w:tcW w:w="471" w:type="dxa"/>
            <w:tcBorders>
              <w:top w:val="single" w:sz="4" w:space="0" w:color="auto"/>
              <w:left w:val="nil"/>
              <w:right w:val="nil"/>
            </w:tcBorders>
            <w:shd w:val="clear" w:color="auto" w:fill="auto"/>
            <w:noWrap/>
            <w:vAlign w:val="bottom"/>
            <w:hideMark/>
          </w:tcPr>
          <w:p w14:paraId="249C9D78"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4118" w:type="dxa"/>
            <w:gridSpan w:val="4"/>
            <w:tcBorders>
              <w:top w:val="single" w:sz="4" w:space="0" w:color="auto"/>
              <w:left w:val="nil"/>
              <w:bottom w:val="single" w:sz="4" w:space="0" w:color="auto"/>
              <w:right w:val="nil"/>
            </w:tcBorders>
            <w:shd w:val="clear" w:color="auto" w:fill="auto"/>
            <w:noWrap/>
            <w:vAlign w:val="bottom"/>
            <w:hideMark/>
          </w:tcPr>
          <w:p w14:paraId="2751CE2D"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HIV-uninfected</w:t>
            </w:r>
          </w:p>
        </w:tc>
        <w:tc>
          <w:tcPr>
            <w:tcW w:w="484" w:type="dxa"/>
            <w:tcBorders>
              <w:top w:val="single" w:sz="4" w:space="0" w:color="auto"/>
              <w:left w:val="nil"/>
              <w:right w:val="nil"/>
            </w:tcBorders>
            <w:shd w:val="clear" w:color="auto" w:fill="auto"/>
            <w:noWrap/>
            <w:vAlign w:val="bottom"/>
            <w:hideMark/>
          </w:tcPr>
          <w:p w14:paraId="085F5610"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4200" w:type="dxa"/>
            <w:gridSpan w:val="4"/>
            <w:tcBorders>
              <w:top w:val="single" w:sz="4" w:space="0" w:color="auto"/>
              <w:left w:val="nil"/>
              <w:bottom w:val="single" w:sz="4" w:space="0" w:color="auto"/>
              <w:right w:val="nil"/>
            </w:tcBorders>
            <w:shd w:val="clear" w:color="auto" w:fill="auto"/>
            <w:noWrap/>
            <w:vAlign w:val="bottom"/>
            <w:hideMark/>
          </w:tcPr>
          <w:p w14:paraId="4C7562C0"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xml:space="preserve">HIV-unknown </w:t>
            </w:r>
          </w:p>
        </w:tc>
      </w:tr>
      <w:tr w:rsidR="00304411" w:rsidRPr="00435469" w14:paraId="69FCEB5C" w14:textId="77777777" w:rsidTr="00E84FC8">
        <w:trPr>
          <w:trHeight w:val="277"/>
        </w:trPr>
        <w:tc>
          <w:tcPr>
            <w:tcW w:w="906" w:type="dxa"/>
            <w:tcBorders>
              <w:top w:val="nil"/>
              <w:left w:val="nil"/>
              <w:bottom w:val="single" w:sz="4" w:space="0" w:color="auto"/>
              <w:right w:val="nil"/>
            </w:tcBorders>
            <w:shd w:val="clear" w:color="auto" w:fill="auto"/>
            <w:noWrap/>
            <w:vAlign w:val="bottom"/>
            <w:hideMark/>
          </w:tcPr>
          <w:p w14:paraId="79B3013E" w14:textId="77777777" w:rsidR="004A7C71" w:rsidRPr="00435469" w:rsidRDefault="004A7C71" w:rsidP="00955FFB">
            <w:pPr>
              <w:spacing w:after="0" w:line="240" w:lineRule="auto"/>
              <w:rPr>
                <w:rFonts w:eastAsia="Times New Roman" w:cs="Times New Roman"/>
                <w:b/>
                <w:bCs/>
                <w:sz w:val="16"/>
                <w:szCs w:val="16"/>
                <w:lang w:eastAsia="en-ZA"/>
              </w:rPr>
            </w:pPr>
            <w:r w:rsidRPr="00435469">
              <w:rPr>
                <w:rFonts w:eastAsia="Times New Roman" w:cs="Times New Roman"/>
                <w:b/>
                <w:bCs/>
                <w:sz w:val="16"/>
                <w:szCs w:val="16"/>
                <w:lang w:eastAsia="en-ZA"/>
              </w:rPr>
              <w:t>Sex</w:t>
            </w:r>
          </w:p>
        </w:tc>
        <w:tc>
          <w:tcPr>
            <w:tcW w:w="728" w:type="dxa"/>
            <w:tcBorders>
              <w:top w:val="nil"/>
              <w:left w:val="nil"/>
              <w:bottom w:val="single" w:sz="4" w:space="0" w:color="auto"/>
              <w:right w:val="nil"/>
            </w:tcBorders>
            <w:shd w:val="clear" w:color="auto" w:fill="auto"/>
            <w:noWrap/>
            <w:vAlign w:val="bottom"/>
            <w:hideMark/>
          </w:tcPr>
          <w:p w14:paraId="6343AF11"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 xml:space="preserve">Year </w:t>
            </w:r>
          </w:p>
        </w:tc>
        <w:tc>
          <w:tcPr>
            <w:tcW w:w="891" w:type="dxa"/>
            <w:tcBorders>
              <w:top w:val="single" w:sz="4" w:space="0" w:color="auto"/>
              <w:left w:val="nil"/>
              <w:bottom w:val="single" w:sz="4" w:space="0" w:color="auto"/>
              <w:right w:val="nil"/>
            </w:tcBorders>
            <w:shd w:val="clear" w:color="auto" w:fill="auto"/>
            <w:noWrap/>
            <w:vAlign w:val="bottom"/>
            <w:hideMark/>
          </w:tcPr>
          <w:p w14:paraId="36A00FA5" w14:textId="77777777" w:rsidR="004A7C71" w:rsidRPr="00435469" w:rsidRDefault="004A7C71" w:rsidP="00955FFB">
            <w:pPr>
              <w:spacing w:after="0" w:line="240" w:lineRule="auto"/>
              <w:jc w:val="center"/>
              <w:rPr>
                <w:rFonts w:eastAsia="Times New Roman" w:cs="Times New Roman"/>
                <w:b/>
                <w:bCs/>
                <w:sz w:val="16"/>
                <w:szCs w:val="16"/>
                <w:bdr w:val="none" w:sz="0" w:space="0" w:color="auto" w:frame="1"/>
              </w:rPr>
            </w:pPr>
            <w:r w:rsidRPr="00435469">
              <w:rPr>
                <w:rFonts w:eastAsia="Times New Roman" w:cs="Times New Roman"/>
                <w:b/>
                <w:bCs/>
                <w:sz w:val="16"/>
                <w:szCs w:val="16"/>
                <w:bdr w:val="none" w:sz="0" w:space="0" w:color="auto" w:frame="1"/>
              </w:rPr>
              <w:t xml:space="preserve">Failed </w:t>
            </w:r>
          </w:p>
          <w:p w14:paraId="3584F912"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bdr w:val="none" w:sz="0" w:space="0" w:color="auto" w:frame="1"/>
              </w:rPr>
              <w:t>(</w:t>
            </w:r>
            <m:oMath>
              <m:r>
                <m:rPr>
                  <m:sty m:val="bi"/>
                </m:rPr>
                <w:rPr>
                  <w:rFonts w:ascii="Cambria Math" w:hAnsi="Cambria Math" w:cs="Times New Roman"/>
                  <w:sz w:val="16"/>
                  <w:szCs w:val="16"/>
                  <w:bdr w:val="none" w:sz="0" w:space="0" w:color="auto" w:frame="1"/>
                </w:rPr>
                <m:t>γ</m:t>
              </m:r>
            </m:oMath>
            <w:r w:rsidRPr="00435469">
              <w:rPr>
                <w:rFonts w:eastAsia="Times New Roman" w:cs="Times New Roman"/>
                <w:b/>
                <w:bCs/>
                <w:sz w:val="16"/>
                <w:szCs w:val="16"/>
                <w:bdr w:val="none" w:sz="0" w:space="0" w:color="auto" w:frame="1"/>
              </w:rPr>
              <w:t>)</w:t>
            </w:r>
          </w:p>
        </w:tc>
        <w:tc>
          <w:tcPr>
            <w:tcW w:w="728" w:type="dxa"/>
            <w:tcBorders>
              <w:top w:val="single" w:sz="4" w:space="0" w:color="auto"/>
              <w:left w:val="nil"/>
              <w:bottom w:val="single" w:sz="4" w:space="0" w:color="auto"/>
              <w:right w:val="nil"/>
            </w:tcBorders>
            <w:shd w:val="clear" w:color="auto" w:fill="auto"/>
            <w:noWrap/>
            <w:vAlign w:val="bottom"/>
            <w:hideMark/>
          </w:tcPr>
          <w:p w14:paraId="4953EFFF"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bdr w:val="none" w:sz="0" w:space="0" w:color="auto" w:frame="1"/>
              </w:rPr>
              <w:t>Cure (</w:t>
            </w:r>
            <m:oMath>
              <m:r>
                <m:rPr>
                  <m:sty m:val="bi"/>
                </m:rPr>
                <w:rPr>
                  <w:rFonts w:ascii="Cambria Math" w:hAnsi="Cambria Math" w:cs="Times New Roman"/>
                  <w:sz w:val="16"/>
                  <w:szCs w:val="16"/>
                  <w:bdr w:val="none" w:sz="0" w:space="0" w:color="auto" w:frame="1"/>
                </w:rPr>
                <m:t>κ</m:t>
              </m:r>
            </m:oMath>
            <w:r w:rsidRPr="00435469">
              <w:rPr>
                <w:rFonts w:eastAsia="Times New Roman" w:cs="Times New Roman"/>
                <w:b/>
                <w:bCs/>
                <w:sz w:val="16"/>
                <w:szCs w:val="16"/>
                <w:bdr w:val="none" w:sz="0" w:space="0" w:color="auto" w:frame="1"/>
              </w:rPr>
              <w:t>)</w:t>
            </w:r>
          </w:p>
        </w:tc>
        <w:tc>
          <w:tcPr>
            <w:tcW w:w="1728" w:type="dxa"/>
            <w:tcBorders>
              <w:top w:val="single" w:sz="4" w:space="0" w:color="auto"/>
              <w:left w:val="nil"/>
              <w:bottom w:val="single" w:sz="4" w:space="0" w:color="auto"/>
              <w:right w:val="nil"/>
            </w:tcBorders>
            <w:shd w:val="clear" w:color="auto" w:fill="auto"/>
            <w:noWrap/>
            <w:vAlign w:val="bottom"/>
            <w:hideMark/>
          </w:tcPr>
          <w:p w14:paraId="342AD5EA"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rPr>
              <w:t>Discontinuation (</w:t>
            </w:r>
            <m:oMath>
              <m:r>
                <m:rPr>
                  <m:sty m:val="bi"/>
                </m:rPr>
                <w:rPr>
                  <w:rFonts w:ascii="Cambria Math" w:eastAsia="Yu Gothic Light" w:hAnsi="Cambria Math" w:cs="Times New Roman"/>
                  <w:sz w:val="16"/>
                  <w:szCs w:val="16"/>
                </w:rPr>
                <m:t>δ</m:t>
              </m:r>
            </m:oMath>
            <w:r w:rsidRPr="00435469">
              <w:rPr>
                <w:rFonts w:eastAsia="Times New Roman" w:cs="Times New Roman"/>
                <w:b/>
                <w:bCs/>
                <w:sz w:val="16"/>
                <w:szCs w:val="16"/>
              </w:rPr>
              <w:t>)</w:t>
            </w:r>
            <w:r w:rsidRPr="00435469">
              <w:rPr>
                <w:rFonts w:eastAsia="Times New Roman" w:cs="Times New Roman"/>
                <w:b/>
                <w:bCs/>
                <w:sz w:val="16"/>
                <w:szCs w:val="16"/>
                <w:lang w:eastAsia="en-ZA"/>
              </w:rPr>
              <w:t xml:space="preserve"> </w:t>
            </w:r>
          </w:p>
        </w:tc>
        <w:tc>
          <w:tcPr>
            <w:tcW w:w="772" w:type="dxa"/>
            <w:tcBorders>
              <w:top w:val="single" w:sz="4" w:space="0" w:color="auto"/>
              <w:left w:val="nil"/>
              <w:bottom w:val="single" w:sz="4" w:space="0" w:color="auto"/>
              <w:right w:val="nil"/>
            </w:tcBorders>
            <w:shd w:val="clear" w:color="auto" w:fill="auto"/>
            <w:noWrap/>
            <w:vAlign w:val="bottom"/>
            <w:hideMark/>
          </w:tcPr>
          <w:p w14:paraId="6A5D4866"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rPr>
              <w:t>Death (</w:t>
            </w:r>
            <m:oMath>
              <m:r>
                <m:rPr>
                  <m:sty m:val="bi"/>
                </m:rPr>
                <w:rPr>
                  <w:rFonts w:ascii="Cambria Math" w:eastAsia="Yu Gothic Light" w:hAnsi="Cambria Math" w:cs="Times New Roman"/>
                  <w:sz w:val="16"/>
                  <w:szCs w:val="16"/>
                </w:rPr>
                <m:t>μ</m:t>
              </m:r>
            </m:oMath>
            <w:r w:rsidRPr="00435469">
              <w:rPr>
                <w:rFonts w:eastAsia="Times New Roman" w:cs="Times New Roman"/>
                <w:b/>
                <w:bCs/>
                <w:sz w:val="16"/>
                <w:szCs w:val="16"/>
              </w:rPr>
              <w:t>)</w:t>
            </w:r>
          </w:p>
        </w:tc>
        <w:tc>
          <w:tcPr>
            <w:tcW w:w="471" w:type="dxa"/>
            <w:tcBorders>
              <w:top w:val="nil"/>
              <w:left w:val="nil"/>
              <w:bottom w:val="single" w:sz="4" w:space="0" w:color="auto"/>
              <w:right w:val="nil"/>
            </w:tcBorders>
            <w:shd w:val="clear" w:color="auto" w:fill="auto"/>
            <w:noWrap/>
            <w:vAlign w:val="bottom"/>
            <w:hideMark/>
          </w:tcPr>
          <w:p w14:paraId="17AF5B75"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890" w:type="dxa"/>
            <w:tcBorders>
              <w:top w:val="single" w:sz="4" w:space="0" w:color="auto"/>
              <w:left w:val="nil"/>
              <w:bottom w:val="single" w:sz="4" w:space="0" w:color="auto"/>
              <w:right w:val="nil"/>
            </w:tcBorders>
            <w:shd w:val="clear" w:color="auto" w:fill="auto"/>
            <w:noWrap/>
            <w:vAlign w:val="bottom"/>
            <w:hideMark/>
          </w:tcPr>
          <w:p w14:paraId="3D544848" w14:textId="77777777" w:rsidR="004A7C71" w:rsidRPr="00435469" w:rsidRDefault="004A7C71" w:rsidP="00955FFB">
            <w:pPr>
              <w:spacing w:after="0" w:line="240" w:lineRule="auto"/>
              <w:jc w:val="center"/>
              <w:rPr>
                <w:rFonts w:eastAsia="Times New Roman" w:cs="Times New Roman"/>
                <w:b/>
                <w:bCs/>
                <w:sz w:val="16"/>
                <w:szCs w:val="16"/>
                <w:bdr w:val="none" w:sz="0" w:space="0" w:color="auto" w:frame="1"/>
              </w:rPr>
            </w:pPr>
            <w:r w:rsidRPr="00435469">
              <w:rPr>
                <w:rFonts w:eastAsia="Times New Roman" w:cs="Times New Roman"/>
                <w:b/>
                <w:bCs/>
                <w:sz w:val="16"/>
                <w:szCs w:val="16"/>
                <w:bdr w:val="none" w:sz="0" w:space="0" w:color="auto" w:frame="1"/>
              </w:rPr>
              <w:t>Failed</w:t>
            </w:r>
          </w:p>
          <w:p w14:paraId="6565D582"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bdr w:val="none" w:sz="0" w:space="0" w:color="auto" w:frame="1"/>
              </w:rPr>
              <w:t xml:space="preserve"> (</w:t>
            </w:r>
            <m:oMath>
              <m:r>
                <m:rPr>
                  <m:sty m:val="bi"/>
                </m:rPr>
                <w:rPr>
                  <w:rFonts w:ascii="Cambria Math" w:hAnsi="Cambria Math" w:cs="Times New Roman"/>
                  <w:sz w:val="16"/>
                  <w:szCs w:val="16"/>
                  <w:bdr w:val="none" w:sz="0" w:space="0" w:color="auto" w:frame="1"/>
                </w:rPr>
                <m:t>γ</m:t>
              </m:r>
            </m:oMath>
            <w:r w:rsidRPr="00435469">
              <w:rPr>
                <w:rFonts w:eastAsia="Times New Roman" w:cs="Times New Roman"/>
                <w:b/>
                <w:bCs/>
                <w:sz w:val="16"/>
                <w:szCs w:val="16"/>
                <w:bdr w:val="none" w:sz="0" w:space="0" w:color="auto" w:frame="1"/>
              </w:rPr>
              <w:t>)</w:t>
            </w:r>
          </w:p>
        </w:tc>
        <w:tc>
          <w:tcPr>
            <w:tcW w:w="728" w:type="dxa"/>
            <w:tcBorders>
              <w:top w:val="single" w:sz="4" w:space="0" w:color="auto"/>
              <w:left w:val="nil"/>
              <w:bottom w:val="single" w:sz="4" w:space="0" w:color="auto"/>
              <w:right w:val="nil"/>
            </w:tcBorders>
            <w:shd w:val="clear" w:color="auto" w:fill="auto"/>
            <w:noWrap/>
            <w:vAlign w:val="bottom"/>
            <w:hideMark/>
          </w:tcPr>
          <w:p w14:paraId="0EBCD6E3"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bdr w:val="none" w:sz="0" w:space="0" w:color="auto" w:frame="1"/>
              </w:rPr>
              <w:t>Cure (</w:t>
            </w:r>
            <m:oMath>
              <m:r>
                <m:rPr>
                  <m:sty m:val="bi"/>
                </m:rPr>
                <w:rPr>
                  <w:rFonts w:ascii="Cambria Math" w:hAnsi="Cambria Math" w:cs="Times New Roman"/>
                  <w:sz w:val="16"/>
                  <w:szCs w:val="16"/>
                  <w:bdr w:val="none" w:sz="0" w:space="0" w:color="auto" w:frame="1"/>
                </w:rPr>
                <m:t>κ</m:t>
              </m:r>
            </m:oMath>
            <w:r w:rsidRPr="00435469">
              <w:rPr>
                <w:rFonts w:eastAsia="Times New Roman" w:cs="Times New Roman"/>
                <w:b/>
                <w:bCs/>
                <w:sz w:val="16"/>
                <w:szCs w:val="16"/>
                <w:bdr w:val="none" w:sz="0" w:space="0" w:color="auto" w:frame="1"/>
              </w:rPr>
              <w:t>)</w:t>
            </w:r>
          </w:p>
        </w:tc>
        <w:tc>
          <w:tcPr>
            <w:tcW w:w="1728" w:type="dxa"/>
            <w:tcBorders>
              <w:top w:val="single" w:sz="4" w:space="0" w:color="auto"/>
              <w:left w:val="nil"/>
              <w:bottom w:val="single" w:sz="4" w:space="0" w:color="auto"/>
              <w:right w:val="nil"/>
            </w:tcBorders>
            <w:shd w:val="clear" w:color="auto" w:fill="auto"/>
            <w:noWrap/>
            <w:vAlign w:val="bottom"/>
            <w:hideMark/>
          </w:tcPr>
          <w:p w14:paraId="7D8C8333"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rPr>
              <w:t>Discontinuation (</w:t>
            </w:r>
            <m:oMath>
              <m:r>
                <m:rPr>
                  <m:sty m:val="bi"/>
                </m:rPr>
                <w:rPr>
                  <w:rFonts w:ascii="Cambria Math" w:eastAsia="Yu Gothic Light" w:hAnsi="Cambria Math" w:cs="Times New Roman"/>
                  <w:sz w:val="16"/>
                  <w:szCs w:val="16"/>
                </w:rPr>
                <m:t>δ</m:t>
              </m:r>
            </m:oMath>
            <w:r w:rsidRPr="00435469">
              <w:rPr>
                <w:rFonts w:eastAsia="Times New Roman" w:cs="Times New Roman"/>
                <w:b/>
                <w:bCs/>
                <w:sz w:val="16"/>
                <w:szCs w:val="16"/>
              </w:rPr>
              <w:t>)</w:t>
            </w:r>
          </w:p>
        </w:tc>
        <w:tc>
          <w:tcPr>
            <w:tcW w:w="772" w:type="dxa"/>
            <w:tcBorders>
              <w:top w:val="single" w:sz="4" w:space="0" w:color="auto"/>
              <w:left w:val="nil"/>
              <w:bottom w:val="single" w:sz="4" w:space="0" w:color="auto"/>
              <w:right w:val="nil"/>
            </w:tcBorders>
            <w:shd w:val="clear" w:color="auto" w:fill="auto"/>
            <w:noWrap/>
            <w:vAlign w:val="bottom"/>
            <w:hideMark/>
          </w:tcPr>
          <w:p w14:paraId="12923956"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rPr>
              <w:t>Death (</w:t>
            </w:r>
            <m:oMath>
              <m:r>
                <m:rPr>
                  <m:sty m:val="bi"/>
                </m:rPr>
                <w:rPr>
                  <w:rFonts w:ascii="Cambria Math" w:eastAsia="Yu Gothic Light" w:hAnsi="Cambria Math" w:cs="Times New Roman"/>
                  <w:sz w:val="16"/>
                  <w:szCs w:val="16"/>
                </w:rPr>
                <m:t>μ</m:t>
              </m:r>
            </m:oMath>
            <w:r w:rsidRPr="00435469">
              <w:rPr>
                <w:rFonts w:eastAsia="Times New Roman" w:cs="Times New Roman"/>
                <w:b/>
                <w:bCs/>
                <w:sz w:val="16"/>
                <w:szCs w:val="16"/>
              </w:rPr>
              <w:t>)</w:t>
            </w:r>
          </w:p>
        </w:tc>
        <w:tc>
          <w:tcPr>
            <w:tcW w:w="484" w:type="dxa"/>
            <w:tcBorders>
              <w:top w:val="nil"/>
              <w:left w:val="nil"/>
              <w:bottom w:val="single" w:sz="4" w:space="0" w:color="auto"/>
              <w:right w:val="nil"/>
            </w:tcBorders>
            <w:shd w:val="clear" w:color="auto" w:fill="auto"/>
            <w:noWrap/>
            <w:vAlign w:val="bottom"/>
            <w:hideMark/>
          </w:tcPr>
          <w:p w14:paraId="0EAE4AD2"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890" w:type="dxa"/>
            <w:tcBorders>
              <w:top w:val="single" w:sz="4" w:space="0" w:color="auto"/>
              <w:left w:val="nil"/>
              <w:bottom w:val="single" w:sz="4" w:space="0" w:color="auto"/>
              <w:right w:val="nil"/>
            </w:tcBorders>
            <w:shd w:val="clear" w:color="auto" w:fill="auto"/>
            <w:noWrap/>
            <w:vAlign w:val="bottom"/>
            <w:hideMark/>
          </w:tcPr>
          <w:p w14:paraId="4F792511" w14:textId="77777777" w:rsidR="004A7C71" w:rsidRPr="00435469" w:rsidRDefault="004A7C71" w:rsidP="00955FFB">
            <w:pPr>
              <w:spacing w:after="0" w:line="240" w:lineRule="auto"/>
              <w:jc w:val="center"/>
              <w:rPr>
                <w:rFonts w:eastAsia="Times New Roman" w:cs="Times New Roman"/>
                <w:b/>
                <w:bCs/>
                <w:sz w:val="16"/>
                <w:szCs w:val="16"/>
                <w:bdr w:val="none" w:sz="0" w:space="0" w:color="auto" w:frame="1"/>
              </w:rPr>
            </w:pPr>
            <w:r w:rsidRPr="00435469">
              <w:rPr>
                <w:rFonts w:eastAsia="Times New Roman" w:cs="Times New Roman"/>
                <w:b/>
                <w:bCs/>
                <w:sz w:val="16"/>
                <w:szCs w:val="16"/>
                <w:bdr w:val="none" w:sz="0" w:space="0" w:color="auto" w:frame="1"/>
              </w:rPr>
              <w:t xml:space="preserve">Failed </w:t>
            </w:r>
          </w:p>
          <w:p w14:paraId="758FE1A7"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bdr w:val="none" w:sz="0" w:space="0" w:color="auto" w:frame="1"/>
              </w:rPr>
              <w:t>(</w:t>
            </w:r>
            <m:oMath>
              <m:r>
                <m:rPr>
                  <m:sty m:val="bi"/>
                </m:rPr>
                <w:rPr>
                  <w:rFonts w:ascii="Cambria Math" w:hAnsi="Cambria Math" w:cs="Times New Roman"/>
                  <w:sz w:val="16"/>
                  <w:szCs w:val="16"/>
                  <w:bdr w:val="none" w:sz="0" w:space="0" w:color="auto" w:frame="1"/>
                </w:rPr>
                <m:t>γ</m:t>
              </m:r>
            </m:oMath>
            <w:r w:rsidRPr="00435469">
              <w:rPr>
                <w:rFonts w:eastAsia="Times New Roman" w:cs="Times New Roman"/>
                <w:b/>
                <w:bCs/>
                <w:sz w:val="16"/>
                <w:szCs w:val="16"/>
                <w:bdr w:val="none" w:sz="0" w:space="0" w:color="auto" w:frame="1"/>
              </w:rPr>
              <w:t>)</w:t>
            </w:r>
          </w:p>
        </w:tc>
        <w:tc>
          <w:tcPr>
            <w:tcW w:w="728" w:type="dxa"/>
            <w:tcBorders>
              <w:top w:val="single" w:sz="4" w:space="0" w:color="auto"/>
              <w:left w:val="nil"/>
              <w:bottom w:val="single" w:sz="4" w:space="0" w:color="auto"/>
              <w:right w:val="nil"/>
            </w:tcBorders>
            <w:shd w:val="clear" w:color="auto" w:fill="auto"/>
            <w:noWrap/>
            <w:vAlign w:val="bottom"/>
            <w:hideMark/>
          </w:tcPr>
          <w:p w14:paraId="2BD0B3C3"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bdr w:val="none" w:sz="0" w:space="0" w:color="auto" w:frame="1"/>
              </w:rPr>
              <w:t>Cure (</w:t>
            </w:r>
            <m:oMath>
              <m:r>
                <m:rPr>
                  <m:sty m:val="bi"/>
                </m:rPr>
                <w:rPr>
                  <w:rFonts w:ascii="Cambria Math" w:hAnsi="Cambria Math" w:cs="Times New Roman"/>
                  <w:sz w:val="16"/>
                  <w:szCs w:val="16"/>
                  <w:bdr w:val="none" w:sz="0" w:space="0" w:color="auto" w:frame="1"/>
                </w:rPr>
                <m:t>κ</m:t>
              </m:r>
            </m:oMath>
            <w:r w:rsidRPr="00435469">
              <w:rPr>
                <w:rFonts w:eastAsia="Times New Roman" w:cs="Times New Roman"/>
                <w:b/>
                <w:bCs/>
                <w:sz w:val="16"/>
                <w:szCs w:val="16"/>
                <w:bdr w:val="none" w:sz="0" w:space="0" w:color="auto" w:frame="1"/>
              </w:rPr>
              <w:t>)</w:t>
            </w:r>
            <w:r w:rsidRPr="00435469">
              <w:rPr>
                <w:rFonts w:eastAsia="Times New Roman" w:cs="Times New Roman"/>
                <w:b/>
                <w:bCs/>
                <w:sz w:val="16"/>
                <w:szCs w:val="16"/>
                <w:lang w:eastAsia="en-ZA"/>
              </w:rPr>
              <w:t xml:space="preserve"> </w:t>
            </w:r>
          </w:p>
        </w:tc>
        <w:tc>
          <w:tcPr>
            <w:tcW w:w="1728" w:type="dxa"/>
            <w:tcBorders>
              <w:top w:val="single" w:sz="4" w:space="0" w:color="auto"/>
              <w:left w:val="nil"/>
              <w:bottom w:val="single" w:sz="4" w:space="0" w:color="auto"/>
              <w:right w:val="nil"/>
            </w:tcBorders>
            <w:shd w:val="clear" w:color="auto" w:fill="auto"/>
            <w:noWrap/>
            <w:vAlign w:val="bottom"/>
            <w:hideMark/>
          </w:tcPr>
          <w:p w14:paraId="008D0F7E"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rPr>
              <w:t>Discontinuation (</w:t>
            </w:r>
            <m:oMath>
              <m:r>
                <m:rPr>
                  <m:sty m:val="bi"/>
                </m:rPr>
                <w:rPr>
                  <w:rFonts w:ascii="Cambria Math" w:eastAsia="Yu Gothic Light" w:hAnsi="Cambria Math" w:cs="Times New Roman"/>
                  <w:sz w:val="16"/>
                  <w:szCs w:val="16"/>
                </w:rPr>
                <m:t>δ</m:t>
              </m:r>
            </m:oMath>
            <w:r w:rsidRPr="00435469">
              <w:rPr>
                <w:rFonts w:eastAsia="Times New Roman" w:cs="Times New Roman"/>
                <w:b/>
                <w:bCs/>
                <w:sz w:val="16"/>
                <w:szCs w:val="16"/>
              </w:rPr>
              <w:t>)</w:t>
            </w:r>
          </w:p>
        </w:tc>
        <w:tc>
          <w:tcPr>
            <w:tcW w:w="854" w:type="dxa"/>
            <w:tcBorders>
              <w:top w:val="single" w:sz="4" w:space="0" w:color="auto"/>
              <w:left w:val="nil"/>
              <w:bottom w:val="single" w:sz="4" w:space="0" w:color="auto"/>
              <w:right w:val="nil"/>
            </w:tcBorders>
            <w:shd w:val="clear" w:color="auto" w:fill="auto"/>
            <w:noWrap/>
            <w:vAlign w:val="bottom"/>
            <w:hideMark/>
          </w:tcPr>
          <w:p w14:paraId="3E980B79" w14:textId="77777777" w:rsidR="004A7C71" w:rsidRPr="00435469" w:rsidRDefault="004A7C71"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rPr>
              <w:t>Death (</w:t>
            </w:r>
            <m:oMath>
              <m:r>
                <m:rPr>
                  <m:sty m:val="bi"/>
                </m:rPr>
                <w:rPr>
                  <w:rFonts w:ascii="Cambria Math" w:eastAsia="Yu Gothic Light" w:hAnsi="Cambria Math" w:cs="Times New Roman"/>
                  <w:sz w:val="16"/>
                  <w:szCs w:val="16"/>
                </w:rPr>
                <m:t>μ</m:t>
              </m:r>
            </m:oMath>
            <w:r w:rsidRPr="00435469">
              <w:rPr>
                <w:rFonts w:eastAsia="Times New Roman" w:cs="Times New Roman"/>
                <w:b/>
                <w:bCs/>
                <w:sz w:val="16"/>
                <w:szCs w:val="16"/>
              </w:rPr>
              <w:t>)</w:t>
            </w:r>
          </w:p>
        </w:tc>
      </w:tr>
      <w:tr w:rsidR="00304411" w:rsidRPr="00435469" w14:paraId="3113F0A4" w14:textId="77777777" w:rsidTr="00E84FC8">
        <w:trPr>
          <w:trHeight w:val="277"/>
        </w:trPr>
        <w:tc>
          <w:tcPr>
            <w:tcW w:w="906" w:type="dxa"/>
            <w:tcBorders>
              <w:top w:val="nil"/>
              <w:left w:val="nil"/>
              <w:bottom w:val="single" w:sz="4" w:space="0" w:color="auto"/>
              <w:right w:val="nil"/>
            </w:tcBorders>
            <w:shd w:val="clear" w:color="auto" w:fill="auto"/>
            <w:noWrap/>
            <w:vAlign w:val="bottom"/>
          </w:tcPr>
          <w:p w14:paraId="26DE1BE3" w14:textId="77777777" w:rsidR="004A7C71" w:rsidRPr="00435469" w:rsidRDefault="004A7C71" w:rsidP="00955FFB">
            <w:pPr>
              <w:spacing w:after="0" w:line="240" w:lineRule="auto"/>
              <w:rPr>
                <w:rFonts w:eastAsia="Times New Roman" w:cs="Times New Roman"/>
                <w:b/>
                <w:bCs/>
                <w:sz w:val="16"/>
                <w:szCs w:val="16"/>
                <w:lang w:eastAsia="en-ZA"/>
              </w:rPr>
            </w:pPr>
          </w:p>
        </w:tc>
        <w:tc>
          <w:tcPr>
            <w:tcW w:w="728" w:type="dxa"/>
            <w:tcBorders>
              <w:top w:val="nil"/>
              <w:left w:val="nil"/>
              <w:bottom w:val="single" w:sz="4" w:space="0" w:color="auto"/>
              <w:right w:val="nil"/>
            </w:tcBorders>
            <w:shd w:val="clear" w:color="auto" w:fill="auto"/>
            <w:noWrap/>
            <w:vAlign w:val="bottom"/>
          </w:tcPr>
          <w:p w14:paraId="31E0A9C9"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891" w:type="dxa"/>
            <w:tcBorders>
              <w:top w:val="single" w:sz="4" w:space="0" w:color="auto"/>
              <w:left w:val="nil"/>
              <w:bottom w:val="single" w:sz="4" w:space="0" w:color="auto"/>
              <w:right w:val="nil"/>
            </w:tcBorders>
            <w:shd w:val="clear" w:color="auto" w:fill="auto"/>
            <w:noWrap/>
            <w:vAlign w:val="bottom"/>
          </w:tcPr>
          <w:p w14:paraId="12DE4117"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728" w:type="dxa"/>
            <w:tcBorders>
              <w:top w:val="single" w:sz="4" w:space="0" w:color="auto"/>
              <w:left w:val="nil"/>
              <w:bottom w:val="single" w:sz="4" w:space="0" w:color="auto"/>
              <w:right w:val="nil"/>
            </w:tcBorders>
            <w:shd w:val="clear" w:color="auto" w:fill="auto"/>
            <w:noWrap/>
            <w:vAlign w:val="bottom"/>
          </w:tcPr>
          <w:p w14:paraId="7373C441"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1728" w:type="dxa"/>
            <w:tcBorders>
              <w:top w:val="single" w:sz="4" w:space="0" w:color="auto"/>
              <w:left w:val="nil"/>
              <w:bottom w:val="single" w:sz="4" w:space="0" w:color="auto"/>
              <w:right w:val="nil"/>
            </w:tcBorders>
            <w:shd w:val="clear" w:color="auto" w:fill="auto"/>
            <w:noWrap/>
            <w:vAlign w:val="bottom"/>
          </w:tcPr>
          <w:p w14:paraId="3B3CD498"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772" w:type="dxa"/>
            <w:tcBorders>
              <w:top w:val="single" w:sz="4" w:space="0" w:color="auto"/>
              <w:left w:val="nil"/>
              <w:bottom w:val="single" w:sz="4" w:space="0" w:color="auto"/>
              <w:right w:val="nil"/>
            </w:tcBorders>
            <w:shd w:val="clear" w:color="auto" w:fill="auto"/>
            <w:noWrap/>
            <w:vAlign w:val="bottom"/>
          </w:tcPr>
          <w:p w14:paraId="27B4A31D"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471" w:type="dxa"/>
            <w:tcBorders>
              <w:top w:val="nil"/>
              <w:left w:val="nil"/>
              <w:bottom w:val="single" w:sz="4" w:space="0" w:color="auto"/>
              <w:right w:val="nil"/>
            </w:tcBorders>
            <w:shd w:val="clear" w:color="auto" w:fill="auto"/>
            <w:noWrap/>
            <w:vAlign w:val="bottom"/>
          </w:tcPr>
          <w:p w14:paraId="57E2457B"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890" w:type="dxa"/>
            <w:tcBorders>
              <w:top w:val="single" w:sz="4" w:space="0" w:color="auto"/>
              <w:left w:val="nil"/>
              <w:bottom w:val="single" w:sz="4" w:space="0" w:color="auto"/>
              <w:right w:val="nil"/>
            </w:tcBorders>
            <w:shd w:val="clear" w:color="auto" w:fill="auto"/>
            <w:noWrap/>
            <w:vAlign w:val="bottom"/>
          </w:tcPr>
          <w:p w14:paraId="1E90777F"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728" w:type="dxa"/>
            <w:tcBorders>
              <w:top w:val="single" w:sz="4" w:space="0" w:color="auto"/>
              <w:left w:val="nil"/>
              <w:bottom w:val="single" w:sz="4" w:space="0" w:color="auto"/>
              <w:right w:val="nil"/>
            </w:tcBorders>
            <w:shd w:val="clear" w:color="auto" w:fill="auto"/>
            <w:noWrap/>
            <w:vAlign w:val="bottom"/>
          </w:tcPr>
          <w:p w14:paraId="2745079F"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1728" w:type="dxa"/>
            <w:tcBorders>
              <w:top w:val="single" w:sz="4" w:space="0" w:color="auto"/>
              <w:left w:val="nil"/>
              <w:bottom w:val="single" w:sz="4" w:space="0" w:color="auto"/>
              <w:right w:val="nil"/>
            </w:tcBorders>
            <w:shd w:val="clear" w:color="auto" w:fill="auto"/>
            <w:noWrap/>
            <w:vAlign w:val="bottom"/>
          </w:tcPr>
          <w:p w14:paraId="1E42395A"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772" w:type="dxa"/>
            <w:tcBorders>
              <w:top w:val="single" w:sz="4" w:space="0" w:color="auto"/>
              <w:left w:val="nil"/>
              <w:bottom w:val="single" w:sz="4" w:space="0" w:color="auto"/>
              <w:right w:val="nil"/>
            </w:tcBorders>
            <w:shd w:val="clear" w:color="auto" w:fill="auto"/>
            <w:noWrap/>
            <w:vAlign w:val="bottom"/>
          </w:tcPr>
          <w:p w14:paraId="6D9EFC52"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484" w:type="dxa"/>
            <w:tcBorders>
              <w:top w:val="nil"/>
              <w:left w:val="nil"/>
              <w:bottom w:val="single" w:sz="4" w:space="0" w:color="auto"/>
              <w:right w:val="nil"/>
            </w:tcBorders>
            <w:shd w:val="clear" w:color="auto" w:fill="auto"/>
            <w:noWrap/>
            <w:vAlign w:val="bottom"/>
          </w:tcPr>
          <w:p w14:paraId="0742D2B3"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890" w:type="dxa"/>
            <w:tcBorders>
              <w:top w:val="single" w:sz="4" w:space="0" w:color="auto"/>
              <w:left w:val="nil"/>
              <w:bottom w:val="single" w:sz="4" w:space="0" w:color="auto"/>
              <w:right w:val="nil"/>
            </w:tcBorders>
            <w:shd w:val="clear" w:color="auto" w:fill="auto"/>
            <w:noWrap/>
            <w:vAlign w:val="bottom"/>
          </w:tcPr>
          <w:p w14:paraId="2999C8B6"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728" w:type="dxa"/>
            <w:tcBorders>
              <w:top w:val="single" w:sz="4" w:space="0" w:color="auto"/>
              <w:left w:val="nil"/>
              <w:bottom w:val="single" w:sz="4" w:space="0" w:color="auto"/>
              <w:right w:val="nil"/>
            </w:tcBorders>
            <w:shd w:val="clear" w:color="auto" w:fill="auto"/>
            <w:noWrap/>
            <w:vAlign w:val="bottom"/>
          </w:tcPr>
          <w:p w14:paraId="0BB5C3FD"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1728" w:type="dxa"/>
            <w:tcBorders>
              <w:top w:val="single" w:sz="4" w:space="0" w:color="auto"/>
              <w:left w:val="nil"/>
              <w:bottom w:val="single" w:sz="4" w:space="0" w:color="auto"/>
              <w:right w:val="nil"/>
            </w:tcBorders>
            <w:shd w:val="clear" w:color="auto" w:fill="auto"/>
            <w:noWrap/>
            <w:vAlign w:val="bottom"/>
          </w:tcPr>
          <w:p w14:paraId="572C7A87" w14:textId="77777777" w:rsidR="004A7C71" w:rsidRPr="00435469" w:rsidRDefault="004A7C71" w:rsidP="00955FFB">
            <w:pPr>
              <w:spacing w:after="0" w:line="240" w:lineRule="auto"/>
              <w:jc w:val="center"/>
              <w:rPr>
                <w:rFonts w:eastAsia="Times New Roman" w:cs="Times New Roman"/>
                <w:b/>
                <w:bCs/>
                <w:sz w:val="16"/>
                <w:szCs w:val="16"/>
                <w:lang w:eastAsia="en-ZA"/>
              </w:rPr>
            </w:pPr>
          </w:p>
        </w:tc>
        <w:tc>
          <w:tcPr>
            <w:tcW w:w="854" w:type="dxa"/>
            <w:tcBorders>
              <w:top w:val="single" w:sz="4" w:space="0" w:color="auto"/>
              <w:left w:val="nil"/>
              <w:bottom w:val="single" w:sz="4" w:space="0" w:color="auto"/>
              <w:right w:val="nil"/>
            </w:tcBorders>
            <w:shd w:val="clear" w:color="auto" w:fill="auto"/>
            <w:noWrap/>
            <w:vAlign w:val="bottom"/>
          </w:tcPr>
          <w:p w14:paraId="60658108" w14:textId="77777777" w:rsidR="004A7C71" w:rsidRPr="00435469" w:rsidRDefault="004A7C71" w:rsidP="00955FFB">
            <w:pPr>
              <w:spacing w:after="0" w:line="240" w:lineRule="auto"/>
              <w:jc w:val="center"/>
              <w:rPr>
                <w:rFonts w:eastAsia="Times New Roman" w:cs="Times New Roman"/>
                <w:b/>
                <w:bCs/>
                <w:sz w:val="16"/>
                <w:szCs w:val="16"/>
                <w:lang w:eastAsia="en-ZA"/>
              </w:rPr>
            </w:pPr>
          </w:p>
        </w:tc>
      </w:tr>
      <w:tr w:rsidR="00304411" w:rsidRPr="00435469" w14:paraId="64941B0A" w14:textId="77777777" w:rsidTr="00E84FC8">
        <w:trPr>
          <w:trHeight w:val="277"/>
        </w:trPr>
        <w:tc>
          <w:tcPr>
            <w:tcW w:w="906" w:type="dxa"/>
            <w:vMerge w:val="restart"/>
            <w:tcBorders>
              <w:top w:val="single" w:sz="4" w:space="0" w:color="auto"/>
              <w:left w:val="nil"/>
              <w:bottom w:val="nil"/>
              <w:right w:val="nil"/>
            </w:tcBorders>
            <w:shd w:val="clear" w:color="auto" w:fill="auto"/>
            <w:noWrap/>
            <w:vAlign w:val="center"/>
            <w:hideMark/>
          </w:tcPr>
          <w:p w14:paraId="65038A2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b/>
                <w:bCs/>
                <w:sz w:val="16"/>
                <w:szCs w:val="16"/>
                <w:lang w:eastAsia="en-ZA"/>
              </w:rPr>
              <w:t>Female</w:t>
            </w:r>
          </w:p>
        </w:tc>
        <w:tc>
          <w:tcPr>
            <w:tcW w:w="728" w:type="dxa"/>
            <w:tcBorders>
              <w:top w:val="single" w:sz="4" w:space="0" w:color="auto"/>
              <w:left w:val="nil"/>
              <w:bottom w:val="nil"/>
              <w:right w:val="nil"/>
            </w:tcBorders>
            <w:shd w:val="clear" w:color="auto" w:fill="auto"/>
            <w:noWrap/>
            <w:vAlign w:val="bottom"/>
            <w:hideMark/>
          </w:tcPr>
          <w:p w14:paraId="53D824C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2004</w:t>
            </w:r>
          </w:p>
        </w:tc>
        <w:tc>
          <w:tcPr>
            <w:tcW w:w="891" w:type="dxa"/>
            <w:tcBorders>
              <w:top w:val="single" w:sz="4" w:space="0" w:color="auto"/>
              <w:left w:val="nil"/>
              <w:bottom w:val="nil"/>
              <w:right w:val="nil"/>
            </w:tcBorders>
            <w:shd w:val="clear" w:color="auto" w:fill="auto"/>
            <w:noWrap/>
            <w:vAlign w:val="bottom"/>
            <w:hideMark/>
          </w:tcPr>
          <w:p w14:paraId="2607D6F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0.066</w:t>
            </w:r>
          </w:p>
        </w:tc>
        <w:tc>
          <w:tcPr>
            <w:tcW w:w="728" w:type="dxa"/>
            <w:tcBorders>
              <w:top w:val="single" w:sz="4" w:space="0" w:color="auto"/>
              <w:left w:val="nil"/>
              <w:bottom w:val="nil"/>
              <w:right w:val="nil"/>
            </w:tcBorders>
            <w:shd w:val="clear" w:color="auto" w:fill="auto"/>
            <w:noWrap/>
            <w:vAlign w:val="bottom"/>
            <w:hideMark/>
          </w:tcPr>
          <w:p w14:paraId="15CF629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1.934</w:t>
            </w:r>
          </w:p>
        </w:tc>
        <w:tc>
          <w:tcPr>
            <w:tcW w:w="1728" w:type="dxa"/>
            <w:tcBorders>
              <w:top w:val="single" w:sz="4" w:space="0" w:color="auto"/>
              <w:left w:val="nil"/>
              <w:bottom w:val="nil"/>
              <w:right w:val="nil"/>
            </w:tcBorders>
            <w:shd w:val="clear" w:color="auto" w:fill="auto"/>
            <w:noWrap/>
            <w:vAlign w:val="bottom"/>
            <w:hideMark/>
          </w:tcPr>
          <w:p w14:paraId="5005AA3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0.444</w:t>
            </w:r>
          </w:p>
        </w:tc>
        <w:tc>
          <w:tcPr>
            <w:tcW w:w="772" w:type="dxa"/>
            <w:tcBorders>
              <w:top w:val="single" w:sz="4" w:space="0" w:color="auto"/>
              <w:left w:val="nil"/>
              <w:bottom w:val="nil"/>
              <w:right w:val="nil"/>
            </w:tcBorders>
            <w:shd w:val="clear" w:color="auto" w:fill="auto"/>
            <w:noWrap/>
            <w:vAlign w:val="bottom"/>
            <w:hideMark/>
          </w:tcPr>
          <w:p w14:paraId="04601A1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0.331</w:t>
            </w:r>
          </w:p>
        </w:tc>
        <w:tc>
          <w:tcPr>
            <w:tcW w:w="471" w:type="dxa"/>
            <w:tcBorders>
              <w:top w:val="single" w:sz="4" w:space="0" w:color="auto"/>
              <w:left w:val="nil"/>
              <w:bottom w:val="nil"/>
              <w:right w:val="nil"/>
            </w:tcBorders>
            <w:shd w:val="clear" w:color="auto" w:fill="auto"/>
            <w:noWrap/>
            <w:vAlign w:val="bottom"/>
            <w:hideMark/>
          </w:tcPr>
          <w:p w14:paraId="75D66FFF"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single" w:sz="4" w:space="0" w:color="auto"/>
              <w:left w:val="nil"/>
              <w:bottom w:val="nil"/>
              <w:right w:val="nil"/>
            </w:tcBorders>
            <w:shd w:val="clear" w:color="auto" w:fill="auto"/>
            <w:noWrap/>
            <w:vAlign w:val="bottom"/>
            <w:hideMark/>
          </w:tcPr>
          <w:p w14:paraId="3E9382F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0.039</w:t>
            </w:r>
          </w:p>
        </w:tc>
        <w:tc>
          <w:tcPr>
            <w:tcW w:w="728" w:type="dxa"/>
            <w:tcBorders>
              <w:top w:val="single" w:sz="4" w:space="0" w:color="auto"/>
              <w:left w:val="nil"/>
              <w:bottom w:val="nil"/>
              <w:right w:val="nil"/>
            </w:tcBorders>
            <w:shd w:val="clear" w:color="auto" w:fill="auto"/>
            <w:noWrap/>
            <w:vAlign w:val="bottom"/>
            <w:hideMark/>
          </w:tcPr>
          <w:p w14:paraId="3C135AC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1.961</w:t>
            </w:r>
          </w:p>
        </w:tc>
        <w:tc>
          <w:tcPr>
            <w:tcW w:w="1728" w:type="dxa"/>
            <w:tcBorders>
              <w:top w:val="single" w:sz="4" w:space="0" w:color="auto"/>
              <w:left w:val="nil"/>
              <w:bottom w:val="nil"/>
              <w:right w:val="nil"/>
            </w:tcBorders>
            <w:shd w:val="clear" w:color="auto" w:fill="auto"/>
            <w:noWrap/>
            <w:vAlign w:val="bottom"/>
            <w:hideMark/>
          </w:tcPr>
          <w:p w14:paraId="4D8D539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0.249</w:t>
            </w:r>
          </w:p>
        </w:tc>
        <w:tc>
          <w:tcPr>
            <w:tcW w:w="772" w:type="dxa"/>
            <w:tcBorders>
              <w:top w:val="single" w:sz="4" w:space="0" w:color="auto"/>
              <w:left w:val="nil"/>
              <w:bottom w:val="nil"/>
              <w:right w:val="nil"/>
            </w:tcBorders>
            <w:shd w:val="clear" w:color="auto" w:fill="auto"/>
            <w:noWrap/>
            <w:vAlign w:val="bottom"/>
            <w:hideMark/>
          </w:tcPr>
          <w:p w14:paraId="41CD7C0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0.104</w:t>
            </w:r>
          </w:p>
        </w:tc>
        <w:tc>
          <w:tcPr>
            <w:tcW w:w="484" w:type="dxa"/>
            <w:tcBorders>
              <w:top w:val="single" w:sz="4" w:space="0" w:color="auto"/>
              <w:left w:val="nil"/>
              <w:bottom w:val="nil"/>
              <w:right w:val="nil"/>
            </w:tcBorders>
            <w:shd w:val="clear" w:color="auto" w:fill="auto"/>
            <w:noWrap/>
            <w:vAlign w:val="bottom"/>
            <w:hideMark/>
          </w:tcPr>
          <w:p w14:paraId="031C427C"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single" w:sz="4" w:space="0" w:color="auto"/>
              <w:left w:val="nil"/>
              <w:bottom w:val="nil"/>
              <w:right w:val="nil"/>
            </w:tcBorders>
            <w:shd w:val="clear" w:color="auto" w:fill="auto"/>
            <w:noWrap/>
            <w:vAlign w:val="bottom"/>
            <w:hideMark/>
          </w:tcPr>
          <w:p w14:paraId="6E2F410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0.054</w:t>
            </w:r>
          </w:p>
        </w:tc>
        <w:tc>
          <w:tcPr>
            <w:tcW w:w="728" w:type="dxa"/>
            <w:tcBorders>
              <w:top w:val="single" w:sz="4" w:space="0" w:color="auto"/>
              <w:left w:val="nil"/>
              <w:bottom w:val="nil"/>
              <w:right w:val="nil"/>
            </w:tcBorders>
            <w:shd w:val="clear" w:color="auto" w:fill="auto"/>
            <w:noWrap/>
            <w:vAlign w:val="bottom"/>
            <w:hideMark/>
          </w:tcPr>
          <w:p w14:paraId="25DE62F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1.946</w:t>
            </w:r>
          </w:p>
        </w:tc>
        <w:tc>
          <w:tcPr>
            <w:tcW w:w="1728" w:type="dxa"/>
            <w:tcBorders>
              <w:top w:val="single" w:sz="4" w:space="0" w:color="auto"/>
              <w:left w:val="nil"/>
              <w:bottom w:val="nil"/>
              <w:right w:val="nil"/>
            </w:tcBorders>
            <w:shd w:val="clear" w:color="auto" w:fill="auto"/>
            <w:noWrap/>
            <w:vAlign w:val="bottom"/>
            <w:hideMark/>
          </w:tcPr>
          <w:p w14:paraId="5F86875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0.518</w:t>
            </w:r>
          </w:p>
        </w:tc>
        <w:tc>
          <w:tcPr>
            <w:tcW w:w="854" w:type="dxa"/>
            <w:tcBorders>
              <w:top w:val="single" w:sz="4" w:space="0" w:color="auto"/>
              <w:left w:val="nil"/>
              <w:bottom w:val="nil"/>
              <w:right w:val="nil"/>
            </w:tcBorders>
            <w:shd w:val="clear" w:color="auto" w:fill="auto"/>
            <w:noWrap/>
            <w:vAlign w:val="bottom"/>
            <w:hideMark/>
          </w:tcPr>
          <w:p w14:paraId="47034C5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0.513</w:t>
            </w:r>
          </w:p>
        </w:tc>
      </w:tr>
      <w:tr w:rsidR="00304411" w:rsidRPr="00435469" w14:paraId="418EA6E8" w14:textId="77777777" w:rsidTr="00E84FC8">
        <w:trPr>
          <w:trHeight w:val="277"/>
        </w:trPr>
        <w:tc>
          <w:tcPr>
            <w:tcW w:w="906" w:type="dxa"/>
            <w:vMerge/>
            <w:tcBorders>
              <w:top w:val="nil"/>
              <w:left w:val="nil"/>
              <w:bottom w:val="nil"/>
              <w:right w:val="nil"/>
            </w:tcBorders>
            <w:vAlign w:val="center"/>
            <w:hideMark/>
          </w:tcPr>
          <w:p w14:paraId="20DE3763"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07FF81E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2005</w:t>
            </w:r>
          </w:p>
        </w:tc>
        <w:tc>
          <w:tcPr>
            <w:tcW w:w="891" w:type="dxa"/>
            <w:tcBorders>
              <w:top w:val="nil"/>
              <w:left w:val="nil"/>
              <w:bottom w:val="nil"/>
              <w:right w:val="nil"/>
            </w:tcBorders>
            <w:shd w:val="clear" w:color="auto" w:fill="auto"/>
            <w:noWrap/>
            <w:vAlign w:val="bottom"/>
            <w:hideMark/>
          </w:tcPr>
          <w:p w14:paraId="7026F91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0.062</w:t>
            </w:r>
          </w:p>
        </w:tc>
        <w:tc>
          <w:tcPr>
            <w:tcW w:w="728" w:type="dxa"/>
            <w:tcBorders>
              <w:top w:val="nil"/>
              <w:left w:val="nil"/>
              <w:bottom w:val="nil"/>
              <w:right w:val="nil"/>
            </w:tcBorders>
            <w:shd w:val="clear" w:color="auto" w:fill="auto"/>
            <w:noWrap/>
            <w:vAlign w:val="bottom"/>
            <w:hideMark/>
          </w:tcPr>
          <w:p w14:paraId="222FE65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1.938</w:t>
            </w:r>
          </w:p>
        </w:tc>
        <w:tc>
          <w:tcPr>
            <w:tcW w:w="1728" w:type="dxa"/>
            <w:tcBorders>
              <w:top w:val="nil"/>
              <w:left w:val="nil"/>
              <w:bottom w:val="nil"/>
              <w:right w:val="nil"/>
            </w:tcBorders>
            <w:shd w:val="clear" w:color="auto" w:fill="auto"/>
            <w:noWrap/>
            <w:vAlign w:val="bottom"/>
            <w:hideMark/>
          </w:tcPr>
          <w:p w14:paraId="22A372F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0.294</w:t>
            </w:r>
          </w:p>
        </w:tc>
        <w:tc>
          <w:tcPr>
            <w:tcW w:w="772" w:type="dxa"/>
            <w:tcBorders>
              <w:top w:val="nil"/>
              <w:left w:val="nil"/>
              <w:bottom w:val="nil"/>
              <w:right w:val="nil"/>
            </w:tcBorders>
            <w:shd w:val="clear" w:color="auto" w:fill="auto"/>
            <w:noWrap/>
            <w:vAlign w:val="bottom"/>
            <w:hideMark/>
          </w:tcPr>
          <w:p w14:paraId="737F2B4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0.476</w:t>
            </w:r>
          </w:p>
        </w:tc>
        <w:tc>
          <w:tcPr>
            <w:tcW w:w="471" w:type="dxa"/>
            <w:tcBorders>
              <w:top w:val="nil"/>
              <w:left w:val="nil"/>
              <w:bottom w:val="nil"/>
              <w:right w:val="nil"/>
            </w:tcBorders>
            <w:shd w:val="clear" w:color="auto" w:fill="auto"/>
            <w:noWrap/>
            <w:vAlign w:val="bottom"/>
            <w:hideMark/>
          </w:tcPr>
          <w:p w14:paraId="70AC14B0"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14A2924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0.037</w:t>
            </w:r>
          </w:p>
        </w:tc>
        <w:tc>
          <w:tcPr>
            <w:tcW w:w="728" w:type="dxa"/>
            <w:tcBorders>
              <w:top w:val="nil"/>
              <w:left w:val="nil"/>
              <w:bottom w:val="nil"/>
              <w:right w:val="nil"/>
            </w:tcBorders>
            <w:shd w:val="clear" w:color="auto" w:fill="auto"/>
            <w:noWrap/>
            <w:vAlign w:val="bottom"/>
            <w:hideMark/>
          </w:tcPr>
          <w:p w14:paraId="3BD3A99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1.963</w:t>
            </w:r>
          </w:p>
        </w:tc>
        <w:tc>
          <w:tcPr>
            <w:tcW w:w="1728" w:type="dxa"/>
            <w:tcBorders>
              <w:top w:val="nil"/>
              <w:left w:val="nil"/>
              <w:bottom w:val="nil"/>
              <w:right w:val="nil"/>
            </w:tcBorders>
            <w:shd w:val="clear" w:color="auto" w:fill="auto"/>
            <w:noWrap/>
            <w:vAlign w:val="bottom"/>
            <w:hideMark/>
          </w:tcPr>
          <w:p w14:paraId="421E6F0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0.223</w:t>
            </w:r>
          </w:p>
        </w:tc>
        <w:tc>
          <w:tcPr>
            <w:tcW w:w="772" w:type="dxa"/>
            <w:tcBorders>
              <w:top w:val="nil"/>
              <w:left w:val="nil"/>
              <w:bottom w:val="nil"/>
              <w:right w:val="nil"/>
            </w:tcBorders>
            <w:shd w:val="clear" w:color="auto" w:fill="auto"/>
            <w:noWrap/>
            <w:vAlign w:val="bottom"/>
            <w:hideMark/>
          </w:tcPr>
          <w:p w14:paraId="249669F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0.097</w:t>
            </w:r>
          </w:p>
        </w:tc>
        <w:tc>
          <w:tcPr>
            <w:tcW w:w="484" w:type="dxa"/>
            <w:tcBorders>
              <w:top w:val="nil"/>
              <w:left w:val="nil"/>
              <w:bottom w:val="nil"/>
              <w:right w:val="nil"/>
            </w:tcBorders>
            <w:shd w:val="clear" w:color="auto" w:fill="auto"/>
            <w:noWrap/>
            <w:vAlign w:val="bottom"/>
            <w:hideMark/>
          </w:tcPr>
          <w:p w14:paraId="396AE279"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547EFDF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0.061</w:t>
            </w:r>
          </w:p>
        </w:tc>
        <w:tc>
          <w:tcPr>
            <w:tcW w:w="728" w:type="dxa"/>
            <w:tcBorders>
              <w:top w:val="nil"/>
              <w:left w:val="nil"/>
              <w:bottom w:val="nil"/>
              <w:right w:val="nil"/>
            </w:tcBorders>
            <w:shd w:val="clear" w:color="auto" w:fill="auto"/>
            <w:noWrap/>
            <w:vAlign w:val="bottom"/>
            <w:hideMark/>
          </w:tcPr>
          <w:p w14:paraId="26E1EDE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1.939</w:t>
            </w:r>
          </w:p>
        </w:tc>
        <w:tc>
          <w:tcPr>
            <w:tcW w:w="1728" w:type="dxa"/>
            <w:tcBorders>
              <w:top w:val="nil"/>
              <w:left w:val="nil"/>
              <w:bottom w:val="nil"/>
              <w:right w:val="nil"/>
            </w:tcBorders>
            <w:shd w:val="clear" w:color="auto" w:fill="auto"/>
            <w:noWrap/>
            <w:vAlign w:val="bottom"/>
            <w:hideMark/>
          </w:tcPr>
          <w:p w14:paraId="4470BCD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0.378</w:t>
            </w:r>
          </w:p>
        </w:tc>
        <w:tc>
          <w:tcPr>
            <w:tcW w:w="854" w:type="dxa"/>
            <w:tcBorders>
              <w:top w:val="nil"/>
              <w:left w:val="nil"/>
              <w:bottom w:val="nil"/>
              <w:right w:val="nil"/>
            </w:tcBorders>
            <w:shd w:val="clear" w:color="auto" w:fill="auto"/>
            <w:noWrap/>
            <w:vAlign w:val="bottom"/>
            <w:hideMark/>
          </w:tcPr>
          <w:p w14:paraId="3408681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0.541</w:t>
            </w:r>
          </w:p>
        </w:tc>
      </w:tr>
      <w:tr w:rsidR="00304411" w:rsidRPr="00435469" w14:paraId="22393283" w14:textId="77777777" w:rsidTr="00E84FC8">
        <w:trPr>
          <w:trHeight w:val="277"/>
        </w:trPr>
        <w:tc>
          <w:tcPr>
            <w:tcW w:w="906" w:type="dxa"/>
            <w:vMerge/>
            <w:tcBorders>
              <w:top w:val="nil"/>
              <w:left w:val="nil"/>
              <w:bottom w:val="nil"/>
              <w:right w:val="nil"/>
            </w:tcBorders>
            <w:vAlign w:val="center"/>
            <w:hideMark/>
          </w:tcPr>
          <w:p w14:paraId="18A5D69E"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2D27380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2006</w:t>
            </w:r>
          </w:p>
        </w:tc>
        <w:tc>
          <w:tcPr>
            <w:tcW w:w="891" w:type="dxa"/>
            <w:tcBorders>
              <w:top w:val="nil"/>
              <w:left w:val="nil"/>
              <w:bottom w:val="nil"/>
              <w:right w:val="nil"/>
            </w:tcBorders>
            <w:shd w:val="clear" w:color="auto" w:fill="auto"/>
            <w:noWrap/>
            <w:vAlign w:val="bottom"/>
            <w:hideMark/>
          </w:tcPr>
          <w:p w14:paraId="549E1D9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0.075</w:t>
            </w:r>
          </w:p>
        </w:tc>
        <w:tc>
          <w:tcPr>
            <w:tcW w:w="728" w:type="dxa"/>
            <w:tcBorders>
              <w:top w:val="nil"/>
              <w:left w:val="nil"/>
              <w:bottom w:val="nil"/>
              <w:right w:val="nil"/>
            </w:tcBorders>
            <w:shd w:val="clear" w:color="auto" w:fill="auto"/>
            <w:noWrap/>
            <w:vAlign w:val="bottom"/>
            <w:hideMark/>
          </w:tcPr>
          <w:p w14:paraId="50E2260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1.925</w:t>
            </w:r>
          </w:p>
        </w:tc>
        <w:tc>
          <w:tcPr>
            <w:tcW w:w="1728" w:type="dxa"/>
            <w:tcBorders>
              <w:top w:val="nil"/>
              <w:left w:val="nil"/>
              <w:bottom w:val="nil"/>
              <w:right w:val="nil"/>
            </w:tcBorders>
            <w:shd w:val="clear" w:color="auto" w:fill="auto"/>
            <w:noWrap/>
            <w:vAlign w:val="bottom"/>
            <w:hideMark/>
          </w:tcPr>
          <w:p w14:paraId="0ED91A1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0.228</w:t>
            </w:r>
          </w:p>
        </w:tc>
        <w:tc>
          <w:tcPr>
            <w:tcW w:w="772" w:type="dxa"/>
            <w:tcBorders>
              <w:top w:val="nil"/>
              <w:left w:val="nil"/>
              <w:bottom w:val="nil"/>
              <w:right w:val="nil"/>
            </w:tcBorders>
            <w:shd w:val="clear" w:color="auto" w:fill="auto"/>
            <w:noWrap/>
            <w:vAlign w:val="bottom"/>
            <w:hideMark/>
          </w:tcPr>
          <w:p w14:paraId="39CB4F8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0.505</w:t>
            </w:r>
          </w:p>
        </w:tc>
        <w:tc>
          <w:tcPr>
            <w:tcW w:w="471" w:type="dxa"/>
            <w:tcBorders>
              <w:top w:val="nil"/>
              <w:left w:val="nil"/>
              <w:bottom w:val="nil"/>
              <w:right w:val="nil"/>
            </w:tcBorders>
            <w:shd w:val="clear" w:color="auto" w:fill="auto"/>
            <w:noWrap/>
            <w:vAlign w:val="bottom"/>
            <w:hideMark/>
          </w:tcPr>
          <w:p w14:paraId="47B7DAF2"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357400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0.043</w:t>
            </w:r>
          </w:p>
        </w:tc>
        <w:tc>
          <w:tcPr>
            <w:tcW w:w="728" w:type="dxa"/>
            <w:tcBorders>
              <w:top w:val="nil"/>
              <w:left w:val="nil"/>
              <w:bottom w:val="nil"/>
              <w:right w:val="nil"/>
            </w:tcBorders>
            <w:shd w:val="clear" w:color="auto" w:fill="auto"/>
            <w:noWrap/>
            <w:vAlign w:val="bottom"/>
            <w:hideMark/>
          </w:tcPr>
          <w:p w14:paraId="753FCBF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1.957</w:t>
            </w:r>
          </w:p>
        </w:tc>
        <w:tc>
          <w:tcPr>
            <w:tcW w:w="1728" w:type="dxa"/>
            <w:tcBorders>
              <w:top w:val="nil"/>
              <w:left w:val="nil"/>
              <w:bottom w:val="nil"/>
              <w:right w:val="nil"/>
            </w:tcBorders>
            <w:shd w:val="clear" w:color="auto" w:fill="auto"/>
            <w:noWrap/>
            <w:vAlign w:val="bottom"/>
            <w:hideMark/>
          </w:tcPr>
          <w:p w14:paraId="2B7FCB5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0.215</w:t>
            </w:r>
          </w:p>
        </w:tc>
        <w:tc>
          <w:tcPr>
            <w:tcW w:w="772" w:type="dxa"/>
            <w:tcBorders>
              <w:top w:val="nil"/>
              <w:left w:val="nil"/>
              <w:bottom w:val="nil"/>
              <w:right w:val="nil"/>
            </w:tcBorders>
            <w:shd w:val="clear" w:color="auto" w:fill="auto"/>
            <w:noWrap/>
            <w:vAlign w:val="bottom"/>
            <w:hideMark/>
          </w:tcPr>
          <w:p w14:paraId="60A9C7D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0.116</w:t>
            </w:r>
          </w:p>
        </w:tc>
        <w:tc>
          <w:tcPr>
            <w:tcW w:w="484" w:type="dxa"/>
            <w:tcBorders>
              <w:top w:val="nil"/>
              <w:left w:val="nil"/>
              <w:bottom w:val="nil"/>
              <w:right w:val="nil"/>
            </w:tcBorders>
            <w:shd w:val="clear" w:color="auto" w:fill="auto"/>
            <w:noWrap/>
            <w:vAlign w:val="bottom"/>
            <w:hideMark/>
          </w:tcPr>
          <w:p w14:paraId="6C6546A5"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04540E3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0.059</w:t>
            </w:r>
          </w:p>
        </w:tc>
        <w:tc>
          <w:tcPr>
            <w:tcW w:w="728" w:type="dxa"/>
            <w:tcBorders>
              <w:top w:val="nil"/>
              <w:left w:val="nil"/>
              <w:bottom w:val="nil"/>
              <w:right w:val="nil"/>
            </w:tcBorders>
            <w:shd w:val="clear" w:color="auto" w:fill="auto"/>
            <w:noWrap/>
            <w:vAlign w:val="bottom"/>
            <w:hideMark/>
          </w:tcPr>
          <w:p w14:paraId="27B251F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1.941</w:t>
            </w:r>
          </w:p>
        </w:tc>
        <w:tc>
          <w:tcPr>
            <w:tcW w:w="1728" w:type="dxa"/>
            <w:tcBorders>
              <w:top w:val="nil"/>
              <w:left w:val="nil"/>
              <w:bottom w:val="nil"/>
              <w:right w:val="nil"/>
            </w:tcBorders>
            <w:shd w:val="clear" w:color="auto" w:fill="auto"/>
            <w:noWrap/>
            <w:vAlign w:val="bottom"/>
            <w:hideMark/>
          </w:tcPr>
          <w:p w14:paraId="7EFE249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0.278</w:t>
            </w:r>
          </w:p>
        </w:tc>
        <w:tc>
          <w:tcPr>
            <w:tcW w:w="854" w:type="dxa"/>
            <w:tcBorders>
              <w:top w:val="nil"/>
              <w:left w:val="nil"/>
              <w:bottom w:val="nil"/>
              <w:right w:val="nil"/>
            </w:tcBorders>
            <w:shd w:val="clear" w:color="auto" w:fill="auto"/>
            <w:noWrap/>
            <w:vAlign w:val="bottom"/>
            <w:hideMark/>
          </w:tcPr>
          <w:p w14:paraId="76CFF00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0.552</w:t>
            </w:r>
          </w:p>
        </w:tc>
      </w:tr>
      <w:tr w:rsidR="00304411" w:rsidRPr="00435469" w14:paraId="77B9D532" w14:textId="77777777" w:rsidTr="00E84FC8">
        <w:trPr>
          <w:trHeight w:val="277"/>
        </w:trPr>
        <w:tc>
          <w:tcPr>
            <w:tcW w:w="906" w:type="dxa"/>
            <w:vMerge/>
            <w:tcBorders>
              <w:top w:val="nil"/>
              <w:left w:val="nil"/>
              <w:bottom w:val="nil"/>
              <w:right w:val="nil"/>
            </w:tcBorders>
            <w:vAlign w:val="center"/>
            <w:hideMark/>
          </w:tcPr>
          <w:p w14:paraId="075394F3"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2C85DB1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2007</w:t>
            </w:r>
          </w:p>
        </w:tc>
        <w:tc>
          <w:tcPr>
            <w:tcW w:w="891" w:type="dxa"/>
            <w:tcBorders>
              <w:top w:val="nil"/>
              <w:left w:val="nil"/>
              <w:bottom w:val="nil"/>
              <w:right w:val="nil"/>
            </w:tcBorders>
            <w:shd w:val="clear" w:color="auto" w:fill="auto"/>
            <w:noWrap/>
            <w:vAlign w:val="bottom"/>
            <w:hideMark/>
          </w:tcPr>
          <w:p w14:paraId="2632A64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0.072</w:t>
            </w:r>
          </w:p>
        </w:tc>
        <w:tc>
          <w:tcPr>
            <w:tcW w:w="728" w:type="dxa"/>
            <w:tcBorders>
              <w:top w:val="nil"/>
              <w:left w:val="nil"/>
              <w:bottom w:val="nil"/>
              <w:right w:val="nil"/>
            </w:tcBorders>
            <w:shd w:val="clear" w:color="auto" w:fill="auto"/>
            <w:noWrap/>
            <w:vAlign w:val="bottom"/>
            <w:hideMark/>
          </w:tcPr>
          <w:p w14:paraId="00227A2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1.928</w:t>
            </w:r>
          </w:p>
        </w:tc>
        <w:tc>
          <w:tcPr>
            <w:tcW w:w="1728" w:type="dxa"/>
            <w:tcBorders>
              <w:top w:val="nil"/>
              <w:left w:val="nil"/>
              <w:bottom w:val="nil"/>
              <w:right w:val="nil"/>
            </w:tcBorders>
            <w:shd w:val="clear" w:color="auto" w:fill="auto"/>
            <w:noWrap/>
            <w:vAlign w:val="bottom"/>
            <w:hideMark/>
          </w:tcPr>
          <w:p w14:paraId="45B48A5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0.207</w:t>
            </w:r>
          </w:p>
        </w:tc>
        <w:tc>
          <w:tcPr>
            <w:tcW w:w="772" w:type="dxa"/>
            <w:tcBorders>
              <w:top w:val="nil"/>
              <w:left w:val="nil"/>
              <w:bottom w:val="nil"/>
              <w:right w:val="nil"/>
            </w:tcBorders>
            <w:shd w:val="clear" w:color="auto" w:fill="auto"/>
            <w:noWrap/>
            <w:vAlign w:val="bottom"/>
            <w:hideMark/>
          </w:tcPr>
          <w:p w14:paraId="3A2B646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0.586</w:t>
            </w:r>
          </w:p>
        </w:tc>
        <w:tc>
          <w:tcPr>
            <w:tcW w:w="471" w:type="dxa"/>
            <w:tcBorders>
              <w:top w:val="nil"/>
              <w:left w:val="nil"/>
              <w:bottom w:val="nil"/>
              <w:right w:val="nil"/>
            </w:tcBorders>
            <w:shd w:val="clear" w:color="auto" w:fill="auto"/>
            <w:noWrap/>
            <w:vAlign w:val="bottom"/>
            <w:hideMark/>
          </w:tcPr>
          <w:p w14:paraId="2DB87C65"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1988FD8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0.055</w:t>
            </w:r>
          </w:p>
        </w:tc>
        <w:tc>
          <w:tcPr>
            <w:tcW w:w="728" w:type="dxa"/>
            <w:tcBorders>
              <w:top w:val="nil"/>
              <w:left w:val="nil"/>
              <w:bottom w:val="nil"/>
              <w:right w:val="nil"/>
            </w:tcBorders>
            <w:shd w:val="clear" w:color="auto" w:fill="auto"/>
            <w:noWrap/>
            <w:vAlign w:val="bottom"/>
            <w:hideMark/>
          </w:tcPr>
          <w:p w14:paraId="37728E1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1.945</w:t>
            </w:r>
          </w:p>
        </w:tc>
        <w:tc>
          <w:tcPr>
            <w:tcW w:w="1728" w:type="dxa"/>
            <w:tcBorders>
              <w:top w:val="nil"/>
              <w:left w:val="nil"/>
              <w:bottom w:val="nil"/>
              <w:right w:val="nil"/>
            </w:tcBorders>
            <w:shd w:val="clear" w:color="auto" w:fill="auto"/>
            <w:noWrap/>
            <w:vAlign w:val="bottom"/>
            <w:hideMark/>
          </w:tcPr>
          <w:p w14:paraId="40C1D9B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0.233</w:t>
            </w:r>
          </w:p>
        </w:tc>
        <w:tc>
          <w:tcPr>
            <w:tcW w:w="772" w:type="dxa"/>
            <w:tcBorders>
              <w:top w:val="nil"/>
              <w:left w:val="nil"/>
              <w:bottom w:val="nil"/>
              <w:right w:val="nil"/>
            </w:tcBorders>
            <w:shd w:val="clear" w:color="auto" w:fill="auto"/>
            <w:noWrap/>
            <w:vAlign w:val="bottom"/>
            <w:hideMark/>
          </w:tcPr>
          <w:p w14:paraId="67CA987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0.149</w:t>
            </w:r>
          </w:p>
        </w:tc>
        <w:tc>
          <w:tcPr>
            <w:tcW w:w="484" w:type="dxa"/>
            <w:tcBorders>
              <w:top w:val="nil"/>
              <w:left w:val="nil"/>
              <w:bottom w:val="nil"/>
              <w:right w:val="nil"/>
            </w:tcBorders>
            <w:shd w:val="clear" w:color="auto" w:fill="auto"/>
            <w:noWrap/>
            <w:vAlign w:val="bottom"/>
            <w:hideMark/>
          </w:tcPr>
          <w:p w14:paraId="6247527C"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65344FA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0.061</w:t>
            </w:r>
          </w:p>
        </w:tc>
        <w:tc>
          <w:tcPr>
            <w:tcW w:w="728" w:type="dxa"/>
            <w:tcBorders>
              <w:top w:val="nil"/>
              <w:left w:val="nil"/>
              <w:bottom w:val="nil"/>
              <w:right w:val="nil"/>
            </w:tcBorders>
            <w:shd w:val="clear" w:color="auto" w:fill="auto"/>
            <w:noWrap/>
            <w:vAlign w:val="bottom"/>
            <w:hideMark/>
          </w:tcPr>
          <w:p w14:paraId="22E106D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1.939</w:t>
            </w:r>
          </w:p>
        </w:tc>
        <w:tc>
          <w:tcPr>
            <w:tcW w:w="1728" w:type="dxa"/>
            <w:tcBorders>
              <w:top w:val="nil"/>
              <w:left w:val="nil"/>
              <w:bottom w:val="nil"/>
              <w:right w:val="nil"/>
            </w:tcBorders>
            <w:shd w:val="clear" w:color="auto" w:fill="auto"/>
            <w:noWrap/>
            <w:vAlign w:val="bottom"/>
            <w:hideMark/>
          </w:tcPr>
          <w:p w14:paraId="2DCF8CD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0.262</w:t>
            </w:r>
          </w:p>
        </w:tc>
        <w:tc>
          <w:tcPr>
            <w:tcW w:w="854" w:type="dxa"/>
            <w:tcBorders>
              <w:top w:val="nil"/>
              <w:left w:val="nil"/>
              <w:bottom w:val="nil"/>
              <w:right w:val="nil"/>
            </w:tcBorders>
            <w:shd w:val="clear" w:color="auto" w:fill="auto"/>
            <w:noWrap/>
            <w:vAlign w:val="bottom"/>
            <w:hideMark/>
          </w:tcPr>
          <w:p w14:paraId="0E5BEDA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0.563</w:t>
            </w:r>
          </w:p>
        </w:tc>
      </w:tr>
      <w:tr w:rsidR="00304411" w:rsidRPr="00435469" w14:paraId="0B3FED79" w14:textId="77777777" w:rsidTr="00E84FC8">
        <w:trPr>
          <w:trHeight w:val="277"/>
        </w:trPr>
        <w:tc>
          <w:tcPr>
            <w:tcW w:w="906" w:type="dxa"/>
            <w:vMerge/>
            <w:tcBorders>
              <w:top w:val="nil"/>
              <w:left w:val="nil"/>
              <w:bottom w:val="nil"/>
              <w:right w:val="nil"/>
            </w:tcBorders>
            <w:vAlign w:val="center"/>
            <w:hideMark/>
          </w:tcPr>
          <w:p w14:paraId="2F34C6B7"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16B8358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2008</w:t>
            </w:r>
          </w:p>
        </w:tc>
        <w:tc>
          <w:tcPr>
            <w:tcW w:w="891" w:type="dxa"/>
            <w:tcBorders>
              <w:top w:val="nil"/>
              <w:left w:val="nil"/>
              <w:bottom w:val="nil"/>
              <w:right w:val="nil"/>
            </w:tcBorders>
            <w:shd w:val="clear" w:color="auto" w:fill="auto"/>
            <w:noWrap/>
            <w:vAlign w:val="bottom"/>
            <w:hideMark/>
          </w:tcPr>
          <w:p w14:paraId="33E9FD6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0.070</w:t>
            </w:r>
          </w:p>
        </w:tc>
        <w:tc>
          <w:tcPr>
            <w:tcW w:w="728" w:type="dxa"/>
            <w:tcBorders>
              <w:top w:val="nil"/>
              <w:left w:val="nil"/>
              <w:bottom w:val="nil"/>
              <w:right w:val="nil"/>
            </w:tcBorders>
            <w:shd w:val="clear" w:color="auto" w:fill="auto"/>
            <w:noWrap/>
            <w:vAlign w:val="bottom"/>
            <w:hideMark/>
          </w:tcPr>
          <w:p w14:paraId="32AAC98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1.930</w:t>
            </w:r>
          </w:p>
        </w:tc>
        <w:tc>
          <w:tcPr>
            <w:tcW w:w="1728" w:type="dxa"/>
            <w:tcBorders>
              <w:top w:val="nil"/>
              <w:left w:val="nil"/>
              <w:bottom w:val="nil"/>
              <w:right w:val="nil"/>
            </w:tcBorders>
            <w:shd w:val="clear" w:color="auto" w:fill="auto"/>
            <w:noWrap/>
            <w:vAlign w:val="bottom"/>
            <w:hideMark/>
          </w:tcPr>
          <w:p w14:paraId="5D01547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0.164</w:t>
            </w:r>
          </w:p>
        </w:tc>
        <w:tc>
          <w:tcPr>
            <w:tcW w:w="772" w:type="dxa"/>
            <w:tcBorders>
              <w:top w:val="nil"/>
              <w:left w:val="nil"/>
              <w:bottom w:val="nil"/>
              <w:right w:val="nil"/>
            </w:tcBorders>
            <w:shd w:val="clear" w:color="auto" w:fill="auto"/>
            <w:noWrap/>
            <w:vAlign w:val="bottom"/>
            <w:hideMark/>
          </w:tcPr>
          <w:p w14:paraId="1711798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0.651</w:t>
            </w:r>
          </w:p>
        </w:tc>
        <w:tc>
          <w:tcPr>
            <w:tcW w:w="471" w:type="dxa"/>
            <w:tcBorders>
              <w:top w:val="nil"/>
              <w:left w:val="nil"/>
              <w:bottom w:val="nil"/>
              <w:right w:val="nil"/>
            </w:tcBorders>
            <w:shd w:val="clear" w:color="auto" w:fill="auto"/>
            <w:noWrap/>
            <w:vAlign w:val="bottom"/>
            <w:hideMark/>
          </w:tcPr>
          <w:p w14:paraId="1470CB6D"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4638C6B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0.046</w:t>
            </w:r>
          </w:p>
        </w:tc>
        <w:tc>
          <w:tcPr>
            <w:tcW w:w="728" w:type="dxa"/>
            <w:tcBorders>
              <w:top w:val="nil"/>
              <w:left w:val="nil"/>
              <w:bottom w:val="nil"/>
              <w:right w:val="nil"/>
            </w:tcBorders>
            <w:shd w:val="clear" w:color="auto" w:fill="auto"/>
            <w:noWrap/>
            <w:vAlign w:val="bottom"/>
            <w:hideMark/>
          </w:tcPr>
          <w:p w14:paraId="0B2C94E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1.954</w:t>
            </w:r>
          </w:p>
        </w:tc>
        <w:tc>
          <w:tcPr>
            <w:tcW w:w="1728" w:type="dxa"/>
            <w:tcBorders>
              <w:top w:val="nil"/>
              <w:left w:val="nil"/>
              <w:bottom w:val="nil"/>
              <w:right w:val="nil"/>
            </w:tcBorders>
            <w:shd w:val="clear" w:color="auto" w:fill="auto"/>
            <w:noWrap/>
            <w:vAlign w:val="bottom"/>
            <w:hideMark/>
          </w:tcPr>
          <w:p w14:paraId="485938C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0.235</w:t>
            </w:r>
          </w:p>
        </w:tc>
        <w:tc>
          <w:tcPr>
            <w:tcW w:w="772" w:type="dxa"/>
            <w:tcBorders>
              <w:top w:val="nil"/>
              <w:left w:val="nil"/>
              <w:bottom w:val="nil"/>
              <w:right w:val="nil"/>
            </w:tcBorders>
            <w:shd w:val="clear" w:color="auto" w:fill="auto"/>
            <w:noWrap/>
            <w:vAlign w:val="bottom"/>
            <w:hideMark/>
          </w:tcPr>
          <w:p w14:paraId="21E3585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0.199</w:t>
            </w:r>
          </w:p>
        </w:tc>
        <w:tc>
          <w:tcPr>
            <w:tcW w:w="484" w:type="dxa"/>
            <w:tcBorders>
              <w:top w:val="nil"/>
              <w:left w:val="nil"/>
              <w:bottom w:val="nil"/>
              <w:right w:val="nil"/>
            </w:tcBorders>
            <w:shd w:val="clear" w:color="auto" w:fill="auto"/>
            <w:noWrap/>
            <w:vAlign w:val="bottom"/>
            <w:hideMark/>
          </w:tcPr>
          <w:p w14:paraId="29C02692"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4B946E4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0.057</w:t>
            </w:r>
          </w:p>
        </w:tc>
        <w:tc>
          <w:tcPr>
            <w:tcW w:w="728" w:type="dxa"/>
            <w:tcBorders>
              <w:top w:val="nil"/>
              <w:left w:val="nil"/>
              <w:bottom w:val="nil"/>
              <w:right w:val="nil"/>
            </w:tcBorders>
            <w:shd w:val="clear" w:color="auto" w:fill="auto"/>
            <w:noWrap/>
            <w:vAlign w:val="bottom"/>
            <w:hideMark/>
          </w:tcPr>
          <w:p w14:paraId="18577F5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1.943</w:t>
            </w:r>
          </w:p>
        </w:tc>
        <w:tc>
          <w:tcPr>
            <w:tcW w:w="1728" w:type="dxa"/>
            <w:tcBorders>
              <w:top w:val="nil"/>
              <w:left w:val="nil"/>
              <w:bottom w:val="nil"/>
              <w:right w:val="nil"/>
            </w:tcBorders>
            <w:shd w:val="clear" w:color="auto" w:fill="auto"/>
            <w:noWrap/>
            <w:vAlign w:val="bottom"/>
            <w:hideMark/>
          </w:tcPr>
          <w:p w14:paraId="6FBC4B5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0.279</w:t>
            </w:r>
          </w:p>
        </w:tc>
        <w:tc>
          <w:tcPr>
            <w:tcW w:w="854" w:type="dxa"/>
            <w:tcBorders>
              <w:top w:val="nil"/>
              <w:left w:val="nil"/>
              <w:bottom w:val="nil"/>
              <w:right w:val="nil"/>
            </w:tcBorders>
            <w:shd w:val="clear" w:color="auto" w:fill="auto"/>
            <w:noWrap/>
            <w:vAlign w:val="bottom"/>
            <w:hideMark/>
          </w:tcPr>
          <w:p w14:paraId="25A3780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0.558</w:t>
            </w:r>
          </w:p>
        </w:tc>
      </w:tr>
      <w:tr w:rsidR="00304411" w:rsidRPr="00435469" w14:paraId="6B920EC7" w14:textId="77777777" w:rsidTr="00E84FC8">
        <w:trPr>
          <w:trHeight w:val="277"/>
        </w:trPr>
        <w:tc>
          <w:tcPr>
            <w:tcW w:w="906" w:type="dxa"/>
            <w:vMerge/>
            <w:tcBorders>
              <w:top w:val="nil"/>
              <w:left w:val="nil"/>
              <w:bottom w:val="nil"/>
              <w:right w:val="nil"/>
            </w:tcBorders>
            <w:vAlign w:val="center"/>
            <w:hideMark/>
          </w:tcPr>
          <w:p w14:paraId="2E860164"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65F0294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2009</w:t>
            </w:r>
          </w:p>
        </w:tc>
        <w:tc>
          <w:tcPr>
            <w:tcW w:w="891" w:type="dxa"/>
            <w:tcBorders>
              <w:top w:val="nil"/>
              <w:left w:val="nil"/>
              <w:bottom w:val="nil"/>
              <w:right w:val="nil"/>
            </w:tcBorders>
            <w:shd w:val="clear" w:color="auto" w:fill="auto"/>
            <w:noWrap/>
            <w:vAlign w:val="bottom"/>
            <w:hideMark/>
          </w:tcPr>
          <w:p w14:paraId="496C5B5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0.068</w:t>
            </w:r>
          </w:p>
        </w:tc>
        <w:tc>
          <w:tcPr>
            <w:tcW w:w="728" w:type="dxa"/>
            <w:tcBorders>
              <w:top w:val="nil"/>
              <w:left w:val="nil"/>
              <w:bottom w:val="nil"/>
              <w:right w:val="nil"/>
            </w:tcBorders>
            <w:shd w:val="clear" w:color="auto" w:fill="auto"/>
            <w:noWrap/>
            <w:vAlign w:val="bottom"/>
            <w:hideMark/>
          </w:tcPr>
          <w:p w14:paraId="5CF9DF1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1.932</w:t>
            </w:r>
          </w:p>
        </w:tc>
        <w:tc>
          <w:tcPr>
            <w:tcW w:w="1728" w:type="dxa"/>
            <w:tcBorders>
              <w:top w:val="nil"/>
              <w:left w:val="nil"/>
              <w:bottom w:val="nil"/>
              <w:right w:val="nil"/>
            </w:tcBorders>
            <w:shd w:val="clear" w:color="auto" w:fill="auto"/>
            <w:noWrap/>
            <w:vAlign w:val="bottom"/>
            <w:hideMark/>
          </w:tcPr>
          <w:p w14:paraId="78EF78A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0.159</w:t>
            </w:r>
          </w:p>
        </w:tc>
        <w:tc>
          <w:tcPr>
            <w:tcW w:w="772" w:type="dxa"/>
            <w:tcBorders>
              <w:top w:val="nil"/>
              <w:left w:val="nil"/>
              <w:bottom w:val="nil"/>
              <w:right w:val="nil"/>
            </w:tcBorders>
            <w:shd w:val="clear" w:color="auto" w:fill="auto"/>
            <w:noWrap/>
            <w:vAlign w:val="bottom"/>
            <w:hideMark/>
          </w:tcPr>
          <w:p w14:paraId="15F5551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0.604</w:t>
            </w:r>
          </w:p>
        </w:tc>
        <w:tc>
          <w:tcPr>
            <w:tcW w:w="471" w:type="dxa"/>
            <w:tcBorders>
              <w:top w:val="nil"/>
              <w:left w:val="nil"/>
              <w:bottom w:val="nil"/>
              <w:right w:val="nil"/>
            </w:tcBorders>
            <w:shd w:val="clear" w:color="auto" w:fill="auto"/>
            <w:noWrap/>
            <w:vAlign w:val="bottom"/>
            <w:hideMark/>
          </w:tcPr>
          <w:p w14:paraId="7FCE683C"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2C81C2E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0.051</w:t>
            </w:r>
          </w:p>
        </w:tc>
        <w:tc>
          <w:tcPr>
            <w:tcW w:w="728" w:type="dxa"/>
            <w:tcBorders>
              <w:top w:val="nil"/>
              <w:left w:val="nil"/>
              <w:bottom w:val="nil"/>
              <w:right w:val="nil"/>
            </w:tcBorders>
            <w:shd w:val="clear" w:color="auto" w:fill="auto"/>
            <w:noWrap/>
            <w:vAlign w:val="bottom"/>
            <w:hideMark/>
          </w:tcPr>
          <w:p w14:paraId="091FE52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1.949</w:t>
            </w:r>
          </w:p>
        </w:tc>
        <w:tc>
          <w:tcPr>
            <w:tcW w:w="1728" w:type="dxa"/>
            <w:tcBorders>
              <w:top w:val="nil"/>
              <w:left w:val="nil"/>
              <w:bottom w:val="nil"/>
              <w:right w:val="nil"/>
            </w:tcBorders>
            <w:shd w:val="clear" w:color="auto" w:fill="auto"/>
            <w:noWrap/>
            <w:vAlign w:val="bottom"/>
            <w:hideMark/>
          </w:tcPr>
          <w:p w14:paraId="27A5CD1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0.213</w:t>
            </w:r>
          </w:p>
        </w:tc>
        <w:tc>
          <w:tcPr>
            <w:tcW w:w="772" w:type="dxa"/>
            <w:tcBorders>
              <w:top w:val="nil"/>
              <w:left w:val="nil"/>
              <w:bottom w:val="nil"/>
              <w:right w:val="nil"/>
            </w:tcBorders>
            <w:shd w:val="clear" w:color="auto" w:fill="auto"/>
            <w:noWrap/>
            <w:vAlign w:val="bottom"/>
            <w:hideMark/>
          </w:tcPr>
          <w:p w14:paraId="1EBA151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0.194</w:t>
            </w:r>
          </w:p>
        </w:tc>
        <w:tc>
          <w:tcPr>
            <w:tcW w:w="484" w:type="dxa"/>
            <w:tcBorders>
              <w:top w:val="nil"/>
              <w:left w:val="nil"/>
              <w:bottom w:val="nil"/>
              <w:right w:val="nil"/>
            </w:tcBorders>
            <w:shd w:val="clear" w:color="auto" w:fill="auto"/>
            <w:noWrap/>
            <w:vAlign w:val="bottom"/>
            <w:hideMark/>
          </w:tcPr>
          <w:p w14:paraId="63C716F9"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67C93A9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0.054</w:t>
            </w:r>
          </w:p>
        </w:tc>
        <w:tc>
          <w:tcPr>
            <w:tcW w:w="728" w:type="dxa"/>
            <w:tcBorders>
              <w:top w:val="nil"/>
              <w:left w:val="nil"/>
              <w:bottom w:val="nil"/>
              <w:right w:val="nil"/>
            </w:tcBorders>
            <w:shd w:val="clear" w:color="auto" w:fill="auto"/>
            <w:noWrap/>
            <w:vAlign w:val="bottom"/>
            <w:hideMark/>
          </w:tcPr>
          <w:p w14:paraId="2DD91DB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1.946</w:t>
            </w:r>
          </w:p>
        </w:tc>
        <w:tc>
          <w:tcPr>
            <w:tcW w:w="1728" w:type="dxa"/>
            <w:tcBorders>
              <w:top w:val="nil"/>
              <w:left w:val="nil"/>
              <w:bottom w:val="nil"/>
              <w:right w:val="nil"/>
            </w:tcBorders>
            <w:shd w:val="clear" w:color="auto" w:fill="auto"/>
            <w:noWrap/>
            <w:vAlign w:val="bottom"/>
            <w:hideMark/>
          </w:tcPr>
          <w:p w14:paraId="7D5639D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0.206</w:t>
            </w:r>
          </w:p>
        </w:tc>
        <w:tc>
          <w:tcPr>
            <w:tcW w:w="854" w:type="dxa"/>
            <w:tcBorders>
              <w:top w:val="nil"/>
              <w:left w:val="nil"/>
              <w:bottom w:val="nil"/>
              <w:right w:val="nil"/>
            </w:tcBorders>
            <w:shd w:val="clear" w:color="auto" w:fill="auto"/>
            <w:noWrap/>
            <w:vAlign w:val="bottom"/>
            <w:hideMark/>
          </w:tcPr>
          <w:p w14:paraId="6FF6D68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0.518</w:t>
            </w:r>
          </w:p>
        </w:tc>
      </w:tr>
      <w:tr w:rsidR="00304411" w:rsidRPr="00435469" w14:paraId="2CDC59A7" w14:textId="77777777" w:rsidTr="00E84FC8">
        <w:trPr>
          <w:trHeight w:val="277"/>
        </w:trPr>
        <w:tc>
          <w:tcPr>
            <w:tcW w:w="906" w:type="dxa"/>
            <w:vMerge/>
            <w:tcBorders>
              <w:top w:val="nil"/>
              <w:left w:val="nil"/>
              <w:bottom w:val="nil"/>
              <w:right w:val="nil"/>
            </w:tcBorders>
            <w:vAlign w:val="center"/>
            <w:hideMark/>
          </w:tcPr>
          <w:p w14:paraId="5D4DD89C"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0E7BBD4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2010</w:t>
            </w:r>
          </w:p>
        </w:tc>
        <w:tc>
          <w:tcPr>
            <w:tcW w:w="891" w:type="dxa"/>
            <w:tcBorders>
              <w:top w:val="nil"/>
              <w:left w:val="nil"/>
              <w:bottom w:val="nil"/>
              <w:right w:val="nil"/>
            </w:tcBorders>
            <w:shd w:val="clear" w:color="auto" w:fill="auto"/>
            <w:noWrap/>
            <w:vAlign w:val="bottom"/>
            <w:hideMark/>
          </w:tcPr>
          <w:p w14:paraId="3C1A0AA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0.069</w:t>
            </w:r>
          </w:p>
        </w:tc>
        <w:tc>
          <w:tcPr>
            <w:tcW w:w="728" w:type="dxa"/>
            <w:tcBorders>
              <w:top w:val="nil"/>
              <w:left w:val="nil"/>
              <w:bottom w:val="nil"/>
              <w:right w:val="nil"/>
            </w:tcBorders>
            <w:shd w:val="clear" w:color="auto" w:fill="auto"/>
            <w:noWrap/>
            <w:vAlign w:val="bottom"/>
            <w:hideMark/>
          </w:tcPr>
          <w:p w14:paraId="4E16FCF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1.931</w:t>
            </w:r>
          </w:p>
        </w:tc>
        <w:tc>
          <w:tcPr>
            <w:tcW w:w="1728" w:type="dxa"/>
            <w:tcBorders>
              <w:top w:val="nil"/>
              <w:left w:val="nil"/>
              <w:bottom w:val="nil"/>
              <w:right w:val="nil"/>
            </w:tcBorders>
            <w:shd w:val="clear" w:color="auto" w:fill="auto"/>
            <w:noWrap/>
            <w:vAlign w:val="bottom"/>
            <w:hideMark/>
          </w:tcPr>
          <w:p w14:paraId="62F42D5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0.237</w:t>
            </w:r>
          </w:p>
        </w:tc>
        <w:tc>
          <w:tcPr>
            <w:tcW w:w="772" w:type="dxa"/>
            <w:tcBorders>
              <w:top w:val="nil"/>
              <w:left w:val="nil"/>
              <w:bottom w:val="nil"/>
              <w:right w:val="nil"/>
            </w:tcBorders>
            <w:shd w:val="clear" w:color="auto" w:fill="auto"/>
            <w:noWrap/>
            <w:vAlign w:val="bottom"/>
            <w:hideMark/>
          </w:tcPr>
          <w:p w14:paraId="4C7CE5C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0.562</w:t>
            </w:r>
          </w:p>
        </w:tc>
        <w:tc>
          <w:tcPr>
            <w:tcW w:w="471" w:type="dxa"/>
            <w:tcBorders>
              <w:top w:val="nil"/>
              <w:left w:val="nil"/>
              <w:bottom w:val="nil"/>
              <w:right w:val="nil"/>
            </w:tcBorders>
            <w:shd w:val="clear" w:color="auto" w:fill="auto"/>
            <w:noWrap/>
            <w:vAlign w:val="bottom"/>
            <w:hideMark/>
          </w:tcPr>
          <w:p w14:paraId="6E880ECF"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4ACFD4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0.046</w:t>
            </w:r>
          </w:p>
        </w:tc>
        <w:tc>
          <w:tcPr>
            <w:tcW w:w="728" w:type="dxa"/>
            <w:tcBorders>
              <w:top w:val="nil"/>
              <w:left w:val="nil"/>
              <w:bottom w:val="nil"/>
              <w:right w:val="nil"/>
            </w:tcBorders>
            <w:shd w:val="clear" w:color="auto" w:fill="auto"/>
            <w:noWrap/>
            <w:vAlign w:val="bottom"/>
            <w:hideMark/>
          </w:tcPr>
          <w:p w14:paraId="2B7D842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1.954</w:t>
            </w:r>
          </w:p>
        </w:tc>
        <w:tc>
          <w:tcPr>
            <w:tcW w:w="1728" w:type="dxa"/>
            <w:tcBorders>
              <w:top w:val="nil"/>
              <w:left w:val="nil"/>
              <w:bottom w:val="nil"/>
              <w:right w:val="nil"/>
            </w:tcBorders>
            <w:shd w:val="clear" w:color="auto" w:fill="auto"/>
            <w:noWrap/>
            <w:vAlign w:val="bottom"/>
            <w:hideMark/>
          </w:tcPr>
          <w:p w14:paraId="0943B3A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0.269</w:t>
            </w:r>
          </w:p>
        </w:tc>
        <w:tc>
          <w:tcPr>
            <w:tcW w:w="772" w:type="dxa"/>
            <w:tcBorders>
              <w:top w:val="nil"/>
              <w:left w:val="nil"/>
              <w:bottom w:val="nil"/>
              <w:right w:val="nil"/>
            </w:tcBorders>
            <w:shd w:val="clear" w:color="auto" w:fill="auto"/>
            <w:noWrap/>
            <w:vAlign w:val="bottom"/>
            <w:hideMark/>
          </w:tcPr>
          <w:p w14:paraId="054F94D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0.198</w:t>
            </w:r>
          </w:p>
        </w:tc>
        <w:tc>
          <w:tcPr>
            <w:tcW w:w="484" w:type="dxa"/>
            <w:tcBorders>
              <w:top w:val="nil"/>
              <w:left w:val="nil"/>
              <w:bottom w:val="nil"/>
              <w:right w:val="nil"/>
            </w:tcBorders>
            <w:shd w:val="clear" w:color="auto" w:fill="auto"/>
            <w:noWrap/>
            <w:vAlign w:val="bottom"/>
            <w:hideMark/>
          </w:tcPr>
          <w:p w14:paraId="590EA68B"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22180E8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0.058</w:t>
            </w:r>
          </w:p>
        </w:tc>
        <w:tc>
          <w:tcPr>
            <w:tcW w:w="728" w:type="dxa"/>
            <w:tcBorders>
              <w:top w:val="nil"/>
              <w:left w:val="nil"/>
              <w:bottom w:val="nil"/>
              <w:right w:val="nil"/>
            </w:tcBorders>
            <w:shd w:val="clear" w:color="auto" w:fill="auto"/>
            <w:noWrap/>
            <w:vAlign w:val="bottom"/>
            <w:hideMark/>
          </w:tcPr>
          <w:p w14:paraId="0FF2C17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1.942</w:t>
            </w:r>
          </w:p>
        </w:tc>
        <w:tc>
          <w:tcPr>
            <w:tcW w:w="1728" w:type="dxa"/>
            <w:tcBorders>
              <w:top w:val="nil"/>
              <w:left w:val="nil"/>
              <w:bottom w:val="nil"/>
              <w:right w:val="nil"/>
            </w:tcBorders>
            <w:shd w:val="clear" w:color="auto" w:fill="auto"/>
            <w:noWrap/>
            <w:vAlign w:val="bottom"/>
            <w:hideMark/>
          </w:tcPr>
          <w:p w14:paraId="6EF5ADD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0.287</w:t>
            </w:r>
          </w:p>
        </w:tc>
        <w:tc>
          <w:tcPr>
            <w:tcW w:w="854" w:type="dxa"/>
            <w:tcBorders>
              <w:top w:val="nil"/>
              <w:left w:val="nil"/>
              <w:bottom w:val="nil"/>
              <w:right w:val="nil"/>
            </w:tcBorders>
            <w:shd w:val="clear" w:color="auto" w:fill="auto"/>
            <w:noWrap/>
            <w:vAlign w:val="bottom"/>
            <w:hideMark/>
          </w:tcPr>
          <w:p w14:paraId="621A7A8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0.523</w:t>
            </w:r>
          </w:p>
        </w:tc>
      </w:tr>
      <w:tr w:rsidR="00304411" w:rsidRPr="00435469" w14:paraId="4B87E66E" w14:textId="77777777" w:rsidTr="00E84FC8">
        <w:trPr>
          <w:trHeight w:val="277"/>
        </w:trPr>
        <w:tc>
          <w:tcPr>
            <w:tcW w:w="906" w:type="dxa"/>
            <w:vMerge/>
            <w:tcBorders>
              <w:top w:val="nil"/>
              <w:left w:val="nil"/>
              <w:bottom w:val="nil"/>
              <w:right w:val="nil"/>
            </w:tcBorders>
            <w:vAlign w:val="center"/>
            <w:hideMark/>
          </w:tcPr>
          <w:p w14:paraId="1C681AC3"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60D75C1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2011</w:t>
            </w:r>
          </w:p>
        </w:tc>
        <w:tc>
          <w:tcPr>
            <w:tcW w:w="891" w:type="dxa"/>
            <w:tcBorders>
              <w:top w:val="nil"/>
              <w:left w:val="nil"/>
              <w:bottom w:val="nil"/>
              <w:right w:val="nil"/>
            </w:tcBorders>
            <w:shd w:val="clear" w:color="auto" w:fill="auto"/>
            <w:noWrap/>
            <w:vAlign w:val="bottom"/>
            <w:hideMark/>
          </w:tcPr>
          <w:p w14:paraId="40F3DEF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0.072</w:t>
            </w:r>
          </w:p>
        </w:tc>
        <w:tc>
          <w:tcPr>
            <w:tcW w:w="728" w:type="dxa"/>
            <w:tcBorders>
              <w:top w:val="nil"/>
              <w:left w:val="nil"/>
              <w:bottom w:val="nil"/>
              <w:right w:val="nil"/>
            </w:tcBorders>
            <w:shd w:val="clear" w:color="auto" w:fill="auto"/>
            <w:noWrap/>
            <w:vAlign w:val="bottom"/>
            <w:hideMark/>
          </w:tcPr>
          <w:p w14:paraId="66BDFEC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1.928</w:t>
            </w:r>
          </w:p>
        </w:tc>
        <w:tc>
          <w:tcPr>
            <w:tcW w:w="1728" w:type="dxa"/>
            <w:tcBorders>
              <w:top w:val="nil"/>
              <w:left w:val="nil"/>
              <w:bottom w:val="nil"/>
              <w:right w:val="nil"/>
            </w:tcBorders>
            <w:shd w:val="clear" w:color="auto" w:fill="auto"/>
            <w:noWrap/>
            <w:vAlign w:val="bottom"/>
            <w:hideMark/>
          </w:tcPr>
          <w:p w14:paraId="21E2F51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0.144</w:t>
            </w:r>
          </w:p>
        </w:tc>
        <w:tc>
          <w:tcPr>
            <w:tcW w:w="772" w:type="dxa"/>
            <w:tcBorders>
              <w:top w:val="nil"/>
              <w:left w:val="nil"/>
              <w:bottom w:val="nil"/>
              <w:right w:val="nil"/>
            </w:tcBorders>
            <w:shd w:val="clear" w:color="auto" w:fill="auto"/>
            <w:noWrap/>
            <w:vAlign w:val="bottom"/>
            <w:hideMark/>
          </w:tcPr>
          <w:p w14:paraId="1AE1A8C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0.504</w:t>
            </w:r>
          </w:p>
        </w:tc>
        <w:tc>
          <w:tcPr>
            <w:tcW w:w="471" w:type="dxa"/>
            <w:tcBorders>
              <w:top w:val="nil"/>
              <w:left w:val="nil"/>
              <w:bottom w:val="nil"/>
              <w:right w:val="nil"/>
            </w:tcBorders>
            <w:shd w:val="clear" w:color="auto" w:fill="auto"/>
            <w:noWrap/>
            <w:vAlign w:val="bottom"/>
            <w:hideMark/>
          </w:tcPr>
          <w:p w14:paraId="5E13EACC"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3D23898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0.050</w:t>
            </w:r>
          </w:p>
        </w:tc>
        <w:tc>
          <w:tcPr>
            <w:tcW w:w="728" w:type="dxa"/>
            <w:tcBorders>
              <w:top w:val="nil"/>
              <w:left w:val="nil"/>
              <w:bottom w:val="nil"/>
              <w:right w:val="nil"/>
            </w:tcBorders>
            <w:shd w:val="clear" w:color="auto" w:fill="auto"/>
            <w:noWrap/>
            <w:vAlign w:val="bottom"/>
            <w:hideMark/>
          </w:tcPr>
          <w:p w14:paraId="175FA55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1.950</w:t>
            </w:r>
          </w:p>
        </w:tc>
        <w:tc>
          <w:tcPr>
            <w:tcW w:w="1728" w:type="dxa"/>
            <w:tcBorders>
              <w:top w:val="nil"/>
              <w:left w:val="nil"/>
              <w:bottom w:val="nil"/>
              <w:right w:val="nil"/>
            </w:tcBorders>
            <w:shd w:val="clear" w:color="auto" w:fill="auto"/>
            <w:noWrap/>
            <w:vAlign w:val="bottom"/>
            <w:hideMark/>
          </w:tcPr>
          <w:p w14:paraId="4B577F6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0.199</w:t>
            </w:r>
          </w:p>
        </w:tc>
        <w:tc>
          <w:tcPr>
            <w:tcW w:w="772" w:type="dxa"/>
            <w:tcBorders>
              <w:top w:val="nil"/>
              <w:left w:val="nil"/>
              <w:bottom w:val="nil"/>
              <w:right w:val="nil"/>
            </w:tcBorders>
            <w:shd w:val="clear" w:color="auto" w:fill="auto"/>
            <w:noWrap/>
            <w:vAlign w:val="bottom"/>
            <w:hideMark/>
          </w:tcPr>
          <w:p w14:paraId="76C083F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0.189</w:t>
            </w:r>
          </w:p>
        </w:tc>
        <w:tc>
          <w:tcPr>
            <w:tcW w:w="484" w:type="dxa"/>
            <w:tcBorders>
              <w:top w:val="nil"/>
              <w:left w:val="nil"/>
              <w:bottom w:val="nil"/>
              <w:right w:val="nil"/>
            </w:tcBorders>
            <w:shd w:val="clear" w:color="auto" w:fill="auto"/>
            <w:noWrap/>
            <w:vAlign w:val="bottom"/>
            <w:hideMark/>
          </w:tcPr>
          <w:p w14:paraId="52936EE0"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D11609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0.060</w:t>
            </w:r>
          </w:p>
        </w:tc>
        <w:tc>
          <w:tcPr>
            <w:tcW w:w="728" w:type="dxa"/>
            <w:tcBorders>
              <w:top w:val="nil"/>
              <w:left w:val="nil"/>
              <w:bottom w:val="nil"/>
              <w:right w:val="nil"/>
            </w:tcBorders>
            <w:shd w:val="clear" w:color="auto" w:fill="auto"/>
            <w:noWrap/>
            <w:vAlign w:val="bottom"/>
            <w:hideMark/>
          </w:tcPr>
          <w:p w14:paraId="1EB44DB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1.940</w:t>
            </w:r>
          </w:p>
        </w:tc>
        <w:tc>
          <w:tcPr>
            <w:tcW w:w="1728" w:type="dxa"/>
            <w:tcBorders>
              <w:top w:val="nil"/>
              <w:left w:val="nil"/>
              <w:bottom w:val="nil"/>
              <w:right w:val="nil"/>
            </w:tcBorders>
            <w:shd w:val="clear" w:color="auto" w:fill="auto"/>
            <w:noWrap/>
            <w:vAlign w:val="bottom"/>
            <w:hideMark/>
          </w:tcPr>
          <w:p w14:paraId="06152D1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0.216</w:t>
            </w:r>
          </w:p>
        </w:tc>
        <w:tc>
          <w:tcPr>
            <w:tcW w:w="854" w:type="dxa"/>
            <w:tcBorders>
              <w:top w:val="nil"/>
              <w:left w:val="nil"/>
              <w:bottom w:val="nil"/>
              <w:right w:val="nil"/>
            </w:tcBorders>
            <w:shd w:val="clear" w:color="auto" w:fill="auto"/>
            <w:noWrap/>
            <w:vAlign w:val="bottom"/>
            <w:hideMark/>
          </w:tcPr>
          <w:p w14:paraId="756F57C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0.469</w:t>
            </w:r>
          </w:p>
        </w:tc>
      </w:tr>
      <w:tr w:rsidR="00304411" w:rsidRPr="00435469" w14:paraId="18EB6EDD" w14:textId="77777777" w:rsidTr="00E84FC8">
        <w:trPr>
          <w:trHeight w:val="277"/>
        </w:trPr>
        <w:tc>
          <w:tcPr>
            <w:tcW w:w="906" w:type="dxa"/>
            <w:vMerge/>
            <w:tcBorders>
              <w:top w:val="nil"/>
              <w:left w:val="nil"/>
              <w:bottom w:val="nil"/>
              <w:right w:val="nil"/>
            </w:tcBorders>
            <w:vAlign w:val="center"/>
            <w:hideMark/>
          </w:tcPr>
          <w:p w14:paraId="379FE227"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0BB3C3F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2012</w:t>
            </w:r>
          </w:p>
        </w:tc>
        <w:tc>
          <w:tcPr>
            <w:tcW w:w="891" w:type="dxa"/>
            <w:tcBorders>
              <w:top w:val="nil"/>
              <w:left w:val="nil"/>
              <w:bottom w:val="nil"/>
              <w:right w:val="nil"/>
            </w:tcBorders>
            <w:shd w:val="clear" w:color="auto" w:fill="auto"/>
            <w:noWrap/>
            <w:vAlign w:val="bottom"/>
            <w:hideMark/>
          </w:tcPr>
          <w:p w14:paraId="0A72A83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0.074</w:t>
            </w:r>
          </w:p>
        </w:tc>
        <w:tc>
          <w:tcPr>
            <w:tcW w:w="728" w:type="dxa"/>
            <w:tcBorders>
              <w:top w:val="nil"/>
              <w:left w:val="nil"/>
              <w:bottom w:val="nil"/>
              <w:right w:val="nil"/>
            </w:tcBorders>
            <w:shd w:val="clear" w:color="auto" w:fill="auto"/>
            <w:noWrap/>
            <w:vAlign w:val="bottom"/>
            <w:hideMark/>
          </w:tcPr>
          <w:p w14:paraId="6BACF22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1.926</w:t>
            </w:r>
          </w:p>
        </w:tc>
        <w:tc>
          <w:tcPr>
            <w:tcW w:w="1728" w:type="dxa"/>
            <w:tcBorders>
              <w:top w:val="nil"/>
              <w:left w:val="nil"/>
              <w:bottom w:val="nil"/>
              <w:right w:val="nil"/>
            </w:tcBorders>
            <w:shd w:val="clear" w:color="auto" w:fill="auto"/>
            <w:noWrap/>
            <w:vAlign w:val="bottom"/>
            <w:hideMark/>
          </w:tcPr>
          <w:p w14:paraId="64D241F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0.116</w:t>
            </w:r>
          </w:p>
        </w:tc>
        <w:tc>
          <w:tcPr>
            <w:tcW w:w="772" w:type="dxa"/>
            <w:tcBorders>
              <w:top w:val="nil"/>
              <w:left w:val="nil"/>
              <w:bottom w:val="nil"/>
              <w:right w:val="nil"/>
            </w:tcBorders>
            <w:shd w:val="clear" w:color="auto" w:fill="auto"/>
            <w:noWrap/>
            <w:vAlign w:val="bottom"/>
            <w:hideMark/>
          </w:tcPr>
          <w:p w14:paraId="7138A5E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0.499</w:t>
            </w:r>
          </w:p>
        </w:tc>
        <w:tc>
          <w:tcPr>
            <w:tcW w:w="471" w:type="dxa"/>
            <w:tcBorders>
              <w:top w:val="nil"/>
              <w:left w:val="nil"/>
              <w:bottom w:val="nil"/>
              <w:right w:val="nil"/>
            </w:tcBorders>
            <w:shd w:val="clear" w:color="auto" w:fill="auto"/>
            <w:noWrap/>
            <w:vAlign w:val="bottom"/>
            <w:hideMark/>
          </w:tcPr>
          <w:p w14:paraId="254233BD"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7C7ADC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0.043</w:t>
            </w:r>
          </w:p>
        </w:tc>
        <w:tc>
          <w:tcPr>
            <w:tcW w:w="728" w:type="dxa"/>
            <w:tcBorders>
              <w:top w:val="nil"/>
              <w:left w:val="nil"/>
              <w:bottom w:val="nil"/>
              <w:right w:val="nil"/>
            </w:tcBorders>
            <w:shd w:val="clear" w:color="auto" w:fill="auto"/>
            <w:noWrap/>
            <w:vAlign w:val="bottom"/>
            <w:hideMark/>
          </w:tcPr>
          <w:p w14:paraId="4263910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1.957</w:t>
            </w:r>
          </w:p>
        </w:tc>
        <w:tc>
          <w:tcPr>
            <w:tcW w:w="1728" w:type="dxa"/>
            <w:tcBorders>
              <w:top w:val="nil"/>
              <w:left w:val="nil"/>
              <w:bottom w:val="nil"/>
              <w:right w:val="nil"/>
            </w:tcBorders>
            <w:shd w:val="clear" w:color="auto" w:fill="auto"/>
            <w:noWrap/>
            <w:vAlign w:val="bottom"/>
            <w:hideMark/>
          </w:tcPr>
          <w:p w14:paraId="00BE8CD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0.167</w:t>
            </w:r>
          </w:p>
        </w:tc>
        <w:tc>
          <w:tcPr>
            <w:tcW w:w="772" w:type="dxa"/>
            <w:tcBorders>
              <w:top w:val="nil"/>
              <w:left w:val="nil"/>
              <w:bottom w:val="nil"/>
              <w:right w:val="nil"/>
            </w:tcBorders>
            <w:shd w:val="clear" w:color="auto" w:fill="auto"/>
            <w:noWrap/>
            <w:vAlign w:val="bottom"/>
            <w:hideMark/>
          </w:tcPr>
          <w:p w14:paraId="292DAD6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0.203</w:t>
            </w:r>
          </w:p>
        </w:tc>
        <w:tc>
          <w:tcPr>
            <w:tcW w:w="484" w:type="dxa"/>
            <w:tcBorders>
              <w:top w:val="nil"/>
              <w:left w:val="nil"/>
              <w:bottom w:val="nil"/>
              <w:right w:val="nil"/>
            </w:tcBorders>
            <w:shd w:val="clear" w:color="auto" w:fill="auto"/>
            <w:noWrap/>
            <w:vAlign w:val="bottom"/>
            <w:hideMark/>
          </w:tcPr>
          <w:p w14:paraId="58633DEF"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24BF18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0.052</w:t>
            </w:r>
          </w:p>
        </w:tc>
        <w:tc>
          <w:tcPr>
            <w:tcW w:w="728" w:type="dxa"/>
            <w:tcBorders>
              <w:top w:val="nil"/>
              <w:left w:val="nil"/>
              <w:bottom w:val="nil"/>
              <w:right w:val="nil"/>
            </w:tcBorders>
            <w:shd w:val="clear" w:color="auto" w:fill="auto"/>
            <w:noWrap/>
            <w:vAlign w:val="bottom"/>
            <w:hideMark/>
          </w:tcPr>
          <w:p w14:paraId="667D6ED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1.948</w:t>
            </w:r>
          </w:p>
        </w:tc>
        <w:tc>
          <w:tcPr>
            <w:tcW w:w="1728" w:type="dxa"/>
            <w:tcBorders>
              <w:top w:val="nil"/>
              <w:left w:val="nil"/>
              <w:bottom w:val="nil"/>
              <w:right w:val="nil"/>
            </w:tcBorders>
            <w:shd w:val="clear" w:color="auto" w:fill="auto"/>
            <w:noWrap/>
            <w:vAlign w:val="bottom"/>
            <w:hideMark/>
          </w:tcPr>
          <w:p w14:paraId="7512A4F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0.231</w:t>
            </w:r>
          </w:p>
        </w:tc>
        <w:tc>
          <w:tcPr>
            <w:tcW w:w="854" w:type="dxa"/>
            <w:tcBorders>
              <w:top w:val="nil"/>
              <w:left w:val="nil"/>
              <w:bottom w:val="nil"/>
              <w:right w:val="nil"/>
            </w:tcBorders>
            <w:shd w:val="clear" w:color="auto" w:fill="auto"/>
            <w:noWrap/>
            <w:vAlign w:val="bottom"/>
            <w:hideMark/>
          </w:tcPr>
          <w:p w14:paraId="6750918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0.424</w:t>
            </w:r>
          </w:p>
        </w:tc>
      </w:tr>
      <w:tr w:rsidR="00304411" w:rsidRPr="00435469" w14:paraId="4A13A2C6" w14:textId="77777777" w:rsidTr="00E84FC8">
        <w:trPr>
          <w:trHeight w:val="277"/>
        </w:trPr>
        <w:tc>
          <w:tcPr>
            <w:tcW w:w="906" w:type="dxa"/>
            <w:vMerge/>
            <w:tcBorders>
              <w:top w:val="nil"/>
              <w:left w:val="nil"/>
              <w:bottom w:val="nil"/>
              <w:right w:val="nil"/>
            </w:tcBorders>
            <w:vAlign w:val="center"/>
            <w:hideMark/>
          </w:tcPr>
          <w:p w14:paraId="1B08DC12"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3DEF527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2013</w:t>
            </w:r>
          </w:p>
        </w:tc>
        <w:tc>
          <w:tcPr>
            <w:tcW w:w="891" w:type="dxa"/>
            <w:tcBorders>
              <w:top w:val="nil"/>
              <w:left w:val="nil"/>
              <w:bottom w:val="nil"/>
              <w:right w:val="nil"/>
            </w:tcBorders>
            <w:shd w:val="clear" w:color="auto" w:fill="auto"/>
            <w:noWrap/>
            <w:vAlign w:val="bottom"/>
            <w:hideMark/>
          </w:tcPr>
          <w:p w14:paraId="213B745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0.062</w:t>
            </w:r>
          </w:p>
        </w:tc>
        <w:tc>
          <w:tcPr>
            <w:tcW w:w="728" w:type="dxa"/>
            <w:tcBorders>
              <w:top w:val="nil"/>
              <w:left w:val="nil"/>
              <w:bottom w:val="nil"/>
              <w:right w:val="nil"/>
            </w:tcBorders>
            <w:shd w:val="clear" w:color="auto" w:fill="auto"/>
            <w:noWrap/>
            <w:vAlign w:val="bottom"/>
            <w:hideMark/>
          </w:tcPr>
          <w:p w14:paraId="00EB615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1.938</w:t>
            </w:r>
          </w:p>
        </w:tc>
        <w:tc>
          <w:tcPr>
            <w:tcW w:w="1728" w:type="dxa"/>
            <w:tcBorders>
              <w:top w:val="nil"/>
              <w:left w:val="nil"/>
              <w:bottom w:val="nil"/>
              <w:right w:val="nil"/>
            </w:tcBorders>
            <w:shd w:val="clear" w:color="auto" w:fill="auto"/>
            <w:noWrap/>
            <w:vAlign w:val="bottom"/>
            <w:hideMark/>
          </w:tcPr>
          <w:p w14:paraId="6102D6E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0.123</w:t>
            </w:r>
          </w:p>
        </w:tc>
        <w:tc>
          <w:tcPr>
            <w:tcW w:w="772" w:type="dxa"/>
            <w:tcBorders>
              <w:top w:val="nil"/>
              <w:left w:val="nil"/>
              <w:bottom w:val="nil"/>
              <w:right w:val="nil"/>
            </w:tcBorders>
            <w:shd w:val="clear" w:color="auto" w:fill="auto"/>
            <w:noWrap/>
            <w:vAlign w:val="bottom"/>
            <w:hideMark/>
          </w:tcPr>
          <w:p w14:paraId="44FAEC2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0.440</w:t>
            </w:r>
          </w:p>
        </w:tc>
        <w:tc>
          <w:tcPr>
            <w:tcW w:w="471" w:type="dxa"/>
            <w:tcBorders>
              <w:top w:val="nil"/>
              <w:left w:val="nil"/>
              <w:bottom w:val="nil"/>
              <w:right w:val="nil"/>
            </w:tcBorders>
            <w:shd w:val="clear" w:color="auto" w:fill="auto"/>
            <w:noWrap/>
            <w:vAlign w:val="bottom"/>
            <w:hideMark/>
          </w:tcPr>
          <w:p w14:paraId="69436F9C"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5B1D97C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0.040</w:t>
            </w:r>
          </w:p>
        </w:tc>
        <w:tc>
          <w:tcPr>
            <w:tcW w:w="728" w:type="dxa"/>
            <w:tcBorders>
              <w:top w:val="nil"/>
              <w:left w:val="nil"/>
              <w:bottom w:val="nil"/>
              <w:right w:val="nil"/>
            </w:tcBorders>
            <w:shd w:val="clear" w:color="auto" w:fill="auto"/>
            <w:noWrap/>
            <w:vAlign w:val="bottom"/>
            <w:hideMark/>
          </w:tcPr>
          <w:p w14:paraId="19547A8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1.960</w:t>
            </w:r>
          </w:p>
        </w:tc>
        <w:tc>
          <w:tcPr>
            <w:tcW w:w="1728" w:type="dxa"/>
            <w:tcBorders>
              <w:top w:val="nil"/>
              <w:left w:val="nil"/>
              <w:bottom w:val="nil"/>
              <w:right w:val="nil"/>
            </w:tcBorders>
            <w:shd w:val="clear" w:color="auto" w:fill="auto"/>
            <w:noWrap/>
            <w:vAlign w:val="bottom"/>
            <w:hideMark/>
          </w:tcPr>
          <w:p w14:paraId="58EE0AC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0.157</w:t>
            </w:r>
          </w:p>
        </w:tc>
        <w:tc>
          <w:tcPr>
            <w:tcW w:w="772" w:type="dxa"/>
            <w:tcBorders>
              <w:top w:val="nil"/>
              <w:left w:val="nil"/>
              <w:bottom w:val="nil"/>
              <w:right w:val="nil"/>
            </w:tcBorders>
            <w:shd w:val="clear" w:color="auto" w:fill="auto"/>
            <w:noWrap/>
            <w:vAlign w:val="bottom"/>
            <w:hideMark/>
          </w:tcPr>
          <w:p w14:paraId="3F1F42F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0.188</w:t>
            </w:r>
          </w:p>
        </w:tc>
        <w:tc>
          <w:tcPr>
            <w:tcW w:w="484" w:type="dxa"/>
            <w:tcBorders>
              <w:top w:val="nil"/>
              <w:left w:val="nil"/>
              <w:bottom w:val="nil"/>
              <w:right w:val="nil"/>
            </w:tcBorders>
            <w:shd w:val="clear" w:color="auto" w:fill="auto"/>
            <w:noWrap/>
            <w:vAlign w:val="bottom"/>
            <w:hideMark/>
          </w:tcPr>
          <w:p w14:paraId="2D57CD33"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1C67F97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0.054</w:t>
            </w:r>
          </w:p>
        </w:tc>
        <w:tc>
          <w:tcPr>
            <w:tcW w:w="728" w:type="dxa"/>
            <w:tcBorders>
              <w:top w:val="nil"/>
              <w:left w:val="nil"/>
              <w:bottom w:val="nil"/>
              <w:right w:val="nil"/>
            </w:tcBorders>
            <w:shd w:val="clear" w:color="auto" w:fill="auto"/>
            <w:noWrap/>
            <w:vAlign w:val="bottom"/>
            <w:hideMark/>
          </w:tcPr>
          <w:p w14:paraId="5BDA1F3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1.946</w:t>
            </w:r>
          </w:p>
        </w:tc>
        <w:tc>
          <w:tcPr>
            <w:tcW w:w="1728" w:type="dxa"/>
            <w:tcBorders>
              <w:top w:val="nil"/>
              <w:left w:val="nil"/>
              <w:bottom w:val="nil"/>
              <w:right w:val="nil"/>
            </w:tcBorders>
            <w:shd w:val="clear" w:color="auto" w:fill="auto"/>
            <w:noWrap/>
            <w:vAlign w:val="bottom"/>
            <w:hideMark/>
          </w:tcPr>
          <w:p w14:paraId="59EBC09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0.284</w:t>
            </w:r>
          </w:p>
        </w:tc>
        <w:tc>
          <w:tcPr>
            <w:tcW w:w="854" w:type="dxa"/>
            <w:tcBorders>
              <w:top w:val="nil"/>
              <w:left w:val="nil"/>
              <w:bottom w:val="nil"/>
              <w:right w:val="nil"/>
            </w:tcBorders>
            <w:shd w:val="clear" w:color="auto" w:fill="auto"/>
            <w:noWrap/>
            <w:vAlign w:val="bottom"/>
            <w:hideMark/>
          </w:tcPr>
          <w:p w14:paraId="4449461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0.437</w:t>
            </w:r>
          </w:p>
        </w:tc>
      </w:tr>
      <w:tr w:rsidR="00304411" w:rsidRPr="00435469" w14:paraId="6E31999B" w14:textId="77777777" w:rsidTr="00E84FC8">
        <w:trPr>
          <w:trHeight w:val="277"/>
        </w:trPr>
        <w:tc>
          <w:tcPr>
            <w:tcW w:w="906" w:type="dxa"/>
            <w:vMerge/>
            <w:tcBorders>
              <w:top w:val="nil"/>
              <w:left w:val="nil"/>
              <w:bottom w:val="nil"/>
              <w:right w:val="nil"/>
            </w:tcBorders>
            <w:vAlign w:val="center"/>
            <w:hideMark/>
          </w:tcPr>
          <w:p w14:paraId="6E585068"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4D1194C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2014</w:t>
            </w:r>
          </w:p>
        </w:tc>
        <w:tc>
          <w:tcPr>
            <w:tcW w:w="891" w:type="dxa"/>
            <w:tcBorders>
              <w:top w:val="nil"/>
              <w:left w:val="nil"/>
              <w:bottom w:val="nil"/>
              <w:right w:val="nil"/>
            </w:tcBorders>
            <w:shd w:val="clear" w:color="auto" w:fill="auto"/>
            <w:noWrap/>
            <w:vAlign w:val="bottom"/>
            <w:hideMark/>
          </w:tcPr>
          <w:p w14:paraId="3684640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0.107</w:t>
            </w:r>
          </w:p>
        </w:tc>
        <w:tc>
          <w:tcPr>
            <w:tcW w:w="728" w:type="dxa"/>
            <w:tcBorders>
              <w:top w:val="nil"/>
              <w:left w:val="nil"/>
              <w:bottom w:val="nil"/>
              <w:right w:val="nil"/>
            </w:tcBorders>
            <w:shd w:val="clear" w:color="auto" w:fill="auto"/>
            <w:noWrap/>
            <w:vAlign w:val="bottom"/>
            <w:hideMark/>
          </w:tcPr>
          <w:p w14:paraId="0FFEA8C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1.893</w:t>
            </w:r>
          </w:p>
        </w:tc>
        <w:tc>
          <w:tcPr>
            <w:tcW w:w="1728" w:type="dxa"/>
            <w:tcBorders>
              <w:top w:val="nil"/>
              <w:left w:val="nil"/>
              <w:bottom w:val="nil"/>
              <w:right w:val="nil"/>
            </w:tcBorders>
            <w:shd w:val="clear" w:color="auto" w:fill="auto"/>
            <w:noWrap/>
            <w:vAlign w:val="bottom"/>
            <w:hideMark/>
          </w:tcPr>
          <w:p w14:paraId="379CB4C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0.256</w:t>
            </w:r>
          </w:p>
        </w:tc>
        <w:tc>
          <w:tcPr>
            <w:tcW w:w="772" w:type="dxa"/>
            <w:tcBorders>
              <w:top w:val="nil"/>
              <w:left w:val="nil"/>
              <w:bottom w:val="nil"/>
              <w:right w:val="nil"/>
            </w:tcBorders>
            <w:shd w:val="clear" w:color="auto" w:fill="auto"/>
            <w:noWrap/>
            <w:vAlign w:val="bottom"/>
            <w:hideMark/>
          </w:tcPr>
          <w:p w14:paraId="11D006C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0.389</w:t>
            </w:r>
          </w:p>
        </w:tc>
        <w:tc>
          <w:tcPr>
            <w:tcW w:w="471" w:type="dxa"/>
            <w:tcBorders>
              <w:top w:val="nil"/>
              <w:left w:val="nil"/>
              <w:bottom w:val="nil"/>
              <w:right w:val="nil"/>
            </w:tcBorders>
            <w:shd w:val="clear" w:color="auto" w:fill="auto"/>
            <w:noWrap/>
            <w:vAlign w:val="bottom"/>
            <w:hideMark/>
          </w:tcPr>
          <w:p w14:paraId="74A06A30"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49169D3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0.059</w:t>
            </w:r>
          </w:p>
        </w:tc>
        <w:tc>
          <w:tcPr>
            <w:tcW w:w="728" w:type="dxa"/>
            <w:tcBorders>
              <w:top w:val="nil"/>
              <w:left w:val="nil"/>
              <w:bottom w:val="nil"/>
              <w:right w:val="nil"/>
            </w:tcBorders>
            <w:shd w:val="clear" w:color="auto" w:fill="auto"/>
            <w:noWrap/>
            <w:vAlign w:val="bottom"/>
            <w:hideMark/>
          </w:tcPr>
          <w:p w14:paraId="039AF2E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1.941</w:t>
            </w:r>
          </w:p>
        </w:tc>
        <w:tc>
          <w:tcPr>
            <w:tcW w:w="1728" w:type="dxa"/>
            <w:tcBorders>
              <w:top w:val="nil"/>
              <w:left w:val="nil"/>
              <w:bottom w:val="nil"/>
              <w:right w:val="nil"/>
            </w:tcBorders>
            <w:shd w:val="clear" w:color="auto" w:fill="auto"/>
            <w:noWrap/>
            <w:vAlign w:val="bottom"/>
            <w:hideMark/>
          </w:tcPr>
          <w:p w14:paraId="6A65FF5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0.256</w:t>
            </w:r>
          </w:p>
        </w:tc>
        <w:tc>
          <w:tcPr>
            <w:tcW w:w="772" w:type="dxa"/>
            <w:tcBorders>
              <w:top w:val="nil"/>
              <w:left w:val="nil"/>
              <w:bottom w:val="nil"/>
              <w:right w:val="nil"/>
            </w:tcBorders>
            <w:shd w:val="clear" w:color="auto" w:fill="auto"/>
            <w:noWrap/>
            <w:vAlign w:val="bottom"/>
            <w:hideMark/>
          </w:tcPr>
          <w:p w14:paraId="6601312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0.184</w:t>
            </w:r>
          </w:p>
        </w:tc>
        <w:tc>
          <w:tcPr>
            <w:tcW w:w="484" w:type="dxa"/>
            <w:tcBorders>
              <w:top w:val="nil"/>
              <w:left w:val="nil"/>
              <w:bottom w:val="nil"/>
              <w:right w:val="nil"/>
            </w:tcBorders>
            <w:shd w:val="clear" w:color="auto" w:fill="auto"/>
            <w:noWrap/>
            <w:vAlign w:val="bottom"/>
            <w:hideMark/>
          </w:tcPr>
          <w:p w14:paraId="56C86842"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61548EC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0.224</w:t>
            </w:r>
          </w:p>
        </w:tc>
        <w:tc>
          <w:tcPr>
            <w:tcW w:w="728" w:type="dxa"/>
            <w:tcBorders>
              <w:top w:val="nil"/>
              <w:left w:val="nil"/>
              <w:bottom w:val="nil"/>
              <w:right w:val="nil"/>
            </w:tcBorders>
            <w:shd w:val="clear" w:color="auto" w:fill="auto"/>
            <w:noWrap/>
            <w:vAlign w:val="bottom"/>
            <w:hideMark/>
          </w:tcPr>
          <w:p w14:paraId="03F7651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1.776</w:t>
            </w:r>
          </w:p>
        </w:tc>
        <w:tc>
          <w:tcPr>
            <w:tcW w:w="1728" w:type="dxa"/>
            <w:tcBorders>
              <w:top w:val="nil"/>
              <w:left w:val="nil"/>
              <w:bottom w:val="nil"/>
              <w:right w:val="nil"/>
            </w:tcBorders>
            <w:shd w:val="clear" w:color="auto" w:fill="auto"/>
            <w:noWrap/>
            <w:vAlign w:val="bottom"/>
            <w:hideMark/>
          </w:tcPr>
          <w:p w14:paraId="44ED8DD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0.553</w:t>
            </w:r>
          </w:p>
        </w:tc>
        <w:tc>
          <w:tcPr>
            <w:tcW w:w="854" w:type="dxa"/>
            <w:tcBorders>
              <w:top w:val="nil"/>
              <w:left w:val="nil"/>
              <w:bottom w:val="nil"/>
              <w:right w:val="nil"/>
            </w:tcBorders>
            <w:shd w:val="clear" w:color="auto" w:fill="auto"/>
            <w:noWrap/>
            <w:vAlign w:val="bottom"/>
            <w:hideMark/>
          </w:tcPr>
          <w:p w14:paraId="6867B90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0.508</w:t>
            </w:r>
          </w:p>
        </w:tc>
      </w:tr>
      <w:tr w:rsidR="00304411" w:rsidRPr="00435469" w14:paraId="140E618B" w14:textId="77777777" w:rsidTr="00E84FC8">
        <w:trPr>
          <w:trHeight w:val="277"/>
        </w:trPr>
        <w:tc>
          <w:tcPr>
            <w:tcW w:w="906" w:type="dxa"/>
            <w:vMerge/>
            <w:tcBorders>
              <w:top w:val="nil"/>
              <w:left w:val="nil"/>
              <w:bottom w:val="nil"/>
              <w:right w:val="nil"/>
            </w:tcBorders>
            <w:vAlign w:val="center"/>
            <w:hideMark/>
          </w:tcPr>
          <w:p w14:paraId="7FDEB043"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1D1CFC5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2015</w:t>
            </w:r>
          </w:p>
        </w:tc>
        <w:tc>
          <w:tcPr>
            <w:tcW w:w="891" w:type="dxa"/>
            <w:tcBorders>
              <w:top w:val="nil"/>
              <w:left w:val="nil"/>
              <w:bottom w:val="nil"/>
              <w:right w:val="nil"/>
            </w:tcBorders>
            <w:shd w:val="clear" w:color="auto" w:fill="auto"/>
            <w:noWrap/>
            <w:vAlign w:val="bottom"/>
            <w:hideMark/>
          </w:tcPr>
          <w:p w14:paraId="7C09752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0.114</w:t>
            </w:r>
          </w:p>
        </w:tc>
        <w:tc>
          <w:tcPr>
            <w:tcW w:w="728" w:type="dxa"/>
            <w:tcBorders>
              <w:top w:val="nil"/>
              <w:left w:val="nil"/>
              <w:bottom w:val="nil"/>
              <w:right w:val="nil"/>
            </w:tcBorders>
            <w:shd w:val="clear" w:color="auto" w:fill="auto"/>
            <w:noWrap/>
            <w:vAlign w:val="bottom"/>
            <w:hideMark/>
          </w:tcPr>
          <w:p w14:paraId="11DFB04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1.886</w:t>
            </w:r>
          </w:p>
        </w:tc>
        <w:tc>
          <w:tcPr>
            <w:tcW w:w="1728" w:type="dxa"/>
            <w:tcBorders>
              <w:top w:val="nil"/>
              <w:left w:val="nil"/>
              <w:bottom w:val="nil"/>
              <w:right w:val="nil"/>
            </w:tcBorders>
            <w:shd w:val="clear" w:color="auto" w:fill="auto"/>
            <w:noWrap/>
            <w:vAlign w:val="bottom"/>
            <w:hideMark/>
          </w:tcPr>
          <w:p w14:paraId="4D79A73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0.068</w:t>
            </w:r>
          </w:p>
        </w:tc>
        <w:tc>
          <w:tcPr>
            <w:tcW w:w="772" w:type="dxa"/>
            <w:tcBorders>
              <w:top w:val="nil"/>
              <w:left w:val="nil"/>
              <w:bottom w:val="nil"/>
              <w:right w:val="nil"/>
            </w:tcBorders>
            <w:shd w:val="clear" w:color="auto" w:fill="auto"/>
            <w:noWrap/>
            <w:vAlign w:val="bottom"/>
            <w:hideMark/>
          </w:tcPr>
          <w:p w14:paraId="4F1107F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0.391</w:t>
            </w:r>
          </w:p>
        </w:tc>
        <w:tc>
          <w:tcPr>
            <w:tcW w:w="471" w:type="dxa"/>
            <w:tcBorders>
              <w:top w:val="nil"/>
              <w:left w:val="nil"/>
              <w:bottom w:val="nil"/>
              <w:right w:val="nil"/>
            </w:tcBorders>
            <w:shd w:val="clear" w:color="auto" w:fill="auto"/>
            <w:noWrap/>
            <w:vAlign w:val="bottom"/>
            <w:hideMark/>
          </w:tcPr>
          <w:p w14:paraId="5B6BEC97"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566056D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0.060</w:t>
            </w:r>
          </w:p>
        </w:tc>
        <w:tc>
          <w:tcPr>
            <w:tcW w:w="728" w:type="dxa"/>
            <w:tcBorders>
              <w:top w:val="nil"/>
              <w:left w:val="nil"/>
              <w:bottom w:val="nil"/>
              <w:right w:val="nil"/>
            </w:tcBorders>
            <w:shd w:val="clear" w:color="auto" w:fill="auto"/>
            <w:noWrap/>
            <w:vAlign w:val="bottom"/>
            <w:hideMark/>
          </w:tcPr>
          <w:p w14:paraId="48F044D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1.940</w:t>
            </w:r>
          </w:p>
        </w:tc>
        <w:tc>
          <w:tcPr>
            <w:tcW w:w="1728" w:type="dxa"/>
            <w:tcBorders>
              <w:top w:val="nil"/>
              <w:left w:val="nil"/>
              <w:bottom w:val="nil"/>
              <w:right w:val="nil"/>
            </w:tcBorders>
            <w:shd w:val="clear" w:color="auto" w:fill="auto"/>
            <w:noWrap/>
            <w:vAlign w:val="bottom"/>
            <w:hideMark/>
          </w:tcPr>
          <w:p w14:paraId="448E5BB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0.115</w:t>
            </w:r>
          </w:p>
        </w:tc>
        <w:tc>
          <w:tcPr>
            <w:tcW w:w="772" w:type="dxa"/>
            <w:tcBorders>
              <w:top w:val="nil"/>
              <w:left w:val="nil"/>
              <w:bottom w:val="nil"/>
              <w:right w:val="nil"/>
            </w:tcBorders>
            <w:shd w:val="clear" w:color="auto" w:fill="auto"/>
            <w:noWrap/>
            <w:vAlign w:val="bottom"/>
            <w:hideMark/>
          </w:tcPr>
          <w:p w14:paraId="2461C41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0.171</w:t>
            </w:r>
          </w:p>
        </w:tc>
        <w:tc>
          <w:tcPr>
            <w:tcW w:w="484" w:type="dxa"/>
            <w:tcBorders>
              <w:top w:val="nil"/>
              <w:left w:val="nil"/>
              <w:bottom w:val="nil"/>
              <w:right w:val="nil"/>
            </w:tcBorders>
            <w:shd w:val="clear" w:color="auto" w:fill="auto"/>
            <w:noWrap/>
            <w:vAlign w:val="bottom"/>
            <w:hideMark/>
          </w:tcPr>
          <w:p w14:paraId="55AB7D51"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2EF36EA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0.336</w:t>
            </w:r>
          </w:p>
        </w:tc>
        <w:tc>
          <w:tcPr>
            <w:tcW w:w="728" w:type="dxa"/>
            <w:tcBorders>
              <w:top w:val="nil"/>
              <w:left w:val="nil"/>
              <w:bottom w:val="nil"/>
              <w:right w:val="nil"/>
            </w:tcBorders>
            <w:shd w:val="clear" w:color="auto" w:fill="auto"/>
            <w:noWrap/>
            <w:vAlign w:val="bottom"/>
            <w:hideMark/>
          </w:tcPr>
          <w:p w14:paraId="4BE901E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1.664</w:t>
            </w:r>
          </w:p>
        </w:tc>
        <w:tc>
          <w:tcPr>
            <w:tcW w:w="1728" w:type="dxa"/>
            <w:tcBorders>
              <w:top w:val="nil"/>
              <w:left w:val="nil"/>
              <w:bottom w:val="nil"/>
              <w:right w:val="nil"/>
            </w:tcBorders>
            <w:shd w:val="clear" w:color="auto" w:fill="auto"/>
            <w:noWrap/>
            <w:vAlign w:val="bottom"/>
            <w:hideMark/>
          </w:tcPr>
          <w:p w14:paraId="44FA600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0.263</w:t>
            </w:r>
          </w:p>
        </w:tc>
        <w:tc>
          <w:tcPr>
            <w:tcW w:w="854" w:type="dxa"/>
            <w:tcBorders>
              <w:top w:val="nil"/>
              <w:left w:val="nil"/>
              <w:bottom w:val="nil"/>
              <w:right w:val="nil"/>
            </w:tcBorders>
            <w:shd w:val="clear" w:color="auto" w:fill="auto"/>
            <w:noWrap/>
            <w:vAlign w:val="bottom"/>
            <w:hideMark/>
          </w:tcPr>
          <w:p w14:paraId="544271A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0.435</w:t>
            </w:r>
          </w:p>
        </w:tc>
      </w:tr>
      <w:tr w:rsidR="00304411" w:rsidRPr="00435469" w14:paraId="4CF09F37" w14:textId="77777777" w:rsidTr="00E84FC8">
        <w:trPr>
          <w:trHeight w:val="277"/>
        </w:trPr>
        <w:tc>
          <w:tcPr>
            <w:tcW w:w="906" w:type="dxa"/>
            <w:vMerge/>
            <w:tcBorders>
              <w:top w:val="nil"/>
              <w:left w:val="nil"/>
              <w:bottom w:val="single" w:sz="4" w:space="0" w:color="auto"/>
              <w:right w:val="nil"/>
            </w:tcBorders>
            <w:vAlign w:val="center"/>
            <w:hideMark/>
          </w:tcPr>
          <w:p w14:paraId="06C0D77C"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single" w:sz="4" w:space="0" w:color="auto"/>
              <w:right w:val="nil"/>
            </w:tcBorders>
            <w:shd w:val="clear" w:color="auto" w:fill="auto"/>
            <w:noWrap/>
            <w:vAlign w:val="bottom"/>
            <w:hideMark/>
          </w:tcPr>
          <w:p w14:paraId="2F17563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2016</w:t>
            </w:r>
          </w:p>
        </w:tc>
        <w:tc>
          <w:tcPr>
            <w:tcW w:w="891" w:type="dxa"/>
            <w:tcBorders>
              <w:top w:val="nil"/>
              <w:left w:val="nil"/>
              <w:bottom w:val="single" w:sz="4" w:space="0" w:color="auto"/>
              <w:right w:val="nil"/>
            </w:tcBorders>
            <w:shd w:val="clear" w:color="auto" w:fill="auto"/>
            <w:noWrap/>
            <w:vAlign w:val="bottom"/>
            <w:hideMark/>
          </w:tcPr>
          <w:p w14:paraId="2D52345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0.070</w:t>
            </w:r>
          </w:p>
        </w:tc>
        <w:tc>
          <w:tcPr>
            <w:tcW w:w="728" w:type="dxa"/>
            <w:tcBorders>
              <w:top w:val="nil"/>
              <w:left w:val="nil"/>
              <w:bottom w:val="single" w:sz="4" w:space="0" w:color="auto"/>
              <w:right w:val="nil"/>
            </w:tcBorders>
            <w:shd w:val="clear" w:color="auto" w:fill="auto"/>
            <w:noWrap/>
            <w:vAlign w:val="bottom"/>
            <w:hideMark/>
          </w:tcPr>
          <w:p w14:paraId="45AFFE8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1.930</w:t>
            </w:r>
          </w:p>
        </w:tc>
        <w:tc>
          <w:tcPr>
            <w:tcW w:w="1728" w:type="dxa"/>
            <w:tcBorders>
              <w:top w:val="nil"/>
              <w:left w:val="nil"/>
              <w:bottom w:val="single" w:sz="4" w:space="0" w:color="auto"/>
              <w:right w:val="nil"/>
            </w:tcBorders>
            <w:shd w:val="clear" w:color="auto" w:fill="auto"/>
            <w:noWrap/>
            <w:vAlign w:val="bottom"/>
            <w:hideMark/>
          </w:tcPr>
          <w:p w14:paraId="0BC5192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0.090</w:t>
            </w:r>
          </w:p>
        </w:tc>
        <w:tc>
          <w:tcPr>
            <w:tcW w:w="772" w:type="dxa"/>
            <w:tcBorders>
              <w:top w:val="nil"/>
              <w:left w:val="nil"/>
              <w:bottom w:val="single" w:sz="4" w:space="0" w:color="auto"/>
              <w:right w:val="nil"/>
            </w:tcBorders>
            <w:shd w:val="clear" w:color="auto" w:fill="auto"/>
            <w:noWrap/>
            <w:vAlign w:val="bottom"/>
            <w:hideMark/>
          </w:tcPr>
          <w:p w14:paraId="2361B96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0.386</w:t>
            </w:r>
          </w:p>
        </w:tc>
        <w:tc>
          <w:tcPr>
            <w:tcW w:w="471" w:type="dxa"/>
            <w:tcBorders>
              <w:top w:val="nil"/>
              <w:left w:val="nil"/>
              <w:bottom w:val="single" w:sz="4" w:space="0" w:color="auto"/>
              <w:right w:val="nil"/>
            </w:tcBorders>
            <w:shd w:val="clear" w:color="auto" w:fill="auto"/>
            <w:noWrap/>
            <w:vAlign w:val="bottom"/>
            <w:hideMark/>
          </w:tcPr>
          <w:p w14:paraId="7712FAB6"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single" w:sz="4" w:space="0" w:color="auto"/>
              <w:right w:val="nil"/>
            </w:tcBorders>
            <w:shd w:val="clear" w:color="auto" w:fill="auto"/>
            <w:noWrap/>
            <w:vAlign w:val="bottom"/>
            <w:hideMark/>
          </w:tcPr>
          <w:p w14:paraId="2E2904D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0.047</w:t>
            </w:r>
          </w:p>
        </w:tc>
        <w:tc>
          <w:tcPr>
            <w:tcW w:w="728" w:type="dxa"/>
            <w:tcBorders>
              <w:top w:val="nil"/>
              <w:left w:val="nil"/>
              <w:bottom w:val="single" w:sz="4" w:space="0" w:color="auto"/>
              <w:right w:val="nil"/>
            </w:tcBorders>
            <w:shd w:val="clear" w:color="auto" w:fill="auto"/>
            <w:noWrap/>
            <w:vAlign w:val="bottom"/>
            <w:hideMark/>
          </w:tcPr>
          <w:p w14:paraId="76AB752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1.953</w:t>
            </w:r>
          </w:p>
        </w:tc>
        <w:tc>
          <w:tcPr>
            <w:tcW w:w="1728" w:type="dxa"/>
            <w:tcBorders>
              <w:top w:val="nil"/>
              <w:left w:val="nil"/>
              <w:bottom w:val="single" w:sz="4" w:space="0" w:color="auto"/>
              <w:right w:val="nil"/>
            </w:tcBorders>
            <w:shd w:val="clear" w:color="auto" w:fill="auto"/>
            <w:noWrap/>
            <w:vAlign w:val="bottom"/>
            <w:hideMark/>
          </w:tcPr>
          <w:p w14:paraId="2ABA838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0.121</w:t>
            </w:r>
          </w:p>
        </w:tc>
        <w:tc>
          <w:tcPr>
            <w:tcW w:w="772" w:type="dxa"/>
            <w:tcBorders>
              <w:top w:val="nil"/>
              <w:left w:val="nil"/>
              <w:bottom w:val="single" w:sz="4" w:space="0" w:color="auto"/>
              <w:right w:val="nil"/>
            </w:tcBorders>
            <w:shd w:val="clear" w:color="auto" w:fill="auto"/>
            <w:noWrap/>
            <w:vAlign w:val="bottom"/>
            <w:hideMark/>
          </w:tcPr>
          <w:p w14:paraId="5055BA8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0.170</w:t>
            </w:r>
          </w:p>
        </w:tc>
        <w:tc>
          <w:tcPr>
            <w:tcW w:w="484" w:type="dxa"/>
            <w:tcBorders>
              <w:top w:val="nil"/>
              <w:left w:val="nil"/>
              <w:bottom w:val="single" w:sz="4" w:space="0" w:color="auto"/>
              <w:right w:val="nil"/>
            </w:tcBorders>
            <w:shd w:val="clear" w:color="auto" w:fill="auto"/>
            <w:noWrap/>
            <w:vAlign w:val="bottom"/>
            <w:hideMark/>
          </w:tcPr>
          <w:p w14:paraId="03E17BA7"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single" w:sz="4" w:space="0" w:color="auto"/>
              <w:right w:val="nil"/>
            </w:tcBorders>
            <w:shd w:val="clear" w:color="auto" w:fill="auto"/>
            <w:noWrap/>
            <w:vAlign w:val="bottom"/>
            <w:hideMark/>
          </w:tcPr>
          <w:p w14:paraId="7C51686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0.096</w:t>
            </w:r>
          </w:p>
        </w:tc>
        <w:tc>
          <w:tcPr>
            <w:tcW w:w="728" w:type="dxa"/>
            <w:tcBorders>
              <w:top w:val="nil"/>
              <w:left w:val="nil"/>
              <w:bottom w:val="single" w:sz="4" w:space="0" w:color="auto"/>
              <w:right w:val="nil"/>
            </w:tcBorders>
            <w:shd w:val="clear" w:color="auto" w:fill="auto"/>
            <w:noWrap/>
            <w:vAlign w:val="bottom"/>
            <w:hideMark/>
          </w:tcPr>
          <w:p w14:paraId="5A1EC36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1.904</w:t>
            </w:r>
          </w:p>
        </w:tc>
        <w:tc>
          <w:tcPr>
            <w:tcW w:w="1728" w:type="dxa"/>
            <w:tcBorders>
              <w:top w:val="nil"/>
              <w:left w:val="nil"/>
              <w:bottom w:val="single" w:sz="4" w:space="0" w:color="auto"/>
              <w:right w:val="nil"/>
            </w:tcBorders>
            <w:shd w:val="clear" w:color="auto" w:fill="auto"/>
            <w:noWrap/>
            <w:vAlign w:val="bottom"/>
            <w:hideMark/>
          </w:tcPr>
          <w:p w14:paraId="693B490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0.287</w:t>
            </w:r>
          </w:p>
        </w:tc>
        <w:tc>
          <w:tcPr>
            <w:tcW w:w="854" w:type="dxa"/>
            <w:tcBorders>
              <w:top w:val="nil"/>
              <w:left w:val="nil"/>
              <w:bottom w:val="single" w:sz="4" w:space="0" w:color="auto"/>
              <w:right w:val="nil"/>
            </w:tcBorders>
            <w:shd w:val="clear" w:color="auto" w:fill="auto"/>
            <w:noWrap/>
            <w:vAlign w:val="bottom"/>
            <w:hideMark/>
          </w:tcPr>
          <w:p w14:paraId="226D0F4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0.392</w:t>
            </w:r>
          </w:p>
        </w:tc>
      </w:tr>
      <w:tr w:rsidR="00304411" w:rsidRPr="00435469" w14:paraId="6BF829F7" w14:textId="77777777" w:rsidTr="00E84FC8">
        <w:trPr>
          <w:trHeight w:val="277"/>
        </w:trPr>
        <w:tc>
          <w:tcPr>
            <w:tcW w:w="906" w:type="dxa"/>
            <w:vMerge w:val="restart"/>
            <w:tcBorders>
              <w:top w:val="single" w:sz="4" w:space="0" w:color="auto"/>
              <w:left w:val="nil"/>
              <w:bottom w:val="nil"/>
              <w:right w:val="nil"/>
            </w:tcBorders>
            <w:shd w:val="clear" w:color="auto" w:fill="auto"/>
            <w:noWrap/>
            <w:vAlign w:val="center"/>
            <w:hideMark/>
          </w:tcPr>
          <w:p w14:paraId="4618DB3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b/>
                <w:bCs/>
                <w:sz w:val="16"/>
                <w:szCs w:val="16"/>
                <w:lang w:eastAsia="en-ZA"/>
              </w:rPr>
              <w:t>Male</w:t>
            </w:r>
          </w:p>
        </w:tc>
        <w:tc>
          <w:tcPr>
            <w:tcW w:w="728" w:type="dxa"/>
            <w:tcBorders>
              <w:top w:val="single" w:sz="4" w:space="0" w:color="auto"/>
              <w:left w:val="nil"/>
              <w:bottom w:val="nil"/>
              <w:right w:val="nil"/>
            </w:tcBorders>
            <w:shd w:val="clear" w:color="auto" w:fill="auto"/>
            <w:noWrap/>
            <w:vAlign w:val="bottom"/>
            <w:hideMark/>
          </w:tcPr>
          <w:p w14:paraId="429DDB5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2004</w:t>
            </w:r>
          </w:p>
        </w:tc>
        <w:tc>
          <w:tcPr>
            <w:tcW w:w="891" w:type="dxa"/>
            <w:tcBorders>
              <w:top w:val="single" w:sz="4" w:space="0" w:color="auto"/>
              <w:left w:val="nil"/>
              <w:bottom w:val="nil"/>
              <w:right w:val="nil"/>
            </w:tcBorders>
            <w:shd w:val="clear" w:color="auto" w:fill="auto"/>
            <w:noWrap/>
            <w:vAlign w:val="bottom"/>
            <w:hideMark/>
          </w:tcPr>
          <w:p w14:paraId="3CF3773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0.112</w:t>
            </w:r>
          </w:p>
        </w:tc>
        <w:tc>
          <w:tcPr>
            <w:tcW w:w="728" w:type="dxa"/>
            <w:tcBorders>
              <w:top w:val="single" w:sz="4" w:space="0" w:color="auto"/>
              <w:left w:val="nil"/>
              <w:bottom w:val="nil"/>
              <w:right w:val="nil"/>
            </w:tcBorders>
            <w:shd w:val="clear" w:color="auto" w:fill="auto"/>
            <w:noWrap/>
            <w:vAlign w:val="bottom"/>
            <w:hideMark/>
          </w:tcPr>
          <w:p w14:paraId="633122B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1.888</w:t>
            </w:r>
          </w:p>
        </w:tc>
        <w:tc>
          <w:tcPr>
            <w:tcW w:w="1728" w:type="dxa"/>
            <w:tcBorders>
              <w:top w:val="single" w:sz="4" w:space="0" w:color="auto"/>
              <w:left w:val="nil"/>
              <w:bottom w:val="nil"/>
              <w:right w:val="nil"/>
            </w:tcBorders>
            <w:shd w:val="clear" w:color="auto" w:fill="auto"/>
            <w:noWrap/>
            <w:vAlign w:val="bottom"/>
            <w:hideMark/>
          </w:tcPr>
          <w:p w14:paraId="6F0DA6F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0.549</w:t>
            </w:r>
          </w:p>
        </w:tc>
        <w:tc>
          <w:tcPr>
            <w:tcW w:w="772" w:type="dxa"/>
            <w:tcBorders>
              <w:top w:val="single" w:sz="4" w:space="0" w:color="auto"/>
              <w:left w:val="nil"/>
              <w:bottom w:val="nil"/>
              <w:right w:val="nil"/>
            </w:tcBorders>
            <w:shd w:val="clear" w:color="auto" w:fill="auto"/>
            <w:noWrap/>
            <w:vAlign w:val="bottom"/>
            <w:hideMark/>
          </w:tcPr>
          <w:p w14:paraId="79CC0FF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0.445</w:t>
            </w:r>
          </w:p>
        </w:tc>
        <w:tc>
          <w:tcPr>
            <w:tcW w:w="471" w:type="dxa"/>
            <w:tcBorders>
              <w:top w:val="single" w:sz="4" w:space="0" w:color="auto"/>
              <w:left w:val="nil"/>
              <w:bottom w:val="nil"/>
              <w:right w:val="nil"/>
            </w:tcBorders>
            <w:shd w:val="clear" w:color="auto" w:fill="auto"/>
            <w:noWrap/>
            <w:vAlign w:val="bottom"/>
            <w:hideMark/>
          </w:tcPr>
          <w:p w14:paraId="248CC79A"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single" w:sz="4" w:space="0" w:color="auto"/>
              <w:left w:val="nil"/>
              <w:bottom w:val="nil"/>
              <w:right w:val="nil"/>
            </w:tcBorders>
            <w:shd w:val="clear" w:color="auto" w:fill="auto"/>
            <w:noWrap/>
            <w:vAlign w:val="bottom"/>
            <w:hideMark/>
          </w:tcPr>
          <w:p w14:paraId="47D22F3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0.074</w:t>
            </w:r>
          </w:p>
        </w:tc>
        <w:tc>
          <w:tcPr>
            <w:tcW w:w="728" w:type="dxa"/>
            <w:tcBorders>
              <w:top w:val="single" w:sz="4" w:space="0" w:color="auto"/>
              <w:left w:val="nil"/>
              <w:bottom w:val="nil"/>
              <w:right w:val="nil"/>
            </w:tcBorders>
            <w:shd w:val="clear" w:color="auto" w:fill="auto"/>
            <w:noWrap/>
            <w:vAlign w:val="bottom"/>
            <w:hideMark/>
          </w:tcPr>
          <w:p w14:paraId="6569593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1.926</w:t>
            </w:r>
          </w:p>
        </w:tc>
        <w:tc>
          <w:tcPr>
            <w:tcW w:w="1728" w:type="dxa"/>
            <w:tcBorders>
              <w:top w:val="single" w:sz="4" w:space="0" w:color="auto"/>
              <w:left w:val="nil"/>
              <w:bottom w:val="nil"/>
              <w:right w:val="nil"/>
            </w:tcBorders>
            <w:shd w:val="clear" w:color="auto" w:fill="auto"/>
            <w:noWrap/>
            <w:vAlign w:val="bottom"/>
            <w:hideMark/>
          </w:tcPr>
          <w:p w14:paraId="159195B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0.271</w:t>
            </w:r>
          </w:p>
        </w:tc>
        <w:tc>
          <w:tcPr>
            <w:tcW w:w="772" w:type="dxa"/>
            <w:tcBorders>
              <w:top w:val="single" w:sz="4" w:space="0" w:color="auto"/>
              <w:left w:val="nil"/>
              <w:bottom w:val="nil"/>
              <w:right w:val="nil"/>
            </w:tcBorders>
            <w:shd w:val="clear" w:color="auto" w:fill="auto"/>
            <w:noWrap/>
            <w:vAlign w:val="bottom"/>
            <w:hideMark/>
          </w:tcPr>
          <w:p w14:paraId="0D28459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0.088</w:t>
            </w:r>
          </w:p>
        </w:tc>
        <w:tc>
          <w:tcPr>
            <w:tcW w:w="484" w:type="dxa"/>
            <w:tcBorders>
              <w:top w:val="single" w:sz="4" w:space="0" w:color="auto"/>
              <w:left w:val="nil"/>
              <w:bottom w:val="nil"/>
              <w:right w:val="nil"/>
            </w:tcBorders>
            <w:shd w:val="clear" w:color="auto" w:fill="auto"/>
            <w:noWrap/>
            <w:vAlign w:val="bottom"/>
            <w:hideMark/>
          </w:tcPr>
          <w:p w14:paraId="5D01DA90"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single" w:sz="4" w:space="0" w:color="auto"/>
              <w:left w:val="nil"/>
              <w:bottom w:val="nil"/>
              <w:right w:val="nil"/>
            </w:tcBorders>
            <w:shd w:val="clear" w:color="auto" w:fill="auto"/>
            <w:noWrap/>
            <w:vAlign w:val="bottom"/>
            <w:hideMark/>
          </w:tcPr>
          <w:p w14:paraId="2B2AAF1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0.073</w:t>
            </w:r>
          </w:p>
        </w:tc>
        <w:tc>
          <w:tcPr>
            <w:tcW w:w="728" w:type="dxa"/>
            <w:tcBorders>
              <w:top w:val="single" w:sz="4" w:space="0" w:color="auto"/>
              <w:left w:val="nil"/>
              <w:bottom w:val="nil"/>
              <w:right w:val="nil"/>
            </w:tcBorders>
            <w:shd w:val="clear" w:color="auto" w:fill="auto"/>
            <w:noWrap/>
            <w:vAlign w:val="bottom"/>
            <w:hideMark/>
          </w:tcPr>
          <w:p w14:paraId="1F8AD01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1.927</w:t>
            </w:r>
          </w:p>
        </w:tc>
        <w:tc>
          <w:tcPr>
            <w:tcW w:w="1728" w:type="dxa"/>
            <w:tcBorders>
              <w:top w:val="single" w:sz="4" w:space="0" w:color="auto"/>
              <w:left w:val="nil"/>
              <w:bottom w:val="nil"/>
              <w:right w:val="nil"/>
            </w:tcBorders>
            <w:shd w:val="clear" w:color="auto" w:fill="auto"/>
            <w:noWrap/>
            <w:vAlign w:val="bottom"/>
            <w:hideMark/>
          </w:tcPr>
          <w:p w14:paraId="2B5E66B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0.647</w:t>
            </w:r>
          </w:p>
        </w:tc>
        <w:tc>
          <w:tcPr>
            <w:tcW w:w="854" w:type="dxa"/>
            <w:tcBorders>
              <w:top w:val="single" w:sz="4" w:space="0" w:color="auto"/>
              <w:left w:val="nil"/>
              <w:bottom w:val="nil"/>
              <w:right w:val="nil"/>
            </w:tcBorders>
            <w:shd w:val="clear" w:color="auto" w:fill="auto"/>
            <w:noWrap/>
            <w:vAlign w:val="bottom"/>
            <w:hideMark/>
          </w:tcPr>
          <w:p w14:paraId="5F982CB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0.498</w:t>
            </w:r>
          </w:p>
        </w:tc>
      </w:tr>
      <w:tr w:rsidR="00304411" w:rsidRPr="00435469" w14:paraId="7470A635" w14:textId="77777777" w:rsidTr="00E84FC8">
        <w:trPr>
          <w:trHeight w:val="277"/>
        </w:trPr>
        <w:tc>
          <w:tcPr>
            <w:tcW w:w="906" w:type="dxa"/>
            <w:vMerge/>
            <w:tcBorders>
              <w:top w:val="single" w:sz="4" w:space="0" w:color="auto"/>
              <w:left w:val="nil"/>
              <w:bottom w:val="nil"/>
              <w:right w:val="nil"/>
            </w:tcBorders>
            <w:vAlign w:val="center"/>
            <w:hideMark/>
          </w:tcPr>
          <w:p w14:paraId="2A6EDF7E"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7A80BAD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2005</w:t>
            </w:r>
          </w:p>
        </w:tc>
        <w:tc>
          <w:tcPr>
            <w:tcW w:w="891" w:type="dxa"/>
            <w:tcBorders>
              <w:top w:val="nil"/>
              <w:left w:val="nil"/>
              <w:bottom w:val="nil"/>
              <w:right w:val="nil"/>
            </w:tcBorders>
            <w:shd w:val="clear" w:color="auto" w:fill="auto"/>
            <w:noWrap/>
            <w:vAlign w:val="bottom"/>
            <w:hideMark/>
          </w:tcPr>
          <w:p w14:paraId="378DA52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0.090</w:t>
            </w:r>
          </w:p>
        </w:tc>
        <w:tc>
          <w:tcPr>
            <w:tcW w:w="728" w:type="dxa"/>
            <w:tcBorders>
              <w:top w:val="nil"/>
              <w:left w:val="nil"/>
              <w:bottom w:val="nil"/>
              <w:right w:val="nil"/>
            </w:tcBorders>
            <w:shd w:val="clear" w:color="auto" w:fill="auto"/>
            <w:noWrap/>
            <w:vAlign w:val="bottom"/>
            <w:hideMark/>
          </w:tcPr>
          <w:p w14:paraId="5006709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1.910</w:t>
            </w:r>
          </w:p>
        </w:tc>
        <w:tc>
          <w:tcPr>
            <w:tcW w:w="1728" w:type="dxa"/>
            <w:tcBorders>
              <w:top w:val="nil"/>
              <w:left w:val="nil"/>
              <w:bottom w:val="nil"/>
              <w:right w:val="nil"/>
            </w:tcBorders>
            <w:shd w:val="clear" w:color="auto" w:fill="auto"/>
            <w:noWrap/>
            <w:vAlign w:val="bottom"/>
            <w:hideMark/>
          </w:tcPr>
          <w:p w14:paraId="221AF28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0.346</w:t>
            </w:r>
          </w:p>
        </w:tc>
        <w:tc>
          <w:tcPr>
            <w:tcW w:w="772" w:type="dxa"/>
            <w:tcBorders>
              <w:top w:val="nil"/>
              <w:left w:val="nil"/>
              <w:bottom w:val="nil"/>
              <w:right w:val="nil"/>
            </w:tcBorders>
            <w:shd w:val="clear" w:color="auto" w:fill="auto"/>
            <w:noWrap/>
            <w:vAlign w:val="bottom"/>
            <w:hideMark/>
          </w:tcPr>
          <w:p w14:paraId="7ED7076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0.539</w:t>
            </w:r>
          </w:p>
        </w:tc>
        <w:tc>
          <w:tcPr>
            <w:tcW w:w="471" w:type="dxa"/>
            <w:tcBorders>
              <w:top w:val="nil"/>
              <w:left w:val="nil"/>
              <w:bottom w:val="nil"/>
              <w:right w:val="nil"/>
            </w:tcBorders>
            <w:shd w:val="clear" w:color="auto" w:fill="auto"/>
            <w:noWrap/>
            <w:vAlign w:val="bottom"/>
            <w:hideMark/>
          </w:tcPr>
          <w:p w14:paraId="1A44A708"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56C8ADD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0.042</w:t>
            </w:r>
          </w:p>
        </w:tc>
        <w:tc>
          <w:tcPr>
            <w:tcW w:w="728" w:type="dxa"/>
            <w:tcBorders>
              <w:top w:val="nil"/>
              <w:left w:val="nil"/>
              <w:bottom w:val="nil"/>
              <w:right w:val="nil"/>
            </w:tcBorders>
            <w:shd w:val="clear" w:color="auto" w:fill="auto"/>
            <w:noWrap/>
            <w:vAlign w:val="bottom"/>
            <w:hideMark/>
          </w:tcPr>
          <w:p w14:paraId="6BC27D2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1.958</w:t>
            </w:r>
          </w:p>
        </w:tc>
        <w:tc>
          <w:tcPr>
            <w:tcW w:w="1728" w:type="dxa"/>
            <w:tcBorders>
              <w:top w:val="nil"/>
              <w:left w:val="nil"/>
              <w:bottom w:val="nil"/>
              <w:right w:val="nil"/>
            </w:tcBorders>
            <w:shd w:val="clear" w:color="auto" w:fill="auto"/>
            <w:noWrap/>
            <w:vAlign w:val="bottom"/>
            <w:hideMark/>
          </w:tcPr>
          <w:p w14:paraId="1F473B4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0.328</w:t>
            </w:r>
          </w:p>
        </w:tc>
        <w:tc>
          <w:tcPr>
            <w:tcW w:w="772" w:type="dxa"/>
            <w:tcBorders>
              <w:top w:val="nil"/>
              <w:left w:val="nil"/>
              <w:bottom w:val="nil"/>
              <w:right w:val="nil"/>
            </w:tcBorders>
            <w:shd w:val="clear" w:color="auto" w:fill="auto"/>
            <w:noWrap/>
            <w:vAlign w:val="bottom"/>
            <w:hideMark/>
          </w:tcPr>
          <w:p w14:paraId="0AB9AFA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0.134</w:t>
            </w:r>
          </w:p>
        </w:tc>
        <w:tc>
          <w:tcPr>
            <w:tcW w:w="484" w:type="dxa"/>
            <w:tcBorders>
              <w:top w:val="nil"/>
              <w:left w:val="nil"/>
              <w:bottom w:val="nil"/>
              <w:right w:val="nil"/>
            </w:tcBorders>
            <w:shd w:val="clear" w:color="auto" w:fill="auto"/>
            <w:noWrap/>
            <w:vAlign w:val="bottom"/>
            <w:hideMark/>
          </w:tcPr>
          <w:p w14:paraId="1093FDCC"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187C3F1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0.076</w:t>
            </w:r>
          </w:p>
        </w:tc>
        <w:tc>
          <w:tcPr>
            <w:tcW w:w="728" w:type="dxa"/>
            <w:tcBorders>
              <w:top w:val="nil"/>
              <w:left w:val="nil"/>
              <w:bottom w:val="nil"/>
              <w:right w:val="nil"/>
            </w:tcBorders>
            <w:shd w:val="clear" w:color="auto" w:fill="auto"/>
            <w:noWrap/>
            <w:vAlign w:val="bottom"/>
            <w:hideMark/>
          </w:tcPr>
          <w:p w14:paraId="718C65B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1.924</w:t>
            </w:r>
          </w:p>
        </w:tc>
        <w:tc>
          <w:tcPr>
            <w:tcW w:w="1728" w:type="dxa"/>
            <w:tcBorders>
              <w:top w:val="nil"/>
              <w:left w:val="nil"/>
              <w:bottom w:val="nil"/>
              <w:right w:val="nil"/>
            </w:tcBorders>
            <w:shd w:val="clear" w:color="auto" w:fill="auto"/>
            <w:noWrap/>
            <w:vAlign w:val="bottom"/>
            <w:hideMark/>
          </w:tcPr>
          <w:p w14:paraId="3226DE9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0.493</w:t>
            </w:r>
          </w:p>
        </w:tc>
        <w:tc>
          <w:tcPr>
            <w:tcW w:w="854" w:type="dxa"/>
            <w:tcBorders>
              <w:top w:val="nil"/>
              <w:left w:val="nil"/>
              <w:bottom w:val="nil"/>
              <w:right w:val="nil"/>
            </w:tcBorders>
            <w:shd w:val="clear" w:color="auto" w:fill="auto"/>
            <w:noWrap/>
            <w:vAlign w:val="bottom"/>
            <w:hideMark/>
          </w:tcPr>
          <w:p w14:paraId="1836413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0.536</w:t>
            </w:r>
          </w:p>
        </w:tc>
      </w:tr>
      <w:tr w:rsidR="00304411" w:rsidRPr="00435469" w14:paraId="62496A95" w14:textId="77777777" w:rsidTr="00E84FC8">
        <w:trPr>
          <w:trHeight w:val="277"/>
        </w:trPr>
        <w:tc>
          <w:tcPr>
            <w:tcW w:w="906" w:type="dxa"/>
            <w:vMerge/>
            <w:tcBorders>
              <w:top w:val="single" w:sz="4" w:space="0" w:color="auto"/>
              <w:left w:val="nil"/>
              <w:bottom w:val="nil"/>
              <w:right w:val="nil"/>
            </w:tcBorders>
            <w:vAlign w:val="center"/>
            <w:hideMark/>
          </w:tcPr>
          <w:p w14:paraId="20A5272F"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7ADCE72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2006</w:t>
            </w:r>
          </w:p>
        </w:tc>
        <w:tc>
          <w:tcPr>
            <w:tcW w:w="891" w:type="dxa"/>
            <w:tcBorders>
              <w:top w:val="nil"/>
              <w:left w:val="nil"/>
              <w:bottom w:val="nil"/>
              <w:right w:val="nil"/>
            </w:tcBorders>
            <w:shd w:val="clear" w:color="auto" w:fill="auto"/>
            <w:noWrap/>
            <w:vAlign w:val="bottom"/>
            <w:hideMark/>
          </w:tcPr>
          <w:p w14:paraId="079C9C0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0.065</w:t>
            </w:r>
          </w:p>
        </w:tc>
        <w:tc>
          <w:tcPr>
            <w:tcW w:w="728" w:type="dxa"/>
            <w:tcBorders>
              <w:top w:val="nil"/>
              <w:left w:val="nil"/>
              <w:bottom w:val="nil"/>
              <w:right w:val="nil"/>
            </w:tcBorders>
            <w:shd w:val="clear" w:color="auto" w:fill="auto"/>
            <w:noWrap/>
            <w:vAlign w:val="bottom"/>
            <w:hideMark/>
          </w:tcPr>
          <w:p w14:paraId="1E1AC93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1.935</w:t>
            </w:r>
          </w:p>
        </w:tc>
        <w:tc>
          <w:tcPr>
            <w:tcW w:w="1728" w:type="dxa"/>
            <w:tcBorders>
              <w:top w:val="nil"/>
              <w:left w:val="nil"/>
              <w:bottom w:val="nil"/>
              <w:right w:val="nil"/>
            </w:tcBorders>
            <w:shd w:val="clear" w:color="auto" w:fill="auto"/>
            <w:noWrap/>
            <w:vAlign w:val="bottom"/>
            <w:hideMark/>
          </w:tcPr>
          <w:p w14:paraId="04A6AC9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0.330</w:t>
            </w:r>
          </w:p>
        </w:tc>
        <w:tc>
          <w:tcPr>
            <w:tcW w:w="772" w:type="dxa"/>
            <w:tcBorders>
              <w:top w:val="nil"/>
              <w:left w:val="nil"/>
              <w:bottom w:val="nil"/>
              <w:right w:val="nil"/>
            </w:tcBorders>
            <w:shd w:val="clear" w:color="auto" w:fill="auto"/>
            <w:noWrap/>
            <w:vAlign w:val="bottom"/>
            <w:hideMark/>
          </w:tcPr>
          <w:p w14:paraId="09389DC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0.594</w:t>
            </w:r>
          </w:p>
        </w:tc>
        <w:tc>
          <w:tcPr>
            <w:tcW w:w="471" w:type="dxa"/>
            <w:tcBorders>
              <w:top w:val="nil"/>
              <w:left w:val="nil"/>
              <w:bottom w:val="nil"/>
              <w:right w:val="nil"/>
            </w:tcBorders>
            <w:shd w:val="clear" w:color="auto" w:fill="auto"/>
            <w:noWrap/>
            <w:vAlign w:val="bottom"/>
            <w:hideMark/>
          </w:tcPr>
          <w:p w14:paraId="5C09FBF0"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061310D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0.057</w:t>
            </w:r>
          </w:p>
        </w:tc>
        <w:tc>
          <w:tcPr>
            <w:tcW w:w="728" w:type="dxa"/>
            <w:tcBorders>
              <w:top w:val="nil"/>
              <w:left w:val="nil"/>
              <w:bottom w:val="nil"/>
              <w:right w:val="nil"/>
            </w:tcBorders>
            <w:shd w:val="clear" w:color="auto" w:fill="auto"/>
            <w:noWrap/>
            <w:vAlign w:val="bottom"/>
            <w:hideMark/>
          </w:tcPr>
          <w:p w14:paraId="2478C13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1.943</w:t>
            </w:r>
          </w:p>
        </w:tc>
        <w:tc>
          <w:tcPr>
            <w:tcW w:w="1728" w:type="dxa"/>
            <w:tcBorders>
              <w:top w:val="nil"/>
              <w:left w:val="nil"/>
              <w:bottom w:val="nil"/>
              <w:right w:val="nil"/>
            </w:tcBorders>
            <w:shd w:val="clear" w:color="auto" w:fill="auto"/>
            <w:noWrap/>
            <w:vAlign w:val="bottom"/>
            <w:hideMark/>
          </w:tcPr>
          <w:p w14:paraId="479A64E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0.371</w:t>
            </w:r>
          </w:p>
        </w:tc>
        <w:tc>
          <w:tcPr>
            <w:tcW w:w="772" w:type="dxa"/>
            <w:tcBorders>
              <w:top w:val="nil"/>
              <w:left w:val="nil"/>
              <w:bottom w:val="nil"/>
              <w:right w:val="nil"/>
            </w:tcBorders>
            <w:shd w:val="clear" w:color="auto" w:fill="auto"/>
            <w:noWrap/>
            <w:vAlign w:val="bottom"/>
            <w:hideMark/>
          </w:tcPr>
          <w:p w14:paraId="091CE12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0.162</w:t>
            </w:r>
          </w:p>
        </w:tc>
        <w:tc>
          <w:tcPr>
            <w:tcW w:w="484" w:type="dxa"/>
            <w:tcBorders>
              <w:top w:val="nil"/>
              <w:left w:val="nil"/>
              <w:bottom w:val="nil"/>
              <w:right w:val="nil"/>
            </w:tcBorders>
            <w:shd w:val="clear" w:color="auto" w:fill="auto"/>
            <w:noWrap/>
            <w:vAlign w:val="bottom"/>
            <w:hideMark/>
          </w:tcPr>
          <w:p w14:paraId="33F69812"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1634AA8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0.070</w:t>
            </w:r>
          </w:p>
        </w:tc>
        <w:tc>
          <w:tcPr>
            <w:tcW w:w="728" w:type="dxa"/>
            <w:tcBorders>
              <w:top w:val="nil"/>
              <w:left w:val="nil"/>
              <w:bottom w:val="nil"/>
              <w:right w:val="nil"/>
            </w:tcBorders>
            <w:shd w:val="clear" w:color="auto" w:fill="auto"/>
            <w:noWrap/>
            <w:vAlign w:val="bottom"/>
            <w:hideMark/>
          </w:tcPr>
          <w:p w14:paraId="7D7EDB8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1.930</w:t>
            </w:r>
          </w:p>
        </w:tc>
        <w:tc>
          <w:tcPr>
            <w:tcW w:w="1728" w:type="dxa"/>
            <w:tcBorders>
              <w:top w:val="nil"/>
              <w:left w:val="nil"/>
              <w:bottom w:val="nil"/>
              <w:right w:val="nil"/>
            </w:tcBorders>
            <w:shd w:val="clear" w:color="auto" w:fill="auto"/>
            <w:noWrap/>
            <w:vAlign w:val="bottom"/>
            <w:hideMark/>
          </w:tcPr>
          <w:p w14:paraId="06B8A5C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0.383</w:t>
            </w:r>
          </w:p>
        </w:tc>
        <w:tc>
          <w:tcPr>
            <w:tcW w:w="854" w:type="dxa"/>
            <w:tcBorders>
              <w:top w:val="nil"/>
              <w:left w:val="nil"/>
              <w:bottom w:val="nil"/>
              <w:right w:val="nil"/>
            </w:tcBorders>
            <w:shd w:val="clear" w:color="auto" w:fill="auto"/>
            <w:noWrap/>
            <w:vAlign w:val="bottom"/>
            <w:hideMark/>
          </w:tcPr>
          <w:p w14:paraId="74BBC38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0.559</w:t>
            </w:r>
          </w:p>
        </w:tc>
      </w:tr>
      <w:tr w:rsidR="00304411" w:rsidRPr="00435469" w14:paraId="4DDAF526" w14:textId="77777777" w:rsidTr="00E84FC8">
        <w:trPr>
          <w:trHeight w:val="277"/>
        </w:trPr>
        <w:tc>
          <w:tcPr>
            <w:tcW w:w="906" w:type="dxa"/>
            <w:vMerge/>
            <w:tcBorders>
              <w:top w:val="single" w:sz="4" w:space="0" w:color="auto"/>
              <w:left w:val="nil"/>
              <w:bottom w:val="nil"/>
              <w:right w:val="nil"/>
            </w:tcBorders>
            <w:vAlign w:val="center"/>
            <w:hideMark/>
          </w:tcPr>
          <w:p w14:paraId="358AD43C"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29FCD02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2007</w:t>
            </w:r>
          </w:p>
        </w:tc>
        <w:tc>
          <w:tcPr>
            <w:tcW w:w="891" w:type="dxa"/>
            <w:tcBorders>
              <w:top w:val="nil"/>
              <w:left w:val="nil"/>
              <w:bottom w:val="nil"/>
              <w:right w:val="nil"/>
            </w:tcBorders>
            <w:shd w:val="clear" w:color="auto" w:fill="auto"/>
            <w:noWrap/>
            <w:vAlign w:val="bottom"/>
            <w:hideMark/>
          </w:tcPr>
          <w:p w14:paraId="62CB01A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0.093</w:t>
            </w:r>
          </w:p>
        </w:tc>
        <w:tc>
          <w:tcPr>
            <w:tcW w:w="728" w:type="dxa"/>
            <w:tcBorders>
              <w:top w:val="nil"/>
              <w:left w:val="nil"/>
              <w:bottom w:val="nil"/>
              <w:right w:val="nil"/>
            </w:tcBorders>
            <w:shd w:val="clear" w:color="auto" w:fill="auto"/>
            <w:noWrap/>
            <w:vAlign w:val="bottom"/>
            <w:hideMark/>
          </w:tcPr>
          <w:p w14:paraId="210C0D9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1.907</w:t>
            </w:r>
          </w:p>
        </w:tc>
        <w:tc>
          <w:tcPr>
            <w:tcW w:w="1728" w:type="dxa"/>
            <w:tcBorders>
              <w:top w:val="nil"/>
              <w:left w:val="nil"/>
              <w:bottom w:val="nil"/>
              <w:right w:val="nil"/>
            </w:tcBorders>
            <w:shd w:val="clear" w:color="auto" w:fill="auto"/>
            <w:noWrap/>
            <w:vAlign w:val="bottom"/>
            <w:hideMark/>
          </w:tcPr>
          <w:p w14:paraId="6671EEC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0.287</w:t>
            </w:r>
          </w:p>
        </w:tc>
        <w:tc>
          <w:tcPr>
            <w:tcW w:w="772" w:type="dxa"/>
            <w:tcBorders>
              <w:top w:val="nil"/>
              <w:left w:val="nil"/>
              <w:bottom w:val="nil"/>
              <w:right w:val="nil"/>
            </w:tcBorders>
            <w:shd w:val="clear" w:color="auto" w:fill="auto"/>
            <w:noWrap/>
            <w:vAlign w:val="bottom"/>
            <w:hideMark/>
          </w:tcPr>
          <w:p w14:paraId="3BE17C5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0.644</w:t>
            </w:r>
          </w:p>
        </w:tc>
        <w:tc>
          <w:tcPr>
            <w:tcW w:w="471" w:type="dxa"/>
            <w:tcBorders>
              <w:top w:val="nil"/>
              <w:left w:val="nil"/>
              <w:bottom w:val="nil"/>
              <w:right w:val="nil"/>
            </w:tcBorders>
            <w:shd w:val="clear" w:color="auto" w:fill="auto"/>
            <w:noWrap/>
            <w:vAlign w:val="bottom"/>
            <w:hideMark/>
          </w:tcPr>
          <w:p w14:paraId="546B0238"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2841138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0.065</w:t>
            </w:r>
          </w:p>
        </w:tc>
        <w:tc>
          <w:tcPr>
            <w:tcW w:w="728" w:type="dxa"/>
            <w:tcBorders>
              <w:top w:val="nil"/>
              <w:left w:val="nil"/>
              <w:bottom w:val="nil"/>
              <w:right w:val="nil"/>
            </w:tcBorders>
            <w:shd w:val="clear" w:color="auto" w:fill="auto"/>
            <w:noWrap/>
            <w:vAlign w:val="bottom"/>
            <w:hideMark/>
          </w:tcPr>
          <w:p w14:paraId="6397258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1.935</w:t>
            </w:r>
          </w:p>
        </w:tc>
        <w:tc>
          <w:tcPr>
            <w:tcW w:w="1728" w:type="dxa"/>
            <w:tcBorders>
              <w:top w:val="nil"/>
              <w:left w:val="nil"/>
              <w:bottom w:val="nil"/>
              <w:right w:val="nil"/>
            </w:tcBorders>
            <w:shd w:val="clear" w:color="auto" w:fill="auto"/>
            <w:noWrap/>
            <w:vAlign w:val="bottom"/>
            <w:hideMark/>
          </w:tcPr>
          <w:p w14:paraId="388816D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0.350</w:t>
            </w:r>
          </w:p>
        </w:tc>
        <w:tc>
          <w:tcPr>
            <w:tcW w:w="772" w:type="dxa"/>
            <w:tcBorders>
              <w:top w:val="nil"/>
              <w:left w:val="nil"/>
              <w:bottom w:val="nil"/>
              <w:right w:val="nil"/>
            </w:tcBorders>
            <w:shd w:val="clear" w:color="auto" w:fill="auto"/>
            <w:noWrap/>
            <w:vAlign w:val="bottom"/>
            <w:hideMark/>
          </w:tcPr>
          <w:p w14:paraId="57E2268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0.214</w:t>
            </w:r>
          </w:p>
        </w:tc>
        <w:tc>
          <w:tcPr>
            <w:tcW w:w="484" w:type="dxa"/>
            <w:tcBorders>
              <w:top w:val="nil"/>
              <w:left w:val="nil"/>
              <w:bottom w:val="nil"/>
              <w:right w:val="nil"/>
            </w:tcBorders>
            <w:shd w:val="clear" w:color="auto" w:fill="auto"/>
            <w:noWrap/>
            <w:vAlign w:val="bottom"/>
            <w:hideMark/>
          </w:tcPr>
          <w:p w14:paraId="19ECE7C1"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3083A15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0.073</w:t>
            </w:r>
          </w:p>
        </w:tc>
        <w:tc>
          <w:tcPr>
            <w:tcW w:w="728" w:type="dxa"/>
            <w:tcBorders>
              <w:top w:val="nil"/>
              <w:left w:val="nil"/>
              <w:bottom w:val="nil"/>
              <w:right w:val="nil"/>
            </w:tcBorders>
            <w:shd w:val="clear" w:color="auto" w:fill="auto"/>
            <w:noWrap/>
            <w:vAlign w:val="bottom"/>
            <w:hideMark/>
          </w:tcPr>
          <w:p w14:paraId="44D26D3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1.927</w:t>
            </w:r>
          </w:p>
        </w:tc>
        <w:tc>
          <w:tcPr>
            <w:tcW w:w="1728" w:type="dxa"/>
            <w:tcBorders>
              <w:top w:val="nil"/>
              <w:left w:val="nil"/>
              <w:bottom w:val="nil"/>
              <w:right w:val="nil"/>
            </w:tcBorders>
            <w:shd w:val="clear" w:color="auto" w:fill="auto"/>
            <w:noWrap/>
            <w:vAlign w:val="bottom"/>
            <w:hideMark/>
          </w:tcPr>
          <w:p w14:paraId="57B4973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0.363</w:t>
            </w:r>
          </w:p>
        </w:tc>
        <w:tc>
          <w:tcPr>
            <w:tcW w:w="854" w:type="dxa"/>
            <w:tcBorders>
              <w:top w:val="nil"/>
              <w:left w:val="nil"/>
              <w:bottom w:val="nil"/>
              <w:right w:val="nil"/>
            </w:tcBorders>
            <w:shd w:val="clear" w:color="auto" w:fill="auto"/>
            <w:noWrap/>
            <w:vAlign w:val="bottom"/>
            <w:hideMark/>
          </w:tcPr>
          <w:p w14:paraId="4619263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0.590</w:t>
            </w:r>
          </w:p>
        </w:tc>
      </w:tr>
      <w:tr w:rsidR="00304411" w:rsidRPr="00435469" w14:paraId="1A0ADBF5" w14:textId="77777777" w:rsidTr="00E84FC8">
        <w:trPr>
          <w:trHeight w:val="277"/>
        </w:trPr>
        <w:tc>
          <w:tcPr>
            <w:tcW w:w="906" w:type="dxa"/>
            <w:vMerge/>
            <w:tcBorders>
              <w:top w:val="single" w:sz="4" w:space="0" w:color="auto"/>
              <w:left w:val="nil"/>
              <w:bottom w:val="nil"/>
              <w:right w:val="nil"/>
            </w:tcBorders>
            <w:vAlign w:val="center"/>
            <w:hideMark/>
          </w:tcPr>
          <w:p w14:paraId="63FB9A5B"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465D6FF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2008</w:t>
            </w:r>
          </w:p>
        </w:tc>
        <w:tc>
          <w:tcPr>
            <w:tcW w:w="891" w:type="dxa"/>
            <w:tcBorders>
              <w:top w:val="nil"/>
              <w:left w:val="nil"/>
              <w:bottom w:val="nil"/>
              <w:right w:val="nil"/>
            </w:tcBorders>
            <w:shd w:val="clear" w:color="auto" w:fill="auto"/>
            <w:noWrap/>
            <w:vAlign w:val="bottom"/>
            <w:hideMark/>
          </w:tcPr>
          <w:p w14:paraId="099C7D6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0.080</w:t>
            </w:r>
          </w:p>
        </w:tc>
        <w:tc>
          <w:tcPr>
            <w:tcW w:w="728" w:type="dxa"/>
            <w:tcBorders>
              <w:top w:val="nil"/>
              <w:left w:val="nil"/>
              <w:bottom w:val="nil"/>
              <w:right w:val="nil"/>
            </w:tcBorders>
            <w:shd w:val="clear" w:color="auto" w:fill="auto"/>
            <w:noWrap/>
            <w:vAlign w:val="bottom"/>
            <w:hideMark/>
          </w:tcPr>
          <w:p w14:paraId="538437E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1.920</w:t>
            </w:r>
          </w:p>
        </w:tc>
        <w:tc>
          <w:tcPr>
            <w:tcW w:w="1728" w:type="dxa"/>
            <w:tcBorders>
              <w:top w:val="nil"/>
              <w:left w:val="nil"/>
              <w:bottom w:val="nil"/>
              <w:right w:val="nil"/>
            </w:tcBorders>
            <w:shd w:val="clear" w:color="auto" w:fill="auto"/>
            <w:noWrap/>
            <w:vAlign w:val="bottom"/>
            <w:hideMark/>
          </w:tcPr>
          <w:p w14:paraId="126278E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0.225</w:t>
            </w:r>
          </w:p>
        </w:tc>
        <w:tc>
          <w:tcPr>
            <w:tcW w:w="772" w:type="dxa"/>
            <w:tcBorders>
              <w:top w:val="nil"/>
              <w:left w:val="nil"/>
              <w:bottom w:val="nil"/>
              <w:right w:val="nil"/>
            </w:tcBorders>
            <w:shd w:val="clear" w:color="auto" w:fill="auto"/>
            <w:noWrap/>
            <w:vAlign w:val="bottom"/>
            <w:hideMark/>
          </w:tcPr>
          <w:p w14:paraId="66C629A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0.731</w:t>
            </w:r>
          </w:p>
        </w:tc>
        <w:tc>
          <w:tcPr>
            <w:tcW w:w="471" w:type="dxa"/>
            <w:tcBorders>
              <w:top w:val="nil"/>
              <w:left w:val="nil"/>
              <w:bottom w:val="nil"/>
              <w:right w:val="nil"/>
            </w:tcBorders>
            <w:shd w:val="clear" w:color="auto" w:fill="auto"/>
            <w:noWrap/>
            <w:vAlign w:val="bottom"/>
            <w:hideMark/>
          </w:tcPr>
          <w:p w14:paraId="5B3830A0"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15AE3ED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0.062</w:t>
            </w:r>
          </w:p>
        </w:tc>
        <w:tc>
          <w:tcPr>
            <w:tcW w:w="728" w:type="dxa"/>
            <w:tcBorders>
              <w:top w:val="nil"/>
              <w:left w:val="nil"/>
              <w:bottom w:val="nil"/>
              <w:right w:val="nil"/>
            </w:tcBorders>
            <w:shd w:val="clear" w:color="auto" w:fill="auto"/>
            <w:noWrap/>
            <w:vAlign w:val="bottom"/>
            <w:hideMark/>
          </w:tcPr>
          <w:p w14:paraId="58AEB53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1.938</w:t>
            </w:r>
          </w:p>
        </w:tc>
        <w:tc>
          <w:tcPr>
            <w:tcW w:w="1728" w:type="dxa"/>
            <w:tcBorders>
              <w:top w:val="nil"/>
              <w:left w:val="nil"/>
              <w:bottom w:val="nil"/>
              <w:right w:val="nil"/>
            </w:tcBorders>
            <w:shd w:val="clear" w:color="auto" w:fill="auto"/>
            <w:noWrap/>
            <w:vAlign w:val="bottom"/>
            <w:hideMark/>
          </w:tcPr>
          <w:p w14:paraId="416A243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0.310</w:t>
            </w:r>
          </w:p>
        </w:tc>
        <w:tc>
          <w:tcPr>
            <w:tcW w:w="772" w:type="dxa"/>
            <w:tcBorders>
              <w:top w:val="nil"/>
              <w:left w:val="nil"/>
              <w:bottom w:val="nil"/>
              <w:right w:val="nil"/>
            </w:tcBorders>
            <w:shd w:val="clear" w:color="auto" w:fill="auto"/>
            <w:noWrap/>
            <w:vAlign w:val="bottom"/>
            <w:hideMark/>
          </w:tcPr>
          <w:p w14:paraId="1FFD39A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0.263</w:t>
            </w:r>
          </w:p>
        </w:tc>
        <w:tc>
          <w:tcPr>
            <w:tcW w:w="484" w:type="dxa"/>
            <w:tcBorders>
              <w:top w:val="nil"/>
              <w:left w:val="nil"/>
              <w:bottom w:val="nil"/>
              <w:right w:val="nil"/>
            </w:tcBorders>
            <w:shd w:val="clear" w:color="auto" w:fill="auto"/>
            <w:noWrap/>
            <w:vAlign w:val="bottom"/>
            <w:hideMark/>
          </w:tcPr>
          <w:p w14:paraId="5098F742"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17527F0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0.069</w:t>
            </w:r>
          </w:p>
        </w:tc>
        <w:tc>
          <w:tcPr>
            <w:tcW w:w="728" w:type="dxa"/>
            <w:tcBorders>
              <w:top w:val="nil"/>
              <w:left w:val="nil"/>
              <w:bottom w:val="nil"/>
              <w:right w:val="nil"/>
            </w:tcBorders>
            <w:shd w:val="clear" w:color="auto" w:fill="auto"/>
            <w:noWrap/>
            <w:vAlign w:val="bottom"/>
            <w:hideMark/>
          </w:tcPr>
          <w:p w14:paraId="52E050D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1.931</w:t>
            </w:r>
          </w:p>
        </w:tc>
        <w:tc>
          <w:tcPr>
            <w:tcW w:w="1728" w:type="dxa"/>
            <w:tcBorders>
              <w:top w:val="nil"/>
              <w:left w:val="nil"/>
              <w:bottom w:val="nil"/>
              <w:right w:val="nil"/>
            </w:tcBorders>
            <w:shd w:val="clear" w:color="auto" w:fill="auto"/>
            <w:noWrap/>
            <w:vAlign w:val="bottom"/>
            <w:hideMark/>
          </w:tcPr>
          <w:p w14:paraId="028B0AE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0.378</w:t>
            </w:r>
          </w:p>
        </w:tc>
        <w:tc>
          <w:tcPr>
            <w:tcW w:w="854" w:type="dxa"/>
            <w:tcBorders>
              <w:top w:val="nil"/>
              <w:left w:val="nil"/>
              <w:bottom w:val="nil"/>
              <w:right w:val="nil"/>
            </w:tcBorders>
            <w:shd w:val="clear" w:color="auto" w:fill="auto"/>
            <w:noWrap/>
            <w:vAlign w:val="bottom"/>
            <w:hideMark/>
          </w:tcPr>
          <w:p w14:paraId="2B2DE08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0.594</w:t>
            </w:r>
          </w:p>
        </w:tc>
      </w:tr>
      <w:tr w:rsidR="00304411" w:rsidRPr="00435469" w14:paraId="1590D6C2" w14:textId="77777777" w:rsidTr="00E84FC8">
        <w:trPr>
          <w:trHeight w:val="277"/>
        </w:trPr>
        <w:tc>
          <w:tcPr>
            <w:tcW w:w="906" w:type="dxa"/>
            <w:vMerge/>
            <w:tcBorders>
              <w:top w:val="single" w:sz="4" w:space="0" w:color="auto"/>
              <w:left w:val="nil"/>
              <w:bottom w:val="nil"/>
              <w:right w:val="nil"/>
            </w:tcBorders>
            <w:vAlign w:val="center"/>
            <w:hideMark/>
          </w:tcPr>
          <w:p w14:paraId="2DA512BB"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30CC69C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2009</w:t>
            </w:r>
          </w:p>
        </w:tc>
        <w:tc>
          <w:tcPr>
            <w:tcW w:w="891" w:type="dxa"/>
            <w:tcBorders>
              <w:top w:val="nil"/>
              <w:left w:val="nil"/>
              <w:bottom w:val="nil"/>
              <w:right w:val="nil"/>
            </w:tcBorders>
            <w:shd w:val="clear" w:color="auto" w:fill="auto"/>
            <w:noWrap/>
            <w:vAlign w:val="bottom"/>
            <w:hideMark/>
          </w:tcPr>
          <w:p w14:paraId="2D02A29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0.076</w:t>
            </w:r>
          </w:p>
        </w:tc>
        <w:tc>
          <w:tcPr>
            <w:tcW w:w="728" w:type="dxa"/>
            <w:tcBorders>
              <w:top w:val="nil"/>
              <w:left w:val="nil"/>
              <w:bottom w:val="nil"/>
              <w:right w:val="nil"/>
            </w:tcBorders>
            <w:shd w:val="clear" w:color="auto" w:fill="auto"/>
            <w:noWrap/>
            <w:vAlign w:val="bottom"/>
            <w:hideMark/>
          </w:tcPr>
          <w:p w14:paraId="5924C75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1.924</w:t>
            </w:r>
          </w:p>
        </w:tc>
        <w:tc>
          <w:tcPr>
            <w:tcW w:w="1728" w:type="dxa"/>
            <w:tcBorders>
              <w:top w:val="nil"/>
              <w:left w:val="nil"/>
              <w:bottom w:val="nil"/>
              <w:right w:val="nil"/>
            </w:tcBorders>
            <w:shd w:val="clear" w:color="auto" w:fill="auto"/>
            <w:noWrap/>
            <w:vAlign w:val="bottom"/>
            <w:hideMark/>
          </w:tcPr>
          <w:p w14:paraId="72FFFC7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0.202</w:t>
            </w:r>
          </w:p>
        </w:tc>
        <w:tc>
          <w:tcPr>
            <w:tcW w:w="772" w:type="dxa"/>
            <w:tcBorders>
              <w:top w:val="nil"/>
              <w:left w:val="nil"/>
              <w:bottom w:val="nil"/>
              <w:right w:val="nil"/>
            </w:tcBorders>
            <w:shd w:val="clear" w:color="auto" w:fill="auto"/>
            <w:noWrap/>
            <w:vAlign w:val="bottom"/>
            <w:hideMark/>
          </w:tcPr>
          <w:p w14:paraId="6185535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0.699</w:t>
            </w:r>
          </w:p>
        </w:tc>
        <w:tc>
          <w:tcPr>
            <w:tcW w:w="471" w:type="dxa"/>
            <w:tcBorders>
              <w:top w:val="nil"/>
              <w:left w:val="nil"/>
              <w:bottom w:val="nil"/>
              <w:right w:val="nil"/>
            </w:tcBorders>
            <w:shd w:val="clear" w:color="auto" w:fill="auto"/>
            <w:noWrap/>
            <w:vAlign w:val="bottom"/>
            <w:hideMark/>
          </w:tcPr>
          <w:p w14:paraId="52DB4962"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419B1C7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0.061</w:t>
            </w:r>
          </w:p>
        </w:tc>
        <w:tc>
          <w:tcPr>
            <w:tcW w:w="728" w:type="dxa"/>
            <w:tcBorders>
              <w:top w:val="nil"/>
              <w:left w:val="nil"/>
              <w:bottom w:val="nil"/>
              <w:right w:val="nil"/>
            </w:tcBorders>
            <w:shd w:val="clear" w:color="auto" w:fill="auto"/>
            <w:noWrap/>
            <w:vAlign w:val="bottom"/>
            <w:hideMark/>
          </w:tcPr>
          <w:p w14:paraId="769F5E8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1.939</w:t>
            </w:r>
          </w:p>
        </w:tc>
        <w:tc>
          <w:tcPr>
            <w:tcW w:w="1728" w:type="dxa"/>
            <w:tcBorders>
              <w:top w:val="nil"/>
              <w:left w:val="nil"/>
              <w:bottom w:val="nil"/>
              <w:right w:val="nil"/>
            </w:tcBorders>
            <w:shd w:val="clear" w:color="auto" w:fill="auto"/>
            <w:noWrap/>
            <w:vAlign w:val="bottom"/>
            <w:hideMark/>
          </w:tcPr>
          <w:p w14:paraId="5AFAAA2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0.271</w:t>
            </w:r>
          </w:p>
        </w:tc>
        <w:tc>
          <w:tcPr>
            <w:tcW w:w="772" w:type="dxa"/>
            <w:tcBorders>
              <w:top w:val="nil"/>
              <w:left w:val="nil"/>
              <w:bottom w:val="nil"/>
              <w:right w:val="nil"/>
            </w:tcBorders>
            <w:shd w:val="clear" w:color="auto" w:fill="auto"/>
            <w:noWrap/>
            <w:vAlign w:val="bottom"/>
            <w:hideMark/>
          </w:tcPr>
          <w:p w14:paraId="5D5E61B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0.257</w:t>
            </w:r>
          </w:p>
        </w:tc>
        <w:tc>
          <w:tcPr>
            <w:tcW w:w="484" w:type="dxa"/>
            <w:tcBorders>
              <w:top w:val="nil"/>
              <w:left w:val="nil"/>
              <w:bottom w:val="nil"/>
              <w:right w:val="nil"/>
            </w:tcBorders>
            <w:shd w:val="clear" w:color="auto" w:fill="auto"/>
            <w:noWrap/>
            <w:vAlign w:val="bottom"/>
            <w:hideMark/>
          </w:tcPr>
          <w:p w14:paraId="08D7E1F5"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5D042F1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0.066</w:t>
            </w:r>
          </w:p>
        </w:tc>
        <w:tc>
          <w:tcPr>
            <w:tcW w:w="728" w:type="dxa"/>
            <w:tcBorders>
              <w:top w:val="nil"/>
              <w:left w:val="nil"/>
              <w:bottom w:val="nil"/>
              <w:right w:val="nil"/>
            </w:tcBorders>
            <w:shd w:val="clear" w:color="auto" w:fill="auto"/>
            <w:noWrap/>
            <w:vAlign w:val="bottom"/>
            <w:hideMark/>
          </w:tcPr>
          <w:p w14:paraId="04909E2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1.934</w:t>
            </w:r>
          </w:p>
        </w:tc>
        <w:tc>
          <w:tcPr>
            <w:tcW w:w="1728" w:type="dxa"/>
            <w:tcBorders>
              <w:top w:val="nil"/>
              <w:left w:val="nil"/>
              <w:bottom w:val="nil"/>
              <w:right w:val="nil"/>
            </w:tcBorders>
            <w:shd w:val="clear" w:color="auto" w:fill="auto"/>
            <w:noWrap/>
            <w:vAlign w:val="bottom"/>
            <w:hideMark/>
          </w:tcPr>
          <w:p w14:paraId="3B108C4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0.323</w:t>
            </w:r>
          </w:p>
        </w:tc>
        <w:tc>
          <w:tcPr>
            <w:tcW w:w="854" w:type="dxa"/>
            <w:tcBorders>
              <w:top w:val="nil"/>
              <w:left w:val="nil"/>
              <w:bottom w:val="nil"/>
              <w:right w:val="nil"/>
            </w:tcBorders>
            <w:shd w:val="clear" w:color="auto" w:fill="auto"/>
            <w:noWrap/>
            <w:vAlign w:val="bottom"/>
            <w:hideMark/>
          </w:tcPr>
          <w:p w14:paraId="04E30DB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0.560</w:t>
            </w:r>
          </w:p>
        </w:tc>
      </w:tr>
      <w:tr w:rsidR="00304411" w:rsidRPr="00435469" w14:paraId="6BA4EEA6" w14:textId="77777777" w:rsidTr="00E84FC8">
        <w:trPr>
          <w:trHeight w:val="277"/>
        </w:trPr>
        <w:tc>
          <w:tcPr>
            <w:tcW w:w="906" w:type="dxa"/>
            <w:vMerge/>
            <w:tcBorders>
              <w:top w:val="single" w:sz="4" w:space="0" w:color="auto"/>
              <w:left w:val="nil"/>
              <w:bottom w:val="nil"/>
              <w:right w:val="nil"/>
            </w:tcBorders>
            <w:vAlign w:val="center"/>
            <w:hideMark/>
          </w:tcPr>
          <w:p w14:paraId="708B7E54"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327A630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2010</w:t>
            </w:r>
          </w:p>
        </w:tc>
        <w:tc>
          <w:tcPr>
            <w:tcW w:w="891" w:type="dxa"/>
            <w:tcBorders>
              <w:top w:val="nil"/>
              <w:left w:val="nil"/>
              <w:bottom w:val="nil"/>
              <w:right w:val="nil"/>
            </w:tcBorders>
            <w:shd w:val="clear" w:color="auto" w:fill="auto"/>
            <w:noWrap/>
            <w:vAlign w:val="bottom"/>
            <w:hideMark/>
          </w:tcPr>
          <w:p w14:paraId="1C3545B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0.074</w:t>
            </w:r>
          </w:p>
        </w:tc>
        <w:tc>
          <w:tcPr>
            <w:tcW w:w="728" w:type="dxa"/>
            <w:tcBorders>
              <w:top w:val="nil"/>
              <w:left w:val="nil"/>
              <w:bottom w:val="nil"/>
              <w:right w:val="nil"/>
            </w:tcBorders>
            <w:shd w:val="clear" w:color="auto" w:fill="auto"/>
            <w:noWrap/>
            <w:vAlign w:val="bottom"/>
            <w:hideMark/>
          </w:tcPr>
          <w:p w14:paraId="42C0D00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1.926</w:t>
            </w:r>
          </w:p>
        </w:tc>
        <w:tc>
          <w:tcPr>
            <w:tcW w:w="1728" w:type="dxa"/>
            <w:tcBorders>
              <w:top w:val="nil"/>
              <w:left w:val="nil"/>
              <w:bottom w:val="nil"/>
              <w:right w:val="nil"/>
            </w:tcBorders>
            <w:shd w:val="clear" w:color="auto" w:fill="auto"/>
            <w:noWrap/>
            <w:vAlign w:val="bottom"/>
            <w:hideMark/>
          </w:tcPr>
          <w:p w14:paraId="79F9861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0.286</w:t>
            </w:r>
          </w:p>
        </w:tc>
        <w:tc>
          <w:tcPr>
            <w:tcW w:w="772" w:type="dxa"/>
            <w:tcBorders>
              <w:top w:val="nil"/>
              <w:left w:val="nil"/>
              <w:bottom w:val="nil"/>
              <w:right w:val="nil"/>
            </w:tcBorders>
            <w:shd w:val="clear" w:color="auto" w:fill="auto"/>
            <w:noWrap/>
            <w:vAlign w:val="bottom"/>
            <w:hideMark/>
          </w:tcPr>
          <w:p w14:paraId="749B041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0.650</w:t>
            </w:r>
          </w:p>
        </w:tc>
        <w:tc>
          <w:tcPr>
            <w:tcW w:w="471" w:type="dxa"/>
            <w:tcBorders>
              <w:top w:val="nil"/>
              <w:left w:val="nil"/>
              <w:bottom w:val="nil"/>
              <w:right w:val="nil"/>
            </w:tcBorders>
            <w:shd w:val="clear" w:color="auto" w:fill="auto"/>
            <w:noWrap/>
            <w:vAlign w:val="bottom"/>
            <w:hideMark/>
          </w:tcPr>
          <w:p w14:paraId="79F9B6DB"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BE8E62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0.058</w:t>
            </w:r>
          </w:p>
        </w:tc>
        <w:tc>
          <w:tcPr>
            <w:tcW w:w="728" w:type="dxa"/>
            <w:tcBorders>
              <w:top w:val="nil"/>
              <w:left w:val="nil"/>
              <w:bottom w:val="nil"/>
              <w:right w:val="nil"/>
            </w:tcBorders>
            <w:shd w:val="clear" w:color="auto" w:fill="auto"/>
            <w:noWrap/>
            <w:vAlign w:val="bottom"/>
            <w:hideMark/>
          </w:tcPr>
          <w:p w14:paraId="30D2EE2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1.942</w:t>
            </w:r>
          </w:p>
        </w:tc>
        <w:tc>
          <w:tcPr>
            <w:tcW w:w="1728" w:type="dxa"/>
            <w:tcBorders>
              <w:top w:val="nil"/>
              <w:left w:val="nil"/>
              <w:bottom w:val="nil"/>
              <w:right w:val="nil"/>
            </w:tcBorders>
            <w:shd w:val="clear" w:color="auto" w:fill="auto"/>
            <w:noWrap/>
            <w:vAlign w:val="bottom"/>
            <w:hideMark/>
          </w:tcPr>
          <w:p w14:paraId="2706B1E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0.334</w:t>
            </w:r>
          </w:p>
        </w:tc>
        <w:tc>
          <w:tcPr>
            <w:tcW w:w="772" w:type="dxa"/>
            <w:tcBorders>
              <w:top w:val="nil"/>
              <w:left w:val="nil"/>
              <w:bottom w:val="nil"/>
              <w:right w:val="nil"/>
            </w:tcBorders>
            <w:shd w:val="clear" w:color="auto" w:fill="auto"/>
            <w:noWrap/>
            <w:vAlign w:val="bottom"/>
            <w:hideMark/>
          </w:tcPr>
          <w:p w14:paraId="46E47237"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0.263</w:t>
            </w:r>
          </w:p>
        </w:tc>
        <w:tc>
          <w:tcPr>
            <w:tcW w:w="484" w:type="dxa"/>
            <w:tcBorders>
              <w:top w:val="nil"/>
              <w:left w:val="nil"/>
              <w:bottom w:val="nil"/>
              <w:right w:val="nil"/>
            </w:tcBorders>
            <w:shd w:val="clear" w:color="auto" w:fill="auto"/>
            <w:noWrap/>
            <w:vAlign w:val="bottom"/>
            <w:hideMark/>
          </w:tcPr>
          <w:p w14:paraId="44FE8CC2"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46AD41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0.059</w:t>
            </w:r>
          </w:p>
        </w:tc>
        <w:tc>
          <w:tcPr>
            <w:tcW w:w="728" w:type="dxa"/>
            <w:tcBorders>
              <w:top w:val="nil"/>
              <w:left w:val="nil"/>
              <w:bottom w:val="nil"/>
              <w:right w:val="nil"/>
            </w:tcBorders>
            <w:shd w:val="clear" w:color="auto" w:fill="auto"/>
            <w:noWrap/>
            <w:vAlign w:val="bottom"/>
            <w:hideMark/>
          </w:tcPr>
          <w:p w14:paraId="4156E8C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1.941</w:t>
            </w:r>
          </w:p>
        </w:tc>
        <w:tc>
          <w:tcPr>
            <w:tcW w:w="1728" w:type="dxa"/>
            <w:tcBorders>
              <w:top w:val="nil"/>
              <w:left w:val="nil"/>
              <w:bottom w:val="nil"/>
              <w:right w:val="nil"/>
            </w:tcBorders>
            <w:shd w:val="clear" w:color="auto" w:fill="auto"/>
            <w:noWrap/>
            <w:vAlign w:val="bottom"/>
            <w:hideMark/>
          </w:tcPr>
          <w:p w14:paraId="3E2D926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0.392</w:t>
            </w:r>
          </w:p>
        </w:tc>
        <w:tc>
          <w:tcPr>
            <w:tcW w:w="854" w:type="dxa"/>
            <w:tcBorders>
              <w:top w:val="nil"/>
              <w:left w:val="nil"/>
              <w:bottom w:val="nil"/>
              <w:right w:val="nil"/>
            </w:tcBorders>
            <w:shd w:val="clear" w:color="auto" w:fill="auto"/>
            <w:noWrap/>
            <w:vAlign w:val="bottom"/>
            <w:hideMark/>
          </w:tcPr>
          <w:p w14:paraId="75557CE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0.557</w:t>
            </w:r>
          </w:p>
        </w:tc>
      </w:tr>
      <w:tr w:rsidR="00304411" w:rsidRPr="00435469" w14:paraId="043E1D78" w14:textId="77777777" w:rsidTr="00E84FC8">
        <w:trPr>
          <w:trHeight w:val="277"/>
        </w:trPr>
        <w:tc>
          <w:tcPr>
            <w:tcW w:w="906" w:type="dxa"/>
            <w:vMerge/>
            <w:tcBorders>
              <w:top w:val="single" w:sz="4" w:space="0" w:color="auto"/>
              <w:left w:val="nil"/>
              <w:bottom w:val="nil"/>
              <w:right w:val="nil"/>
            </w:tcBorders>
            <w:vAlign w:val="center"/>
            <w:hideMark/>
          </w:tcPr>
          <w:p w14:paraId="31643C95"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6D74F7B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2011</w:t>
            </w:r>
          </w:p>
        </w:tc>
        <w:tc>
          <w:tcPr>
            <w:tcW w:w="891" w:type="dxa"/>
            <w:tcBorders>
              <w:top w:val="nil"/>
              <w:left w:val="nil"/>
              <w:bottom w:val="nil"/>
              <w:right w:val="nil"/>
            </w:tcBorders>
            <w:shd w:val="clear" w:color="auto" w:fill="auto"/>
            <w:noWrap/>
            <w:vAlign w:val="bottom"/>
            <w:hideMark/>
          </w:tcPr>
          <w:p w14:paraId="3B5034A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0.081</w:t>
            </w:r>
          </w:p>
        </w:tc>
        <w:tc>
          <w:tcPr>
            <w:tcW w:w="728" w:type="dxa"/>
            <w:tcBorders>
              <w:top w:val="nil"/>
              <w:left w:val="nil"/>
              <w:bottom w:val="nil"/>
              <w:right w:val="nil"/>
            </w:tcBorders>
            <w:shd w:val="clear" w:color="auto" w:fill="auto"/>
            <w:noWrap/>
            <w:vAlign w:val="bottom"/>
            <w:hideMark/>
          </w:tcPr>
          <w:p w14:paraId="0F007FE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1.919</w:t>
            </w:r>
          </w:p>
        </w:tc>
        <w:tc>
          <w:tcPr>
            <w:tcW w:w="1728" w:type="dxa"/>
            <w:tcBorders>
              <w:top w:val="nil"/>
              <w:left w:val="nil"/>
              <w:bottom w:val="nil"/>
              <w:right w:val="nil"/>
            </w:tcBorders>
            <w:shd w:val="clear" w:color="auto" w:fill="auto"/>
            <w:noWrap/>
            <w:vAlign w:val="bottom"/>
            <w:hideMark/>
          </w:tcPr>
          <w:p w14:paraId="2136775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0.179</w:t>
            </w:r>
          </w:p>
        </w:tc>
        <w:tc>
          <w:tcPr>
            <w:tcW w:w="772" w:type="dxa"/>
            <w:tcBorders>
              <w:top w:val="nil"/>
              <w:left w:val="nil"/>
              <w:bottom w:val="nil"/>
              <w:right w:val="nil"/>
            </w:tcBorders>
            <w:shd w:val="clear" w:color="auto" w:fill="auto"/>
            <w:noWrap/>
            <w:vAlign w:val="bottom"/>
            <w:hideMark/>
          </w:tcPr>
          <w:p w14:paraId="418DED1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0.622</w:t>
            </w:r>
          </w:p>
        </w:tc>
        <w:tc>
          <w:tcPr>
            <w:tcW w:w="471" w:type="dxa"/>
            <w:tcBorders>
              <w:top w:val="nil"/>
              <w:left w:val="nil"/>
              <w:bottom w:val="nil"/>
              <w:right w:val="nil"/>
            </w:tcBorders>
            <w:shd w:val="clear" w:color="auto" w:fill="auto"/>
            <w:noWrap/>
            <w:vAlign w:val="bottom"/>
            <w:hideMark/>
          </w:tcPr>
          <w:p w14:paraId="7CCDA867"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8C26CD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0.055</w:t>
            </w:r>
          </w:p>
        </w:tc>
        <w:tc>
          <w:tcPr>
            <w:tcW w:w="728" w:type="dxa"/>
            <w:tcBorders>
              <w:top w:val="nil"/>
              <w:left w:val="nil"/>
              <w:bottom w:val="nil"/>
              <w:right w:val="nil"/>
            </w:tcBorders>
            <w:shd w:val="clear" w:color="auto" w:fill="auto"/>
            <w:noWrap/>
            <w:vAlign w:val="bottom"/>
            <w:hideMark/>
          </w:tcPr>
          <w:p w14:paraId="55D5F32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1.945</w:t>
            </w:r>
          </w:p>
        </w:tc>
        <w:tc>
          <w:tcPr>
            <w:tcW w:w="1728" w:type="dxa"/>
            <w:tcBorders>
              <w:top w:val="nil"/>
              <w:left w:val="nil"/>
              <w:bottom w:val="nil"/>
              <w:right w:val="nil"/>
            </w:tcBorders>
            <w:shd w:val="clear" w:color="auto" w:fill="auto"/>
            <w:noWrap/>
            <w:vAlign w:val="bottom"/>
            <w:hideMark/>
          </w:tcPr>
          <w:p w14:paraId="0BDD2B6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0.266</w:t>
            </w:r>
          </w:p>
        </w:tc>
        <w:tc>
          <w:tcPr>
            <w:tcW w:w="772" w:type="dxa"/>
            <w:tcBorders>
              <w:top w:val="nil"/>
              <w:left w:val="nil"/>
              <w:bottom w:val="nil"/>
              <w:right w:val="nil"/>
            </w:tcBorders>
            <w:shd w:val="clear" w:color="auto" w:fill="auto"/>
            <w:noWrap/>
            <w:vAlign w:val="bottom"/>
            <w:hideMark/>
          </w:tcPr>
          <w:p w14:paraId="3ED6F64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0.265</w:t>
            </w:r>
          </w:p>
        </w:tc>
        <w:tc>
          <w:tcPr>
            <w:tcW w:w="484" w:type="dxa"/>
            <w:tcBorders>
              <w:top w:val="nil"/>
              <w:left w:val="nil"/>
              <w:bottom w:val="nil"/>
              <w:right w:val="nil"/>
            </w:tcBorders>
            <w:shd w:val="clear" w:color="auto" w:fill="auto"/>
            <w:noWrap/>
            <w:vAlign w:val="bottom"/>
            <w:hideMark/>
          </w:tcPr>
          <w:p w14:paraId="57B28577"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6B6FC3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0.062</w:t>
            </w:r>
          </w:p>
        </w:tc>
        <w:tc>
          <w:tcPr>
            <w:tcW w:w="728" w:type="dxa"/>
            <w:tcBorders>
              <w:top w:val="nil"/>
              <w:left w:val="nil"/>
              <w:bottom w:val="nil"/>
              <w:right w:val="nil"/>
            </w:tcBorders>
            <w:shd w:val="clear" w:color="auto" w:fill="auto"/>
            <w:noWrap/>
            <w:vAlign w:val="bottom"/>
            <w:hideMark/>
          </w:tcPr>
          <w:p w14:paraId="64F7EAC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1.938</w:t>
            </w:r>
          </w:p>
        </w:tc>
        <w:tc>
          <w:tcPr>
            <w:tcW w:w="1728" w:type="dxa"/>
            <w:tcBorders>
              <w:top w:val="nil"/>
              <w:left w:val="nil"/>
              <w:bottom w:val="nil"/>
              <w:right w:val="nil"/>
            </w:tcBorders>
            <w:shd w:val="clear" w:color="auto" w:fill="auto"/>
            <w:noWrap/>
            <w:vAlign w:val="bottom"/>
            <w:hideMark/>
          </w:tcPr>
          <w:p w14:paraId="15F7CCA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0.339</w:t>
            </w:r>
          </w:p>
        </w:tc>
        <w:tc>
          <w:tcPr>
            <w:tcW w:w="854" w:type="dxa"/>
            <w:tcBorders>
              <w:top w:val="nil"/>
              <w:left w:val="nil"/>
              <w:bottom w:val="nil"/>
              <w:right w:val="nil"/>
            </w:tcBorders>
            <w:shd w:val="clear" w:color="auto" w:fill="auto"/>
            <w:noWrap/>
            <w:vAlign w:val="bottom"/>
            <w:hideMark/>
          </w:tcPr>
          <w:p w14:paraId="5E73317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0.504</w:t>
            </w:r>
          </w:p>
        </w:tc>
      </w:tr>
      <w:tr w:rsidR="00304411" w:rsidRPr="00435469" w14:paraId="2E03D5B8" w14:textId="77777777" w:rsidTr="00E84FC8">
        <w:trPr>
          <w:trHeight w:val="277"/>
        </w:trPr>
        <w:tc>
          <w:tcPr>
            <w:tcW w:w="906" w:type="dxa"/>
            <w:vMerge/>
            <w:tcBorders>
              <w:top w:val="single" w:sz="4" w:space="0" w:color="auto"/>
              <w:left w:val="nil"/>
              <w:bottom w:val="nil"/>
              <w:right w:val="nil"/>
            </w:tcBorders>
            <w:vAlign w:val="center"/>
            <w:hideMark/>
          </w:tcPr>
          <w:p w14:paraId="5DFD39A4"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5699397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2012</w:t>
            </w:r>
          </w:p>
        </w:tc>
        <w:tc>
          <w:tcPr>
            <w:tcW w:w="891" w:type="dxa"/>
            <w:tcBorders>
              <w:top w:val="nil"/>
              <w:left w:val="nil"/>
              <w:bottom w:val="nil"/>
              <w:right w:val="nil"/>
            </w:tcBorders>
            <w:shd w:val="clear" w:color="auto" w:fill="auto"/>
            <w:noWrap/>
            <w:vAlign w:val="bottom"/>
            <w:hideMark/>
          </w:tcPr>
          <w:p w14:paraId="4F3F8CB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0.076</w:t>
            </w:r>
          </w:p>
        </w:tc>
        <w:tc>
          <w:tcPr>
            <w:tcW w:w="728" w:type="dxa"/>
            <w:tcBorders>
              <w:top w:val="nil"/>
              <w:left w:val="nil"/>
              <w:bottom w:val="nil"/>
              <w:right w:val="nil"/>
            </w:tcBorders>
            <w:shd w:val="clear" w:color="auto" w:fill="auto"/>
            <w:noWrap/>
            <w:vAlign w:val="bottom"/>
            <w:hideMark/>
          </w:tcPr>
          <w:p w14:paraId="5405F83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1.924</w:t>
            </w:r>
          </w:p>
        </w:tc>
        <w:tc>
          <w:tcPr>
            <w:tcW w:w="1728" w:type="dxa"/>
            <w:tcBorders>
              <w:top w:val="nil"/>
              <w:left w:val="nil"/>
              <w:bottom w:val="nil"/>
              <w:right w:val="nil"/>
            </w:tcBorders>
            <w:shd w:val="clear" w:color="auto" w:fill="auto"/>
            <w:noWrap/>
            <w:vAlign w:val="bottom"/>
            <w:hideMark/>
          </w:tcPr>
          <w:p w14:paraId="040FFE2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0.142</w:t>
            </w:r>
          </w:p>
        </w:tc>
        <w:tc>
          <w:tcPr>
            <w:tcW w:w="772" w:type="dxa"/>
            <w:tcBorders>
              <w:top w:val="nil"/>
              <w:left w:val="nil"/>
              <w:bottom w:val="nil"/>
              <w:right w:val="nil"/>
            </w:tcBorders>
            <w:shd w:val="clear" w:color="auto" w:fill="auto"/>
            <w:noWrap/>
            <w:vAlign w:val="bottom"/>
            <w:hideMark/>
          </w:tcPr>
          <w:p w14:paraId="749592B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0.587</w:t>
            </w:r>
          </w:p>
        </w:tc>
        <w:tc>
          <w:tcPr>
            <w:tcW w:w="471" w:type="dxa"/>
            <w:tcBorders>
              <w:top w:val="nil"/>
              <w:left w:val="nil"/>
              <w:bottom w:val="nil"/>
              <w:right w:val="nil"/>
            </w:tcBorders>
            <w:shd w:val="clear" w:color="auto" w:fill="auto"/>
            <w:noWrap/>
            <w:vAlign w:val="bottom"/>
            <w:hideMark/>
          </w:tcPr>
          <w:p w14:paraId="2929E540"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474C846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0.053</w:t>
            </w:r>
          </w:p>
        </w:tc>
        <w:tc>
          <w:tcPr>
            <w:tcW w:w="728" w:type="dxa"/>
            <w:tcBorders>
              <w:top w:val="nil"/>
              <w:left w:val="nil"/>
              <w:bottom w:val="nil"/>
              <w:right w:val="nil"/>
            </w:tcBorders>
            <w:shd w:val="clear" w:color="auto" w:fill="auto"/>
            <w:noWrap/>
            <w:vAlign w:val="bottom"/>
            <w:hideMark/>
          </w:tcPr>
          <w:p w14:paraId="5D80D13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1.947</w:t>
            </w:r>
          </w:p>
        </w:tc>
        <w:tc>
          <w:tcPr>
            <w:tcW w:w="1728" w:type="dxa"/>
            <w:tcBorders>
              <w:top w:val="nil"/>
              <w:left w:val="nil"/>
              <w:bottom w:val="nil"/>
              <w:right w:val="nil"/>
            </w:tcBorders>
            <w:shd w:val="clear" w:color="auto" w:fill="auto"/>
            <w:noWrap/>
            <w:vAlign w:val="bottom"/>
            <w:hideMark/>
          </w:tcPr>
          <w:p w14:paraId="31E7FF3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0.228</w:t>
            </w:r>
          </w:p>
        </w:tc>
        <w:tc>
          <w:tcPr>
            <w:tcW w:w="772" w:type="dxa"/>
            <w:tcBorders>
              <w:top w:val="nil"/>
              <w:left w:val="nil"/>
              <w:bottom w:val="nil"/>
              <w:right w:val="nil"/>
            </w:tcBorders>
            <w:shd w:val="clear" w:color="auto" w:fill="auto"/>
            <w:noWrap/>
            <w:vAlign w:val="bottom"/>
            <w:hideMark/>
          </w:tcPr>
          <w:p w14:paraId="2C374DC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0.268</w:t>
            </w:r>
          </w:p>
        </w:tc>
        <w:tc>
          <w:tcPr>
            <w:tcW w:w="484" w:type="dxa"/>
            <w:tcBorders>
              <w:top w:val="nil"/>
              <w:left w:val="nil"/>
              <w:bottom w:val="nil"/>
              <w:right w:val="nil"/>
            </w:tcBorders>
            <w:shd w:val="clear" w:color="auto" w:fill="auto"/>
            <w:noWrap/>
            <w:vAlign w:val="bottom"/>
            <w:hideMark/>
          </w:tcPr>
          <w:p w14:paraId="60AEBE5A"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2AC9695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0.056</w:t>
            </w:r>
          </w:p>
        </w:tc>
        <w:tc>
          <w:tcPr>
            <w:tcW w:w="728" w:type="dxa"/>
            <w:tcBorders>
              <w:top w:val="nil"/>
              <w:left w:val="nil"/>
              <w:bottom w:val="nil"/>
              <w:right w:val="nil"/>
            </w:tcBorders>
            <w:shd w:val="clear" w:color="auto" w:fill="auto"/>
            <w:noWrap/>
            <w:vAlign w:val="bottom"/>
            <w:hideMark/>
          </w:tcPr>
          <w:p w14:paraId="0BDB4F5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1.944</w:t>
            </w:r>
          </w:p>
        </w:tc>
        <w:tc>
          <w:tcPr>
            <w:tcW w:w="1728" w:type="dxa"/>
            <w:tcBorders>
              <w:top w:val="nil"/>
              <w:left w:val="nil"/>
              <w:bottom w:val="nil"/>
              <w:right w:val="nil"/>
            </w:tcBorders>
            <w:shd w:val="clear" w:color="auto" w:fill="auto"/>
            <w:noWrap/>
            <w:vAlign w:val="bottom"/>
            <w:hideMark/>
          </w:tcPr>
          <w:p w14:paraId="777F14B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0.311</w:t>
            </w:r>
          </w:p>
        </w:tc>
        <w:tc>
          <w:tcPr>
            <w:tcW w:w="854" w:type="dxa"/>
            <w:tcBorders>
              <w:top w:val="nil"/>
              <w:left w:val="nil"/>
              <w:bottom w:val="nil"/>
              <w:right w:val="nil"/>
            </w:tcBorders>
            <w:shd w:val="clear" w:color="auto" w:fill="auto"/>
            <w:noWrap/>
            <w:vAlign w:val="bottom"/>
            <w:hideMark/>
          </w:tcPr>
          <w:p w14:paraId="614BA4F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0.486</w:t>
            </w:r>
          </w:p>
        </w:tc>
      </w:tr>
      <w:tr w:rsidR="00304411" w:rsidRPr="00435469" w14:paraId="41CE0B1F" w14:textId="77777777" w:rsidTr="00E84FC8">
        <w:trPr>
          <w:trHeight w:val="277"/>
        </w:trPr>
        <w:tc>
          <w:tcPr>
            <w:tcW w:w="906" w:type="dxa"/>
            <w:vMerge/>
            <w:tcBorders>
              <w:top w:val="single" w:sz="4" w:space="0" w:color="auto"/>
              <w:left w:val="nil"/>
              <w:bottom w:val="nil"/>
              <w:right w:val="nil"/>
            </w:tcBorders>
            <w:vAlign w:val="center"/>
            <w:hideMark/>
          </w:tcPr>
          <w:p w14:paraId="642ACCB5"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58FC25E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2013</w:t>
            </w:r>
          </w:p>
        </w:tc>
        <w:tc>
          <w:tcPr>
            <w:tcW w:w="891" w:type="dxa"/>
            <w:tcBorders>
              <w:top w:val="nil"/>
              <w:left w:val="nil"/>
              <w:bottom w:val="nil"/>
              <w:right w:val="nil"/>
            </w:tcBorders>
            <w:shd w:val="clear" w:color="auto" w:fill="auto"/>
            <w:noWrap/>
            <w:vAlign w:val="bottom"/>
            <w:hideMark/>
          </w:tcPr>
          <w:p w14:paraId="5C47DDB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0.067</w:t>
            </w:r>
          </w:p>
        </w:tc>
        <w:tc>
          <w:tcPr>
            <w:tcW w:w="728" w:type="dxa"/>
            <w:tcBorders>
              <w:top w:val="nil"/>
              <w:left w:val="nil"/>
              <w:bottom w:val="nil"/>
              <w:right w:val="nil"/>
            </w:tcBorders>
            <w:shd w:val="clear" w:color="auto" w:fill="auto"/>
            <w:noWrap/>
            <w:vAlign w:val="bottom"/>
            <w:hideMark/>
          </w:tcPr>
          <w:p w14:paraId="4C10E56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1.933</w:t>
            </w:r>
          </w:p>
        </w:tc>
        <w:tc>
          <w:tcPr>
            <w:tcW w:w="1728" w:type="dxa"/>
            <w:tcBorders>
              <w:top w:val="nil"/>
              <w:left w:val="nil"/>
              <w:bottom w:val="nil"/>
              <w:right w:val="nil"/>
            </w:tcBorders>
            <w:shd w:val="clear" w:color="auto" w:fill="auto"/>
            <w:noWrap/>
            <w:vAlign w:val="bottom"/>
            <w:hideMark/>
          </w:tcPr>
          <w:p w14:paraId="3F3CB3C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0.153</w:t>
            </w:r>
          </w:p>
        </w:tc>
        <w:tc>
          <w:tcPr>
            <w:tcW w:w="772" w:type="dxa"/>
            <w:tcBorders>
              <w:top w:val="nil"/>
              <w:left w:val="nil"/>
              <w:bottom w:val="nil"/>
              <w:right w:val="nil"/>
            </w:tcBorders>
            <w:shd w:val="clear" w:color="auto" w:fill="auto"/>
            <w:noWrap/>
            <w:vAlign w:val="bottom"/>
            <w:hideMark/>
          </w:tcPr>
          <w:p w14:paraId="16C97E3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0.500</w:t>
            </w:r>
          </w:p>
        </w:tc>
        <w:tc>
          <w:tcPr>
            <w:tcW w:w="471" w:type="dxa"/>
            <w:tcBorders>
              <w:top w:val="nil"/>
              <w:left w:val="nil"/>
              <w:bottom w:val="nil"/>
              <w:right w:val="nil"/>
            </w:tcBorders>
            <w:shd w:val="clear" w:color="auto" w:fill="auto"/>
            <w:noWrap/>
            <w:vAlign w:val="bottom"/>
            <w:hideMark/>
          </w:tcPr>
          <w:p w14:paraId="4AFC8C54"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55A045C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0.052</w:t>
            </w:r>
          </w:p>
        </w:tc>
        <w:tc>
          <w:tcPr>
            <w:tcW w:w="728" w:type="dxa"/>
            <w:tcBorders>
              <w:top w:val="nil"/>
              <w:left w:val="nil"/>
              <w:bottom w:val="nil"/>
              <w:right w:val="nil"/>
            </w:tcBorders>
            <w:shd w:val="clear" w:color="auto" w:fill="auto"/>
            <w:noWrap/>
            <w:vAlign w:val="bottom"/>
            <w:hideMark/>
          </w:tcPr>
          <w:p w14:paraId="00A11C1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1.948</w:t>
            </w:r>
          </w:p>
        </w:tc>
        <w:tc>
          <w:tcPr>
            <w:tcW w:w="1728" w:type="dxa"/>
            <w:tcBorders>
              <w:top w:val="nil"/>
              <w:left w:val="nil"/>
              <w:bottom w:val="nil"/>
              <w:right w:val="nil"/>
            </w:tcBorders>
            <w:shd w:val="clear" w:color="auto" w:fill="auto"/>
            <w:noWrap/>
            <w:vAlign w:val="bottom"/>
            <w:hideMark/>
          </w:tcPr>
          <w:p w14:paraId="3FC048F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0.215</w:t>
            </w:r>
          </w:p>
        </w:tc>
        <w:tc>
          <w:tcPr>
            <w:tcW w:w="772" w:type="dxa"/>
            <w:tcBorders>
              <w:top w:val="nil"/>
              <w:left w:val="nil"/>
              <w:bottom w:val="nil"/>
              <w:right w:val="nil"/>
            </w:tcBorders>
            <w:shd w:val="clear" w:color="auto" w:fill="auto"/>
            <w:noWrap/>
            <w:vAlign w:val="bottom"/>
            <w:hideMark/>
          </w:tcPr>
          <w:p w14:paraId="4EBB3F8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0.239</w:t>
            </w:r>
          </w:p>
        </w:tc>
        <w:tc>
          <w:tcPr>
            <w:tcW w:w="484" w:type="dxa"/>
            <w:tcBorders>
              <w:top w:val="nil"/>
              <w:left w:val="nil"/>
              <w:bottom w:val="nil"/>
              <w:right w:val="nil"/>
            </w:tcBorders>
            <w:shd w:val="clear" w:color="auto" w:fill="auto"/>
            <w:noWrap/>
            <w:vAlign w:val="bottom"/>
            <w:hideMark/>
          </w:tcPr>
          <w:p w14:paraId="008144FD"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A4045B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0.069</w:t>
            </w:r>
          </w:p>
        </w:tc>
        <w:tc>
          <w:tcPr>
            <w:tcW w:w="728" w:type="dxa"/>
            <w:tcBorders>
              <w:top w:val="nil"/>
              <w:left w:val="nil"/>
              <w:bottom w:val="nil"/>
              <w:right w:val="nil"/>
            </w:tcBorders>
            <w:shd w:val="clear" w:color="auto" w:fill="auto"/>
            <w:noWrap/>
            <w:vAlign w:val="bottom"/>
            <w:hideMark/>
          </w:tcPr>
          <w:p w14:paraId="0EBEA8D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1.931</w:t>
            </w:r>
          </w:p>
        </w:tc>
        <w:tc>
          <w:tcPr>
            <w:tcW w:w="1728" w:type="dxa"/>
            <w:tcBorders>
              <w:top w:val="nil"/>
              <w:left w:val="nil"/>
              <w:bottom w:val="nil"/>
              <w:right w:val="nil"/>
            </w:tcBorders>
            <w:shd w:val="clear" w:color="auto" w:fill="auto"/>
            <w:noWrap/>
            <w:vAlign w:val="bottom"/>
            <w:hideMark/>
          </w:tcPr>
          <w:p w14:paraId="435F0F3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0.364</w:t>
            </w:r>
          </w:p>
        </w:tc>
        <w:tc>
          <w:tcPr>
            <w:tcW w:w="854" w:type="dxa"/>
            <w:tcBorders>
              <w:top w:val="nil"/>
              <w:left w:val="nil"/>
              <w:bottom w:val="nil"/>
              <w:right w:val="nil"/>
            </w:tcBorders>
            <w:shd w:val="clear" w:color="auto" w:fill="auto"/>
            <w:noWrap/>
            <w:vAlign w:val="bottom"/>
            <w:hideMark/>
          </w:tcPr>
          <w:p w14:paraId="30D6F6F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0.433</w:t>
            </w:r>
          </w:p>
        </w:tc>
      </w:tr>
      <w:tr w:rsidR="00304411" w:rsidRPr="00435469" w14:paraId="401B61CB" w14:textId="77777777" w:rsidTr="00E84FC8">
        <w:trPr>
          <w:trHeight w:val="277"/>
        </w:trPr>
        <w:tc>
          <w:tcPr>
            <w:tcW w:w="906" w:type="dxa"/>
            <w:vMerge/>
            <w:tcBorders>
              <w:top w:val="single" w:sz="4" w:space="0" w:color="auto"/>
              <w:left w:val="nil"/>
              <w:bottom w:val="nil"/>
              <w:right w:val="nil"/>
            </w:tcBorders>
            <w:vAlign w:val="center"/>
            <w:hideMark/>
          </w:tcPr>
          <w:p w14:paraId="188D7B7B"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06C6E1A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2014</w:t>
            </w:r>
          </w:p>
        </w:tc>
        <w:tc>
          <w:tcPr>
            <w:tcW w:w="891" w:type="dxa"/>
            <w:tcBorders>
              <w:top w:val="nil"/>
              <w:left w:val="nil"/>
              <w:bottom w:val="nil"/>
              <w:right w:val="nil"/>
            </w:tcBorders>
            <w:shd w:val="clear" w:color="auto" w:fill="auto"/>
            <w:noWrap/>
            <w:vAlign w:val="bottom"/>
            <w:hideMark/>
          </w:tcPr>
          <w:p w14:paraId="16CB471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0.118</w:t>
            </w:r>
          </w:p>
        </w:tc>
        <w:tc>
          <w:tcPr>
            <w:tcW w:w="728" w:type="dxa"/>
            <w:tcBorders>
              <w:top w:val="nil"/>
              <w:left w:val="nil"/>
              <w:bottom w:val="nil"/>
              <w:right w:val="nil"/>
            </w:tcBorders>
            <w:shd w:val="clear" w:color="auto" w:fill="auto"/>
            <w:noWrap/>
            <w:vAlign w:val="bottom"/>
            <w:hideMark/>
          </w:tcPr>
          <w:p w14:paraId="0F740B0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1.882</w:t>
            </w:r>
          </w:p>
        </w:tc>
        <w:tc>
          <w:tcPr>
            <w:tcW w:w="1728" w:type="dxa"/>
            <w:tcBorders>
              <w:top w:val="nil"/>
              <w:left w:val="nil"/>
              <w:bottom w:val="nil"/>
              <w:right w:val="nil"/>
            </w:tcBorders>
            <w:shd w:val="clear" w:color="auto" w:fill="auto"/>
            <w:noWrap/>
            <w:vAlign w:val="bottom"/>
            <w:hideMark/>
          </w:tcPr>
          <w:p w14:paraId="71D7460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0.281</w:t>
            </w:r>
          </w:p>
        </w:tc>
        <w:tc>
          <w:tcPr>
            <w:tcW w:w="772" w:type="dxa"/>
            <w:tcBorders>
              <w:top w:val="nil"/>
              <w:left w:val="nil"/>
              <w:bottom w:val="nil"/>
              <w:right w:val="nil"/>
            </w:tcBorders>
            <w:shd w:val="clear" w:color="auto" w:fill="auto"/>
            <w:noWrap/>
            <w:vAlign w:val="bottom"/>
            <w:hideMark/>
          </w:tcPr>
          <w:p w14:paraId="6AA5A55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0.449</w:t>
            </w:r>
          </w:p>
        </w:tc>
        <w:tc>
          <w:tcPr>
            <w:tcW w:w="471" w:type="dxa"/>
            <w:tcBorders>
              <w:top w:val="nil"/>
              <w:left w:val="nil"/>
              <w:bottom w:val="nil"/>
              <w:right w:val="nil"/>
            </w:tcBorders>
            <w:shd w:val="clear" w:color="auto" w:fill="auto"/>
            <w:noWrap/>
            <w:vAlign w:val="bottom"/>
            <w:hideMark/>
          </w:tcPr>
          <w:p w14:paraId="6FC53373"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B53C71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0.071</w:t>
            </w:r>
          </w:p>
        </w:tc>
        <w:tc>
          <w:tcPr>
            <w:tcW w:w="728" w:type="dxa"/>
            <w:tcBorders>
              <w:top w:val="nil"/>
              <w:left w:val="nil"/>
              <w:bottom w:val="nil"/>
              <w:right w:val="nil"/>
            </w:tcBorders>
            <w:shd w:val="clear" w:color="auto" w:fill="auto"/>
            <w:noWrap/>
            <w:vAlign w:val="bottom"/>
            <w:hideMark/>
          </w:tcPr>
          <w:p w14:paraId="580A01E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1.929</w:t>
            </w:r>
          </w:p>
        </w:tc>
        <w:tc>
          <w:tcPr>
            <w:tcW w:w="1728" w:type="dxa"/>
            <w:tcBorders>
              <w:top w:val="nil"/>
              <w:left w:val="nil"/>
              <w:bottom w:val="nil"/>
              <w:right w:val="nil"/>
            </w:tcBorders>
            <w:shd w:val="clear" w:color="auto" w:fill="auto"/>
            <w:noWrap/>
            <w:vAlign w:val="bottom"/>
            <w:hideMark/>
          </w:tcPr>
          <w:p w14:paraId="12F772C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0.306</w:t>
            </w:r>
          </w:p>
        </w:tc>
        <w:tc>
          <w:tcPr>
            <w:tcW w:w="772" w:type="dxa"/>
            <w:tcBorders>
              <w:top w:val="nil"/>
              <w:left w:val="nil"/>
              <w:bottom w:val="nil"/>
              <w:right w:val="nil"/>
            </w:tcBorders>
            <w:shd w:val="clear" w:color="auto" w:fill="auto"/>
            <w:noWrap/>
            <w:vAlign w:val="bottom"/>
            <w:hideMark/>
          </w:tcPr>
          <w:p w14:paraId="39FA114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0.240</w:t>
            </w:r>
          </w:p>
        </w:tc>
        <w:tc>
          <w:tcPr>
            <w:tcW w:w="484" w:type="dxa"/>
            <w:tcBorders>
              <w:top w:val="nil"/>
              <w:left w:val="nil"/>
              <w:bottom w:val="nil"/>
              <w:right w:val="nil"/>
            </w:tcBorders>
            <w:shd w:val="clear" w:color="auto" w:fill="auto"/>
            <w:noWrap/>
            <w:vAlign w:val="bottom"/>
            <w:hideMark/>
          </w:tcPr>
          <w:p w14:paraId="4976CA35"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6D382A2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0.185</w:t>
            </w:r>
          </w:p>
        </w:tc>
        <w:tc>
          <w:tcPr>
            <w:tcW w:w="728" w:type="dxa"/>
            <w:tcBorders>
              <w:top w:val="nil"/>
              <w:left w:val="nil"/>
              <w:bottom w:val="nil"/>
              <w:right w:val="nil"/>
            </w:tcBorders>
            <w:shd w:val="clear" w:color="auto" w:fill="auto"/>
            <w:noWrap/>
            <w:vAlign w:val="bottom"/>
            <w:hideMark/>
          </w:tcPr>
          <w:p w14:paraId="1EB6A870"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1.815</w:t>
            </w:r>
          </w:p>
        </w:tc>
        <w:tc>
          <w:tcPr>
            <w:tcW w:w="1728" w:type="dxa"/>
            <w:tcBorders>
              <w:top w:val="nil"/>
              <w:left w:val="nil"/>
              <w:bottom w:val="nil"/>
              <w:right w:val="nil"/>
            </w:tcBorders>
            <w:shd w:val="clear" w:color="auto" w:fill="auto"/>
            <w:noWrap/>
            <w:vAlign w:val="bottom"/>
            <w:hideMark/>
          </w:tcPr>
          <w:p w14:paraId="60688B0E"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0.625</w:t>
            </w:r>
          </w:p>
        </w:tc>
        <w:tc>
          <w:tcPr>
            <w:tcW w:w="854" w:type="dxa"/>
            <w:tcBorders>
              <w:top w:val="nil"/>
              <w:left w:val="nil"/>
              <w:bottom w:val="nil"/>
              <w:right w:val="nil"/>
            </w:tcBorders>
            <w:shd w:val="clear" w:color="auto" w:fill="auto"/>
            <w:noWrap/>
            <w:vAlign w:val="bottom"/>
            <w:hideMark/>
          </w:tcPr>
          <w:p w14:paraId="25AB8509"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0.480</w:t>
            </w:r>
          </w:p>
        </w:tc>
      </w:tr>
      <w:tr w:rsidR="00304411" w:rsidRPr="00435469" w14:paraId="0E2A194E" w14:textId="77777777" w:rsidTr="00E84FC8">
        <w:trPr>
          <w:trHeight w:val="277"/>
        </w:trPr>
        <w:tc>
          <w:tcPr>
            <w:tcW w:w="906" w:type="dxa"/>
            <w:vMerge/>
            <w:tcBorders>
              <w:top w:val="single" w:sz="4" w:space="0" w:color="auto"/>
              <w:left w:val="nil"/>
              <w:bottom w:val="nil"/>
              <w:right w:val="nil"/>
            </w:tcBorders>
            <w:vAlign w:val="center"/>
            <w:hideMark/>
          </w:tcPr>
          <w:p w14:paraId="75837312"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nil"/>
              <w:right w:val="nil"/>
            </w:tcBorders>
            <w:shd w:val="clear" w:color="auto" w:fill="auto"/>
            <w:noWrap/>
            <w:vAlign w:val="bottom"/>
            <w:hideMark/>
          </w:tcPr>
          <w:p w14:paraId="4EE280E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2015</w:t>
            </w:r>
          </w:p>
        </w:tc>
        <w:tc>
          <w:tcPr>
            <w:tcW w:w="891" w:type="dxa"/>
            <w:tcBorders>
              <w:top w:val="nil"/>
              <w:left w:val="nil"/>
              <w:bottom w:val="nil"/>
              <w:right w:val="nil"/>
            </w:tcBorders>
            <w:shd w:val="clear" w:color="auto" w:fill="auto"/>
            <w:noWrap/>
            <w:vAlign w:val="bottom"/>
            <w:hideMark/>
          </w:tcPr>
          <w:p w14:paraId="6279335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0.112</w:t>
            </w:r>
          </w:p>
        </w:tc>
        <w:tc>
          <w:tcPr>
            <w:tcW w:w="728" w:type="dxa"/>
            <w:tcBorders>
              <w:top w:val="nil"/>
              <w:left w:val="nil"/>
              <w:bottom w:val="nil"/>
              <w:right w:val="nil"/>
            </w:tcBorders>
            <w:shd w:val="clear" w:color="auto" w:fill="auto"/>
            <w:noWrap/>
            <w:vAlign w:val="bottom"/>
            <w:hideMark/>
          </w:tcPr>
          <w:p w14:paraId="5EB3FE6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1.888</w:t>
            </w:r>
          </w:p>
        </w:tc>
        <w:tc>
          <w:tcPr>
            <w:tcW w:w="1728" w:type="dxa"/>
            <w:tcBorders>
              <w:top w:val="nil"/>
              <w:left w:val="nil"/>
              <w:bottom w:val="nil"/>
              <w:right w:val="nil"/>
            </w:tcBorders>
            <w:shd w:val="clear" w:color="auto" w:fill="auto"/>
            <w:noWrap/>
            <w:vAlign w:val="bottom"/>
            <w:hideMark/>
          </w:tcPr>
          <w:p w14:paraId="3A3489A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0.102</w:t>
            </w:r>
          </w:p>
        </w:tc>
        <w:tc>
          <w:tcPr>
            <w:tcW w:w="772" w:type="dxa"/>
            <w:tcBorders>
              <w:top w:val="nil"/>
              <w:left w:val="nil"/>
              <w:bottom w:val="nil"/>
              <w:right w:val="nil"/>
            </w:tcBorders>
            <w:shd w:val="clear" w:color="auto" w:fill="auto"/>
            <w:noWrap/>
            <w:vAlign w:val="bottom"/>
            <w:hideMark/>
          </w:tcPr>
          <w:p w14:paraId="0C923872"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0.421</w:t>
            </w:r>
          </w:p>
        </w:tc>
        <w:tc>
          <w:tcPr>
            <w:tcW w:w="471" w:type="dxa"/>
            <w:tcBorders>
              <w:top w:val="nil"/>
              <w:left w:val="nil"/>
              <w:bottom w:val="nil"/>
              <w:right w:val="nil"/>
            </w:tcBorders>
            <w:shd w:val="clear" w:color="auto" w:fill="auto"/>
            <w:noWrap/>
            <w:vAlign w:val="bottom"/>
            <w:hideMark/>
          </w:tcPr>
          <w:p w14:paraId="608C204A"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7ABF9D8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0.078</w:t>
            </w:r>
          </w:p>
        </w:tc>
        <w:tc>
          <w:tcPr>
            <w:tcW w:w="728" w:type="dxa"/>
            <w:tcBorders>
              <w:top w:val="nil"/>
              <w:left w:val="nil"/>
              <w:bottom w:val="nil"/>
              <w:right w:val="nil"/>
            </w:tcBorders>
            <w:shd w:val="clear" w:color="auto" w:fill="auto"/>
            <w:noWrap/>
            <w:vAlign w:val="bottom"/>
            <w:hideMark/>
          </w:tcPr>
          <w:p w14:paraId="240B64C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1.922</w:t>
            </w:r>
          </w:p>
        </w:tc>
        <w:tc>
          <w:tcPr>
            <w:tcW w:w="1728" w:type="dxa"/>
            <w:tcBorders>
              <w:top w:val="nil"/>
              <w:left w:val="nil"/>
              <w:bottom w:val="nil"/>
              <w:right w:val="nil"/>
            </w:tcBorders>
            <w:shd w:val="clear" w:color="auto" w:fill="auto"/>
            <w:noWrap/>
            <w:vAlign w:val="bottom"/>
            <w:hideMark/>
          </w:tcPr>
          <w:p w14:paraId="64257E8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0.171</w:t>
            </w:r>
          </w:p>
        </w:tc>
        <w:tc>
          <w:tcPr>
            <w:tcW w:w="772" w:type="dxa"/>
            <w:tcBorders>
              <w:top w:val="nil"/>
              <w:left w:val="nil"/>
              <w:bottom w:val="nil"/>
              <w:right w:val="nil"/>
            </w:tcBorders>
            <w:shd w:val="clear" w:color="auto" w:fill="auto"/>
            <w:noWrap/>
            <w:vAlign w:val="bottom"/>
            <w:hideMark/>
          </w:tcPr>
          <w:p w14:paraId="0D7309C3"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0.223</w:t>
            </w:r>
          </w:p>
        </w:tc>
        <w:tc>
          <w:tcPr>
            <w:tcW w:w="484" w:type="dxa"/>
            <w:tcBorders>
              <w:top w:val="nil"/>
              <w:left w:val="nil"/>
              <w:bottom w:val="nil"/>
              <w:right w:val="nil"/>
            </w:tcBorders>
            <w:shd w:val="clear" w:color="auto" w:fill="auto"/>
            <w:noWrap/>
            <w:vAlign w:val="bottom"/>
            <w:hideMark/>
          </w:tcPr>
          <w:p w14:paraId="114A2ABA"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nil"/>
              <w:right w:val="nil"/>
            </w:tcBorders>
            <w:shd w:val="clear" w:color="auto" w:fill="auto"/>
            <w:noWrap/>
            <w:vAlign w:val="bottom"/>
            <w:hideMark/>
          </w:tcPr>
          <w:p w14:paraId="6555CD7A"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0.198</w:t>
            </w:r>
          </w:p>
        </w:tc>
        <w:tc>
          <w:tcPr>
            <w:tcW w:w="728" w:type="dxa"/>
            <w:tcBorders>
              <w:top w:val="nil"/>
              <w:left w:val="nil"/>
              <w:bottom w:val="nil"/>
              <w:right w:val="nil"/>
            </w:tcBorders>
            <w:shd w:val="clear" w:color="auto" w:fill="auto"/>
            <w:noWrap/>
            <w:vAlign w:val="bottom"/>
            <w:hideMark/>
          </w:tcPr>
          <w:p w14:paraId="27B8AC1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1.802</w:t>
            </w:r>
          </w:p>
        </w:tc>
        <w:tc>
          <w:tcPr>
            <w:tcW w:w="1728" w:type="dxa"/>
            <w:tcBorders>
              <w:top w:val="nil"/>
              <w:left w:val="nil"/>
              <w:bottom w:val="nil"/>
              <w:right w:val="nil"/>
            </w:tcBorders>
            <w:shd w:val="clear" w:color="auto" w:fill="auto"/>
            <w:noWrap/>
            <w:vAlign w:val="bottom"/>
            <w:hideMark/>
          </w:tcPr>
          <w:p w14:paraId="72AEE856"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0.307</w:t>
            </w:r>
          </w:p>
        </w:tc>
        <w:tc>
          <w:tcPr>
            <w:tcW w:w="854" w:type="dxa"/>
            <w:tcBorders>
              <w:top w:val="nil"/>
              <w:left w:val="nil"/>
              <w:bottom w:val="nil"/>
              <w:right w:val="nil"/>
            </w:tcBorders>
            <w:shd w:val="clear" w:color="auto" w:fill="auto"/>
            <w:noWrap/>
            <w:vAlign w:val="bottom"/>
            <w:hideMark/>
          </w:tcPr>
          <w:p w14:paraId="3B14205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0.489</w:t>
            </w:r>
          </w:p>
        </w:tc>
      </w:tr>
      <w:tr w:rsidR="00304411" w:rsidRPr="00435469" w14:paraId="52886F5D" w14:textId="77777777" w:rsidTr="00E84FC8">
        <w:trPr>
          <w:trHeight w:val="277"/>
        </w:trPr>
        <w:tc>
          <w:tcPr>
            <w:tcW w:w="906" w:type="dxa"/>
            <w:vMerge/>
            <w:tcBorders>
              <w:top w:val="single" w:sz="4" w:space="0" w:color="auto"/>
              <w:left w:val="nil"/>
              <w:bottom w:val="single" w:sz="4" w:space="0" w:color="auto"/>
              <w:right w:val="nil"/>
            </w:tcBorders>
            <w:vAlign w:val="center"/>
            <w:hideMark/>
          </w:tcPr>
          <w:p w14:paraId="00197B70" w14:textId="77777777" w:rsidR="004A7C71" w:rsidRPr="00435469" w:rsidRDefault="004A7C71" w:rsidP="00955FFB">
            <w:pPr>
              <w:spacing w:after="0" w:line="240" w:lineRule="auto"/>
              <w:rPr>
                <w:rFonts w:eastAsia="Times New Roman" w:cs="Times New Roman"/>
                <w:sz w:val="16"/>
                <w:szCs w:val="16"/>
                <w:lang w:eastAsia="en-ZA"/>
              </w:rPr>
            </w:pPr>
          </w:p>
        </w:tc>
        <w:tc>
          <w:tcPr>
            <w:tcW w:w="728" w:type="dxa"/>
            <w:tcBorders>
              <w:top w:val="nil"/>
              <w:left w:val="nil"/>
              <w:bottom w:val="single" w:sz="4" w:space="0" w:color="auto"/>
              <w:right w:val="nil"/>
            </w:tcBorders>
            <w:shd w:val="clear" w:color="auto" w:fill="auto"/>
            <w:noWrap/>
            <w:vAlign w:val="bottom"/>
            <w:hideMark/>
          </w:tcPr>
          <w:p w14:paraId="6CA130B5"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2016</w:t>
            </w:r>
          </w:p>
        </w:tc>
        <w:tc>
          <w:tcPr>
            <w:tcW w:w="891" w:type="dxa"/>
            <w:tcBorders>
              <w:top w:val="nil"/>
              <w:left w:val="nil"/>
              <w:bottom w:val="single" w:sz="4" w:space="0" w:color="auto"/>
              <w:right w:val="nil"/>
            </w:tcBorders>
            <w:shd w:val="clear" w:color="auto" w:fill="auto"/>
            <w:noWrap/>
            <w:vAlign w:val="bottom"/>
            <w:hideMark/>
          </w:tcPr>
          <w:p w14:paraId="7ED6725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0.083</w:t>
            </w:r>
          </w:p>
        </w:tc>
        <w:tc>
          <w:tcPr>
            <w:tcW w:w="728" w:type="dxa"/>
            <w:tcBorders>
              <w:top w:val="nil"/>
              <w:left w:val="nil"/>
              <w:bottom w:val="single" w:sz="4" w:space="0" w:color="auto"/>
              <w:right w:val="nil"/>
            </w:tcBorders>
            <w:shd w:val="clear" w:color="auto" w:fill="auto"/>
            <w:noWrap/>
            <w:vAlign w:val="bottom"/>
            <w:hideMark/>
          </w:tcPr>
          <w:p w14:paraId="03EE1C8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1.917</w:t>
            </w:r>
          </w:p>
        </w:tc>
        <w:tc>
          <w:tcPr>
            <w:tcW w:w="1728" w:type="dxa"/>
            <w:tcBorders>
              <w:top w:val="nil"/>
              <w:left w:val="nil"/>
              <w:bottom w:val="single" w:sz="4" w:space="0" w:color="auto"/>
              <w:right w:val="nil"/>
            </w:tcBorders>
            <w:shd w:val="clear" w:color="auto" w:fill="auto"/>
            <w:noWrap/>
            <w:vAlign w:val="bottom"/>
            <w:hideMark/>
          </w:tcPr>
          <w:p w14:paraId="60C9FAB4"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0.114</w:t>
            </w:r>
          </w:p>
        </w:tc>
        <w:tc>
          <w:tcPr>
            <w:tcW w:w="772" w:type="dxa"/>
            <w:tcBorders>
              <w:top w:val="nil"/>
              <w:left w:val="nil"/>
              <w:bottom w:val="single" w:sz="4" w:space="0" w:color="auto"/>
              <w:right w:val="nil"/>
            </w:tcBorders>
            <w:shd w:val="clear" w:color="auto" w:fill="auto"/>
            <w:noWrap/>
            <w:vAlign w:val="bottom"/>
            <w:hideMark/>
          </w:tcPr>
          <w:p w14:paraId="3FA3AF0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0.400</w:t>
            </w:r>
          </w:p>
        </w:tc>
        <w:tc>
          <w:tcPr>
            <w:tcW w:w="471" w:type="dxa"/>
            <w:tcBorders>
              <w:top w:val="nil"/>
              <w:left w:val="nil"/>
              <w:bottom w:val="single" w:sz="4" w:space="0" w:color="auto"/>
              <w:right w:val="nil"/>
            </w:tcBorders>
            <w:shd w:val="clear" w:color="auto" w:fill="auto"/>
            <w:noWrap/>
            <w:vAlign w:val="bottom"/>
            <w:hideMark/>
          </w:tcPr>
          <w:p w14:paraId="057F292B"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single" w:sz="4" w:space="0" w:color="auto"/>
              <w:right w:val="nil"/>
            </w:tcBorders>
            <w:shd w:val="clear" w:color="auto" w:fill="auto"/>
            <w:noWrap/>
            <w:vAlign w:val="bottom"/>
            <w:hideMark/>
          </w:tcPr>
          <w:p w14:paraId="7A5B06D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0.059</w:t>
            </w:r>
          </w:p>
        </w:tc>
        <w:tc>
          <w:tcPr>
            <w:tcW w:w="728" w:type="dxa"/>
            <w:tcBorders>
              <w:top w:val="nil"/>
              <w:left w:val="nil"/>
              <w:bottom w:val="single" w:sz="4" w:space="0" w:color="auto"/>
              <w:right w:val="nil"/>
            </w:tcBorders>
            <w:shd w:val="clear" w:color="auto" w:fill="auto"/>
            <w:noWrap/>
            <w:vAlign w:val="bottom"/>
            <w:hideMark/>
          </w:tcPr>
          <w:p w14:paraId="1123985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1.941</w:t>
            </w:r>
          </w:p>
        </w:tc>
        <w:tc>
          <w:tcPr>
            <w:tcW w:w="1728" w:type="dxa"/>
            <w:tcBorders>
              <w:top w:val="nil"/>
              <w:left w:val="nil"/>
              <w:bottom w:val="single" w:sz="4" w:space="0" w:color="auto"/>
              <w:right w:val="nil"/>
            </w:tcBorders>
            <w:shd w:val="clear" w:color="auto" w:fill="auto"/>
            <w:noWrap/>
            <w:vAlign w:val="bottom"/>
            <w:hideMark/>
          </w:tcPr>
          <w:p w14:paraId="1D972648"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0.169</w:t>
            </w:r>
          </w:p>
        </w:tc>
        <w:tc>
          <w:tcPr>
            <w:tcW w:w="772" w:type="dxa"/>
            <w:tcBorders>
              <w:top w:val="nil"/>
              <w:left w:val="nil"/>
              <w:bottom w:val="single" w:sz="4" w:space="0" w:color="auto"/>
              <w:right w:val="nil"/>
            </w:tcBorders>
            <w:shd w:val="clear" w:color="auto" w:fill="auto"/>
            <w:noWrap/>
            <w:vAlign w:val="bottom"/>
            <w:hideMark/>
          </w:tcPr>
          <w:p w14:paraId="4AA45D3D"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0.219</w:t>
            </w:r>
          </w:p>
        </w:tc>
        <w:tc>
          <w:tcPr>
            <w:tcW w:w="484" w:type="dxa"/>
            <w:tcBorders>
              <w:top w:val="nil"/>
              <w:left w:val="nil"/>
              <w:bottom w:val="single" w:sz="4" w:space="0" w:color="auto"/>
              <w:right w:val="nil"/>
            </w:tcBorders>
            <w:shd w:val="clear" w:color="auto" w:fill="auto"/>
            <w:noWrap/>
            <w:vAlign w:val="bottom"/>
            <w:hideMark/>
          </w:tcPr>
          <w:p w14:paraId="1E99D922" w14:textId="77777777" w:rsidR="004A7C71" w:rsidRPr="00435469" w:rsidRDefault="004A7C71" w:rsidP="00955FFB">
            <w:pPr>
              <w:spacing w:after="0" w:line="240" w:lineRule="auto"/>
              <w:jc w:val="center"/>
              <w:rPr>
                <w:rFonts w:eastAsia="Times New Roman" w:cs="Times New Roman"/>
                <w:sz w:val="16"/>
                <w:szCs w:val="16"/>
                <w:lang w:eastAsia="en-ZA"/>
              </w:rPr>
            </w:pPr>
          </w:p>
        </w:tc>
        <w:tc>
          <w:tcPr>
            <w:tcW w:w="890" w:type="dxa"/>
            <w:tcBorders>
              <w:top w:val="nil"/>
              <w:left w:val="nil"/>
              <w:bottom w:val="single" w:sz="4" w:space="0" w:color="auto"/>
              <w:right w:val="nil"/>
            </w:tcBorders>
            <w:shd w:val="clear" w:color="auto" w:fill="auto"/>
            <w:noWrap/>
            <w:vAlign w:val="bottom"/>
            <w:hideMark/>
          </w:tcPr>
          <w:p w14:paraId="0F2BBD61"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0.081</w:t>
            </w:r>
          </w:p>
        </w:tc>
        <w:tc>
          <w:tcPr>
            <w:tcW w:w="728" w:type="dxa"/>
            <w:tcBorders>
              <w:top w:val="nil"/>
              <w:left w:val="nil"/>
              <w:bottom w:val="single" w:sz="4" w:space="0" w:color="auto"/>
              <w:right w:val="nil"/>
            </w:tcBorders>
            <w:shd w:val="clear" w:color="auto" w:fill="auto"/>
            <w:noWrap/>
            <w:vAlign w:val="bottom"/>
            <w:hideMark/>
          </w:tcPr>
          <w:p w14:paraId="1C0CE56B"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1.919</w:t>
            </w:r>
          </w:p>
        </w:tc>
        <w:tc>
          <w:tcPr>
            <w:tcW w:w="1728" w:type="dxa"/>
            <w:tcBorders>
              <w:top w:val="nil"/>
              <w:left w:val="nil"/>
              <w:bottom w:val="single" w:sz="4" w:space="0" w:color="auto"/>
              <w:right w:val="nil"/>
            </w:tcBorders>
            <w:shd w:val="clear" w:color="auto" w:fill="auto"/>
            <w:noWrap/>
            <w:vAlign w:val="bottom"/>
            <w:hideMark/>
          </w:tcPr>
          <w:p w14:paraId="35C9EFAC"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0.351</w:t>
            </w:r>
          </w:p>
        </w:tc>
        <w:tc>
          <w:tcPr>
            <w:tcW w:w="854" w:type="dxa"/>
            <w:tcBorders>
              <w:top w:val="nil"/>
              <w:left w:val="nil"/>
              <w:bottom w:val="single" w:sz="4" w:space="0" w:color="auto"/>
              <w:right w:val="nil"/>
            </w:tcBorders>
            <w:shd w:val="clear" w:color="auto" w:fill="auto"/>
            <w:noWrap/>
            <w:vAlign w:val="bottom"/>
            <w:hideMark/>
          </w:tcPr>
          <w:p w14:paraId="1EFC5CFF" w14:textId="77777777" w:rsidR="004A7C71" w:rsidRPr="00435469" w:rsidRDefault="004A7C71"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0.374</w:t>
            </w:r>
          </w:p>
        </w:tc>
      </w:tr>
    </w:tbl>
    <w:p w14:paraId="725A4455" w14:textId="20476B81" w:rsidR="00D32605" w:rsidRPr="00435469" w:rsidRDefault="002E0CA9" w:rsidP="00955FFB">
      <w:pPr>
        <w:spacing w:line="240" w:lineRule="auto"/>
        <w:rPr>
          <w:rFonts w:eastAsia="Yu Gothic Light" w:cs="Times New Roman"/>
          <w:sz w:val="20"/>
          <w:szCs w:val="20"/>
        </w:rPr>
        <w:sectPr w:rsidR="00D32605" w:rsidRPr="00435469" w:rsidSect="00D32605">
          <w:pgSz w:w="16838" w:h="11906" w:orient="landscape"/>
          <w:pgMar w:top="1440" w:right="1440" w:bottom="1440" w:left="1440" w:header="709" w:footer="709" w:gutter="0"/>
          <w:cols w:space="720"/>
        </w:sectPr>
      </w:pPr>
      <w:r w:rsidRPr="00435469">
        <w:rPr>
          <w:rFonts w:eastAsia="Yu Gothic Light" w:cs="Times New Roman"/>
          <w:sz w:val="20"/>
          <w:szCs w:val="20"/>
        </w:rPr>
        <w:t>Adjustment: Applied a factor of 2 to the ETR TB deaths and assume that unrecorded deaths are incorrectly classified as a loss to follow-up. We then subtracted from the proportion of those lost-to-follow-</w:t>
      </w:r>
      <w:proofErr w:type="gramStart"/>
      <w:r w:rsidRPr="00435469">
        <w:rPr>
          <w:rFonts w:eastAsia="Yu Gothic Light" w:cs="Times New Roman"/>
          <w:sz w:val="20"/>
          <w:szCs w:val="20"/>
        </w:rPr>
        <w:t>up  the</w:t>
      </w:r>
      <w:proofErr w:type="gramEnd"/>
      <w:r w:rsidRPr="00435469">
        <w:rPr>
          <w:rFonts w:eastAsia="Yu Gothic Light" w:cs="Times New Roman"/>
          <w:sz w:val="20"/>
          <w:szCs w:val="20"/>
        </w:rPr>
        <w:t xml:space="preserve"> fraction that gets added to deaths</w:t>
      </w:r>
      <w:r w:rsidR="006E7016" w:rsidRPr="00435469">
        <w:rPr>
          <w:rFonts w:eastAsia="Yu Gothic Light" w:cs="Times New Roman"/>
          <w:sz w:val="20"/>
          <w:szCs w:val="20"/>
        </w:rPr>
        <w:t>.</w:t>
      </w:r>
    </w:p>
    <w:p w14:paraId="7052378D" w14:textId="77777777" w:rsidR="00324D28" w:rsidRPr="00435469" w:rsidRDefault="00324D28" w:rsidP="00955FFB">
      <w:pPr>
        <w:pStyle w:val="Heading3"/>
        <w:rPr>
          <w:color w:val="auto"/>
          <w:sz w:val="20"/>
          <w:szCs w:val="20"/>
        </w:rPr>
      </w:pPr>
      <w:bookmarkStart w:id="203" w:name="_Ref80351770"/>
      <w:bookmarkStart w:id="204" w:name="_Toc80352150"/>
      <w:bookmarkStart w:id="205" w:name="_Toc87863341"/>
      <w:bookmarkStart w:id="206" w:name="_Toc88488572"/>
      <w:bookmarkStart w:id="207" w:name="_Toc103252938"/>
      <w:bookmarkStart w:id="208" w:name="_Toc80352147"/>
      <w:bookmarkStart w:id="209" w:name="_Toc87863339"/>
      <w:bookmarkStart w:id="210" w:name="_Toc88488570"/>
      <w:r w:rsidRPr="00435469">
        <w:rPr>
          <w:color w:val="auto"/>
          <w:sz w:val="20"/>
          <w:szCs w:val="20"/>
        </w:rPr>
        <w:lastRenderedPageBreak/>
        <w:t>Modelling c</w:t>
      </w:r>
      <w:r w:rsidRPr="00435469">
        <w:rPr>
          <w:rFonts w:eastAsia="Yu Gothic Light"/>
          <w:color w:val="auto"/>
          <w:sz w:val="20"/>
          <w:szCs w:val="20"/>
        </w:rPr>
        <w:t>ure and failure</w:t>
      </w:r>
      <w:bookmarkEnd w:id="203"/>
      <w:bookmarkEnd w:id="204"/>
      <w:bookmarkEnd w:id="205"/>
      <w:bookmarkEnd w:id="206"/>
      <w:bookmarkEnd w:id="207"/>
      <w:r w:rsidRPr="00435469">
        <w:rPr>
          <w:rFonts w:eastAsia="Yu Gothic Light"/>
          <w:color w:val="auto"/>
          <w:sz w:val="20"/>
          <w:szCs w:val="20"/>
        </w:rPr>
        <w:t xml:space="preserve"> </w:t>
      </w:r>
    </w:p>
    <w:p w14:paraId="7722735D" w14:textId="77777777" w:rsidR="00690E94" w:rsidRPr="00435469" w:rsidRDefault="00324D28" w:rsidP="00955FFB">
      <w:pPr>
        <w:spacing w:line="240" w:lineRule="auto"/>
        <w:rPr>
          <w:rFonts w:cs="Times New Roman"/>
          <w:sz w:val="20"/>
          <w:szCs w:val="20"/>
          <w:bdr w:val="none" w:sz="0" w:space="0" w:color="auto" w:frame="1"/>
        </w:rPr>
      </w:pPr>
      <w:r w:rsidRPr="00435469">
        <w:rPr>
          <w:rFonts w:eastAsia="Yu Gothic Light" w:cs="Times New Roman"/>
          <w:sz w:val="20"/>
          <w:szCs w:val="20"/>
        </w:rPr>
        <w:t xml:space="preserve">To estimate cure and failure rates, we assume that the </w:t>
      </w:r>
      <w:r w:rsidRPr="00435469">
        <w:rPr>
          <w:rFonts w:cs="Times New Roman"/>
          <w:sz w:val="20"/>
          <w:szCs w:val="20"/>
          <w:bdr w:val="none" w:sz="0" w:space="0" w:color="auto" w:frame="1"/>
        </w:rPr>
        <w:t xml:space="preserve">ratio of failures to cures is the same in the treatment completers with missing outcomes as in those with recorded cure or failure outcomes. </w:t>
      </w:r>
    </w:p>
    <w:p w14:paraId="3A0FE04B" w14:textId="77777777" w:rsidR="00690E94" w:rsidRPr="00435469" w:rsidRDefault="00690E94" w:rsidP="00955FFB">
      <w:pPr>
        <w:spacing w:line="240" w:lineRule="auto"/>
        <w:rPr>
          <w:rFonts w:cs="Times New Roman"/>
          <w:sz w:val="20"/>
          <w:szCs w:val="20"/>
          <w:bdr w:val="none" w:sz="0" w:space="0" w:color="auto" w:frame="1"/>
        </w:rPr>
      </w:pPr>
      <w:bookmarkStart w:id="211" w:name="_Toc80352149"/>
      <w:bookmarkStart w:id="212" w:name="_Toc87863340"/>
      <w:bookmarkStart w:id="213" w:name="_Toc88488571"/>
      <w:r w:rsidRPr="00435469">
        <w:rPr>
          <w:rFonts w:cs="Times New Roman"/>
          <w:sz w:val="20"/>
          <w:szCs w:val="20"/>
          <w:bdr w:val="none" w:sz="0" w:space="0" w:color="auto" w:frame="1"/>
        </w:rPr>
        <w:t xml:space="preserve">We estimate </w:t>
      </w:r>
      <w:r w:rsidRPr="00435469">
        <w:rPr>
          <w:rFonts w:eastAsia="Yu Gothic Light" w:cs="Times New Roman"/>
          <w:sz w:val="20"/>
          <w:szCs w:val="20"/>
        </w:rPr>
        <w:t xml:space="preserve">the annual </w:t>
      </w:r>
      <w:r w:rsidRPr="00435469">
        <w:rPr>
          <w:rFonts w:cs="Times New Roman"/>
          <w:sz w:val="20"/>
          <w:szCs w:val="20"/>
          <w:bdr w:val="none" w:sz="0" w:space="0" w:color="auto" w:frame="1"/>
        </w:rPr>
        <w:t>rate at which treatment is completed in cured patients as:</w:t>
      </w:r>
    </w:p>
    <w:p w14:paraId="0E1C669B" w14:textId="77777777" w:rsidR="00690E94" w:rsidRPr="00435469" w:rsidRDefault="00690E94" w:rsidP="00955FFB">
      <w:pPr>
        <w:pStyle w:val="NormalWeb"/>
        <w:shd w:val="clear" w:color="auto" w:fill="FFFFFF"/>
        <w:spacing w:before="0" w:beforeAutospacing="0" w:after="0" w:afterAutospacing="0"/>
        <w:jc w:val="left"/>
        <w:rPr>
          <w:sz w:val="20"/>
          <w:szCs w:val="20"/>
          <w:bdr w:val="none" w:sz="0" w:space="0" w:color="auto" w:frame="1"/>
        </w:rPr>
      </w:pPr>
      <m:oMathPara>
        <m:oMath>
          <m:r>
            <w:rPr>
              <w:rFonts w:ascii="Cambria Math" w:hAnsi="Cambria Math"/>
              <w:sz w:val="20"/>
              <w:szCs w:val="20"/>
              <w:bdr w:val="none" w:sz="0" w:space="0" w:color="auto" w:frame="1"/>
            </w:rPr>
            <m:t>κ=</m:t>
          </m:r>
          <m:d>
            <m:dPr>
              <m:ctrlPr>
                <w:rPr>
                  <w:rFonts w:ascii="Cambria Math" w:hAnsi="Cambria Math"/>
                  <w:i/>
                  <w:sz w:val="20"/>
                  <w:szCs w:val="20"/>
                  <w:bdr w:val="none" w:sz="0" w:space="0" w:color="auto" w:frame="1"/>
                </w:rPr>
              </m:ctrlPr>
            </m:dPr>
            <m:e>
              <m:f>
                <m:fPr>
                  <m:ctrlPr>
                    <w:rPr>
                      <w:rFonts w:ascii="Cambria Math" w:hAnsi="Cambria Math"/>
                      <w:i/>
                      <w:sz w:val="20"/>
                      <w:szCs w:val="20"/>
                      <w:bdr w:val="none" w:sz="0" w:space="0" w:color="auto" w:frame="1"/>
                    </w:rPr>
                  </m:ctrlPr>
                </m:fPr>
                <m:num>
                  <m:r>
                    <w:rPr>
                      <w:rFonts w:ascii="Cambria Math" w:hAnsi="Cambria Math"/>
                      <w:sz w:val="20"/>
                      <w:szCs w:val="20"/>
                      <w:bdr w:val="none" w:sz="0" w:space="0" w:color="auto" w:frame="1"/>
                    </w:rPr>
                    <m:t>c</m:t>
                  </m:r>
                </m:num>
                <m:den>
                  <m:r>
                    <w:rPr>
                      <w:rFonts w:ascii="Cambria Math" w:hAnsi="Cambria Math"/>
                      <w:sz w:val="20"/>
                      <w:szCs w:val="20"/>
                      <w:bdr w:val="none" w:sz="0" w:space="0" w:color="auto" w:frame="1"/>
                    </w:rPr>
                    <m:t>c+f</m:t>
                  </m:r>
                </m:den>
              </m:f>
              <m:r>
                <w:rPr>
                  <w:rFonts w:ascii="Cambria Math" w:hAnsi="Cambria Math"/>
                  <w:sz w:val="20"/>
                  <w:szCs w:val="20"/>
                  <w:bdr w:val="none" w:sz="0" w:space="0" w:color="auto" w:frame="1"/>
                </w:rPr>
                <m:t xml:space="preserve"> </m:t>
              </m:r>
            </m:e>
          </m:d>
          <m:r>
            <w:rPr>
              <w:rFonts w:ascii="Cambria Math" w:hAnsi="Cambria Math"/>
              <w:sz w:val="20"/>
              <w:szCs w:val="20"/>
              <w:bdr w:val="none" w:sz="0" w:space="0" w:color="auto" w:frame="1"/>
            </w:rPr>
            <m:t>/0.5</m:t>
          </m:r>
        </m:oMath>
      </m:oMathPara>
    </w:p>
    <w:p w14:paraId="7298F51D" w14:textId="77777777" w:rsidR="00690E94" w:rsidRPr="00435469" w:rsidRDefault="00690E94" w:rsidP="00955FFB">
      <w:pPr>
        <w:pStyle w:val="NormalWeb"/>
        <w:shd w:val="clear" w:color="auto" w:fill="FFFFFF"/>
        <w:spacing w:before="0" w:beforeAutospacing="0" w:after="0" w:afterAutospacing="0"/>
        <w:jc w:val="left"/>
        <w:rPr>
          <w:sz w:val="20"/>
          <w:szCs w:val="20"/>
          <w:bdr w:val="none" w:sz="0" w:space="0" w:color="auto" w:frame="1"/>
        </w:rPr>
      </w:pPr>
      <w:r w:rsidRPr="00435469">
        <w:rPr>
          <w:sz w:val="20"/>
          <w:szCs w:val="20"/>
          <w:bdr w:val="none" w:sz="0" w:space="0" w:color="auto" w:frame="1"/>
        </w:rPr>
        <w:t>and the rate at which treatment is completed in patients who are failing as:</w:t>
      </w:r>
    </w:p>
    <w:p w14:paraId="71004B33" w14:textId="77777777" w:rsidR="00690E94" w:rsidRPr="00435469" w:rsidRDefault="00690E94" w:rsidP="00955FFB">
      <w:pPr>
        <w:pStyle w:val="NormalWeb"/>
        <w:shd w:val="clear" w:color="auto" w:fill="FFFFFF"/>
        <w:spacing w:before="0" w:beforeAutospacing="0" w:after="0" w:afterAutospacing="0"/>
        <w:jc w:val="left"/>
        <w:rPr>
          <w:i/>
          <w:sz w:val="20"/>
          <w:szCs w:val="20"/>
          <w:bdr w:val="none" w:sz="0" w:space="0" w:color="auto" w:frame="1"/>
        </w:rPr>
      </w:pPr>
      <m:oMathPara>
        <m:oMath>
          <m:r>
            <w:rPr>
              <w:rFonts w:ascii="Cambria Math" w:hAnsi="Cambria Math"/>
              <w:sz w:val="20"/>
              <w:szCs w:val="20"/>
              <w:bdr w:val="none" w:sz="0" w:space="0" w:color="auto" w:frame="1"/>
            </w:rPr>
            <m:t>γ=</m:t>
          </m:r>
          <m:d>
            <m:dPr>
              <m:ctrlPr>
                <w:rPr>
                  <w:rFonts w:ascii="Cambria Math" w:hAnsi="Cambria Math"/>
                  <w:i/>
                  <w:sz w:val="20"/>
                  <w:szCs w:val="20"/>
                  <w:bdr w:val="none" w:sz="0" w:space="0" w:color="auto" w:frame="1"/>
                </w:rPr>
              </m:ctrlPr>
            </m:dPr>
            <m:e>
              <m:f>
                <m:fPr>
                  <m:ctrlPr>
                    <w:rPr>
                      <w:rFonts w:ascii="Cambria Math" w:eastAsiaTheme="minorHAnsi" w:hAnsi="Cambria Math"/>
                      <w:i/>
                      <w:sz w:val="20"/>
                      <w:szCs w:val="20"/>
                      <w:bdr w:val="none" w:sz="0" w:space="0" w:color="auto" w:frame="1"/>
                    </w:rPr>
                  </m:ctrlPr>
                </m:fPr>
                <m:num>
                  <m:r>
                    <w:rPr>
                      <w:rFonts w:ascii="Cambria Math" w:hAnsi="Cambria Math"/>
                      <w:sz w:val="20"/>
                      <w:szCs w:val="20"/>
                      <w:bdr w:val="none" w:sz="0" w:space="0" w:color="auto" w:frame="1"/>
                    </w:rPr>
                    <m:t>f</m:t>
                  </m:r>
                </m:num>
                <m:den>
                  <m:r>
                    <w:rPr>
                      <w:rFonts w:ascii="Cambria Math" w:hAnsi="Cambria Math"/>
                      <w:sz w:val="20"/>
                      <w:szCs w:val="20"/>
                      <w:bdr w:val="none" w:sz="0" w:space="0" w:color="auto" w:frame="1"/>
                    </w:rPr>
                    <m:t>c+f</m:t>
                  </m:r>
                </m:den>
              </m:f>
            </m:e>
          </m:d>
          <m:r>
            <m:rPr>
              <m:lit/>
            </m:rPr>
            <w:rPr>
              <w:rFonts w:ascii="Cambria Math" w:hAnsi="Cambria Math"/>
              <w:sz w:val="20"/>
              <w:szCs w:val="20"/>
              <w:bdr w:val="none" w:sz="0" w:space="0" w:color="auto" w:frame="1"/>
            </w:rPr>
            <m:t>/</m:t>
          </m:r>
          <m:r>
            <w:rPr>
              <w:rFonts w:ascii="Cambria Math" w:hAnsi="Cambria Math"/>
              <w:sz w:val="20"/>
              <w:szCs w:val="20"/>
              <w:bdr w:val="none" w:sz="0" w:space="0" w:color="auto" w:frame="1"/>
            </w:rPr>
            <m:t xml:space="preserve">0.5 </m:t>
          </m:r>
        </m:oMath>
      </m:oMathPara>
    </w:p>
    <w:p w14:paraId="65052C6C" w14:textId="4BBA3F21" w:rsidR="00690E94" w:rsidRPr="00435469" w:rsidRDefault="00690E94" w:rsidP="005E5B1E">
      <w:pPr>
        <w:pStyle w:val="NormalWeb"/>
        <w:shd w:val="clear" w:color="auto" w:fill="FFFFFF"/>
        <w:spacing w:before="240" w:after="240"/>
        <w:rPr>
          <w:sz w:val="20"/>
          <w:szCs w:val="20"/>
          <w:bdr w:val="none" w:sz="0" w:space="0" w:color="auto" w:frame="1"/>
        </w:rPr>
      </w:pPr>
      <w:r w:rsidRPr="00435469">
        <w:rPr>
          <w:sz w:val="20"/>
          <w:szCs w:val="20"/>
          <w:bdr w:val="none" w:sz="0" w:space="0" w:color="auto" w:frame="1"/>
        </w:rPr>
        <w:t xml:space="preserve">We thus have </w:t>
      </w:r>
      <w:bookmarkStart w:id="214" w:name="_Hlk89593439"/>
      <m:oMath>
        <m:r>
          <w:rPr>
            <w:rFonts w:ascii="Cambria Math" w:hAnsi="Cambria Math"/>
            <w:sz w:val="20"/>
            <w:szCs w:val="20"/>
            <w:bdr w:val="none" w:sz="0" w:space="0" w:color="auto" w:frame="1"/>
          </w:rPr>
          <m:t>κ</m:t>
        </m:r>
        <w:bookmarkEnd w:id="214"/>
        <m:r>
          <w:rPr>
            <w:rFonts w:ascii="Cambria Math" w:hAnsi="Cambria Math"/>
            <w:sz w:val="20"/>
            <w:szCs w:val="20"/>
            <w:bdr w:val="none" w:sz="0" w:space="0" w:color="auto" w:frame="1"/>
          </w:rPr>
          <m:t>+γ=2</m:t>
        </m:r>
      </m:oMath>
      <w:r w:rsidRPr="00435469">
        <w:rPr>
          <w:sz w:val="20"/>
          <w:szCs w:val="20"/>
          <w:bdr w:val="none" w:sz="0" w:space="0" w:color="auto" w:frame="1"/>
        </w:rPr>
        <w:t xml:space="preserve"> (implying a treatment duration of half a year among those who complete treatment) and assume that the ratio of failures to cures is the same in the treatment completers with missing outcomes as in the completers with recorded cure or failure outcomes. Then we define </w:t>
      </w:r>
      <m:oMath>
        <m:r>
          <w:rPr>
            <w:rFonts w:ascii="Cambria Math" w:hAnsi="Cambria Math"/>
            <w:sz w:val="20"/>
            <w:szCs w:val="20"/>
            <w:bdr w:val="none" w:sz="0" w:space="0" w:color="auto" w:frame="1"/>
          </w:rPr>
          <m:t>d=</m:t>
        </m:r>
        <m:sSub>
          <m:sSubPr>
            <m:ctrlPr>
              <w:rPr>
                <w:rFonts w:ascii="Cambria Math" w:hAnsi="Cambria Math"/>
                <w:i/>
                <w:iCs/>
                <w:sz w:val="20"/>
                <w:szCs w:val="20"/>
                <w:bdr w:val="none" w:sz="0" w:space="0" w:color="auto" w:frame="1"/>
              </w:rPr>
            </m:ctrlPr>
          </m:sSubPr>
          <m:e>
            <m:r>
              <w:rPr>
                <w:rFonts w:ascii="Cambria Math" w:hAnsi="Cambria Math"/>
                <w:sz w:val="20"/>
                <w:szCs w:val="20"/>
                <w:bdr w:val="none" w:sz="0" w:space="0" w:color="auto" w:frame="1"/>
              </w:rPr>
              <m:t>d</m:t>
            </m:r>
          </m:e>
          <m:sub>
            <m:r>
              <w:rPr>
                <w:rFonts w:ascii="Cambria Math" w:hAnsi="Cambria Math"/>
                <w:sz w:val="20"/>
                <w:szCs w:val="20"/>
                <w:bdr w:val="none" w:sz="0" w:space="0" w:color="auto" w:frame="1"/>
              </w:rPr>
              <m:t>1</m:t>
            </m:r>
          </m:sub>
        </m:sSub>
        <m:r>
          <w:rPr>
            <w:rFonts w:ascii="Cambria Math" w:hAnsi="Cambria Math"/>
            <w:sz w:val="20"/>
            <w:szCs w:val="20"/>
            <w:bdr w:val="none" w:sz="0" w:space="0" w:color="auto" w:frame="1"/>
          </w:rPr>
          <m:t>+</m:t>
        </m:r>
        <m:sSub>
          <m:sSubPr>
            <m:ctrlPr>
              <w:rPr>
                <w:rFonts w:ascii="Cambria Math" w:hAnsi="Cambria Math"/>
                <w:i/>
                <w:iCs/>
                <w:sz w:val="20"/>
                <w:szCs w:val="20"/>
                <w:bdr w:val="none" w:sz="0" w:space="0" w:color="auto" w:frame="1"/>
              </w:rPr>
            </m:ctrlPr>
          </m:sSubPr>
          <m:e>
            <m:r>
              <w:rPr>
                <w:rFonts w:ascii="Cambria Math" w:hAnsi="Cambria Math"/>
                <w:sz w:val="20"/>
                <w:szCs w:val="20"/>
                <w:bdr w:val="none" w:sz="0" w:space="0" w:color="auto" w:frame="1"/>
              </w:rPr>
              <m:t>d</m:t>
            </m:r>
          </m:e>
          <m:sub>
            <m:r>
              <w:rPr>
                <w:rFonts w:ascii="Cambria Math" w:hAnsi="Cambria Math"/>
                <w:sz w:val="20"/>
                <w:szCs w:val="20"/>
                <w:bdr w:val="none" w:sz="0" w:space="0" w:color="auto" w:frame="1"/>
              </w:rPr>
              <m:t>2</m:t>
            </m:r>
          </m:sub>
        </m:sSub>
      </m:oMath>
      <w:r w:rsidRPr="00435469">
        <w:rPr>
          <w:sz w:val="20"/>
          <w:szCs w:val="20"/>
          <w:bdr w:val="none" w:sz="0" w:space="0" w:color="auto" w:frame="1"/>
        </w:rPr>
        <w:t xml:space="preserve"> as the proportion of patients who have died or have discontinued their treatment. From </w:t>
      </w:r>
      <m:oMath>
        <m:r>
          <m:rPr>
            <m:sty m:val="p"/>
          </m:rPr>
          <w:rPr>
            <w:rFonts w:ascii="Cambria Math" w:hAnsi="Cambria Math"/>
            <w:sz w:val="20"/>
            <w:szCs w:val="20"/>
            <w:bdr w:val="none" w:sz="0" w:space="0" w:color="auto" w:frame="1"/>
          </w:rPr>
          <m:t>μ</m:t>
        </m:r>
      </m:oMath>
      <w:r w:rsidR="00D01BB6" w:rsidRPr="00435469">
        <w:rPr>
          <w:sz w:val="20"/>
          <w:szCs w:val="20"/>
          <w:bdr w:val="none" w:sz="0" w:space="0" w:color="auto" w:frame="1"/>
        </w:rPr>
        <w:t>,</w:t>
      </w:r>
      <w:r w:rsidRPr="00435469">
        <w:rPr>
          <w:sz w:val="20"/>
          <w:szCs w:val="20"/>
          <w:bdr w:val="none" w:sz="0" w:space="0" w:color="auto" w:frame="1"/>
        </w:rPr>
        <w:t xml:space="preserve"> the annual mortality rate on treatment, and </w:t>
      </w:r>
      <m:oMath>
        <m:r>
          <m:rPr>
            <m:sty m:val="p"/>
          </m:rPr>
          <w:rPr>
            <w:rFonts w:ascii="Cambria Math" w:hAnsi="Cambria Math"/>
            <w:sz w:val="20"/>
            <w:szCs w:val="20"/>
            <w:bdr w:val="none" w:sz="0" w:space="0" w:color="auto" w:frame="1"/>
          </w:rPr>
          <m:t>δ</m:t>
        </m:r>
      </m:oMath>
      <w:r w:rsidR="00D01BB6" w:rsidRPr="00435469">
        <w:rPr>
          <w:sz w:val="20"/>
          <w:szCs w:val="20"/>
          <w:bdr w:val="none" w:sz="0" w:space="0" w:color="auto" w:frame="1"/>
        </w:rPr>
        <w:t>,</w:t>
      </w:r>
      <w:r w:rsidRPr="00435469">
        <w:rPr>
          <w:sz w:val="20"/>
          <w:szCs w:val="20"/>
          <w:bdr w:val="none" w:sz="0" w:space="0" w:color="auto" w:frame="1"/>
        </w:rPr>
        <w:t xml:space="preserve"> the annual treatment discontinuation rate, we define the rate </w:t>
      </w:r>
      <m:oMath>
        <m:r>
          <w:rPr>
            <w:rFonts w:ascii="Cambria Math" w:hAnsi="Cambria Math"/>
            <w:sz w:val="20"/>
            <w:szCs w:val="20"/>
            <w:bdr w:val="none" w:sz="0" w:space="0" w:color="auto" w:frame="1"/>
          </w:rPr>
          <m:t>D=μ+δ</m:t>
        </m:r>
      </m:oMath>
      <w:r w:rsidRPr="00435469">
        <w:rPr>
          <w:sz w:val="20"/>
          <w:szCs w:val="20"/>
          <w:bdr w:val="none" w:sz="0" w:space="0" w:color="auto" w:frame="1"/>
        </w:rPr>
        <w:t xml:space="preserve">. From the above, we have </w:t>
      </w:r>
      <m:oMath>
        <m:sSub>
          <m:sSubPr>
            <m:ctrlPr>
              <w:rPr>
                <w:rFonts w:ascii="Cambria Math" w:hAnsi="Cambria Math"/>
                <w:i/>
                <w:iCs/>
                <w:sz w:val="20"/>
                <w:szCs w:val="20"/>
                <w:bdr w:val="none" w:sz="0" w:space="0" w:color="auto" w:frame="1"/>
              </w:rPr>
            </m:ctrlPr>
          </m:sSubPr>
          <m:e>
            <m:r>
              <w:rPr>
                <w:rFonts w:ascii="Cambria Math" w:hAnsi="Cambria Math"/>
                <w:sz w:val="20"/>
                <w:szCs w:val="20"/>
                <w:bdr w:val="none" w:sz="0" w:space="0" w:color="auto" w:frame="1"/>
              </w:rPr>
              <m:t>d</m:t>
            </m:r>
          </m:e>
          <m:sub>
            <m:r>
              <w:rPr>
                <w:rFonts w:ascii="Cambria Math" w:hAnsi="Cambria Math"/>
                <w:sz w:val="20"/>
                <w:szCs w:val="20"/>
                <w:bdr w:val="none" w:sz="0" w:space="0" w:color="auto" w:frame="1"/>
              </w:rPr>
              <m:t>1</m:t>
            </m:r>
          </m:sub>
        </m:sSub>
        <m:r>
          <w:rPr>
            <w:rFonts w:ascii="Cambria Math" w:hAnsi="Cambria Math"/>
            <w:sz w:val="20"/>
            <w:szCs w:val="20"/>
            <w:bdr w:val="none" w:sz="0" w:space="0" w:color="auto" w:frame="1"/>
          </w:rPr>
          <m:t>+</m:t>
        </m:r>
        <m:sSub>
          <m:sSubPr>
            <m:ctrlPr>
              <w:rPr>
                <w:rFonts w:ascii="Cambria Math" w:hAnsi="Cambria Math"/>
                <w:i/>
                <w:iCs/>
                <w:sz w:val="20"/>
                <w:szCs w:val="20"/>
                <w:bdr w:val="none" w:sz="0" w:space="0" w:color="auto" w:frame="1"/>
              </w:rPr>
            </m:ctrlPr>
          </m:sSubPr>
          <m:e>
            <m:r>
              <w:rPr>
                <w:rFonts w:ascii="Cambria Math" w:hAnsi="Cambria Math"/>
                <w:sz w:val="20"/>
                <w:szCs w:val="20"/>
                <w:bdr w:val="none" w:sz="0" w:space="0" w:color="auto" w:frame="1"/>
              </w:rPr>
              <m:t>d</m:t>
            </m:r>
          </m:e>
          <m:sub>
            <m:r>
              <w:rPr>
                <w:rFonts w:ascii="Cambria Math" w:hAnsi="Cambria Math"/>
                <w:sz w:val="20"/>
                <w:szCs w:val="20"/>
                <w:bdr w:val="none" w:sz="0" w:space="0" w:color="auto" w:frame="1"/>
              </w:rPr>
              <m:t>2</m:t>
            </m:r>
          </m:sub>
        </m:sSub>
        <m:r>
          <w:rPr>
            <w:rFonts w:ascii="Cambria Math" w:hAnsi="Cambria Math"/>
            <w:sz w:val="20"/>
            <w:szCs w:val="20"/>
            <w:bdr w:val="none" w:sz="0" w:space="0" w:color="auto" w:frame="1"/>
          </w:rPr>
          <m:t>=</m:t>
        </m:r>
        <m:f>
          <m:fPr>
            <m:ctrlPr>
              <w:rPr>
                <w:rFonts w:ascii="Cambria Math" w:hAnsi="Cambria Math"/>
                <w:i/>
                <w:sz w:val="20"/>
                <w:szCs w:val="20"/>
                <w:bdr w:val="none" w:sz="0" w:space="0" w:color="auto" w:frame="1"/>
              </w:rPr>
            </m:ctrlPr>
          </m:fPr>
          <m:num>
            <m:r>
              <w:rPr>
                <w:rFonts w:ascii="Cambria Math" w:hAnsi="Cambria Math"/>
                <w:sz w:val="20"/>
                <w:szCs w:val="20"/>
                <w:bdr w:val="none" w:sz="0" w:space="0" w:color="auto" w:frame="1"/>
              </w:rPr>
              <m:t>μ+δ</m:t>
            </m:r>
          </m:num>
          <m:den>
            <m:r>
              <w:rPr>
                <w:rFonts w:ascii="Cambria Math" w:hAnsi="Cambria Math"/>
                <w:sz w:val="20"/>
                <w:szCs w:val="20"/>
                <w:bdr w:val="none" w:sz="0" w:space="0" w:color="auto" w:frame="1"/>
              </w:rPr>
              <m:t>μ+δ+ κ+γ</m:t>
            </m:r>
          </m:den>
        </m:f>
        <m:r>
          <w:rPr>
            <w:rFonts w:ascii="Cambria Math" w:hAnsi="Cambria Math"/>
            <w:sz w:val="20"/>
            <w:szCs w:val="20"/>
            <w:bdr w:val="none" w:sz="0" w:space="0" w:color="auto" w:frame="1"/>
          </w:rPr>
          <m:t xml:space="preserve"> </m:t>
        </m:r>
      </m:oMath>
      <w:r w:rsidRPr="00435469">
        <w:rPr>
          <w:i/>
          <w:sz w:val="20"/>
          <w:szCs w:val="20"/>
          <w:bdr w:val="none" w:sz="0" w:space="0" w:color="auto" w:frame="1"/>
        </w:rPr>
        <w:t xml:space="preserve"> </w:t>
      </w:r>
      <w:r w:rsidRPr="00435469">
        <w:rPr>
          <w:iCs/>
          <w:sz w:val="20"/>
          <w:szCs w:val="20"/>
          <w:bdr w:val="none" w:sz="0" w:space="0" w:color="auto" w:frame="1"/>
        </w:rPr>
        <w:t>so</w:t>
      </w:r>
      <w:r w:rsidRPr="00435469">
        <w:rPr>
          <w:i/>
          <w:sz w:val="20"/>
          <w:szCs w:val="20"/>
          <w:bdr w:val="none" w:sz="0" w:space="0" w:color="auto" w:frame="1"/>
        </w:rPr>
        <w:t xml:space="preserve"> </w:t>
      </w:r>
      <m:oMath>
        <m:r>
          <w:rPr>
            <w:rFonts w:ascii="Cambria Math" w:hAnsi="Cambria Math"/>
            <w:sz w:val="20"/>
            <w:szCs w:val="20"/>
            <w:bdr w:val="none" w:sz="0" w:space="0" w:color="auto" w:frame="1"/>
          </w:rPr>
          <m:t>d=</m:t>
        </m:r>
        <m:f>
          <m:fPr>
            <m:ctrlPr>
              <w:rPr>
                <w:rFonts w:ascii="Cambria Math" w:hAnsi="Cambria Math"/>
                <w:i/>
                <w:sz w:val="20"/>
                <w:szCs w:val="20"/>
                <w:bdr w:val="none" w:sz="0" w:space="0" w:color="auto" w:frame="1"/>
              </w:rPr>
            </m:ctrlPr>
          </m:fPr>
          <m:num>
            <m:r>
              <w:rPr>
                <w:rFonts w:ascii="Cambria Math" w:hAnsi="Cambria Math"/>
                <w:sz w:val="20"/>
                <w:szCs w:val="20"/>
                <w:bdr w:val="none" w:sz="0" w:space="0" w:color="auto" w:frame="1"/>
              </w:rPr>
              <m:t>D</m:t>
            </m:r>
          </m:num>
          <m:den>
            <m:r>
              <w:rPr>
                <w:rFonts w:ascii="Cambria Math" w:hAnsi="Cambria Math"/>
                <w:sz w:val="20"/>
                <w:szCs w:val="20"/>
                <w:bdr w:val="none" w:sz="0" w:space="0" w:color="auto" w:frame="1"/>
              </w:rPr>
              <m:t>D+2</m:t>
            </m:r>
          </m:den>
        </m:f>
      </m:oMath>
      <w:r w:rsidRPr="00435469">
        <w:rPr>
          <w:i/>
          <w:sz w:val="20"/>
          <w:szCs w:val="20"/>
          <w:bdr w:val="none" w:sz="0" w:space="0" w:color="auto" w:frame="1"/>
        </w:rPr>
        <w:t xml:space="preserve">. </w:t>
      </w:r>
      <m:oMath>
        <m:r>
          <w:rPr>
            <w:rFonts w:ascii="Cambria Math" w:hAnsi="Cambria Math"/>
            <w:sz w:val="20"/>
            <w:szCs w:val="20"/>
            <w:bdr w:val="none" w:sz="0" w:space="0" w:color="auto" w:frame="1"/>
          </w:rPr>
          <m:t>D</m:t>
        </m:r>
      </m:oMath>
      <w:r w:rsidRPr="00435469">
        <w:rPr>
          <w:iCs/>
          <w:sz w:val="20"/>
          <w:szCs w:val="20"/>
          <w:bdr w:val="none" w:sz="0" w:space="0" w:color="auto" w:frame="1"/>
        </w:rPr>
        <w:t xml:space="preserve"> can then be expressed as </w:t>
      </w:r>
      <m:oMath>
        <m:r>
          <w:rPr>
            <w:rFonts w:ascii="Cambria Math" w:hAnsi="Cambria Math"/>
            <w:sz w:val="20"/>
            <w:szCs w:val="20"/>
            <w:bdr w:val="none" w:sz="0" w:space="0" w:color="auto" w:frame="1"/>
          </w:rPr>
          <m:t>D=</m:t>
        </m:r>
        <m:f>
          <m:fPr>
            <m:ctrlPr>
              <w:rPr>
                <w:rFonts w:ascii="Cambria Math" w:hAnsi="Cambria Math"/>
                <w:i/>
                <w:sz w:val="20"/>
                <w:szCs w:val="20"/>
                <w:bdr w:val="none" w:sz="0" w:space="0" w:color="auto" w:frame="1"/>
              </w:rPr>
            </m:ctrlPr>
          </m:fPr>
          <m:num>
            <m:r>
              <w:rPr>
                <w:rFonts w:ascii="Cambria Math" w:hAnsi="Cambria Math"/>
                <w:sz w:val="20"/>
                <w:szCs w:val="20"/>
                <w:bdr w:val="none" w:sz="0" w:space="0" w:color="auto" w:frame="1"/>
              </w:rPr>
              <m:t>2d</m:t>
            </m:r>
          </m:num>
          <m:den>
            <m:r>
              <w:rPr>
                <w:rFonts w:ascii="Cambria Math" w:hAnsi="Cambria Math"/>
                <w:sz w:val="20"/>
                <w:szCs w:val="20"/>
                <w:bdr w:val="none" w:sz="0" w:space="0" w:color="auto" w:frame="1"/>
              </w:rPr>
              <m:t>1-d</m:t>
            </m:r>
          </m:den>
        </m:f>
      </m:oMath>
      <w:r w:rsidRPr="00435469">
        <w:rPr>
          <w:sz w:val="20"/>
          <w:szCs w:val="20"/>
          <w:bdr w:val="none" w:sz="0" w:space="0" w:color="auto" w:frame="1"/>
        </w:rPr>
        <w:t xml:space="preserve">. In the absence of any correction for under-ascertainment of mortality, we would have </w:t>
      </w:r>
      <m:oMath>
        <m:r>
          <m:rPr>
            <m:sty m:val="p"/>
          </m:rPr>
          <w:rPr>
            <w:rFonts w:ascii="Cambria Math" w:hAnsi="Cambria Math"/>
            <w:sz w:val="20"/>
            <w:szCs w:val="20"/>
            <w:bdr w:val="none" w:sz="0" w:space="0" w:color="auto" w:frame="1"/>
          </w:rPr>
          <m:t>μ</m:t>
        </m:r>
      </m:oMath>
      <w:r w:rsidRPr="00435469">
        <w:rPr>
          <w:sz w:val="20"/>
          <w:szCs w:val="20"/>
          <w:bdr w:val="none" w:sz="0" w:space="0" w:color="auto" w:frame="1"/>
        </w:rPr>
        <w:t xml:space="preserve"> and </w:t>
      </w:r>
      <m:oMath>
        <m:r>
          <m:rPr>
            <m:sty m:val="p"/>
          </m:rPr>
          <w:rPr>
            <w:rFonts w:ascii="Cambria Math" w:hAnsi="Cambria Math"/>
            <w:sz w:val="20"/>
            <w:szCs w:val="20"/>
            <w:bdr w:val="none" w:sz="0" w:space="0" w:color="auto" w:frame="1"/>
          </w:rPr>
          <m:t>δ</m:t>
        </m:r>
      </m:oMath>
      <w:r w:rsidRPr="00435469">
        <w:rPr>
          <w:sz w:val="20"/>
          <w:szCs w:val="20"/>
          <w:bdr w:val="none" w:sz="0" w:space="0" w:color="auto" w:frame="1"/>
        </w:rPr>
        <w:t xml:space="preserve"> expressed as </w:t>
      </w:r>
      <m:oMath>
        <m:r>
          <w:rPr>
            <w:rFonts w:ascii="Cambria Math" w:hAnsi="Cambria Math"/>
            <w:sz w:val="20"/>
            <w:szCs w:val="20"/>
            <w:bdr w:val="none" w:sz="0" w:space="0" w:color="auto" w:frame="1"/>
          </w:rPr>
          <m:t>μ=</m:t>
        </m:r>
        <m:f>
          <m:fPr>
            <m:ctrlPr>
              <w:rPr>
                <w:rFonts w:ascii="Cambria Math" w:hAnsi="Cambria Math"/>
                <w:i/>
                <w:sz w:val="20"/>
                <w:szCs w:val="20"/>
                <w:bdr w:val="none" w:sz="0" w:space="0" w:color="auto" w:frame="1"/>
              </w:rPr>
            </m:ctrlPr>
          </m:fPr>
          <m:num>
            <m:sSub>
              <m:sSubPr>
                <m:ctrlPr>
                  <w:rPr>
                    <w:rFonts w:ascii="Cambria Math" w:hAnsi="Cambria Math"/>
                    <w:i/>
                    <w:sz w:val="20"/>
                    <w:szCs w:val="20"/>
                    <w:bdr w:val="none" w:sz="0" w:space="0" w:color="auto" w:frame="1"/>
                  </w:rPr>
                </m:ctrlPr>
              </m:sSubPr>
              <m:e>
                <m:r>
                  <w:rPr>
                    <w:rFonts w:ascii="Cambria Math" w:hAnsi="Cambria Math"/>
                    <w:sz w:val="20"/>
                    <w:szCs w:val="20"/>
                    <w:bdr w:val="none" w:sz="0" w:space="0" w:color="auto" w:frame="1"/>
                  </w:rPr>
                  <m:t>d</m:t>
                </m:r>
              </m:e>
              <m:sub>
                <m:r>
                  <w:rPr>
                    <w:rFonts w:ascii="Cambria Math" w:hAnsi="Cambria Math"/>
                    <w:sz w:val="20"/>
                    <w:szCs w:val="20"/>
                    <w:bdr w:val="none" w:sz="0" w:space="0" w:color="auto" w:frame="1"/>
                  </w:rPr>
                  <m:t>1</m:t>
                </m:r>
              </m:sub>
            </m:sSub>
            <m:r>
              <w:rPr>
                <w:rFonts w:ascii="Cambria Math" w:hAnsi="Cambria Math"/>
                <w:sz w:val="20"/>
                <w:szCs w:val="20"/>
                <w:bdr w:val="none" w:sz="0" w:space="0" w:color="auto" w:frame="1"/>
              </w:rPr>
              <m:t>D</m:t>
            </m:r>
          </m:num>
          <m:den>
            <m:r>
              <w:rPr>
                <w:rFonts w:ascii="Cambria Math" w:hAnsi="Cambria Math"/>
                <w:sz w:val="20"/>
                <w:szCs w:val="20"/>
                <w:bdr w:val="none" w:sz="0" w:space="0" w:color="auto" w:frame="1"/>
              </w:rPr>
              <m:t>d</m:t>
            </m:r>
          </m:den>
        </m:f>
      </m:oMath>
      <w:r w:rsidRPr="00435469">
        <w:rPr>
          <w:i/>
          <w:sz w:val="20"/>
          <w:szCs w:val="20"/>
          <w:bdr w:val="none" w:sz="0" w:space="0" w:color="auto" w:frame="1"/>
        </w:rPr>
        <w:t xml:space="preserve"> </w:t>
      </w:r>
      <w:r w:rsidRPr="00435469">
        <w:rPr>
          <w:iCs/>
          <w:sz w:val="20"/>
          <w:szCs w:val="20"/>
          <w:bdr w:val="none" w:sz="0" w:space="0" w:color="auto" w:frame="1"/>
        </w:rPr>
        <w:t xml:space="preserve">and </w:t>
      </w:r>
      <m:oMath>
        <m:r>
          <w:rPr>
            <w:rFonts w:ascii="Cambria Math" w:hAnsi="Cambria Math"/>
            <w:sz w:val="20"/>
            <w:szCs w:val="20"/>
            <w:bdr w:val="none" w:sz="0" w:space="0" w:color="auto" w:frame="1"/>
          </w:rPr>
          <m:t>δ=</m:t>
        </m:r>
        <m:d>
          <m:dPr>
            <m:ctrlPr>
              <w:rPr>
                <w:rFonts w:ascii="Cambria Math" w:hAnsi="Cambria Math"/>
                <w:i/>
                <w:sz w:val="20"/>
                <w:szCs w:val="20"/>
                <w:bdr w:val="none" w:sz="0" w:space="0" w:color="auto" w:frame="1"/>
              </w:rPr>
            </m:ctrlPr>
          </m:dPr>
          <m:e>
            <m:r>
              <w:rPr>
                <w:rFonts w:ascii="Cambria Math" w:hAnsi="Cambria Math"/>
                <w:sz w:val="20"/>
                <w:szCs w:val="20"/>
                <w:bdr w:val="none" w:sz="0" w:space="0" w:color="auto" w:frame="1"/>
              </w:rPr>
              <m:t>1-</m:t>
            </m:r>
            <m:f>
              <m:fPr>
                <m:ctrlPr>
                  <w:rPr>
                    <w:rFonts w:ascii="Cambria Math" w:hAnsi="Cambria Math"/>
                    <w:i/>
                    <w:sz w:val="20"/>
                    <w:szCs w:val="20"/>
                    <w:bdr w:val="none" w:sz="0" w:space="0" w:color="auto" w:frame="1"/>
                  </w:rPr>
                </m:ctrlPr>
              </m:fPr>
              <m:num>
                <m:sSub>
                  <m:sSubPr>
                    <m:ctrlPr>
                      <w:rPr>
                        <w:rFonts w:ascii="Cambria Math" w:hAnsi="Cambria Math"/>
                        <w:i/>
                        <w:sz w:val="20"/>
                        <w:szCs w:val="20"/>
                        <w:bdr w:val="none" w:sz="0" w:space="0" w:color="auto" w:frame="1"/>
                      </w:rPr>
                    </m:ctrlPr>
                  </m:sSubPr>
                  <m:e>
                    <m:r>
                      <w:rPr>
                        <w:rFonts w:ascii="Cambria Math" w:hAnsi="Cambria Math"/>
                        <w:sz w:val="20"/>
                        <w:szCs w:val="20"/>
                        <w:bdr w:val="none" w:sz="0" w:space="0" w:color="auto" w:frame="1"/>
                      </w:rPr>
                      <m:t>d</m:t>
                    </m:r>
                  </m:e>
                  <m:sub>
                    <m:r>
                      <w:rPr>
                        <w:rFonts w:ascii="Cambria Math" w:hAnsi="Cambria Math"/>
                        <w:sz w:val="20"/>
                        <w:szCs w:val="20"/>
                        <w:bdr w:val="none" w:sz="0" w:space="0" w:color="auto" w:frame="1"/>
                      </w:rPr>
                      <m:t>1</m:t>
                    </m:r>
                  </m:sub>
                </m:sSub>
              </m:num>
              <m:den>
                <m:r>
                  <w:rPr>
                    <w:rFonts w:ascii="Cambria Math" w:hAnsi="Cambria Math"/>
                    <w:sz w:val="20"/>
                    <w:szCs w:val="20"/>
                    <w:bdr w:val="none" w:sz="0" w:space="0" w:color="auto" w:frame="1"/>
                  </w:rPr>
                  <m:t>d</m:t>
                </m:r>
              </m:den>
            </m:f>
          </m:e>
        </m:d>
        <m:r>
          <w:rPr>
            <w:rFonts w:ascii="Cambria Math" w:hAnsi="Cambria Math"/>
            <w:sz w:val="20"/>
            <w:szCs w:val="20"/>
            <w:bdr w:val="none" w:sz="0" w:space="0" w:color="auto" w:frame="1"/>
          </w:rPr>
          <m:t>D</m:t>
        </m:r>
      </m:oMath>
      <w:r w:rsidRPr="00435469">
        <w:rPr>
          <w:sz w:val="20"/>
          <w:szCs w:val="20"/>
          <w:bdr w:val="none" w:sz="0" w:space="0" w:color="auto" w:frame="1"/>
        </w:rPr>
        <w:t xml:space="preserve">. If we assume the true mortality rate is double the reported mortality rate, we have </w:t>
      </w:r>
      <m:oMath>
        <m:r>
          <w:rPr>
            <w:rFonts w:ascii="Cambria Math" w:hAnsi="Cambria Math"/>
            <w:sz w:val="20"/>
            <w:szCs w:val="20"/>
            <w:bdr w:val="none" w:sz="0" w:space="0" w:color="auto" w:frame="1"/>
          </w:rPr>
          <m:t>μ=</m:t>
        </m:r>
        <m:f>
          <m:fPr>
            <m:ctrlPr>
              <w:rPr>
                <w:rFonts w:ascii="Cambria Math" w:hAnsi="Cambria Math"/>
                <w:i/>
                <w:sz w:val="20"/>
                <w:szCs w:val="20"/>
                <w:bdr w:val="none" w:sz="0" w:space="0" w:color="auto" w:frame="1"/>
              </w:rPr>
            </m:ctrlPr>
          </m:fPr>
          <m:num>
            <m:r>
              <w:rPr>
                <w:rFonts w:ascii="Cambria Math" w:hAnsi="Cambria Math"/>
                <w:sz w:val="20"/>
                <w:szCs w:val="20"/>
                <w:bdr w:val="none" w:sz="0" w:space="0" w:color="auto" w:frame="1"/>
              </w:rPr>
              <m:t>2</m:t>
            </m:r>
            <m:sSub>
              <m:sSubPr>
                <m:ctrlPr>
                  <w:rPr>
                    <w:rFonts w:ascii="Cambria Math" w:hAnsi="Cambria Math"/>
                    <w:i/>
                    <w:sz w:val="20"/>
                    <w:szCs w:val="20"/>
                    <w:bdr w:val="none" w:sz="0" w:space="0" w:color="auto" w:frame="1"/>
                  </w:rPr>
                </m:ctrlPr>
              </m:sSubPr>
              <m:e>
                <m:r>
                  <w:rPr>
                    <w:rFonts w:ascii="Cambria Math" w:hAnsi="Cambria Math"/>
                    <w:sz w:val="20"/>
                    <w:szCs w:val="20"/>
                    <w:bdr w:val="none" w:sz="0" w:space="0" w:color="auto" w:frame="1"/>
                  </w:rPr>
                  <m:t>d</m:t>
                </m:r>
              </m:e>
              <m:sub>
                <m:r>
                  <w:rPr>
                    <w:rFonts w:ascii="Cambria Math" w:hAnsi="Cambria Math"/>
                    <w:sz w:val="20"/>
                    <w:szCs w:val="20"/>
                    <w:bdr w:val="none" w:sz="0" w:space="0" w:color="auto" w:frame="1"/>
                  </w:rPr>
                  <m:t>1</m:t>
                </m:r>
              </m:sub>
            </m:sSub>
            <m:r>
              <w:rPr>
                <w:rFonts w:ascii="Cambria Math" w:hAnsi="Cambria Math"/>
                <w:sz w:val="20"/>
                <w:szCs w:val="20"/>
                <w:bdr w:val="none" w:sz="0" w:space="0" w:color="auto" w:frame="1"/>
              </w:rPr>
              <m:t>D</m:t>
            </m:r>
          </m:num>
          <m:den>
            <m:r>
              <w:rPr>
                <w:rFonts w:ascii="Cambria Math" w:hAnsi="Cambria Math"/>
                <w:sz w:val="20"/>
                <w:szCs w:val="20"/>
                <w:bdr w:val="none" w:sz="0" w:space="0" w:color="auto" w:frame="1"/>
              </w:rPr>
              <m:t>d</m:t>
            </m:r>
          </m:den>
        </m:f>
      </m:oMath>
      <w:r w:rsidRPr="00435469">
        <w:rPr>
          <w:i/>
          <w:sz w:val="20"/>
          <w:szCs w:val="20"/>
          <w:bdr w:val="none" w:sz="0" w:space="0" w:color="auto" w:frame="1"/>
        </w:rPr>
        <w:t xml:space="preserve"> </w:t>
      </w:r>
      <w:r w:rsidRPr="00435469">
        <w:rPr>
          <w:iCs/>
          <w:sz w:val="20"/>
          <w:szCs w:val="20"/>
          <w:bdr w:val="none" w:sz="0" w:space="0" w:color="auto" w:frame="1"/>
        </w:rPr>
        <w:t xml:space="preserve">and </w:t>
      </w:r>
      <m:oMath>
        <m:r>
          <w:rPr>
            <w:rFonts w:ascii="Cambria Math" w:hAnsi="Cambria Math"/>
            <w:sz w:val="20"/>
            <w:szCs w:val="20"/>
            <w:bdr w:val="none" w:sz="0" w:space="0" w:color="auto" w:frame="1"/>
          </w:rPr>
          <m:t>δ=</m:t>
        </m:r>
        <m:d>
          <m:dPr>
            <m:ctrlPr>
              <w:rPr>
                <w:rFonts w:ascii="Cambria Math" w:hAnsi="Cambria Math"/>
                <w:i/>
                <w:sz w:val="20"/>
                <w:szCs w:val="20"/>
                <w:bdr w:val="none" w:sz="0" w:space="0" w:color="auto" w:frame="1"/>
              </w:rPr>
            </m:ctrlPr>
          </m:dPr>
          <m:e>
            <m:r>
              <w:rPr>
                <w:rFonts w:ascii="Cambria Math" w:hAnsi="Cambria Math"/>
                <w:sz w:val="20"/>
                <w:szCs w:val="20"/>
                <w:bdr w:val="none" w:sz="0" w:space="0" w:color="auto" w:frame="1"/>
              </w:rPr>
              <m:t>1-</m:t>
            </m:r>
            <m:f>
              <m:fPr>
                <m:ctrlPr>
                  <w:rPr>
                    <w:rFonts w:ascii="Cambria Math" w:hAnsi="Cambria Math"/>
                    <w:i/>
                    <w:sz w:val="20"/>
                    <w:szCs w:val="20"/>
                    <w:bdr w:val="none" w:sz="0" w:space="0" w:color="auto" w:frame="1"/>
                  </w:rPr>
                </m:ctrlPr>
              </m:fPr>
              <m:num>
                <m:r>
                  <w:rPr>
                    <w:rFonts w:ascii="Cambria Math" w:hAnsi="Cambria Math"/>
                    <w:sz w:val="20"/>
                    <w:szCs w:val="20"/>
                    <w:bdr w:val="none" w:sz="0" w:space="0" w:color="auto" w:frame="1"/>
                  </w:rPr>
                  <m:t>2</m:t>
                </m:r>
                <m:sSub>
                  <m:sSubPr>
                    <m:ctrlPr>
                      <w:rPr>
                        <w:rFonts w:ascii="Cambria Math" w:hAnsi="Cambria Math"/>
                        <w:i/>
                        <w:sz w:val="20"/>
                        <w:szCs w:val="20"/>
                        <w:bdr w:val="none" w:sz="0" w:space="0" w:color="auto" w:frame="1"/>
                      </w:rPr>
                    </m:ctrlPr>
                  </m:sSubPr>
                  <m:e>
                    <m:r>
                      <w:rPr>
                        <w:rFonts w:ascii="Cambria Math" w:hAnsi="Cambria Math"/>
                        <w:sz w:val="20"/>
                        <w:szCs w:val="20"/>
                        <w:bdr w:val="none" w:sz="0" w:space="0" w:color="auto" w:frame="1"/>
                      </w:rPr>
                      <m:t>d</m:t>
                    </m:r>
                  </m:e>
                  <m:sub>
                    <m:r>
                      <w:rPr>
                        <w:rFonts w:ascii="Cambria Math" w:hAnsi="Cambria Math"/>
                        <w:sz w:val="20"/>
                        <w:szCs w:val="20"/>
                        <w:bdr w:val="none" w:sz="0" w:space="0" w:color="auto" w:frame="1"/>
                      </w:rPr>
                      <m:t>1</m:t>
                    </m:r>
                  </m:sub>
                </m:sSub>
              </m:num>
              <m:den>
                <m:r>
                  <w:rPr>
                    <w:rFonts w:ascii="Cambria Math" w:hAnsi="Cambria Math"/>
                    <w:sz w:val="20"/>
                    <w:szCs w:val="20"/>
                    <w:bdr w:val="none" w:sz="0" w:space="0" w:color="auto" w:frame="1"/>
                  </w:rPr>
                  <m:t>d</m:t>
                </m:r>
              </m:den>
            </m:f>
          </m:e>
        </m:d>
        <m:r>
          <w:rPr>
            <w:rFonts w:ascii="Cambria Math" w:hAnsi="Cambria Math"/>
            <w:sz w:val="20"/>
            <w:szCs w:val="20"/>
            <w:bdr w:val="none" w:sz="0" w:space="0" w:color="auto" w:frame="1"/>
          </w:rPr>
          <m:t>D</m:t>
        </m:r>
      </m:oMath>
      <w:r w:rsidRPr="00435469">
        <w:rPr>
          <w:sz w:val="20"/>
          <w:szCs w:val="20"/>
          <w:bdr w:val="none" w:sz="0" w:space="0" w:color="auto" w:frame="1"/>
        </w:rPr>
        <w:t>.</w:t>
      </w:r>
      <w:bookmarkStart w:id="215" w:name="_Ref45015325"/>
      <w:r w:rsidR="00FB1394" w:rsidRPr="00435469">
        <w:rPr>
          <w:sz w:val="20"/>
          <w:szCs w:val="20"/>
          <w:bdr w:val="none" w:sz="0" w:space="0" w:color="auto" w:frame="1"/>
        </w:rPr>
        <w:t xml:space="preserve"> </w:t>
      </w:r>
      <w:r w:rsidRPr="00435469">
        <w:rPr>
          <w:sz w:val="20"/>
          <w:szCs w:val="20"/>
        </w:rPr>
        <w:t xml:space="preserve">We used the ETR data and set the cure rate at  </w:t>
      </w:r>
      <m:oMath>
        <m:r>
          <w:rPr>
            <w:rFonts w:ascii="Cambria Math" w:hAnsi="Cambria Math"/>
            <w:sz w:val="20"/>
            <w:szCs w:val="20"/>
            <w:bdr w:val="none" w:sz="0" w:space="0" w:color="auto" w:frame="1"/>
          </w:rPr>
          <m:t>κ=</m:t>
        </m:r>
        <m:r>
          <w:rPr>
            <w:rFonts w:ascii="Cambria Math" w:eastAsiaTheme="minorEastAsia" w:hAnsi="Cambria Math"/>
            <w:sz w:val="20"/>
            <w:szCs w:val="20"/>
            <w:bdr w:val="none" w:sz="0" w:space="0" w:color="auto" w:frame="1"/>
          </w:rPr>
          <m:t>1.92</m:t>
        </m:r>
      </m:oMath>
      <w:r w:rsidRPr="00435469">
        <w:rPr>
          <w:sz w:val="20"/>
          <w:szCs w:val="20"/>
        </w:rPr>
        <w:t>, rough</w:t>
      </w:r>
      <w:proofErr w:type="spellStart"/>
      <w:r w:rsidR="001E22A9" w:rsidRPr="00435469">
        <w:rPr>
          <w:sz w:val="20"/>
          <w:szCs w:val="20"/>
        </w:rPr>
        <w:t>ly</w:t>
      </w:r>
      <w:proofErr w:type="spellEnd"/>
      <w:r w:rsidR="001E22A9" w:rsidRPr="00435469">
        <w:rPr>
          <w:sz w:val="20"/>
          <w:szCs w:val="20"/>
        </w:rPr>
        <w:t xml:space="preserve"> the</w:t>
      </w:r>
      <w:r w:rsidR="00FB1394" w:rsidRPr="00435469">
        <w:rPr>
          <w:sz w:val="20"/>
          <w:szCs w:val="20"/>
        </w:rPr>
        <w:t xml:space="preserve"> </w:t>
      </w:r>
      <w:r w:rsidRPr="00435469">
        <w:rPr>
          <w:sz w:val="20"/>
          <w:szCs w:val="20"/>
        </w:rPr>
        <w:t>average across all years</w:t>
      </w:r>
      <w:r w:rsidR="005E5B1E" w:rsidRPr="00435469">
        <w:rPr>
          <w:sz w:val="20"/>
          <w:szCs w:val="20"/>
        </w:rPr>
        <w:t xml:space="preserve"> (</w:t>
      </w:r>
      <w:r w:rsidR="005F2D90" w:rsidRPr="00435469">
        <w:rPr>
          <w:sz w:val="20"/>
          <w:szCs w:val="20"/>
        </w:rPr>
        <w:fldChar w:fldCharType="begin"/>
      </w:r>
      <w:r w:rsidR="005F2D90" w:rsidRPr="00435469">
        <w:rPr>
          <w:sz w:val="20"/>
          <w:szCs w:val="20"/>
        </w:rPr>
        <w:instrText xml:space="preserve"> REF _Ref65667633 \h </w:instrText>
      </w:r>
      <w:r w:rsidR="00304411" w:rsidRPr="00435469">
        <w:rPr>
          <w:sz w:val="20"/>
          <w:szCs w:val="20"/>
        </w:rPr>
        <w:instrText xml:space="preserve"> \* MERGEFORMAT </w:instrText>
      </w:r>
      <w:r w:rsidR="005F2D90" w:rsidRPr="00435469">
        <w:rPr>
          <w:sz w:val="20"/>
          <w:szCs w:val="20"/>
        </w:rPr>
      </w:r>
      <w:r w:rsidR="005F2D90" w:rsidRPr="00435469">
        <w:rPr>
          <w:sz w:val="20"/>
          <w:szCs w:val="20"/>
        </w:rPr>
        <w:fldChar w:fldCharType="separate"/>
      </w:r>
      <w:r w:rsidR="00186C2F" w:rsidRPr="00435469">
        <w:rPr>
          <w:sz w:val="20"/>
          <w:szCs w:val="20"/>
        </w:rPr>
        <w:t xml:space="preserve">Table </w:t>
      </w:r>
      <w:r w:rsidR="00186C2F" w:rsidRPr="00435469">
        <w:rPr>
          <w:noProof/>
          <w:sz w:val="20"/>
          <w:szCs w:val="20"/>
        </w:rPr>
        <w:t>13</w:t>
      </w:r>
      <w:r w:rsidR="005F2D90" w:rsidRPr="00435469">
        <w:rPr>
          <w:sz w:val="20"/>
          <w:szCs w:val="20"/>
        </w:rPr>
        <w:fldChar w:fldCharType="end"/>
      </w:r>
      <w:r w:rsidR="005E5B1E" w:rsidRPr="00435469">
        <w:rPr>
          <w:sz w:val="20"/>
          <w:szCs w:val="20"/>
        </w:rPr>
        <w:t>)</w:t>
      </w:r>
      <w:r w:rsidRPr="00435469">
        <w:rPr>
          <w:rFonts w:eastAsia="Yu Gothic Light"/>
          <w:bCs/>
          <w:sz w:val="20"/>
          <w:szCs w:val="20"/>
        </w:rPr>
        <w:t xml:space="preserve"> </w:t>
      </w:r>
      <w:r w:rsidRPr="00435469">
        <w:rPr>
          <w:sz w:val="20"/>
          <w:szCs w:val="20"/>
        </w:rPr>
        <w:t>for those who complete the six months treatment course.</w:t>
      </w:r>
    </w:p>
    <w:p w14:paraId="55EF014D" w14:textId="4BE3E3FD" w:rsidR="00F4744A" w:rsidRPr="00435469" w:rsidRDefault="00E85A48" w:rsidP="00955FFB">
      <w:pPr>
        <w:pStyle w:val="Heading3"/>
        <w:rPr>
          <w:color w:val="auto"/>
          <w:sz w:val="20"/>
          <w:szCs w:val="20"/>
        </w:rPr>
      </w:pPr>
      <w:bookmarkStart w:id="216" w:name="_Toc103252939"/>
      <w:bookmarkEnd w:id="215"/>
      <w:r w:rsidRPr="00435469">
        <w:rPr>
          <w:color w:val="auto"/>
          <w:sz w:val="20"/>
          <w:szCs w:val="20"/>
        </w:rPr>
        <w:t>Modelling treatment discontinuation</w:t>
      </w:r>
      <w:bookmarkEnd w:id="211"/>
      <w:bookmarkEnd w:id="212"/>
      <w:bookmarkEnd w:id="213"/>
      <w:bookmarkEnd w:id="216"/>
    </w:p>
    <w:p w14:paraId="5DDBB3A1" w14:textId="1E00E977" w:rsidR="00E85A48" w:rsidRPr="00435469" w:rsidRDefault="00E556C4" w:rsidP="00955FFB">
      <w:pPr>
        <w:spacing w:line="240" w:lineRule="auto"/>
        <w:rPr>
          <w:rFonts w:eastAsia="Yu Gothic Light" w:cs="Times New Roman"/>
          <w:bCs/>
          <w:sz w:val="20"/>
          <w:szCs w:val="20"/>
        </w:rPr>
      </w:pPr>
      <w:r w:rsidRPr="00435469">
        <w:rPr>
          <w:rFonts w:cs="Times New Roman"/>
          <w:sz w:val="20"/>
          <w:szCs w:val="20"/>
        </w:rPr>
        <w:t>In the model, we specify a fixed parameter for the annual rate of treatment discontinuation. Based on the ETR data, males have higher treatment discontinuation rates than females (</w:t>
      </w:r>
      <w:r w:rsidRPr="00435469">
        <w:rPr>
          <w:rFonts w:cs="Times New Roman"/>
          <w:sz w:val="20"/>
          <w:szCs w:val="20"/>
        </w:rPr>
        <w:fldChar w:fldCharType="begin"/>
      </w:r>
      <w:r w:rsidRPr="00435469">
        <w:rPr>
          <w:rFonts w:cs="Times New Roman"/>
          <w:sz w:val="20"/>
          <w:szCs w:val="20"/>
        </w:rPr>
        <w:instrText xml:space="preserve"> REF _Ref65767113 \h  \* MERGEFORMAT </w:instrText>
      </w:r>
      <w:r w:rsidRPr="00435469">
        <w:rPr>
          <w:rFonts w:cs="Times New Roman"/>
          <w:sz w:val="20"/>
          <w:szCs w:val="20"/>
        </w:rPr>
      </w:r>
      <w:r w:rsidRPr="00435469">
        <w:rPr>
          <w:rFonts w:cs="Times New Roman"/>
          <w:sz w:val="20"/>
          <w:szCs w:val="20"/>
        </w:rPr>
        <w:fldChar w:fldCharType="separate"/>
      </w:r>
      <w:r w:rsidR="00186C2F" w:rsidRPr="00435469">
        <w:rPr>
          <w:rFonts w:cs="Times New Roman"/>
          <w:sz w:val="20"/>
          <w:szCs w:val="20"/>
        </w:rPr>
        <w:t xml:space="preserve">Table </w:t>
      </w:r>
      <w:r w:rsidR="00186C2F" w:rsidRPr="00435469">
        <w:rPr>
          <w:rFonts w:cs="Times New Roman"/>
          <w:noProof/>
          <w:sz w:val="20"/>
          <w:szCs w:val="20"/>
        </w:rPr>
        <w:t>14</w:t>
      </w:r>
      <w:r w:rsidRPr="00435469">
        <w:rPr>
          <w:rFonts w:cs="Times New Roman"/>
          <w:sz w:val="20"/>
          <w:szCs w:val="20"/>
        </w:rPr>
        <w:fldChar w:fldCharType="end"/>
      </w:r>
      <w:r w:rsidRPr="00435469">
        <w:rPr>
          <w:rFonts w:cs="Times New Roman"/>
          <w:sz w:val="20"/>
          <w:szCs w:val="20"/>
        </w:rPr>
        <w:t xml:space="preserve">). This treatment discontinuation parameter is calculated as the average discontinuation rates across years and HIV strata, and we set it at 0.309 in males and 0.237 for females. Using the ETR data, the ratio of male to female average discontinuation rate aggregated across age and HIV strata is 1.307 (= 0.309/0.237). Berry </w:t>
      </w:r>
      <w:r w:rsidRPr="00435469">
        <w:rPr>
          <w:rFonts w:cs="Times New Roman"/>
          <w:i/>
          <w:iCs/>
          <w:sz w:val="20"/>
          <w:szCs w:val="20"/>
        </w:rPr>
        <w:t xml:space="preserve">et al.'s </w:t>
      </w:r>
      <w:r w:rsidRPr="00435469">
        <w:rPr>
          <w:rFonts w:cs="Times New Roman"/>
          <w:sz w:val="20"/>
          <w:szCs w:val="20"/>
        </w:rPr>
        <w:t xml:space="preserve">study </w:t>
      </w:r>
      <w:r w:rsidR="001124B1" w:rsidRPr="00435469">
        <w:rPr>
          <w:rFonts w:cs="Times New Roman"/>
          <w:sz w:val="20"/>
          <w:szCs w:val="20"/>
        </w:rPr>
        <w:t>using the ETR data f</w:t>
      </w:r>
      <w:r w:rsidR="005B7DEA" w:rsidRPr="00435469">
        <w:rPr>
          <w:rFonts w:cs="Times New Roman"/>
          <w:sz w:val="20"/>
          <w:szCs w:val="20"/>
        </w:rPr>
        <w:t>or Gauteng Province</w:t>
      </w:r>
      <w:r w:rsidR="004B0B03" w:rsidRPr="00435469">
        <w:rPr>
          <w:rFonts w:cs="Times New Roman"/>
          <w:sz w:val="20"/>
          <w:szCs w:val="20"/>
        </w:rPr>
        <w:t xml:space="preserve"> </w:t>
      </w:r>
      <w:r w:rsidR="005B7DEA" w:rsidRPr="00435469">
        <w:rPr>
          <w:rFonts w:cs="Times New Roman"/>
          <w:sz w:val="20"/>
          <w:szCs w:val="20"/>
        </w:rPr>
        <w:t>(</w:t>
      </w:r>
      <w:r w:rsidR="004B0B03" w:rsidRPr="00435469">
        <w:rPr>
          <w:rFonts w:cs="Times New Roman"/>
          <w:sz w:val="20"/>
          <w:szCs w:val="20"/>
        </w:rPr>
        <w:t>Ekurhuleni Metropolitan Municipality and the City of Johannesburg</w:t>
      </w:r>
      <w:r w:rsidR="005B7DEA" w:rsidRPr="00435469">
        <w:rPr>
          <w:rFonts w:cs="Times New Roman"/>
          <w:sz w:val="20"/>
          <w:szCs w:val="20"/>
        </w:rPr>
        <w:t>)</w:t>
      </w:r>
      <w:r w:rsidR="005B28E9" w:rsidRPr="00435469">
        <w:rPr>
          <w:rFonts w:cs="Times New Roman"/>
          <w:sz w:val="20"/>
          <w:szCs w:val="20"/>
        </w:rPr>
        <w:t>,</w:t>
      </w:r>
      <w:r w:rsidR="005B7DEA" w:rsidRPr="00435469">
        <w:rPr>
          <w:rFonts w:cs="Times New Roman"/>
          <w:sz w:val="20"/>
          <w:szCs w:val="20"/>
        </w:rPr>
        <w:t xml:space="preserve"> </w:t>
      </w:r>
      <w:r w:rsidRPr="00435469">
        <w:rPr>
          <w:rFonts w:cs="Times New Roman"/>
          <w:sz w:val="20"/>
          <w:szCs w:val="20"/>
        </w:rPr>
        <w:t>estimated a similar relative risk of treatment discontinuation for males compared to females</w:t>
      </w:r>
      <w:r w:rsidR="00BA4217" w:rsidRPr="00435469">
        <w:rPr>
          <w:rFonts w:cs="Times New Roman"/>
          <w:sz w:val="20"/>
          <w:szCs w:val="20"/>
        </w:rPr>
        <w:t>,</w:t>
      </w:r>
      <w:r w:rsidRPr="00435469">
        <w:rPr>
          <w:rFonts w:cs="Times New Roman"/>
          <w:sz w:val="20"/>
          <w:szCs w:val="20"/>
        </w:rPr>
        <w:t xml:space="preserve"> 1.299</w:t>
      </w:r>
      <w:r w:rsidR="00695548" w:rsidRPr="00435469">
        <w:rPr>
          <w:rFonts w:cs="Times New Roman"/>
          <w:sz w:val="20"/>
          <w:szCs w:val="20"/>
        </w:rPr>
        <w:t xml:space="preserve"> </w:t>
      </w:r>
      <w:r w:rsidRPr="00435469">
        <w:rPr>
          <w:rFonts w:eastAsia="Yu Gothic Light" w:cs="Times New Roman"/>
          <w:bCs/>
          <w:sz w:val="20"/>
          <w:szCs w:val="20"/>
        </w:rPr>
        <w:fldChar w:fldCharType="begin" w:fldLock="1"/>
      </w:r>
      <w:r w:rsidR="00A142FF" w:rsidRPr="00435469">
        <w:rPr>
          <w:rFonts w:eastAsia="Yu Gothic Light" w:cs="Times New Roman"/>
          <w:bCs/>
          <w:sz w:val="20"/>
          <w:szCs w:val="20"/>
        </w:rPr>
        <w:instrText>ADDIN CSL_CITATION {"citationItems":[{"id":"ITEM-1","itemData":{"DOI":"10.1186/s12889-019-7257-4","ISSN":"14712458","PMID":"31331311","abstract":"Background: Gauteng Province has the second lowest tuberculosis (TB) incidence rate in South Africa but the greatest proportion of TB/HIV co-infection, with 68% of TB patients estimated to have HIV. TB treatment outcomes are well documented at the national and provincial level; however, knowledge gaps remain on how outcomes differ across detailed age groups. Methods: Using data from South Africa's National Electronic TB Register (ETR), we assessed all-cause mortality and loss to follow-up (LTFU) among patients initiating treatment for TB between 01/2010 and 12/2015 in the metropolitan municipalities of Ekurhuleni Metropolitan Municipality and the City of Johannesburg in Gauteng Province. We excluded patients who were missing age, had known drug-resistance, or transferred into TB care from sites outside the two metropolitan municipalities. Among patients assigned a treatment outcome, we investigated the association between age group at treatment initiation and mortality or LTFU (treatment interruption of ≥2 months) within 10 months after treatment initiation using Cox proportional hazard models and present hazard ratios and Kaplan-Meier survival curves. Results: We identified 182,890 children (&lt;10 years), young adolescent (10-14), older adolescent (15-19), young adult (20-24), adult (25-49), and older adult (≥50) TB cases without known drug-resistance. ART coverage among HIV co-infected patients was highest for young adolescents (64.3%) and lowest for young adults (54.0%) compared to other age groups (all over 60%). Treatment success exceeded 80% in all age groups (n = 170,017). All-cause mortality increased with age. Compared to adults, young adults had an increased hazard of LTFU (20-24 vs 25-49 years; aHR 1.43 95% CI: 1.33, 1.54) while children, young adolescents, and older adults had lower hazard of LTFU. Patients with HIV on ART had a lower risk of LTFU, but greater risk of death when compared to patients without HIV. Conclusions: Young adults in urban areas of Gauteng Province experience a disproportionate burden of LTFU and low coverage of ART among co-infected patients. This group should be targeted for interventions aimed at improving clinical outcomes and retention in both TB and HIV care.","author":[{"dropping-particle":"","family":"Berry","given":"Kaitlyn M.","non-dropping-particle":"","parse-names":false,"suffix":""},{"dropping-particle":"","family":"Rodriguez","given":"Carly A.","non-dropping-particle":"","parse-names":false,"suffix":""},{"dropping-particle":"","family":"Berhanu","given":"Rebecca H.","non-dropping-particle":"","parse-names":false,"suffix":""},{"dropping-particle":"","family":"Ismail","given":"Nazir","non-dropping-particle":"","parse-names":false,"suffix":""},{"dropping-particle":"","family":"Mvusi","given":"Lindiwe","non-dropping-particle":"","parse-names":false,"suffix":""},{"dropping-particle":"","family":"Long","given":"Lawrence","non-dropping-particle":"","parse-names":false,"suffix":""},{"dropping-particle":"","family":"Evans","given":"Denise","non-dropping-particle":"","parse-names":false,"suffix":""}],"container-title":"BMC Public Health","id":"ITEM-1","issue":"1","issued":{"date-parts":[["2019"]]},"page":"1-17","publisher":"BMC Public Health","title":"Treatment outcomes among children, adolescents, and adults on treatment for tuberculosis in two metropolitan municipalities in Gauteng Province, South Africa","type":"article-journal","volume":"19"},"uris":["http://www.mendeley.com/documents/?uuid=7bbb795d-155a-4713-88d3-943cec153893"]}],"mendeley":{"formattedCitation":"(84)","plainTextFormattedCitation":"(84)","previouslyFormattedCitation":"(84)"},"properties":{"noteIndex":0},"schema":"https://github.com/citation-style-language/schema/raw/master/csl-citation.json"}</w:instrText>
      </w:r>
      <w:r w:rsidRPr="00435469">
        <w:rPr>
          <w:rFonts w:eastAsia="Yu Gothic Light" w:cs="Times New Roman"/>
          <w:bCs/>
          <w:sz w:val="20"/>
          <w:szCs w:val="20"/>
        </w:rPr>
        <w:fldChar w:fldCharType="separate"/>
      </w:r>
      <w:r w:rsidR="0016391D" w:rsidRPr="00435469">
        <w:rPr>
          <w:rFonts w:eastAsia="Yu Gothic Light" w:cs="Times New Roman"/>
          <w:bCs/>
          <w:noProof/>
          <w:sz w:val="20"/>
          <w:szCs w:val="20"/>
        </w:rPr>
        <w:t>(84)</w:t>
      </w:r>
      <w:r w:rsidRPr="00435469">
        <w:rPr>
          <w:rFonts w:eastAsia="Yu Gothic Light" w:cs="Times New Roman"/>
          <w:bCs/>
          <w:sz w:val="20"/>
          <w:szCs w:val="20"/>
        </w:rPr>
        <w:fldChar w:fldCharType="end"/>
      </w:r>
      <w:r w:rsidRPr="00435469">
        <w:rPr>
          <w:rFonts w:eastAsia="Yu Gothic Light" w:cs="Times New Roman"/>
          <w:bCs/>
          <w:sz w:val="20"/>
          <w:szCs w:val="20"/>
        </w:rPr>
        <w:t>.</w:t>
      </w:r>
    </w:p>
    <w:p w14:paraId="490B51B9" w14:textId="56460DD5" w:rsidR="00442FA9" w:rsidRPr="00435469" w:rsidRDefault="00442FA9" w:rsidP="00955FFB">
      <w:pPr>
        <w:pStyle w:val="3CaptionBelowwithNote"/>
        <w:rPr>
          <w:sz w:val="20"/>
          <w:szCs w:val="20"/>
        </w:rPr>
      </w:pPr>
      <w:bookmarkStart w:id="217" w:name="_Ref65767113"/>
      <w:bookmarkStart w:id="218" w:name="_Toc80352729"/>
      <w:bookmarkStart w:id="219" w:name="_Toc87863403"/>
      <w:bookmarkStart w:id="220" w:name="_Toc103253667"/>
      <w:r w:rsidRPr="00435469">
        <w:rPr>
          <w:sz w:val="20"/>
          <w:szCs w:val="20"/>
        </w:rPr>
        <w:t xml:space="preserve">Table </w:t>
      </w:r>
      <w:r w:rsidRPr="00435469">
        <w:rPr>
          <w:sz w:val="20"/>
          <w:szCs w:val="20"/>
        </w:rPr>
        <w:fldChar w:fldCharType="begin"/>
      </w:r>
      <w:r w:rsidRPr="00435469">
        <w:rPr>
          <w:sz w:val="20"/>
          <w:szCs w:val="20"/>
        </w:rPr>
        <w:instrText xml:space="preserve"> SEQ Table \* ARABIC </w:instrText>
      </w:r>
      <w:r w:rsidRPr="00435469">
        <w:rPr>
          <w:sz w:val="20"/>
          <w:szCs w:val="20"/>
        </w:rPr>
        <w:fldChar w:fldCharType="separate"/>
      </w:r>
      <w:r w:rsidR="00186C2F" w:rsidRPr="00435469">
        <w:rPr>
          <w:sz w:val="20"/>
          <w:szCs w:val="20"/>
        </w:rPr>
        <w:t>14</w:t>
      </w:r>
      <w:r w:rsidRPr="00435469">
        <w:rPr>
          <w:sz w:val="20"/>
          <w:szCs w:val="20"/>
        </w:rPr>
        <w:fldChar w:fldCharType="end"/>
      </w:r>
      <w:bookmarkEnd w:id="217"/>
      <w:r w:rsidRPr="00435469">
        <w:rPr>
          <w:sz w:val="20"/>
          <w:szCs w:val="20"/>
        </w:rPr>
        <w:t>: Average treatment discontinuation and death</w:t>
      </w:r>
      <w:r w:rsidR="00347CE4" w:rsidRPr="00435469">
        <w:rPr>
          <w:sz w:val="20"/>
          <w:szCs w:val="20"/>
        </w:rPr>
        <w:t xml:space="preserve"> rates</w:t>
      </w:r>
      <w:r w:rsidRPr="00435469">
        <w:rPr>
          <w:sz w:val="20"/>
          <w:szCs w:val="20"/>
        </w:rPr>
        <w:t xml:space="preserve"> by HIV status</w:t>
      </w:r>
      <w:r w:rsidR="00347CE4" w:rsidRPr="00435469">
        <w:rPr>
          <w:sz w:val="20"/>
          <w:szCs w:val="20"/>
        </w:rPr>
        <w:t>,</w:t>
      </w:r>
      <w:r w:rsidRPr="00435469">
        <w:rPr>
          <w:sz w:val="20"/>
          <w:szCs w:val="20"/>
        </w:rPr>
        <w:t xml:space="preserve"> based on the ETR</w:t>
      </w:r>
      <w:bookmarkEnd w:id="218"/>
      <w:bookmarkEnd w:id="219"/>
      <w:bookmarkEnd w:id="220"/>
      <w:r w:rsidRPr="00435469">
        <w:rPr>
          <w:sz w:val="20"/>
          <w:szCs w:val="20"/>
        </w:rPr>
        <w:t xml:space="preserve"> </w:t>
      </w:r>
    </w:p>
    <w:tbl>
      <w:tblPr>
        <w:tblW w:w="9487" w:type="dxa"/>
        <w:tblBorders>
          <w:top w:val="single" w:sz="4" w:space="0" w:color="auto"/>
          <w:bottom w:val="single" w:sz="4" w:space="0" w:color="auto"/>
        </w:tblBorders>
        <w:tblLook w:val="04A0" w:firstRow="1" w:lastRow="0" w:firstColumn="1" w:lastColumn="0" w:noHBand="0" w:noVBand="1"/>
      </w:tblPr>
      <w:tblGrid>
        <w:gridCol w:w="1276"/>
        <w:gridCol w:w="1244"/>
        <w:gridCol w:w="676"/>
        <w:gridCol w:w="1421"/>
        <w:gridCol w:w="676"/>
        <w:gridCol w:w="1421"/>
        <w:gridCol w:w="676"/>
        <w:gridCol w:w="1421"/>
        <w:gridCol w:w="676"/>
      </w:tblGrid>
      <w:tr w:rsidR="00304411" w:rsidRPr="00435469" w14:paraId="7DA9D56A" w14:textId="77777777" w:rsidTr="00E84FC8">
        <w:trPr>
          <w:trHeight w:val="271"/>
        </w:trPr>
        <w:tc>
          <w:tcPr>
            <w:tcW w:w="1276" w:type="dxa"/>
            <w:shd w:val="clear" w:color="auto" w:fill="auto"/>
            <w:noWrap/>
            <w:vAlign w:val="bottom"/>
            <w:hideMark/>
          </w:tcPr>
          <w:p w14:paraId="524B10AE" w14:textId="77777777" w:rsidR="00442FA9" w:rsidRPr="00435469" w:rsidRDefault="00442FA9" w:rsidP="00AD6E54">
            <w:pPr>
              <w:pStyle w:val="3TableData"/>
            </w:pPr>
          </w:p>
        </w:tc>
        <w:tc>
          <w:tcPr>
            <w:tcW w:w="1920" w:type="dxa"/>
            <w:gridSpan w:val="2"/>
            <w:tcBorders>
              <w:bottom w:val="single" w:sz="4" w:space="0" w:color="auto"/>
            </w:tcBorders>
            <w:shd w:val="clear" w:color="auto" w:fill="auto"/>
            <w:noWrap/>
            <w:vAlign w:val="bottom"/>
            <w:hideMark/>
          </w:tcPr>
          <w:p w14:paraId="24CBC153" w14:textId="07234004" w:rsidR="00442FA9" w:rsidRPr="00435469" w:rsidRDefault="00442FA9" w:rsidP="00AD6E54">
            <w:pPr>
              <w:pStyle w:val="3TableData"/>
            </w:pPr>
            <w:r w:rsidRPr="00435469">
              <w:t>HIV-</w:t>
            </w:r>
            <w:r w:rsidR="00765515" w:rsidRPr="00435469">
              <w:t>positive</w:t>
            </w:r>
          </w:p>
        </w:tc>
        <w:tc>
          <w:tcPr>
            <w:tcW w:w="2097" w:type="dxa"/>
            <w:gridSpan w:val="2"/>
            <w:tcBorders>
              <w:bottom w:val="single" w:sz="4" w:space="0" w:color="auto"/>
            </w:tcBorders>
            <w:shd w:val="clear" w:color="auto" w:fill="auto"/>
            <w:noWrap/>
            <w:vAlign w:val="bottom"/>
            <w:hideMark/>
          </w:tcPr>
          <w:p w14:paraId="37C44606" w14:textId="6E5B8DC0" w:rsidR="00442FA9" w:rsidRPr="00435469" w:rsidRDefault="00442FA9" w:rsidP="00AD6E54">
            <w:pPr>
              <w:pStyle w:val="3TableData"/>
            </w:pPr>
            <w:r w:rsidRPr="00435469">
              <w:t>HIV-</w:t>
            </w:r>
            <w:r w:rsidR="00524AF4" w:rsidRPr="00435469">
              <w:t>negat</w:t>
            </w:r>
            <w:r w:rsidR="00765515" w:rsidRPr="00435469">
              <w:t>ive</w:t>
            </w:r>
          </w:p>
        </w:tc>
        <w:tc>
          <w:tcPr>
            <w:tcW w:w="2097" w:type="dxa"/>
            <w:gridSpan w:val="2"/>
            <w:tcBorders>
              <w:bottom w:val="single" w:sz="4" w:space="0" w:color="auto"/>
            </w:tcBorders>
            <w:shd w:val="clear" w:color="auto" w:fill="auto"/>
            <w:noWrap/>
            <w:vAlign w:val="bottom"/>
            <w:hideMark/>
          </w:tcPr>
          <w:p w14:paraId="7FBF28D8" w14:textId="77777777" w:rsidR="00442FA9" w:rsidRPr="00435469" w:rsidRDefault="00442FA9" w:rsidP="00AD6E54">
            <w:pPr>
              <w:pStyle w:val="3TableData"/>
            </w:pPr>
            <w:r w:rsidRPr="00435469">
              <w:t>HIV-unknown</w:t>
            </w:r>
          </w:p>
        </w:tc>
        <w:tc>
          <w:tcPr>
            <w:tcW w:w="2097" w:type="dxa"/>
            <w:gridSpan w:val="2"/>
            <w:tcBorders>
              <w:bottom w:val="single" w:sz="4" w:space="0" w:color="auto"/>
            </w:tcBorders>
          </w:tcPr>
          <w:p w14:paraId="638EF069" w14:textId="77777777" w:rsidR="00442FA9" w:rsidRPr="00435469" w:rsidRDefault="00442FA9" w:rsidP="00AD6E54">
            <w:pPr>
              <w:pStyle w:val="3TableData"/>
            </w:pPr>
            <w:r w:rsidRPr="00435469">
              <w:t>Overall</w:t>
            </w:r>
          </w:p>
        </w:tc>
      </w:tr>
      <w:tr w:rsidR="00304411" w:rsidRPr="00435469" w14:paraId="1634FF76" w14:textId="77777777" w:rsidTr="00E84FC8">
        <w:trPr>
          <w:trHeight w:val="271"/>
        </w:trPr>
        <w:tc>
          <w:tcPr>
            <w:tcW w:w="1276" w:type="dxa"/>
            <w:shd w:val="clear" w:color="auto" w:fill="auto"/>
            <w:noWrap/>
            <w:vAlign w:val="bottom"/>
            <w:hideMark/>
          </w:tcPr>
          <w:p w14:paraId="776D4B93" w14:textId="77777777" w:rsidR="00442FA9" w:rsidRPr="00435469" w:rsidRDefault="00442FA9" w:rsidP="00AD6E54">
            <w:pPr>
              <w:pStyle w:val="3TableData"/>
            </w:pPr>
          </w:p>
        </w:tc>
        <w:tc>
          <w:tcPr>
            <w:tcW w:w="1244" w:type="dxa"/>
            <w:tcBorders>
              <w:top w:val="single" w:sz="4" w:space="0" w:color="auto"/>
              <w:bottom w:val="single" w:sz="4" w:space="0" w:color="auto"/>
            </w:tcBorders>
            <w:shd w:val="clear" w:color="auto" w:fill="auto"/>
            <w:noWrap/>
            <w:vAlign w:val="bottom"/>
            <w:hideMark/>
          </w:tcPr>
          <w:p w14:paraId="36F94136" w14:textId="77777777" w:rsidR="00442FA9" w:rsidRPr="00435469" w:rsidRDefault="00442FA9" w:rsidP="00AD6E54">
            <w:pPr>
              <w:pStyle w:val="3TableData"/>
            </w:pPr>
            <w:r w:rsidRPr="00435469">
              <w:t>discontinuation</w:t>
            </w:r>
          </w:p>
        </w:tc>
        <w:tc>
          <w:tcPr>
            <w:tcW w:w="676" w:type="dxa"/>
            <w:tcBorders>
              <w:top w:val="single" w:sz="4" w:space="0" w:color="auto"/>
              <w:bottom w:val="single" w:sz="4" w:space="0" w:color="auto"/>
            </w:tcBorders>
            <w:shd w:val="clear" w:color="auto" w:fill="auto"/>
            <w:noWrap/>
            <w:vAlign w:val="bottom"/>
            <w:hideMark/>
          </w:tcPr>
          <w:p w14:paraId="1347835F" w14:textId="77777777" w:rsidR="00442FA9" w:rsidRPr="00435469" w:rsidRDefault="00442FA9" w:rsidP="00AD6E54">
            <w:pPr>
              <w:pStyle w:val="3TableData"/>
            </w:pPr>
            <w:r w:rsidRPr="00435469">
              <w:t>death</w:t>
            </w:r>
          </w:p>
        </w:tc>
        <w:tc>
          <w:tcPr>
            <w:tcW w:w="1421" w:type="dxa"/>
            <w:tcBorders>
              <w:top w:val="single" w:sz="4" w:space="0" w:color="auto"/>
              <w:bottom w:val="single" w:sz="4" w:space="0" w:color="auto"/>
            </w:tcBorders>
            <w:shd w:val="clear" w:color="auto" w:fill="auto"/>
            <w:noWrap/>
            <w:vAlign w:val="bottom"/>
            <w:hideMark/>
          </w:tcPr>
          <w:p w14:paraId="39878351" w14:textId="77777777" w:rsidR="00442FA9" w:rsidRPr="00435469" w:rsidRDefault="00442FA9" w:rsidP="00AD6E54">
            <w:pPr>
              <w:pStyle w:val="3TableData"/>
            </w:pPr>
            <w:r w:rsidRPr="00435469">
              <w:t>discontinuation</w:t>
            </w:r>
          </w:p>
        </w:tc>
        <w:tc>
          <w:tcPr>
            <w:tcW w:w="676" w:type="dxa"/>
            <w:tcBorders>
              <w:top w:val="single" w:sz="4" w:space="0" w:color="auto"/>
              <w:bottom w:val="single" w:sz="4" w:space="0" w:color="auto"/>
            </w:tcBorders>
            <w:shd w:val="clear" w:color="auto" w:fill="auto"/>
            <w:noWrap/>
            <w:vAlign w:val="bottom"/>
            <w:hideMark/>
          </w:tcPr>
          <w:p w14:paraId="1EC58FEC" w14:textId="77777777" w:rsidR="00442FA9" w:rsidRPr="00435469" w:rsidRDefault="00442FA9" w:rsidP="00AD6E54">
            <w:pPr>
              <w:pStyle w:val="3TableData"/>
            </w:pPr>
            <w:r w:rsidRPr="00435469">
              <w:t>death</w:t>
            </w:r>
          </w:p>
        </w:tc>
        <w:tc>
          <w:tcPr>
            <w:tcW w:w="1421" w:type="dxa"/>
            <w:tcBorders>
              <w:top w:val="single" w:sz="4" w:space="0" w:color="auto"/>
              <w:bottom w:val="single" w:sz="4" w:space="0" w:color="auto"/>
            </w:tcBorders>
            <w:shd w:val="clear" w:color="auto" w:fill="auto"/>
            <w:noWrap/>
            <w:vAlign w:val="bottom"/>
            <w:hideMark/>
          </w:tcPr>
          <w:p w14:paraId="1C2F0DE1" w14:textId="77777777" w:rsidR="00442FA9" w:rsidRPr="00435469" w:rsidRDefault="00442FA9" w:rsidP="00AD6E54">
            <w:pPr>
              <w:pStyle w:val="3TableData"/>
            </w:pPr>
            <w:r w:rsidRPr="00435469">
              <w:t>discontinuation</w:t>
            </w:r>
          </w:p>
        </w:tc>
        <w:tc>
          <w:tcPr>
            <w:tcW w:w="676" w:type="dxa"/>
            <w:tcBorders>
              <w:top w:val="single" w:sz="4" w:space="0" w:color="auto"/>
              <w:bottom w:val="single" w:sz="4" w:space="0" w:color="auto"/>
            </w:tcBorders>
            <w:shd w:val="clear" w:color="auto" w:fill="auto"/>
            <w:noWrap/>
            <w:vAlign w:val="bottom"/>
            <w:hideMark/>
          </w:tcPr>
          <w:p w14:paraId="54342C9B" w14:textId="77777777" w:rsidR="00442FA9" w:rsidRPr="00435469" w:rsidRDefault="00442FA9" w:rsidP="00AD6E54">
            <w:pPr>
              <w:pStyle w:val="3TableData"/>
            </w:pPr>
            <w:r w:rsidRPr="00435469">
              <w:t>death</w:t>
            </w:r>
          </w:p>
        </w:tc>
        <w:tc>
          <w:tcPr>
            <w:tcW w:w="1421" w:type="dxa"/>
            <w:tcBorders>
              <w:top w:val="single" w:sz="4" w:space="0" w:color="auto"/>
              <w:bottom w:val="single" w:sz="4" w:space="0" w:color="auto"/>
            </w:tcBorders>
            <w:vAlign w:val="bottom"/>
          </w:tcPr>
          <w:p w14:paraId="70A0152A" w14:textId="77777777" w:rsidR="00442FA9" w:rsidRPr="00435469" w:rsidRDefault="00442FA9" w:rsidP="00AD6E54">
            <w:pPr>
              <w:pStyle w:val="3TableData"/>
            </w:pPr>
            <w:r w:rsidRPr="00435469">
              <w:t>discontinuation</w:t>
            </w:r>
          </w:p>
        </w:tc>
        <w:tc>
          <w:tcPr>
            <w:tcW w:w="676" w:type="dxa"/>
            <w:tcBorders>
              <w:top w:val="single" w:sz="4" w:space="0" w:color="auto"/>
              <w:bottom w:val="single" w:sz="4" w:space="0" w:color="auto"/>
            </w:tcBorders>
            <w:vAlign w:val="bottom"/>
          </w:tcPr>
          <w:p w14:paraId="4858EAD0" w14:textId="77777777" w:rsidR="00442FA9" w:rsidRPr="00435469" w:rsidRDefault="00442FA9" w:rsidP="00AD6E54">
            <w:pPr>
              <w:pStyle w:val="3TableData"/>
            </w:pPr>
            <w:r w:rsidRPr="00435469">
              <w:t>death</w:t>
            </w:r>
          </w:p>
        </w:tc>
      </w:tr>
      <w:tr w:rsidR="00304411" w:rsidRPr="00435469" w14:paraId="194F3E6F" w14:textId="77777777" w:rsidTr="00E84FC8">
        <w:trPr>
          <w:trHeight w:val="271"/>
        </w:trPr>
        <w:tc>
          <w:tcPr>
            <w:tcW w:w="1276" w:type="dxa"/>
            <w:shd w:val="clear" w:color="auto" w:fill="auto"/>
            <w:noWrap/>
            <w:vAlign w:val="bottom"/>
            <w:hideMark/>
          </w:tcPr>
          <w:p w14:paraId="0A3919CD" w14:textId="77777777" w:rsidR="00442FA9" w:rsidRPr="00435469" w:rsidRDefault="00442FA9" w:rsidP="00AD6E54">
            <w:pPr>
              <w:pStyle w:val="3TableData"/>
            </w:pPr>
            <w:r w:rsidRPr="00435469">
              <w:t xml:space="preserve">Female </w:t>
            </w:r>
          </w:p>
        </w:tc>
        <w:tc>
          <w:tcPr>
            <w:tcW w:w="1244" w:type="dxa"/>
            <w:tcBorders>
              <w:top w:val="single" w:sz="4" w:space="0" w:color="auto"/>
            </w:tcBorders>
            <w:shd w:val="clear" w:color="auto" w:fill="auto"/>
            <w:noWrap/>
            <w:vAlign w:val="bottom"/>
            <w:hideMark/>
          </w:tcPr>
          <w:p w14:paraId="4B9F8F56" w14:textId="77777777" w:rsidR="00442FA9" w:rsidRPr="00435469" w:rsidRDefault="00442FA9" w:rsidP="00AD6E54">
            <w:pPr>
              <w:pStyle w:val="3TableData"/>
            </w:pPr>
            <w:r w:rsidRPr="00435469">
              <w:t>0.195</w:t>
            </w:r>
          </w:p>
        </w:tc>
        <w:tc>
          <w:tcPr>
            <w:tcW w:w="676" w:type="dxa"/>
            <w:tcBorders>
              <w:top w:val="single" w:sz="4" w:space="0" w:color="auto"/>
            </w:tcBorders>
            <w:shd w:val="clear" w:color="auto" w:fill="auto"/>
            <w:noWrap/>
            <w:vAlign w:val="bottom"/>
            <w:hideMark/>
          </w:tcPr>
          <w:p w14:paraId="434AA31E" w14:textId="77777777" w:rsidR="00442FA9" w:rsidRPr="00435469" w:rsidRDefault="00442FA9" w:rsidP="00AD6E54">
            <w:pPr>
              <w:pStyle w:val="3TableData"/>
            </w:pPr>
            <w:r w:rsidRPr="00435469">
              <w:t>0.486</w:t>
            </w:r>
          </w:p>
        </w:tc>
        <w:tc>
          <w:tcPr>
            <w:tcW w:w="1421" w:type="dxa"/>
            <w:tcBorders>
              <w:top w:val="single" w:sz="4" w:space="0" w:color="auto"/>
            </w:tcBorders>
            <w:shd w:val="clear" w:color="auto" w:fill="auto"/>
            <w:noWrap/>
            <w:vAlign w:val="bottom"/>
            <w:hideMark/>
          </w:tcPr>
          <w:p w14:paraId="21609DAD" w14:textId="77777777" w:rsidR="00442FA9" w:rsidRPr="00435469" w:rsidRDefault="00442FA9" w:rsidP="00AD6E54">
            <w:pPr>
              <w:pStyle w:val="3TableData"/>
            </w:pPr>
            <w:r w:rsidRPr="00435469">
              <w:t>0.204</w:t>
            </w:r>
          </w:p>
        </w:tc>
        <w:tc>
          <w:tcPr>
            <w:tcW w:w="676" w:type="dxa"/>
            <w:tcBorders>
              <w:top w:val="single" w:sz="4" w:space="0" w:color="auto"/>
            </w:tcBorders>
            <w:shd w:val="clear" w:color="auto" w:fill="auto"/>
            <w:noWrap/>
            <w:vAlign w:val="bottom"/>
            <w:hideMark/>
          </w:tcPr>
          <w:p w14:paraId="128DBF48" w14:textId="77777777" w:rsidR="00442FA9" w:rsidRPr="00435469" w:rsidRDefault="00442FA9" w:rsidP="00AD6E54">
            <w:pPr>
              <w:pStyle w:val="3TableData"/>
            </w:pPr>
            <w:r w:rsidRPr="00435469">
              <w:t>0.166</w:t>
            </w:r>
          </w:p>
        </w:tc>
        <w:tc>
          <w:tcPr>
            <w:tcW w:w="1421" w:type="dxa"/>
            <w:tcBorders>
              <w:top w:val="single" w:sz="4" w:space="0" w:color="auto"/>
            </w:tcBorders>
            <w:shd w:val="clear" w:color="auto" w:fill="auto"/>
            <w:noWrap/>
            <w:vAlign w:val="bottom"/>
            <w:hideMark/>
          </w:tcPr>
          <w:p w14:paraId="62EFE0EE" w14:textId="77777777" w:rsidR="00442FA9" w:rsidRPr="00435469" w:rsidRDefault="00442FA9" w:rsidP="00AD6E54">
            <w:pPr>
              <w:pStyle w:val="3TableData"/>
            </w:pPr>
            <w:r w:rsidRPr="00435469">
              <w:t>0.311</w:t>
            </w:r>
          </w:p>
        </w:tc>
        <w:tc>
          <w:tcPr>
            <w:tcW w:w="676" w:type="dxa"/>
            <w:tcBorders>
              <w:top w:val="single" w:sz="4" w:space="0" w:color="auto"/>
            </w:tcBorders>
            <w:shd w:val="clear" w:color="auto" w:fill="auto"/>
            <w:noWrap/>
            <w:vAlign w:val="bottom"/>
            <w:hideMark/>
          </w:tcPr>
          <w:p w14:paraId="2794F802" w14:textId="77777777" w:rsidR="00442FA9" w:rsidRPr="00435469" w:rsidRDefault="00442FA9" w:rsidP="00AD6E54">
            <w:pPr>
              <w:pStyle w:val="3TableData"/>
            </w:pPr>
            <w:r w:rsidRPr="00435469">
              <w:t>0.495</w:t>
            </w:r>
          </w:p>
        </w:tc>
        <w:tc>
          <w:tcPr>
            <w:tcW w:w="1421" w:type="dxa"/>
            <w:tcBorders>
              <w:top w:val="single" w:sz="4" w:space="0" w:color="auto"/>
            </w:tcBorders>
            <w:vAlign w:val="bottom"/>
          </w:tcPr>
          <w:p w14:paraId="18FB2DA2" w14:textId="77777777" w:rsidR="00442FA9" w:rsidRPr="00435469" w:rsidRDefault="00442FA9" w:rsidP="00AD6E54">
            <w:pPr>
              <w:pStyle w:val="3TableData"/>
            </w:pPr>
            <w:r w:rsidRPr="00435469">
              <w:t>0.236</w:t>
            </w:r>
          </w:p>
        </w:tc>
        <w:tc>
          <w:tcPr>
            <w:tcW w:w="676" w:type="dxa"/>
            <w:tcBorders>
              <w:top w:val="single" w:sz="4" w:space="0" w:color="auto"/>
            </w:tcBorders>
            <w:vAlign w:val="bottom"/>
          </w:tcPr>
          <w:p w14:paraId="77126F92" w14:textId="77777777" w:rsidR="00442FA9" w:rsidRPr="00435469" w:rsidRDefault="00442FA9" w:rsidP="00AD6E54">
            <w:pPr>
              <w:pStyle w:val="3TableData"/>
            </w:pPr>
            <w:r w:rsidRPr="00435469">
              <w:t>0.382</w:t>
            </w:r>
          </w:p>
        </w:tc>
      </w:tr>
      <w:tr w:rsidR="00304411" w:rsidRPr="00435469" w14:paraId="35BE67BB" w14:textId="77777777" w:rsidTr="00E84FC8">
        <w:trPr>
          <w:trHeight w:val="271"/>
        </w:trPr>
        <w:tc>
          <w:tcPr>
            <w:tcW w:w="1276" w:type="dxa"/>
            <w:tcBorders>
              <w:bottom w:val="single" w:sz="4" w:space="0" w:color="auto"/>
            </w:tcBorders>
            <w:shd w:val="clear" w:color="auto" w:fill="auto"/>
            <w:noWrap/>
            <w:vAlign w:val="bottom"/>
            <w:hideMark/>
          </w:tcPr>
          <w:p w14:paraId="101AEEAF" w14:textId="77777777" w:rsidR="00442FA9" w:rsidRPr="00435469" w:rsidRDefault="00442FA9" w:rsidP="00AD6E54">
            <w:pPr>
              <w:pStyle w:val="3TableData"/>
            </w:pPr>
            <w:r w:rsidRPr="00435469">
              <w:t xml:space="preserve">Male </w:t>
            </w:r>
          </w:p>
        </w:tc>
        <w:tc>
          <w:tcPr>
            <w:tcW w:w="1244" w:type="dxa"/>
            <w:tcBorders>
              <w:bottom w:val="single" w:sz="4" w:space="0" w:color="auto"/>
            </w:tcBorders>
            <w:shd w:val="clear" w:color="auto" w:fill="auto"/>
            <w:noWrap/>
            <w:vAlign w:val="bottom"/>
            <w:hideMark/>
          </w:tcPr>
          <w:p w14:paraId="7443788D" w14:textId="77777777" w:rsidR="00442FA9" w:rsidRPr="00435469" w:rsidRDefault="00442FA9" w:rsidP="00AD6E54">
            <w:pPr>
              <w:pStyle w:val="3TableData"/>
            </w:pPr>
            <w:r w:rsidRPr="00435469">
              <w:t>0.246</w:t>
            </w:r>
          </w:p>
        </w:tc>
        <w:tc>
          <w:tcPr>
            <w:tcW w:w="676" w:type="dxa"/>
            <w:tcBorders>
              <w:bottom w:val="single" w:sz="4" w:space="0" w:color="auto"/>
            </w:tcBorders>
            <w:shd w:val="clear" w:color="auto" w:fill="auto"/>
            <w:noWrap/>
            <w:vAlign w:val="bottom"/>
            <w:hideMark/>
          </w:tcPr>
          <w:p w14:paraId="5B74B647" w14:textId="77777777" w:rsidR="00442FA9" w:rsidRPr="00435469" w:rsidRDefault="00442FA9" w:rsidP="00AD6E54">
            <w:pPr>
              <w:pStyle w:val="3TableData"/>
            </w:pPr>
            <w:r w:rsidRPr="00435469">
              <w:t>0.560</w:t>
            </w:r>
          </w:p>
        </w:tc>
        <w:tc>
          <w:tcPr>
            <w:tcW w:w="1421" w:type="dxa"/>
            <w:tcBorders>
              <w:bottom w:val="single" w:sz="4" w:space="0" w:color="auto"/>
            </w:tcBorders>
            <w:shd w:val="clear" w:color="auto" w:fill="auto"/>
            <w:noWrap/>
            <w:vAlign w:val="bottom"/>
            <w:hideMark/>
          </w:tcPr>
          <w:p w14:paraId="2781A1C7" w14:textId="77777777" w:rsidR="00442FA9" w:rsidRPr="00435469" w:rsidRDefault="00442FA9" w:rsidP="00AD6E54">
            <w:pPr>
              <w:pStyle w:val="3TableData"/>
            </w:pPr>
            <w:r w:rsidRPr="00435469">
              <w:t>0.276</w:t>
            </w:r>
          </w:p>
        </w:tc>
        <w:tc>
          <w:tcPr>
            <w:tcW w:w="676" w:type="dxa"/>
            <w:tcBorders>
              <w:bottom w:val="single" w:sz="4" w:space="0" w:color="auto"/>
            </w:tcBorders>
            <w:shd w:val="clear" w:color="auto" w:fill="auto"/>
            <w:noWrap/>
            <w:vAlign w:val="bottom"/>
            <w:hideMark/>
          </w:tcPr>
          <w:p w14:paraId="33281CEB" w14:textId="77777777" w:rsidR="00442FA9" w:rsidRPr="00435469" w:rsidRDefault="00442FA9" w:rsidP="00AD6E54">
            <w:pPr>
              <w:pStyle w:val="3TableData"/>
            </w:pPr>
            <w:r w:rsidRPr="00435469">
              <w:t>0.218</w:t>
            </w:r>
          </w:p>
        </w:tc>
        <w:tc>
          <w:tcPr>
            <w:tcW w:w="1421" w:type="dxa"/>
            <w:tcBorders>
              <w:bottom w:val="single" w:sz="4" w:space="0" w:color="auto"/>
            </w:tcBorders>
            <w:shd w:val="clear" w:color="auto" w:fill="auto"/>
            <w:noWrap/>
            <w:vAlign w:val="bottom"/>
            <w:hideMark/>
          </w:tcPr>
          <w:p w14:paraId="24EA441B" w14:textId="77777777" w:rsidR="00442FA9" w:rsidRPr="00435469" w:rsidRDefault="00442FA9" w:rsidP="00AD6E54">
            <w:pPr>
              <w:pStyle w:val="3TableData"/>
            </w:pPr>
            <w:r w:rsidRPr="00435469">
              <w:t>0.406</w:t>
            </w:r>
          </w:p>
        </w:tc>
        <w:tc>
          <w:tcPr>
            <w:tcW w:w="676" w:type="dxa"/>
            <w:tcBorders>
              <w:bottom w:val="single" w:sz="4" w:space="0" w:color="auto"/>
            </w:tcBorders>
            <w:shd w:val="clear" w:color="auto" w:fill="auto"/>
            <w:noWrap/>
            <w:vAlign w:val="bottom"/>
            <w:hideMark/>
          </w:tcPr>
          <w:p w14:paraId="4A438664" w14:textId="77777777" w:rsidR="00442FA9" w:rsidRPr="00435469" w:rsidRDefault="00442FA9" w:rsidP="00AD6E54">
            <w:pPr>
              <w:pStyle w:val="3TableData"/>
            </w:pPr>
            <w:r w:rsidRPr="00435469">
              <w:t>0.512</w:t>
            </w:r>
          </w:p>
        </w:tc>
        <w:tc>
          <w:tcPr>
            <w:tcW w:w="1421" w:type="dxa"/>
            <w:tcBorders>
              <w:bottom w:val="single" w:sz="4" w:space="0" w:color="auto"/>
            </w:tcBorders>
            <w:vAlign w:val="bottom"/>
          </w:tcPr>
          <w:p w14:paraId="1B878837" w14:textId="77777777" w:rsidR="00442FA9" w:rsidRPr="00435469" w:rsidRDefault="00442FA9" w:rsidP="00AD6E54">
            <w:pPr>
              <w:pStyle w:val="3TableData"/>
            </w:pPr>
            <w:r w:rsidRPr="00435469">
              <w:t>0.309</w:t>
            </w:r>
          </w:p>
        </w:tc>
        <w:tc>
          <w:tcPr>
            <w:tcW w:w="676" w:type="dxa"/>
            <w:tcBorders>
              <w:bottom w:val="single" w:sz="4" w:space="0" w:color="auto"/>
            </w:tcBorders>
            <w:vAlign w:val="bottom"/>
          </w:tcPr>
          <w:p w14:paraId="3981704F" w14:textId="77777777" w:rsidR="00442FA9" w:rsidRPr="00435469" w:rsidRDefault="00442FA9" w:rsidP="00AD6E54">
            <w:pPr>
              <w:pStyle w:val="3TableData"/>
            </w:pPr>
            <w:r w:rsidRPr="00435469">
              <w:t>0.430</w:t>
            </w:r>
          </w:p>
        </w:tc>
      </w:tr>
      <w:tr w:rsidR="00442FA9" w:rsidRPr="00435469" w14:paraId="488D4207" w14:textId="77777777" w:rsidTr="00E84FC8">
        <w:trPr>
          <w:trHeight w:val="271"/>
        </w:trPr>
        <w:tc>
          <w:tcPr>
            <w:tcW w:w="1276" w:type="dxa"/>
            <w:tcBorders>
              <w:top w:val="single" w:sz="4" w:space="0" w:color="auto"/>
              <w:bottom w:val="single" w:sz="4" w:space="0" w:color="auto"/>
            </w:tcBorders>
            <w:shd w:val="clear" w:color="auto" w:fill="auto"/>
            <w:noWrap/>
            <w:vAlign w:val="bottom"/>
            <w:hideMark/>
          </w:tcPr>
          <w:p w14:paraId="649E5363" w14:textId="77777777" w:rsidR="00442FA9" w:rsidRPr="00435469" w:rsidRDefault="00442FA9" w:rsidP="00AD6E54">
            <w:pPr>
              <w:pStyle w:val="3TableData"/>
            </w:pPr>
            <w:r w:rsidRPr="00435469">
              <w:t>Male: Female ratio</w:t>
            </w:r>
          </w:p>
        </w:tc>
        <w:tc>
          <w:tcPr>
            <w:tcW w:w="1244" w:type="dxa"/>
            <w:tcBorders>
              <w:top w:val="single" w:sz="4" w:space="0" w:color="auto"/>
              <w:bottom w:val="single" w:sz="4" w:space="0" w:color="auto"/>
            </w:tcBorders>
            <w:shd w:val="clear" w:color="auto" w:fill="auto"/>
            <w:noWrap/>
            <w:vAlign w:val="bottom"/>
            <w:hideMark/>
          </w:tcPr>
          <w:p w14:paraId="28F1F0BB" w14:textId="77777777" w:rsidR="00442FA9" w:rsidRPr="00435469" w:rsidRDefault="00442FA9" w:rsidP="00AD6E54">
            <w:pPr>
              <w:pStyle w:val="3TableData"/>
            </w:pPr>
            <w:r w:rsidRPr="00435469">
              <w:t>1.263</w:t>
            </w:r>
          </w:p>
        </w:tc>
        <w:tc>
          <w:tcPr>
            <w:tcW w:w="676" w:type="dxa"/>
            <w:tcBorders>
              <w:top w:val="single" w:sz="4" w:space="0" w:color="auto"/>
              <w:bottom w:val="single" w:sz="4" w:space="0" w:color="auto"/>
            </w:tcBorders>
            <w:shd w:val="clear" w:color="auto" w:fill="auto"/>
            <w:noWrap/>
            <w:vAlign w:val="bottom"/>
            <w:hideMark/>
          </w:tcPr>
          <w:p w14:paraId="64AD01C2" w14:textId="77777777" w:rsidR="00442FA9" w:rsidRPr="00435469" w:rsidRDefault="00442FA9" w:rsidP="00AD6E54">
            <w:pPr>
              <w:pStyle w:val="3TableData"/>
            </w:pPr>
            <w:r w:rsidRPr="00435469">
              <w:t>1.151</w:t>
            </w:r>
          </w:p>
        </w:tc>
        <w:tc>
          <w:tcPr>
            <w:tcW w:w="1421" w:type="dxa"/>
            <w:tcBorders>
              <w:top w:val="single" w:sz="4" w:space="0" w:color="auto"/>
              <w:bottom w:val="single" w:sz="4" w:space="0" w:color="auto"/>
            </w:tcBorders>
            <w:shd w:val="clear" w:color="auto" w:fill="auto"/>
            <w:noWrap/>
            <w:vAlign w:val="bottom"/>
            <w:hideMark/>
          </w:tcPr>
          <w:p w14:paraId="5C2968C9" w14:textId="77777777" w:rsidR="00442FA9" w:rsidRPr="00435469" w:rsidRDefault="00442FA9" w:rsidP="00AD6E54">
            <w:pPr>
              <w:pStyle w:val="3TableData"/>
            </w:pPr>
            <w:r w:rsidRPr="00435469">
              <w:t>1.354</w:t>
            </w:r>
          </w:p>
        </w:tc>
        <w:tc>
          <w:tcPr>
            <w:tcW w:w="676" w:type="dxa"/>
            <w:tcBorders>
              <w:top w:val="single" w:sz="4" w:space="0" w:color="auto"/>
              <w:bottom w:val="single" w:sz="4" w:space="0" w:color="auto"/>
            </w:tcBorders>
            <w:shd w:val="clear" w:color="auto" w:fill="auto"/>
            <w:noWrap/>
            <w:vAlign w:val="bottom"/>
            <w:hideMark/>
          </w:tcPr>
          <w:p w14:paraId="3BA5C3C8" w14:textId="77777777" w:rsidR="00442FA9" w:rsidRPr="00435469" w:rsidRDefault="00442FA9" w:rsidP="00AD6E54">
            <w:pPr>
              <w:pStyle w:val="3TableData"/>
            </w:pPr>
            <w:r w:rsidRPr="00435469">
              <w:t>1.311</w:t>
            </w:r>
          </w:p>
        </w:tc>
        <w:tc>
          <w:tcPr>
            <w:tcW w:w="1421" w:type="dxa"/>
            <w:tcBorders>
              <w:top w:val="single" w:sz="4" w:space="0" w:color="auto"/>
              <w:bottom w:val="single" w:sz="4" w:space="0" w:color="auto"/>
            </w:tcBorders>
            <w:shd w:val="clear" w:color="auto" w:fill="auto"/>
            <w:noWrap/>
            <w:vAlign w:val="bottom"/>
            <w:hideMark/>
          </w:tcPr>
          <w:p w14:paraId="6154A48C" w14:textId="77777777" w:rsidR="00442FA9" w:rsidRPr="00435469" w:rsidRDefault="00442FA9" w:rsidP="00AD6E54">
            <w:pPr>
              <w:pStyle w:val="3TableData"/>
            </w:pPr>
            <w:r w:rsidRPr="00435469">
              <w:t>1.305</w:t>
            </w:r>
          </w:p>
        </w:tc>
        <w:tc>
          <w:tcPr>
            <w:tcW w:w="676" w:type="dxa"/>
            <w:tcBorders>
              <w:top w:val="single" w:sz="4" w:space="0" w:color="auto"/>
              <w:bottom w:val="single" w:sz="4" w:space="0" w:color="auto"/>
            </w:tcBorders>
            <w:shd w:val="clear" w:color="auto" w:fill="auto"/>
            <w:noWrap/>
            <w:vAlign w:val="bottom"/>
            <w:hideMark/>
          </w:tcPr>
          <w:p w14:paraId="07398759" w14:textId="77777777" w:rsidR="00442FA9" w:rsidRPr="00435469" w:rsidRDefault="00442FA9" w:rsidP="00AD6E54">
            <w:pPr>
              <w:pStyle w:val="3TableData"/>
            </w:pPr>
            <w:r w:rsidRPr="00435469">
              <w:t>1.035</w:t>
            </w:r>
          </w:p>
        </w:tc>
        <w:tc>
          <w:tcPr>
            <w:tcW w:w="1421" w:type="dxa"/>
            <w:tcBorders>
              <w:top w:val="single" w:sz="4" w:space="0" w:color="auto"/>
              <w:bottom w:val="single" w:sz="4" w:space="0" w:color="auto"/>
            </w:tcBorders>
            <w:vAlign w:val="bottom"/>
          </w:tcPr>
          <w:p w14:paraId="450A17CE" w14:textId="77777777" w:rsidR="00442FA9" w:rsidRPr="00435469" w:rsidRDefault="00442FA9" w:rsidP="00AD6E54">
            <w:pPr>
              <w:pStyle w:val="3TableData"/>
            </w:pPr>
            <w:r w:rsidRPr="00435469">
              <w:t>1.308</w:t>
            </w:r>
          </w:p>
        </w:tc>
        <w:tc>
          <w:tcPr>
            <w:tcW w:w="676" w:type="dxa"/>
            <w:tcBorders>
              <w:top w:val="single" w:sz="4" w:space="0" w:color="auto"/>
              <w:bottom w:val="single" w:sz="4" w:space="0" w:color="auto"/>
            </w:tcBorders>
            <w:vAlign w:val="bottom"/>
          </w:tcPr>
          <w:p w14:paraId="2F4015B3" w14:textId="77777777" w:rsidR="00442FA9" w:rsidRPr="00435469" w:rsidRDefault="00442FA9" w:rsidP="00AD6E54">
            <w:pPr>
              <w:pStyle w:val="3TableData"/>
            </w:pPr>
            <w:r w:rsidRPr="00435469">
              <w:t>1.166</w:t>
            </w:r>
          </w:p>
        </w:tc>
      </w:tr>
    </w:tbl>
    <w:p w14:paraId="4CE35A48" w14:textId="77777777" w:rsidR="00442FA9" w:rsidRPr="00435469" w:rsidRDefault="00442FA9" w:rsidP="00955FFB">
      <w:pPr>
        <w:spacing w:line="240" w:lineRule="auto"/>
        <w:rPr>
          <w:rFonts w:eastAsia="Yu Gothic Light" w:cs="Times New Roman"/>
          <w:bCs/>
          <w:sz w:val="20"/>
          <w:szCs w:val="20"/>
        </w:rPr>
      </w:pPr>
    </w:p>
    <w:p w14:paraId="274CF09A" w14:textId="77777777" w:rsidR="00FB6300" w:rsidRPr="00435469" w:rsidRDefault="00FB6300" w:rsidP="00955FFB">
      <w:pPr>
        <w:spacing w:line="240" w:lineRule="auto"/>
        <w:rPr>
          <w:rFonts w:eastAsia="Yu Gothic Light" w:cs="Times New Roman"/>
          <w:bCs/>
          <w:sz w:val="20"/>
          <w:szCs w:val="20"/>
        </w:rPr>
      </w:pPr>
    </w:p>
    <w:p w14:paraId="769986B9" w14:textId="1D9F5676" w:rsidR="006237BE" w:rsidRPr="00435469" w:rsidRDefault="003454B8" w:rsidP="00955FFB">
      <w:pPr>
        <w:pStyle w:val="Heading3"/>
        <w:rPr>
          <w:color w:val="auto"/>
          <w:sz w:val="20"/>
          <w:szCs w:val="20"/>
        </w:rPr>
      </w:pPr>
      <w:bookmarkStart w:id="221" w:name="_Toc103252940"/>
      <w:bookmarkStart w:id="222" w:name="_Ref99881643"/>
      <w:r w:rsidRPr="00435469">
        <w:rPr>
          <w:color w:val="auto"/>
          <w:sz w:val="20"/>
          <w:szCs w:val="20"/>
        </w:rPr>
        <w:lastRenderedPageBreak/>
        <w:t>Modelling tuberculosis deaths on treatment</w:t>
      </w:r>
      <w:bookmarkEnd w:id="208"/>
      <w:bookmarkEnd w:id="209"/>
      <w:bookmarkEnd w:id="210"/>
      <w:bookmarkEnd w:id="221"/>
      <w:r w:rsidRPr="00435469">
        <w:rPr>
          <w:color w:val="auto"/>
          <w:sz w:val="20"/>
          <w:szCs w:val="20"/>
        </w:rPr>
        <w:t xml:space="preserve">  </w:t>
      </w:r>
      <w:bookmarkEnd w:id="222"/>
    </w:p>
    <w:p w14:paraId="75B34EDB" w14:textId="1D4A9FAF" w:rsidR="006237BE" w:rsidRPr="00435469" w:rsidRDefault="0018447C" w:rsidP="00955FFB">
      <w:pPr>
        <w:spacing w:line="240" w:lineRule="auto"/>
        <w:rPr>
          <w:rFonts w:cs="Times New Roman"/>
          <w:sz w:val="20"/>
          <w:szCs w:val="20"/>
        </w:rPr>
      </w:pPr>
      <w:bookmarkStart w:id="223" w:name="_Hlk91491941"/>
      <w:r w:rsidRPr="00435469">
        <w:rPr>
          <w:rFonts w:cs="Times New Roman"/>
          <w:sz w:val="20"/>
          <w:szCs w:val="20"/>
        </w:rPr>
        <w:t xml:space="preserve">Based on the ETR data, </w:t>
      </w:r>
      <w:r w:rsidR="00BF3317" w:rsidRPr="00435469">
        <w:rPr>
          <w:rFonts w:cs="Times New Roman"/>
          <w:sz w:val="20"/>
          <w:szCs w:val="20"/>
        </w:rPr>
        <w:t xml:space="preserve">we set </w:t>
      </w:r>
      <w:r w:rsidRPr="00435469">
        <w:rPr>
          <w:rFonts w:cs="Times New Roman"/>
          <w:sz w:val="20"/>
          <w:szCs w:val="20"/>
        </w:rPr>
        <w:t xml:space="preserve">the </w:t>
      </w:r>
      <w:r w:rsidR="00765515" w:rsidRPr="00435469">
        <w:rPr>
          <w:rFonts w:cs="Times New Roman"/>
          <w:sz w:val="20"/>
          <w:szCs w:val="20"/>
        </w:rPr>
        <w:t xml:space="preserve">mortality </w:t>
      </w:r>
      <w:r w:rsidRPr="00435469">
        <w:rPr>
          <w:rFonts w:cs="Times New Roman"/>
          <w:sz w:val="20"/>
          <w:szCs w:val="20"/>
        </w:rPr>
        <w:t xml:space="preserve">rates on </w:t>
      </w:r>
      <w:r w:rsidR="00765515" w:rsidRPr="00435469">
        <w:rPr>
          <w:rFonts w:cs="Times New Roman"/>
          <w:sz w:val="20"/>
          <w:szCs w:val="20"/>
        </w:rPr>
        <w:t xml:space="preserve">TB </w:t>
      </w:r>
      <w:r w:rsidRPr="00435469">
        <w:rPr>
          <w:rFonts w:cs="Times New Roman"/>
          <w:sz w:val="20"/>
          <w:szCs w:val="20"/>
        </w:rPr>
        <w:t>treatment</w:t>
      </w:r>
      <w:r w:rsidR="00BF3317" w:rsidRPr="00435469">
        <w:rPr>
          <w:rFonts w:cs="Times New Roman"/>
          <w:sz w:val="20"/>
          <w:szCs w:val="20"/>
        </w:rPr>
        <w:t xml:space="preserve"> to be at </w:t>
      </w:r>
      <w:r w:rsidR="00BF3317" w:rsidRPr="00435469">
        <w:rPr>
          <w:sz w:val="20"/>
          <w:szCs w:val="20"/>
        </w:rPr>
        <w:t>0.192 (average for both males and females</w:t>
      </w:r>
      <w:r w:rsidR="00684E2A" w:rsidRPr="00435469">
        <w:rPr>
          <w:sz w:val="20"/>
          <w:szCs w:val="20"/>
        </w:rPr>
        <w:t>,</w:t>
      </w:r>
      <w:r w:rsidR="00BF3317" w:rsidRPr="00435469">
        <w:rPr>
          <w:sz w:val="20"/>
          <w:szCs w:val="20"/>
        </w:rPr>
        <w:t xml:space="preserve"> </w:t>
      </w:r>
      <w:r w:rsidR="00C749FD" w:rsidRPr="00435469">
        <w:rPr>
          <w:sz w:val="20"/>
          <w:szCs w:val="20"/>
        </w:rPr>
        <w:fldChar w:fldCharType="begin"/>
      </w:r>
      <w:r w:rsidR="00C749FD" w:rsidRPr="00435469">
        <w:rPr>
          <w:sz w:val="20"/>
          <w:szCs w:val="20"/>
        </w:rPr>
        <w:instrText xml:space="preserve"> REF _Ref65767113 \h </w:instrText>
      </w:r>
      <w:r w:rsidR="00C63810" w:rsidRPr="00435469">
        <w:rPr>
          <w:sz w:val="20"/>
          <w:szCs w:val="20"/>
        </w:rPr>
        <w:instrText xml:space="preserve"> \* MERGEFORMAT </w:instrText>
      </w:r>
      <w:r w:rsidR="00C749FD" w:rsidRPr="00435469">
        <w:rPr>
          <w:sz w:val="20"/>
          <w:szCs w:val="20"/>
        </w:rPr>
      </w:r>
      <w:r w:rsidR="00C749FD" w:rsidRPr="00435469">
        <w:rPr>
          <w:sz w:val="20"/>
          <w:szCs w:val="20"/>
        </w:rPr>
        <w:fldChar w:fldCharType="separate"/>
      </w:r>
      <w:r w:rsidR="00186C2F" w:rsidRPr="00435469">
        <w:rPr>
          <w:sz w:val="20"/>
          <w:szCs w:val="20"/>
        </w:rPr>
        <w:t xml:space="preserve">Table </w:t>
      </w:r>
      <w:r w:rsidR="00186C2F" w:rsidRPr="00435469">
        <w:rPr>
          <w:noProof/>
          <w:sz w:val="20"/>
          <w:szCs w:val="20"/>
        </w:rPr>
        <w:t>14</w:t>
      </w:r>
      <w:r w:rsidR="00C749FD" w:rsidRPr="00435469">
        <w:rPr>
          <w:sz w:val="20"/>
          <w:szCs w:val="20"/>
        </w:rPr>
        <w:fldChar w:fldCharType="end"/>
      </w:r>
      <w:r w:rsidR="00684E2A" w:rsidRPr="00435469">
        <w:rPr>
          <w:sz w:val="20"/>
          <w:szCs w:val="20"/>
        </w:rPr>
        <w:t>)</w:t>
      </w:r>
      <w:r w:rsidRPr="00435469">
        <w:rPr>
          <w:rFonts w:cs="Times New Roman"/>
          <w:sz w:val="20"/>
          <w:szCs w:val="20"/>
        </w:rPr>
        <w:t>, averaged across years in the HIV-</w:t>
      </w:r>
      <w:r w:rsidR="00765515" w:rsidRPr="00435469">
        <w:rPr>
          <w:rFonts w:cs="Times New Roman"/>
          <w:sz w:val="20"/>
          <w:szCs w:val="20"/>
        </w:rPr>
        <w:t xml:space="preserve">negative </w:t>
      </w:r>
      <w:r w:rsidRPr="00435469">
        <w:rPr>
          <w:rFonts w:cs="Times New Roman"/>
          <w:sz w:val="20"/>
          <w:szCs w:val="20"/>
        </w:rPr>
        <w:t>strata</w:t>
      </w:r>
      <w:r w:rsidR="00BF3317" w:rsidRPr="00435469">
        <w:rPr>
          <w:rFonts w:cs="Times New Roman"/>
          <w:sz w:val="20"/>
          <w:szCs w:val="20"/>
        </w:rPr>
        <w:t>.</w:t>
      </w:r>
      <w:r w:rsidR="00B2470B" w:rsidRPr="00435469">
        <w:rPr>
          <w:sz w:val="20"/>
          <w:szCs w:val="20"/>
        </w:rPr>
        <w:t xml:space="preserve"> </w:t>
      </w:r>
      <w:bookmarkEnd w:id="223"/>
      <w:r w:rsidR="006472C2" w:rsidRPr="00435469">
        <w:rPr>
          <w:sz w:val="20"/>
          <w:szCs w:val="20"/>
        </w:rPr>
        <w:t xml:space="preserve">The subsequent sections describe the </w:t>
      </w:r>
      <w:r w:rsidR="005E09E7" w:rsidRPr="00435469">
        <w:rPr>
          <w:sz w:val="20"/>
          <w:szCs w:val="20"/>
        </w:rPr>
        <w:t xml:space="preserve">effects of </w:t>
      </w:r>
      <w:r w:rsidR="00074DD0" w:rsidRPr="00435469">
        <w:rPr>
          <w:sz w:val="20"/>
          <w:szCs w:val="20"/>
        </w:rPr>
        <w:t>disease severity, age, HIV and ART on TB morta</w:t>
      </w:r>
      <w:r w:rsidR="00004380" w:rsidRPr="00435469">
        <w:rPr>
          <w:sz w:val="20"/>
          <w:szCs w:val="20"/>
        </w:rPr>
        <w:t>lity in treated individuals.</w:t>
      </w:r>
    </w:p>
    <w:p w14:paraId="1E5AD055" w14:textId="1CF70261" w:rsidR="00894F68" w:rsidRPr="00435469" w:rsidRDefault="00894F68" w:rsidP="00955FFB">
      <w:pPr>
        <w:pStyle w:val="Heading4"/>
        <w:rPr>
          <w:rFonts w:cstheme="minorBidi"/>
          <w:strike/>
          <w:sz w:val="20"/>
          <w:szCs w:val="20"/>
        </w:rPr>
      </w:pPr>
      <w:r w:rsidRPr="00435469">
        <w:rPr>
          <w:sz w:val="20"/>
          <w:szCs w:val="20"/>
        </w:rPr>
        <w:t>Modelling the effect of changes in tuberculosis disease severity on mortality</w:t>
      </w:r>
    </w:p>
    <w:p w14:paraId="64695746" w14:textId="53378E20" w:rsidR="00502DCA" w:rsidRPr="00435469" w:rsidRDefault="00502DCA" w:rsidP="00955FFB">
      <w:pPr>
        <w:spacing w:line="240" w:lineRule="auto"/>
        <w:rPr>
          <w:rFonts w:cs="Times New Roman"/>
          <w:sz w:val="20"/>
          <w:szCs w:val="20"/>
        </w:rPr>
      </w:pPr>
      <w:r w:rsidRPr="00435469">
        <w:rPr>
          <w:rFonts w:cs="Times New Roman"/>
          <w:sz w:val="20"/>
          <w:szCs w:val="20"/>
        </w:rPr>
        <w:t>We allow for treated TB mortality rates to change over time, since changes in delays between disease incidence and treatment should imply changes in the average severity of treated TB cases. Due to limited empirical evidence, it is difficult to assess how smear grades have changed over time as levels of diagnosis and treatment have improved. In the model we define (as in the earlier section:</w:t>
      </w:r>
      <w:r w:rsidR="00614973" w:rsidRPr="00435469">
        <w:rPr>
          <w:rFonts w:cs="Times New Roman"/>
          <w:sz w:val="20"/>
          <w:szCs w:val="20"/>
        </w:rPr>
        <w:t xml:space="preserve"> </w:t>
      </w:r>
      <w:r w:rsidR="00784CB2" w:rsidRPr="00435469">
        <w:rPr>
          <w:rFonts w:cs="Times New Roman"/>
          <w:sz w:val="20"/>
          <w:szCs w:val="20"/>
        </w:rPr>
        <w:fldChar w:fldCharType="begin"/>
      </w:r>
      <w:r w:rsidR="00784CB2" w:rsidRPr="00435469">
        <w:rPr>
          <w:rFonts w:cs="Times New Roman"/>
          <w:sz w:val="20"/>
          <w:szCs w:val="20"/>
        </w:rPr>
        <w:instrText xml:space="preserve"> REF _Ref99458920 \r \h </w:instrText>
      </w:r>
      <w:r w:rsidR="00955FFB" w:rsidRPr="00435469">
        <w:rPr>
          <w:rFonts w:cs="Times New Roman"/>
          <w:sz w:val="20"/>
          <w:szCs w:val="20"/>
        </w:rPr>
        <w:instrText xml:space="preserve"> \* MERGEFORMAT </w:instrText>
      </w:r>
      <w:r w:rsidR="00784CB2" w:rsidRPr="00435469">
        <w:rPr>
          <w:rFonts w:cs="Times New Roman"/>
          <w:sz w:val="20"/>
          <w:szCs w:val="20"/>
        </w:rPr>
      </w:r>
      <w:r w:rsidR="00784CB2" w:rsidRPr="00435469">
        <w:rPr>
          <w:rFonts w:cs="Times New Roman"/>
          <w:sz w:val="20"/>
          <w:szCs w:val="20"/>
        </w:rPr>
        <w:fldChar w:fldCharType="separate"/>
      </w:r>
      <w:r w:rsidR="00186C2F" w:rsidRPr="00435469">
        <w:rPr>
          <w:rFonts w:cs="Times New Roman"/>
          <w:sz w:val="20"/>
          <w:szCs w:val="20"/>
        </w:rPr>
        <w:t>4.1</w:t>
      </w:r>
      <w:r w:rsidR="00784CB2" w:rsidRPr="00435469">
        <w:rPr>
          <w:rFonts w:cs="Times New Roman"/>
          <w:sz w:val="20"/>
          <w:szCs w:val="20"/>
        </w:rPr>
        <w:fldChar w:fldCharType="end"/>
      </w:r>
      <w:r w:rsidR="00784CB2" w:rsidRPr="00435469">
        <w:rPr>
          <w:rFonts w:cs="Times New Roman"/>
          <w:sz w:val="20"/>
          <w:szCs w:val="20"/>
        </w:rPr>
        <w:t>)</w:t>
      </w:r>
      <w:r w:rsidRPr="00435469">
        <w:rPr>
          <w:rFonts w:cs="Times New Roman"/>
          <w:sz w:val="20"/>
          <w:szCs w:val="20"/>
        </w:rPr>
        <w:t xml:space="preserve"> the average smear-positive treatment delay in year </w:t>
      </w:r>
      <m:oMath>
        <m:r>
          <w:rPr>
            <w:rFonts w:ascii="Cambria Math" w:hAnsi="Cambria Math" w:cs="Times New Roman"/>
            <w:sz w:val="20"/>
            <w:szCs w:val="20"/>
          </w:rPr>
          <m:t>t</m:t>
        </m:r>
      </m:oMath>
      <w:r w:rsidRPr="00435469">
        <w:rPr>
          <w:rFonts w:cs="Times New Roman"/>
          <w:sz w:val="20"/>
          <w:szCs w:val="20"/>
        </w:rPr>
        <w:t xml:space="preserve">, </w:t>
      </w:r>
      <m:oMath>
        <m:r>
          <w:rPr>
            <w:rFonts w:ascii="Cambria Math" w:hAnsi="Cambria Math" w:cs="Times New Roman"/>
            <w:sz w:val="20"/>
            <w:szCs w:val="20"/>
          </w:rPr>
          <m:t>S</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w:t>
      </w:r>
      <w:r w:rsidRPr="00435469">
        <w:rPr>
          <w:rFonts w:cs="Times New Roman"/>
          <w:sz w:val="20"/>
          <w:szCs w:val="20"/>
        </w:rPr>
        <w:t xml:space="preserve">as </w:t>
      </w:r>
      <m:oMath>
        <m:r>
          <w:rPr>
            <w:rFonts w:ascii="Cambria Math" w:hAnsi="Cambria Math" w:cs="Times New Roman"/>
            <w:sz w:val="20"/>
            <w:szCs w:val="20"/>
          </w:rPr>
          <m:t>U</m:t>
        </m:r>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/R(t)</m:t>
        </m:r>
      </m:oMath>
      <w:r w:rsidRPr="00435469">
        <w:rPr>
          <w:rFonts w:cs="Times New Roman"/>
          <w:sz w:val="20"/>
          <w:szCs w:val="20"/>
        </w:rPr>
        <w:t xml:space="preserve">, where </w:t>
      </w:r>
      <m:oMath>
        <m:r>
          <w:rPr>
            <w:rFonts w:ascii="Cambria Math" w:hAnsi="Cambria Math" w:cs="Times New Roman"/>
            <w:sz w:val="20"/>
            <w:szCs w:val="20"/>
          </w:rPr>
          <m:t>U</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cs="Times New Roman"/>
          <w:sz w:val="20"/>
          <w:szCs w:val="20"/>
        </w:rPr>
        <w:t xml:space="preserve"> is the number of untreated smear-positive TB cases at the start of year </w:t>
      </w:r>
      <w:r w:rsidRPr="00435469">
        <w:rPr>
          <w:rFonts w:cs="Times New Roman"/>
          <w:i/>
          <w:iCs/>
          <w:sz w:val="20"/>
          <w:szCs w:val="20"/>
        </w:rPr>
        <w:t>t</w:t>
      </w:r>
      <w:r w:rsidRPr="00435469">
        <w:rPr>
          <w:rFonts w:cs="Times New Roman"/>
          <w:sz w:val="20"/>
          <w:szCs w:val="20"/>
        </w:rPr>
        <w:t xml:space="preserve"> and </w:t>
      </w:r>
      <m:oMath>
        <m:r>
          <w:rPr>
            <w:rFonts w:ascii="Cambria Math" w:hAnsi="Cambria Math" w:cs="Times New Roman"/>
            <w:sz w:val="20"/>
            <w:szCs w:val="20"/>
          </w:rPr>
          <m:t>R(t)</m:t>
        </m:r>
      </m:oMath>
      <w:r w:rsidRPr="00435469">
        <w:rPr>
          <w:rFonts w:cs="Times New Roman"/>
          <w:sz w:val="20"/>
          <w:szCs w:val="20"/>
        </w:rPr>
        <w:t xml:space="preserve"> is the number of smear-positive TB patients who are treated in year </w:t>
      </w:r>
      <m:oMath>
        <m:r>
          <w:rPr>
            <w:rFonts w:ascii="Cambria Math" w:hAnsi="Cambria Math" w:cs="Times New Roman"/>
            <w:sz w:val="20"/>
            <w:szCs w:val="20"/>
          </w:rPr>
          <m:t>t</m:t>
        </m:r>
      </m:oMath>
      <w:r w:rsidRPr="00435469">
        <w:rPr>
          <w:rFonts w:cs="Times New Roman"/>
          <w:sz w:val="20"/>
          <w:szCs w:val="20"/>
        </w:rPr>
        <w:t xml:space="preserve">. As </w:t>
      </w:r>
      <m:oMath>
        <m:r>
          <w:rPr>
            <w:rFonts w:ascii="Cambria Math" w:hAnsi="Cambria Math" w:cs="Times New Roman"/>
            <w:sz w:val="20"/>
            <w:szCs w:val="20"/>
          </w:rPr>
          <m:t>S</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w:t>
      </w:r>
      <w:r w:rsidRPr="00435469">
        <w:rPr>
          <w:rFonts w:cs="Times New Roman"/>
          <w:sz w:val="20"/>
          <w:szCs w:val="20"/>
        </w:rPr>
        <w:t>declines towards zero, we assume a corresponding decline in mortality toward a theoretical minimum that might be expected if all smear-positive TB cases were graded scanty or 1+</w:t>
      </w:r>
      <w:r w:rsidR="00E64C67" w:rsidRPr="00435469">
        <w:rPr>
          <w:rFonts w:cs="Times New Roman"/>
          <w:sz w:val="20"/>
          <w:szCs w:val="20"/>
        </w:rPr>
        <w:t xml:space="preserve"> at treatment initiation</w:t>
      </w:r>
      <w:r w:rsidRPr="00435469">
        <w:rPr>
          <w:rFonts w:cs="Times New Roman"/>
          <w:sz w:val="20"/>
          <w:szCs w:val="20"/>
        </w:rPr>
        <w:t xml:space="preserve">. To simplify, we assume that TB diagnosis and treatment levels in South Africa were low during the period before 2000 and that any improvements that occurred before 2000 were minor. </w:t>
      </w:r>
    </w:p>
    <w:p w14:paraId="384604C7" w14:textId="77777777" w:rsidR="00502DCA" w:rsidRPr="00435469" w:rsidRDefault="00502DCA" w:rsidP="00955FFB">
      <w:pPr>
        <w:pStyle w:val="NoSpacing"/>
        <w:rPr>
          <w:rFonts w:cs="Times New Roman"/>
          <w:sz w:val="20"/>
          <w:szCs w:val="20"/>
        </w:rPr>
      </w:pPr>
      <w:r w:rsidRPr="00435469">
        <w:rPr>
          <w:rFonts w:cs="Times New Roman"/>
          <w:sz w:val="20"/>
          <w:szCs w:val="20"/>
        </w:rPr>
        <w:t xml:space="preserve">We suppose </w:t>
      </w:r>
      <m:oMath>
        <m:sSub>
          <m:sSubPr>
            <m:ctrlPr>
              <w:rPr>
                <w:rFonts w:ascii="Cambria Math" w:hAnsi="Cambria Math" w:cs="Times New Roman"/>
                <w:i/>
                <w:iCs/>
                <w:sz w:val="20"/>
                <w:szCs w:val="20"/>
                <w:vertAlign w:val="subscript"/>
              </w:rPr>
            </m:ctrlPr>
          </m:sSubPr>
          <m:e>
            <m:r>
              <w:rPr>
                <w:rFonts w:ascii="Cambria Math" w:hAnsi="Cambria Math" w:cs="Times New Roman"/>
                <w:sz w:val="20"/>
                <w:szCs w:val="20"/>
              </w:rPr>
              <m:t>μ</m:t>
            </m:r>
            <m:ctrlPr>
              <w:rPr>
                <w:rFonts w:ascii="Cambria Math" w:hAnsi="Cambria Math" w:cs="Times New Roman"/>
                <w:i/>
                <w:iCs/>
                <w:sz w:val="20"/>
                <w:szCs w:val="20"/>
              </w:rPr>
            </m:ctrlPr>
          </m:e>
          <m:sub>
            <m:r>
              <w:rPr>
                <w:rFonts w:ascii="Cambria Math" w:hAnsi="Cambria Math" w:cs="Times New Roman"/>
                <w:sz w:val="20"/>
                <w:szCs w:val="20"/>
                <w:vertAlign w:val="subscript"/>
              </w:rPr>
              <m:t>g</m:t>
            </m:r>
          </m:sub>
        </m:sSub>
        <m:d>
          <m:dPr>
            <m:ctrlPr>
              <w:rPr>
                <w:rFonts w:ascii="Cambria Math" w:hAnsi="Cambria Math" w:cs="Times New Roman"/>
                <w:sz w:val="20"/>
                <w:szCs w:val="20"/>
              </w:rPr>
            </m:ctrlPr>
          </m:dPr>
          <m:e>
            <m:r>
              <w:rPr>
                <w:rFonts w:ascii="Cambria Math" w:hAnsi="Cambria Math" w:cs="Times New Roman"/>
                <w:sz w:val="20"/>
                <w:szCs w:val="20"/>
              </w:rPr>
              <m:t>t</m:t>
            </m:r>
          </m:e>
        </m:d>
      </m:oMath>
      <w:r w:rsidRPr="00435469">
        <w:rPr>
          <w:rFonts w:cs="Times New Roman"/>
          <w:sz w:val="20"/>
          <w:szCs w:val="20"/>
        </w:rPr>
        <w:t xml:space="preserve"> represents the mortality rate in smear-positive HIV-negative treated TB patients of sex </w:t>
      </w:r>
      <m:oMath>
        <m:r>
          <w:rPr>
            <w:rFonts w:ascii="Cambria Math" w:hAnsi="Cambria Math" w:cs="Times New Roman"/>
            <w:sz w:val="20"/>
            <w:szCs w:val="20"/>
            <w:vertAlign w:val="subscript"/>
          </w:rPr>
          <m:t>g</m:t>
        </m:r>
      </m:oMath>
      <w:r w:rsidRPr="00435469">
        <w:rPr>
          <w:rFonts w:cs="Times New Roman"/>
          <w:i/>
          <w:iCs/>
          <w:sz w:val="20"/>
          <w:szCs w:val="20"/>
        </w:rPr>
        <w:t xml:space="preserve"> </w:t>
      </w:r>
      <w:r w:rsidRPr="00435469">
        <w:rPr>
          <w:rFonts w:cs="Times New Roman"/>
          <w:sz w:val="20"/>
          <w:szCs w:val="20"/>
        </w:rPr>
        <w:t xml:space="preserve">in year </w:t>
      </w:r>
      <m:oMath>
        <m:r>
          <w:rPr>
            <w:rFonts w:ascii="Cambria Math" w:hAnsi="Cambria Math" w:cs="Times New Roman"/>
            <w:sz w:val="20"/>
            <w:szCs w:val="20"/>
          </w:rPr>
          <m:t>t</m:t>
        </m:r>
      </m:oMath>
      <w:r w:rsidRPr="00435469">
        <w:rPr>
          <w:rFonts w:eastAsiaTheme="minorEastAsia" w:cs="Times New Roman"/>
          <w:sz w:val="20"/>
          <w:szCs w:val="20"/>
        </w:rPr>
        <w:t>,</w:t>
      </w:r>
      <w:r w:rsidRPr="00435469">
        <w:rPr>
          <w:rFonts w:cs="Times New Roman"/>
          <w:sz w:val="20"/>
          <w:szCs w:val="20"/>
        </w:rPr>
        <w:t xml:space="preserve"> and that </w:t>
      </w:r>
      <m:oMath>
        <m:sSub>
          <m:sSubPr>
            <m:ctrlPr>
              <w:rPr>
                <w:rFonts w:ascii="Cambria Math" w:hAnsi="Cambria Math" w:cs="Times New Roman"/>
                <w:i/>
                <w:iCs/>
                <w:sz w:val="20"/>
                <w:szCs w:val="20"/>
                <w:vertAlign w:val="subscript"/>
              </w:rPr>
            </m:ctrlPr>
          </m:sSubPr>
          <m:e>
            <m:r>
              <w:rPr>
                <w:rFonts w:ascii="Cambria Math" w:hAnsi="Cambria Math" w:cs="Times New Roman"/>
                <w:sz w:val="20"/>
                <w:szCs w:val="20"/>
              </w:rPr>
              <m:t>μ</m:t>
            </m:r>
            <m:ctrlPr>
              <w:rPr>
                <w:rFonts w:ascii="Cambria Math" w:hAnsi="Cambria Math" w:cs="Times New Roman"/>
                <w:i/>
                <w:iCs/>
                <w:sz w:val="20"/>
                <w:szCs w:val="20"/>
              </w:rPr>
            </m:ctrlPr>
          </m:e>
          <m:sub>
            <m:r>
              <w:rPr>
                <w:rFonts w:ascii="Cambria Math" w:hAnsi="Cambria Math" w:cs="Times New Roman"/>
                <w:sz w:val="20"/>
                <w:szCs w:val="20"/>
                <w:vertAlign w:val="subscript"/>
              </w:rPr>
              <m:t>g</m:t>
            </m:r>
          </m:sub>
        </m:sSub>
        <m:d>
          <m:dPr>
            <m:ctrlPr>
              <w:rPr>
                <w:rFonts w:ascii="Cambria Math" w:hAnsi="Cambria Math" w:cs="Times New Roman"/>
                <w:sz w:val="20"/>
                <w:szCs w:val="20"/>
              </w:rPr>
            </m:ctrlPr>
          </m:dPr>
          <m:e>
            <m:r>
              <w:rPr>
                <w:rFonts w:ascii="Cambria Math" w:hAnsi="Cambria Math" w:cs="Times New Roman"/>
                <w:sz w:val="20"/>
                <w:szCs w:val="20"/>
              </w:rPr>
              <m:t>0</m:t>
            </m:r>
          </m:e>
        </m:d>
        <m:r>
          <w:rPr>
            <w:rFonts w:ascii="Cambria Math" w:hAnsi="Cambria Math" w:cs="Times New Roman"/>
            <w:sz w:val="20"/>
            <w:szCs w:val="20"/>
          </w:rPr>
          <m:t xml:space="preserve"> </m:t>
        </m:r>
      </m:oMath>
      <w:r w:rsidRPr="00435469">
        <w:rPr>
          <w:rFonts w:cs="Times New Roman"/>
          <w:sz w:val="20"/>
          <w:szCs w:val="20"/>
        </w:rPr>
        <w:t xml:space="preserve">represents the corresponding mortality rate in the period before 2000. We also suppose that </w:t>
      </w:r>
      <m:oMath>
        <m:r>
          <w:rPr>
            <w:rFonts w:ascii="Cambria Math" w:hAnsi="Cambria Math" w:cs="Times New Roman"/>
            <w:sz w:val="20"/>
            <w:szCs w:val="20"/>
          </w:rPr>
          <m:t>S</m:t>
        </m:r>
        <m:d>
          <m:dPr>
            <m:ctrlPr>
              <w:rPr>
                <w:rFonts w:ascii="Cambria Math" w:hAnsi="Cambria Math" w:cs="Times New Roman"/>
                <w:i/>
                <w:sz w:val="20"/>
                <w:szCs w:val="20"/>
              </w:rPr>
            </m:ctrlPr>
          </m:dPr>
          <m:e>
            <m:r>
              <w:rPr>
                <w:rFonts w:ascii="Cambria Math" w:hAnsi="Cambria Math" w:cs="Times New Roman"/>
                <w:sz w:val="20"/>
                <w:szCs w:val="20"/>
              </w:rPr>
              <m:t>0</m:t>
            </m:r>
          </m:e>
        </m:d>
      </m:oMath>
      <w:r w:rsidRPr="00435469">
        <w:rPr>
          <w:rFonts w:eastAsiaTheme="minorEastAsia" w:cs="Times New Roman"/>
          <w:sz w:val="20"/>
          <w:szCs w:val="20"/>
        </w:rPr>
        <w:t xml:space="preserve"> </w:t>
      </w:r>
      <w:r w:rsidRPr="00435469">
        <w:rPr>
          <w:rFonts w:cs="Times New Roman"/>
          <w:sz w:val="20"/>
          <w:szCs w:val="20"/>
        </w:rPr>
        <w:t xml:space="preserve">is the value of </w:t>
      </w:r>
      <m:oMath>
        <m:r>
          <w:rPr>
            <w:rFonts w:ascii="Cambria Math" w:hAnsi="Cambria Math" w:cs="Times New Roman"/>
            <w:sz w:val="20"/>
            <w:szCs w:val="20"/>
          </w:rPr>
          <m:t>S</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w:t>
      </w:r>
      <w:r w:rsidRPr="00435469">
        <w:rPr>
          <w:rFonts w:cs="Times New Roman"/>
          <w:sz w:val="20"/>
          <w:szCs w:val="20"/>
        </w:rPr>
        <w:t xml:space="preserve">in 1999, which we take to represent the period before 2000. We assume that for </w:t>
      </w:r>
      <m:oMath>
        <m:r>
          <w:rPr>
            <w:rFonts w:ascii="Cambria Math" w:hAnsi="Cambria Math" w:cs="Times New Roman"/>
            <w:sz w:val="20"/>
            <w:szCs w:val="20"/>
          </w:rPr>
          <m:t>t ≥ 2000</m:t>
        </m:r>
      </m:oMath>
      <w:r w:rsidRPr="00435469">
        <w:rPr>
          <w:rFonts w:cs="Times New Roman"/>
          <w:sz w:val="20"/>
          <w:szCs w:val="20"/>
        </w:rPr>
        <w:t>,</w:t>
      </w:r>
    </w:p>
    <w:p w14:paraId="713212CB" w14:textId="77777777" w:rsidR="00502DCA" w:rsidRPr="00435469" w:rsidRDefault="00000000" w:rsidP="00955FFB">
      <w:pPr>
        <w:pStyle w:val="NoSpacing"/>
        <w:spacing w:before="240" w:after="240"/>
        <w:rPr>
          <w:rFonts w:eastAsiaTheme="minorEastAsia" w:cs="Times New Roman"/>
          <w:sz w:val="20"/>
          <w:szCs w:val="20"/>
        </w:rPr>
      </w:pPr>
      <m:oMathPara>
        <m:oMath>
          <m:sSub>
            <m:sSubPr>
              <m:ctrlPr>
                <w:rPr>
                  <w:rFonts w:ascii="Cambria Math" w:hAnsi="Cambria Math" w:cs="Times New Roman"/>
                  <w:i/>
                  <w:iCs/>
                  <w:sz w:val="20"/>
                  <w:szCs w:val="20"/>
                  <w:vertAlign w:val="subscript"/>
                </w:rPr>
              </m:ctrlPr>
            </m:sSubPr>
            <m:e>
              <m:r>
                <w:rPr>
                  <w:rFonts w:ascii="Cambria Math" w:hAnsi="Cambria Math" w:cs="Times New Roman"/>
                  <w:sz w:val="20"/>
                  <w:szCs w:val="20"/>
                </w:rPr>
                <m:t>μ</m:t>
              </m:r>
              <m:ctrlPr>
                <w:rPr>
                  <w:rFonts w:ascii="Cambria Math" w:hAnsi="Cambria Math" w:cs="Times New Roman"/>
                  <w:i/>
                  <w:iCs/>
                  <w:sz w:val="20"/>
                  <w:szCs w:val="20"/>
                </w:rPr>
              </m:ctrlPr>
            </m:e>
            <m:sub>
              <m:r>
                <w:rPr>
                  <w:rFonts w:ascii="Cambria Math" w:hAnsi="Cambria Math" w:cs="Times New Roman"/>
                  <w:sz w:val="20"/>
                  <w:szCs w:val="20"/>
                  <w:vertAlign w:val="subscript"/>
                </w:rPr>
                <m:t>g</m:t>
              </m:r>
            </m:sub>
          </m:sSub>
          <m:d>
            <m:dPr>
              <m:ctrlPr>
                <w:rPr>
                  <w:rFonts w:ascii="Cambria Math" w:hAnsi="Cambria Math" w:cs="Times New Roman"/>
                  <w:sz w:val="20"/>
                  <w:szCs w:val="20"/>
                </w:rPr>
              </m:ctrlPr>
            </m:dPr>
            <m:e>
              <m:r>
                <w:rPr>
                  <w:rFonts w:ascii="Cambria Math" w:hAnsi="Cambria Math" w:cs="Times New Roman"/>
                  <w:sz w:val="20"/>
                  <w:szCs w:val="20"/>
                </w:rPr>
                <m:t>t</m:t>
              </m:r>
            </m:e>
          </m:d>
          <m:r>
            <w:rPr>
              <w:rFonts w:ascii="Cambria Math" w:hAnsi="Cambria Math" w:cs="Times New Roman"/>
              <w:sz w:val="20"/>
              <w:szCs w:val="20"/>
            </w:rPr>
            <m:t xml:space="preserve">= </m:t>
          </m:r>
          <m:sSub>
            <m:sSubPr>
              <m:ctrlPr>
                <w:rPr>
                  <w:rFonts w:ascii="Cambria Math" w:hAnsi="Cambria Math" w:cs="Times New Roman"/>
                  <w:i/>
                  <w:iCs/>
                  <w:sz w:val="20"/>
                  <w:szCs w:val="20"/>
                  <w:vertAlign w:val="subscript"/>
                </w:rPr>
              </m:ctrlPr>
            </m:sSubPr>
            <m:e>
              <m:r>
                <w:rPr>
                  <w:rFonts w:ascii="Cambria Math" w:hAnsi="Cambria Math" w:cs="Times New Roman"/>
                  <w:sz w:val="20"/>
                  <w:szCs w:val="20"/>
                </w:rPr>
                <m:t>μ</m:t>
              </m:r>
              <m:ctrlPr>
                <w:rPr>
                  <w:rFonts w:ascii="Cambria Math" w:hAnsi="Cambria Math" w:cs="Times New Roman"/>
                  <w:i/>
                  <w:iCs/>
                  <w:sz w:val="20"/>
                  <w:szCs w:val="20"/>
                </w:rPr>
              </m:ctrlPr>
            </m:e>
            <m:sub>
              <m:r>
                <w:rPr>
                  <w:rFonts w:ascii="Cambria Math" w:hAnsi="Cambria Math" w:cs="Times New Roman"/>
                  <w:sz w:val="20"/>
                  <w:szCs w:val="20"/>
                  <w:vertAlign w:val="subscript"/>
                </w:rPr>
                <m:t>g</m:t>
              </m:r>
            </m:sub>
          </m:sSub>
          <m:d>
            <m:dPr>
              <m:ctrlPr>
                <w:rPr>
                  <w:rFonts w:ascii="Cambria Math" w:hAnsi="Cambria Math" w:cs="Times New Roman"/>
                  <w:sz w:val="20"/>
                  <w:szCs w:val="20"/>
                </w:rPr>
              </m:ctrlPr>
            </m:dPr>
            <m:e>
              <m:r>
                <w:rPr>
                  <w:rFonts w:ascii="Cambria Math" w:hAnsi="Cambria Math" w:cs="Times New Roman"/>
                  <w:sz w:val="20"/>
                  <w:szCs w:val="20"/>
                </w:rPr>
                <m:t>0</m:t>
              </m:r>
            </m:e>
          </m:d>
          <m:r>
            <w:rPr>
              <w:rFonts w:ascii="Cambria Math" w:hAnsi="Cambria Math" w:cs="Times New Roman"/>
              <w:sz w:val="20"/>
              <w:szCs w:val="20"/>
            </w:rPr>
            <m:t xml:space="preserve"> (</m:t>
          </m:r>
          <m:r>
            <m:rPr>
              <m:sty m:val="p"/>
            </m:rPr>
            <w:rPr>
              <w:rFonts w:ascii="Cambria Math" w:hAnsi="Cambria Math" w:cs="Times New Roman"/>
              <w:sz w:val="20"/>
              <w:szCs w:val="20"/>
            </w:rPr>
            <m:t>1 – (1–</m:t>
          </m:r>
          <m:sSub>
            <m:sSubPr>
              <m:ctrlPr>
                <w:rPr>
                  <w:rFonts w:ascii="Cambria Math" w:hAnsi="Cambria Math" w:cs="Times New Roman"/>
                  <w:i/>
                  <w:iCs/>
                  <w:sz w:val="20"/>
                  <w:szCs w:val="20"/>
                  <w:vertAlign w:val="subscript"/>
                </w:rPr>
              </m:ctrlPr>
            </m:sSubPr>
            <m:e>
              <m:r>
                <w:rPr>
                  <w:rFonts w:ascii="Cambria Math" w:hAnsi="Cambria Math" w:cs="Times New Roman"/>
                  <w:sz w:val="20"/>
                  <w:szCs w:val="20"/>
                </w:rPr>
                <m:t>r</m:t>
              </m:r>
              <m:ctrlPr>
                <w:rPr>
                  <w:rFonts w:ascii="Cambria Math" w:hAnsi="Cambria Math" w:cs="Times New Roman"/>
                  <w:sz w:val="20"/>
                  <w:szCs w:val="20"/>
                </w:rPr>
              </m:ctrlPr>
            </m:e>
            <m:sub>
              <m:r>
                <w:rPr>
                  <w:rFonts w:ascii="Cambria Math" w:hAnsi="Cambria Math" w:cs="Times New Roman"/>
                  <w:sz w:val="20"/>
                  <w:szCs w:val="20"/>
                  <w:vertAlign w:val="subscript"/>
                </w:rPr>
                <m:t>m</m:t>
              </m:r>
            </m:sub>
          </m:sSub>
          <m:r>
            <m:rPr>
              <m:sty m:val="p"/>
            </m:rPr>
            <w:rPr>
              <w:rFonts w:ascii="Cambria Math" w:hAnsi="Cambria Math" w:cs="Times New Roman"/>
              <w:sz w:val="20"/>
              <w:szCs w:val="20"/>
            </w:rPr>
            <m:t xml:space="preserve">)[1 – </m:t>
          </m:r>
          <m:r>
            <w:rPr>
              <w:rFonts w:ascii="Cambria Math" w:hAnsi="Cambria Math" w:cs="Times New Roman"/>
              <w:sz w:val="20"/>
              <w:szCs w:val="20"/>
            </w:rPr>
            <m:t>S</m:t>
          </m:r>
          <m:r>
            <m:rPr>
              <m:sty m:val="p"/>
            </m:rPr>
            <w:rPr>
              <w:rFonts w:ascii="Cambria Math" w:hAnsi="Cambria Math" w:cs="Times New Roman"/>
              <w:sz w:val="20"/>
              <w:szCs w:val="20"/>
            </w:rPr>
            <m:t>(</m:t>
          </m:r>
          <m:r>
            <w:rPr>
              <w:rFonts w:ascii="Cambria Math" w:hAnsi="Cambria Math" w:cs="Times New Roman"/>
              <w:sz w:val="20"/>
              <w:szCs w:val="20"/>
            </w:rPr>
            <m:t>t</m:t>
          </m:r>
          <m:r>
            <m:rPr>
              <m:sty m:val="p"/>
            </m:rPr>
            <w:rPr>
              <w:rFonts w:ascii="Cambria Math" w:hAnsi="Cambria Math" w:cs="Times New Roman"/>
              <w:sz w:val="20"/>
              <w:szCs w:val="20"/>
            </w:rPr>
            <m:t xml:space="preserve"> – 1)/</m:t>
          </m:r>
          <m:r>
            <w:rPr>
              <w:rFonts w:ascii="Cambria Math" w:hAnsi="Cambria Math" w:cs="Times New Roman"/>
              <w:sz w:val="20"/>
              <w:szCs w:val="20"/>
            </w:rPr>
            <m:t>S</m:t>
          </m:r>
          <m:r>
            <m:rPr>
              <m:sty m:val="p"/>
            </m:rPr>
            <w:rPr>
              <w:rFonts w:ascii="Cambria Math" w:hAnsi="Cambria Math" w:cs="Times New Roman"/>
              <w:sz w:val="20"/>
              <w:szCs w:val="20"/>
            </w:rPr>
            <m:t>(0)]</m:t>
          </m:r>
          <m:r>
            <w:rPr>
              <w:rFonts w:ascii="Cambria Math" w:hAnsi="Cambria Math" w:cs="Times New Roman"/>
              <w:sz w:val="20"/>
              <w:szCs w:val="20"/>
            </w:rPr>
            <m:t xml:space="preserve">), </m:t>
          </m:r>
        </m:oMath>
      </m:oMathPara>
    </w:p>
    <w:p w14:paraId="2907E10C" w14:textId="77777777" w:rsidR="00502DCA" w:rsidRPr="00435469" w:rsidRDefault="00502DCA" w:rsidP="00955FFB">
      <w:pPr>
        <w:pStyle w:val="NoSpacing"/>
        <w:rPr>
          <w:rFonts w:cs="Times New Roman"/>
          <w:sz w:val="20"/>
          <w:szCs w:val="20"/>
        </w:rPr>
      </w:pPr>
      <w:r w:rsidRPr="00435469">
        <w:rPr>
          <w:rFonts w:cs="Times New Roman"/>
          <w:sz w:val="20"/>
          <w:szCs w:val="20"/>
        </w:rPr>
        <w:t xml:space="preserve">where </w:t>
      </w:r>
      <m:oMath>
        <m:sSub>
          <m:sSubPr>
            <m:ctrlPr>
              <w:rPr>
                <w:rFonts w:ascii="Cambria Math" w:hAnsi="Cambria Math" w:cs="Times New Roman"/>
                <w:i/>
                <w:iCs/>
                <w:sz w:val="20"/>
                <w:szCs w:val="20"/>
                <w:vertAlign w:val="subscript"/>
              </w:rPr>
            </m:ctrlPr>
          </m:sSubPr>
          <m:e>
            <m:r>
              <w:rPr>
                <w:rFonts w:ascii="Cambria Math" w:hAnsi="Cambria Math" w:cs="Times New Roman"/>
                <w:sz w:val="20"/>
                <w:szCs w:val="20"/>
              </w:rPr>
              <m:t>r</m:t>
            </m:r>
            <m:ctrlPr>
              <w:rPr>
                <w:rFonts w:ascii="Cambria Math" w:hAnsi="Cambria Math" w:cs="Times New Roman"/>
                <w:sz w:val="20"/>
                <w:szCs w:val="20"/>
              </w:rPr>
            </m:ctrlPr>
          </m:e>
          <m:sub>
            <m:r>
              <w:rPr>
                <w:rFonts w:ascii="Cambria Math" w:hAnsi="Cambria Math" w:cs="Times New Roman"/>
                <w:sz w:val="20"/>
                <w:szCs w:val="20"/>
                <w:vertAlign w:val="subscript"/>
              </w:rPr>
              <m:t>m</m:t>
            </m:r>
          </m:sub>
        </m:sSub>
      </m:oMath>
      <w:r w:rsidRPr="00435469">
        <w:rPr>
          <w:rFonts w:cs="Times New Roman"/>
          <w:sz w:val="20"/>
          <w:szCs w:val="20"/>
        </w:rPr>
        <w:t xml:space="preserve"> is the ratio of the minimum mortality (when the treatment delay is zero) to the baseline mortality (given the treatment delay in the period before </w:t>
      </w:r>
      <w:proofErr w:type="gramStart"/>
      <w:r w:rsidRPr="00435469">
        <w:rPr>
          <w:rFonts w:cs="Times New Roman"/>
          <w:sz w:val="20"/>
          <w:szCs w:val="20"/>
        </w:rPr>
        <w:t>2000).</w:t>
      </w:r>
      <w:proofErr w:type="gramEnd"/>
      <w:r w:rsidRPr="00435469">
        <w:rPr>
          <w:rFonts w:cs="Times New Roman"/>
          <w:sz w:val="20"/>
          <w:szCs w:val="20"/>
        </w:rPr>
        <w:t xml:space="preserve"> Thus, </w:t>
      </w:r>
      <m:oMath>
        <m:sSub>
          <m:sSubPr>
            <m:ctrlPr>
              <w:rPr>
                <w:rFonts w:ascii="Cambria Math" w:hAnsi="Cambria Math" w:cs="Times New Roman"/>
                <w:i/>
                <w:iCs/>
                <w:sz w:val="20"/>
                <w:szCs w:val="20"/>
                <w:vertAlign w:val="subscript"/>
              </w:rPr>
            </m:ctrlPr>
          </m:sSubPr>
          <m:e>
            <m:r>
              <w:rPr>
                <w:rFonts w:ascii="Cambria Math" w:hAnsi="Cambria Math" w:cs="Times New Roman"/>
                <w:sz w:val="20"/>
                <w:szCs w:val="20"/>
              </w:rPr>
              <m:t>μ</m:t>
            </m:r>
            <m:ctrlPr>
              <w:rPr>
                <w:rFonts w:ascii="Cambria Math" w:hAnsi="Cambria Math" w:cs="Times New Roman"/>
                <w:i/>
                <w:iCs/>
                <w:sz w:val="20"/>
                <w:szCs w:val="20"/>
              </w:rPr>
            </m:ctrlPr>
          </m:e>
          <m:sub>
            <m:r>
              <w:rPr>
                <w:rFonts w:ascii="Cambria Math" w:hAnsi="Cambria Math" w:cs="Times New Roman"/>
                <w:sz w:val="20"/>
                <w:szCs w:val="20"/>
                <w:vertAlign w:val="subscript"/>
              </w:rPr>
              <m:t>g</m:t>
            </m:r>
          </m:sub>
        </m:sSub>
        <m:d>
          <m:dPr>
            <m:ctrlPr>
              <w:rPr>
                <w:rFonts w:ascii="Cambria Math" w:hAnsi="Cambria Math" w:cs="Times New Roman"/>
                <w:sz w:val="20"/>
                <w:szCs w:val="20"/>
              </w:rPr>
            </m:ctrlPr>
          </m:dPr>
          <m:e>
            <m:r>
              <w:rPr>
                <w:rFonts w:ascii="Cambria Math" w:hAnsi="Cambria Math" w:cs="Times New Roman"/>
                <w:sz w:val="20"/>
                <w:szCs w:val="20"/>
              </w:rPr>
              <m:t>t</m:t>
            </m:r>
          </m:e>
        </m:d>
      </m:oMath>
      <w:r w:rsidRPr="00435469">
        <w:rPr>
          <w:rFonts w:cs="Times New Roman"/>
          <w:sz w:val="20"/>
          <w:szCs w:val="20"/>
        </w:rPr>
        <w:t xml:space="preserve"> will be close to </w:t>
      </w:r>
      <m:oMath>
        <m:sSub>
          <m:sSubPr>
            <m:ctrlPr>
              <w:rPr>
                <w:rFonts w:ascii="Cambria Math" w:hAnsi="Cambria Math" w:cs="Times New Roman"/>
                <w:i/>
                <w:iCs/>
                <w:sz w:val="20"/>
                <w:szCs w:val="20"/>
                <w:vertAlign w:val="subscript"/>
              </w:rPr>
            </m:ctrlPr>
          </m:sSubPr>
          <m:e>
            <m:r>
              <w:rPr>
                <w:rFonts w:ascii="Cambria Math" w:hAnsi="Cambria Math" w:cs="Times New Roman"/>
                <w:sz w:val="20"/>
                <w:szCs w:val="20"/>
              </w:rPr>
              <m:t>μ</m:t>
            </m:r>
            <m:ctrlPr>
              <w:rPr>
                <w:rFonts w:ascii="Cambria Math" w:hAnsi="Cambria Math" w:cs="Times New Roman"/>
                <w:i/>
                <w:iCs/>
                <w:sz w:val="20"/>
                <w:szCs w:val="20"/>
              </w:rPr>
            </m:ctrlPr>
          </m:e>
          <m:sub>
            <m:r>
              <w:rPr>
                <w:rFonts w:ascii="Cambria Math" w:hAnsi="Cambria Math" w:cs="Times New Roman"/>
                <w:sz w:val="20"/>
                <w:szCs w:val="20"/>
                <w:vertAlign w:val="subscript"/>
              </w:rPr>
              <m:t>g</m:t>
            </m:r>
          </m:sub>
        </m:sSub>
        <m:d>
          <m:dPr>
            <m:ctrlPr>
              <w:rPr>
                <w:rFonts w:ascii="Cambria Math" w:hAnsi="Cambria Math" w:cs="Times New Roman"/>
                <w:sz w:val="20"/>
                <w:szCs w:val="20"/>
              </w:rPr>
            </m:ctrlPr>
          </m:dPr>
          <m:e>
            <m:r>
              <w:rPr>
                <w:rFonts w:ascii="Cambria Math" w:hAnsi="Cambria Math" w:cs="Times New Roman"/>
                <w:sz w:val="20"/>
                <w:szCs w:val="20"/>
              </w:rPr>
              <m:t>0</m:t>
            </m:r>
          </m:e>
        </m:d>
        <m:r>
          <w:rPr>
            <w:rFonts w:ascii="Cambria Math" w:hAnsi="Cambria Math" w:cs="Times New Roman"/>
            <w:sz w:val="20"/>
            <w:szCs w:val="20"/>
          </w:rPr>
          <m:t xml:space="preserve"> </m:t>
        </m:r>
      </m:oMath>
      <w:r w:rsidRPr="00435469">
        <w:rPr>
          <w:rFonts w:cs="Times New Roman"/>
          <w:sz w:val="20"/>
          <w:szCs w:val="20"/>
        </w:rPr>
        <w:t xml:space="preserve"> when the average treatment delay is close to that before 2000, while </w:t>
      </w:r>
      <m:oMath>
        <m:sSub>
          <m:sSubPr>
            <m:ctrlPr>
              <w:rPr>
                <w:rFonts w:ascii="Cambria Math" w:hAnsi="Cambria Math" w:cs="Times New Roman"/>
                <w:i/>
                <w:iCs/>
                <w:sz w:val="20"/>
                <w:szCs w:val="20"/>
                <w:vertAlign w:val="subscript"/>
              </w:rPr>
            </m:ctrlPr>
          </m:sSubPr>
          <m:e>
            <m:r>
              <w:rPr>
                <w:rFonts w:ascii="Cambria Math" w:hAnsi="Cambria Math" w:cs="Times New Roman"/>
                <w:sz w:val="20"/>
                <w:szCs w:val="20"/>
              </w:rPr>
              <m:t>μ</m:t>
            </m:r>
            <m:ctrlPr>
              <w:rPr>
                <w:rFonts w:ascii="Cambria Math" w:hAnsi="Cambria Math" w:cs="Times New Roman"/>
                <w:i/>
                <w:iCs/>
                <w:sz w:val="20"/>
                <w:szCs w:val="20"/>
              </w:rPr>
            </m:ctrlPr>
          </m:e>
          <m:sub>
            <m:r>
              <w:rPr>
                <w:rFonts w:ascii="Cambria Math" w:hAnsi="Cambria Math" w:cs="Times New Roman"/>
                <w:sz w:val="20"/>
                <w:szCs w:val="20"/>
                <w:vertAlign w:val="subscript"/>
              </w:rPr>
              <m:t>g</m:t>
            </m:r>
          </m:sub>
        </m:sSub>
        <m:d>
          <m:dPr>
            <m:ctrlPr>
              <w:rPr>
                <w:rFonts w:ascii="Cambria Math" w:hAnsi="Cambria Math" w:cs="Times New Roman"/>
                <w:sz w:val="20"/>
                <w:szCs w:val="20"/>
              </w:rPr>
            </m:ctrlPr>
          </m:dPr>
          <m:e>
            <m:r>
              <w:rPr>
                <w:rFonts w:ascii="Cambria Math" w:hAnsi="Cambria Math" w:cs="Times New Roman"/>
                <w:sz w:val="20"/>
                <w:szCs w:val="20"/>
              </w:rPr>
              <m:t>t</m:t>
            </m:r>
          </m:e>
        </m:d>
      </m:oMath>
      <w:r w:rsidRPr="00435469">
        <w:rPr>
          <w:rFonts w:cs="Times New Roman"/>
          <w:sz w:val="20"/>
          <w:szCs w:val="20"/>
        </w:rPr>
        <w:t xml:space="preserve"> will be close to </w:t>
      </w:r>
      <m:oMath>
        <m:sSub>
          <m:sSubPr>
            <m:ctrlPr>
              <w:rPr>
                <w:rFonts w:ascii="Cambria Math" w:hAnsi="Cambria Math" w:cs="Times New Roman"/>
                <w:i/>
                <w:iCs/>
                <w:sz w:val="20"/>
                <w:szCs w:val="20"/>
                <w:vertAlign w:val="subscript"/>
              </w:rPr>
            </m:ctrlPr>
          </m:sSubPr>
          <m:e>
            <m:sSub>
              <m:sSubPr>
                <m:ctrlPr>
                  <w:rPr>
                    <w:rFonts w:ascii="Cambria Math" w:hAnsi="Cambria Math" w:cs="Times New Roman"/>
                    <w:i/>
                    <w:iCs/>
                    <w:sz w:val="20"/>
                    <w:szCs w:val="20"/>
                    <w:vertAlign w:val="subscript"/>
                  </w:rPr>
                </m:ctrlPr>
              </m:sSubPr>
              <m:e>
                <m:r>
                  <w:rPr>
                    <w:rFonts w:ascii="Cambria Math" w:hAnsi="Cambria Math" w:cs="Times New Roman"/>
                    <w:sz w:val="20"/>
                    <w:szCs w:val="20"/>
                  </w:rPr>
                  <m:t>μ</m:t>
                </m:r>
                <m:ctrlPr>
                  <w:rPr>
                    <w:rFonts w:ascii="Cambria Math" w:hAnsi="Cambria Math" w:cs="Times New Roman"/>
                    <w:i/>
                    <w:iCs/>
                    <w:sz w:val="20"/>
                    <w:szCs w:val="20"/>
                  </w:rPr>
                </m:ctrlPr>
              </m:e>
              <m:sub>
                <m:r>
                  <w:rPr>
                    <w:rFonts w:ascii="Cambria Math" w:hAnsi="Cambria Math" w:cs="Times New Roman"/>
                    <w:sz w:val="20"/>
                    <w:szCs w:val="20"/>
                    <w:vertAlign w:val="subscript"/>
                  </w:rPr>
                  <m:t>g</m:t>
                </m:r>
              </m:sub>
            </m:sSub>
            <m:d>
              <m:dPr>
                <m:ctrlPr>
                  <w:rPr>
                    <w:rFonts w:ascii="Cambria Math" w:hAnsi="Cambria Math" w:cs="Times New Roman"/>
                    <w:sz w:val="20"/>
                    <w:szCs w:val="20"/>
                  </w:rPr>
                </m:ctrlPr>
              </m:dPr>
              <m:e>
                <m:r>
                  <w:rPr>
                    <w:rFonts w:ascii="Cambria Math" w:hAnsi="Cambria Math" w:cs="Times New Roman"/>
                    <w:sz w:val="20"/>
                    <w:szCs w:val="20"/>
                  </w:rPr>
                  <m:t>0</m:t>
                </m:r>
              </m:e>
            </m:d>
            <m:r>
              <w:rPr>
                <w:rFonts w:ascii="Cambria Math" w:hAnsi="Cambria Math" w:cs="Times New Roman"/>
                <w:sz w:val="20"/>
                <w:szCs w:val="20"/>
              </w:rPr>
              <m:t xml:space="preserve"> r</m:t>
            </m:r>
            <m:ctrlPr>
              <w:rPr>
                <w:rFonts w:ascii="Cambria Math" w:hAnsi="Cambria Math" w:cs="Times New Roman"/>
                <w:sz w:val="20"/>
                <w:szCs w:val="20"/>
              </w:rPr>
            </m:ctrlPr>
          </m:e>
          <m:sub>
            <m:r>
              <w:rPr>
                <w:rFonts w:ascii="Cambria Math" w:hAnsi="Cambria Math" w:cs="Times New Roman"/>
                <w:sz w:val="20"/>
                <w:szCs w:val="20"/>
                <w:vertAlign w:val="subscript"/>
              </w:rPr>
              <m:t>m</m:t>
            </m:r>
          </m:sub>
        </m:sSub>
      </m:oMath>
      <w:r w:rsidRPr="00435469">
        <w:rPr>
          <w:rFonts w:cs="Times New Roman"/>
          <w:sz w:val="20"/>
          <w:szCs w:val="20"/>
        </w:rPr>
        <w:t xml:space="preserve"> when the treatment delay is close to zero. We use </w:t>
      </w:r>
      <m:oMath>
        <m:r>
          <w:rPr>
            <w:rFonts w:ascii="Cambria Math" w:hAnsi="Cambria Math" w:cs="Times New Roman"/>
            <w:sz w:val="20"/>
            <w:szCs w:val="20"/>
          </w:rPr>
          <m:t>S</m:t>
        </m:r>
        <m:d>
          <m:dPr>
            <m:ctrlPr>
              <w:rPr>
                <w:rFonts w:ascii="Cambria Math" w:hAnsi="Cambria Math" w:cs="Times New Roman"/>
                <w:i/>
                <w:sz w:val="20"/>
                <w:szCs w:val="20"/>
              </w:rPr>
            </m:ctrlPr>
          </m:dPr>
          <m:e>
            <m:r>
              <w:rPr>
                <w:rFonts w:ascii="Cambria Math" w:hAnsi="Cambria Math" w:cs="Times New Roman"/>
                <w:sz w:val="20"/>
                <w:szCs w:val="20"/>
              </w:rPr>
              <m:t>t-1</m:t>
            </m:r>
          </m:e>
        </m:d>
      </m:oMath>
      <w:r w:rsidRPr="00435469">
        <w:rPr>
          <w:rFonts w:eastAsiaTheme="minorEastAsia" w:cs="Times New Roman"/>
          <w:sz w:val="20"/>
          <w:szCs w:val="20"/>
        </w:rPr>
        <w:t xml:space="preserve"> </w:t>
      </w:r>
      <w:r w:rsidRPr="00435469">
        <w:rPr>
          <w:rFonts w:cs="Times New Roman"/>
          <w:sz w:val="20"/>
          <w:szCs w:val="20"/>
        </w:rPr>
        <w:t xml:space="preserve">rather than </w:t>
      </w:r>
      <m:oMath>
        <m:r>
          <w:rPr>
            <w:rFonts w:ascii="Cambria Math" w:hAnsi="Cambria Math" w:cs="Times New Roman"/>
            <w:sz w:val="20"/>
            <w:szCs w:val="20"/>
          </w:rPr>
          <m:t>S</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w:t>
      </w:r>
      <w:r w:rsidRPr="00435469">
        <w:rPr>
          <w:rFonts w:cs="Times New Roman"/>
          <w:sz w:val="20"/>
          <w:szCs w:val="20"/>
        </w:rPr>
        <w:t xml:space="preserve">in the above equation because </w:t>
      </w:r>
      <m:oMath>
        <m:r>
          <w:rPr>
            <w:rFonts w:ascii="Cambria Math" w:hAnsi="Cambria Math" w:cs="Times New Roman"/>
            <w:sz w:val="20"/>
            <w:szCs w:val="20"/>
          </w:rPr>
          <m:t>S</m:t>
        </m:r>
        <m:d>
          <m:dPr>
            <m:ctrlPr>
              <w:rPr>
                <w:rFonts w:ascii="Cambria Math" w:hAnsi="Cambria Math" w:cs="Times New Roman"/>
                <w:i/>
                <w:sz w:val="20"/>
                <w:szCs w:val="20"/>
              </w:rPr>
            </m:ctrlPr>
          </m:dPr>
          <m:e>
            <m:r>
              <w:rPr>
                <w:rFonts w:ascii="Cambria Math" w:hAnsi="Cambria Math" w:cs="Times New Roman"/>
                <w:sz w:val="20"/>
                <w:szCs w:val="20"/>
              </w:rPr>
              <m:t>t</m:t>
            </m:r>
          </m:e>
        </m:d>
      </m:oMath>
      <w:r w:rsidRPr="00435469">
        <w:rPr>
          <w:rFonts w:eastAsiaTheme="minorEastAsia" w:cs="Times New Roman"/>
          <w:sz w:val="20"/>
          <w:szCs w:val="20"/>
        </w:rPr>
        <w:t xml:space="preserve"> </w:t>
      </w:r>
      <w:r w:rsidRPr="00435469">
        <w:rPr>
          <w:rFonts w:cs="Times New Roman"/>
          <w:sz w:val="20"/>
          <w:szCs w:val="20"/>
        </w:rPr>
        <w:t xml:space="preserve">is only calculated at the end of year </w:t>
      </w:r>
      <w:r w:rsidRPr="00435469">
        <w:rPr>
          <w:rFonts w:cs="Times New Roman"/>
          <w:i/>
          <w:iCs/>
          <w:sz w:val="20"/>
          <w:szCs w:val="20"/>
        </w:rPr>
        <w:t>t</w:t>
      </w:r>
      <w:r w:rsidRPr="00435469">
        <w:rPr>
          <w:rFonts w:cs="Times New Roman"/>
          <w:sz w:val="20"/>
          <w:szCs w:val="20"/>
        </w:rPr>
        <w:t>.</w:t>
      </w:r>
    </w:p>
    <w:p w14:paraId="69AAF65A" w14:textId="4EB7D3F4" w:rsidR="001B1FD3" w:rsidRPr="00435469" w:rsidRDefault="00A96F85" w:rsidP="00955FFB">
      <w:pPr>
        <w:pStyle w:val="NoSpacing"/>
        <w:spacing w:before="240" w:after="240"/>
        <w:rPr>
          <w:rFonts w:cs="Times New Roman"/>
          <w:sz w:val="20"/>
          <w:szCs w:val="20"/>
          <w:lang w:val="en-ZA"/>
        </w:rPr>
      </w:pPr>
      <w:r w:rsidRPr="00435469">
        <w:rPr>
          <w:rFonts w:cs="Times New Roman"/>
          <w:sz w:val="20"/>
          <w:szCs w:val="20"/>
        </w:rPr>
        <w:t xml:space="preserve">We estimated the </w:t>
      </w:r>
      <m:oMath>
        <m:sSub>
          <m:sSubPr>
            <m:ctrlPr>
              <w:rPr>
                <w:rFonts w:ascii="Cambria Math" w:hAnsi="Cambria Math" w:cs="Times New Roman"/>
                <w:i/>
                <w:iCs/>
                <w:sz w:val="20"/>
                <w:szCs w:val="20"/>
                <w:vertAlign w:val="subscript"/>
              </w:rPr>
            </m:ctrlPr>
          </m:sSubPr>
          <m:e>
            <m:r>
              <w:rPr>
                <w:rFonts w:ascii="Cambria Math" w:hAnsi="Cambria Math" w:cs="Times New Roman"/>
                <w:sz w:val="20"/>
                <w:szCs w:val="20"/>
              </w:rPr>
              <m:t>r</m:t>
            </m:r>
            <m:ctrlPr>
              <w:rPr>
                <w:rFonts w:ascii="Cambria Math" w:hAnsi="Cambria Math" w:cs="Times New Roman"/>
                <w:sz w:val="20"/>
                <w:szCs w:val="20"/>
              </w:rPr>
            </m:ctrlPr>
          </m:e>
          <m:sub>
            <m:r>
              <w:rPr>
                <w:rFonts w:ascii="Cambria Math" w:hAnsi="Cambria Math" w:cs="Times New Roman"/>
                <w:sz w:val="20"/>
                <w:szCs w:val="20"/>
                <w:vertAlign w:val="subscript"/>
              </w:rPr>
              <m:t>m</m:t>
            </m:r>
          </m:sub>
        </m:sSub>
      </m:oMath>
      <w:r w:rsidRPr="00435469">
        <w:rPr>
          <w:rFonts w:cs="Times New Roman"/>
          <w:sz w:val="20"/>
          <w:szCs w:val="20"/>
        </w:rPr>
        <w:t xml:space="preserve"> parameter using </w:t>
      </w:r>
      <w:r w:rsidR="004F30D3" w:rsidRPr="00435469">
        <w:rPr>
          <w:rFonts w:cs="Times New Roman"/>
          <w:sz w:val="20"/>
          <w:szCs w:val="20"/>
        </w:rPr>
        <w:t xml:space="preserve">a </w:t>
      </w:r>
      <w:r w:rsidRPr="00435469">
        <w:rPr>
          <w:rFonts w:cs="Times New Roman"/>
          <w:sz w:val="20"/>
          <w:szCs w:val="20"/>
        </w:rPr>
        <w:t xml:space="preserve">random-effects meta-analysis </w:t>
      </w:r>
      <w:r w:rsidR="004F30D3" w:rsidRPr="00435469">
        <w:rPr>
          <w:rFonts w:cs="Times New Roman"/>
          <w:sz w:val="20"/>
          <w:szCs w:val="20"/>
        </w:rPr>
        <w:t>of</w:t>
      </w:r>
      <w:r w:rsidRPr="00435469">
        <w:rPr>
          <w:rFonts w:cs="Times New Roman"/>
          <w:sz w:val="20"/>
          <w:szCs w:val="20"/>
        </w:rPr>
        <w:t xml:space="preserve"> studies that </w:t>
      </w:r>
      <w:r w:rsidRPr="00435469">
        <w:rPr>
          <w:rFonts w:cs="Times New Roman"/>
          <w:sz w:val="20"/>
          <w:szCs w:val="20"/>
          <w:lang w:val="en-ZA"/>
        </w:rPr>
        <w:t xml:space="preserve">reported the relative mortality levels in patients with different smear grades </w:t>
      </w:r>
      <w:r w:rsidRPr="00435469">
        <w:rPr>
          <w:rFonts w:cs="Times New Roman"/>
          <w:sz w:val="20"/>
          <w:szCs w:val="20"/>
          <w:lang w:val="en-ZA"/>
        </w:rPr>
        <w:fldChar w:fldCharType="begin" w:fldLock="1"/>
      </w:r>
      <w:r w:rsidR="002F049E" w:rsidRPr="00435469">
        <w:rPr>
          <w:rFonts w:cs="Times New Roman"/>
          <w:sz w:val="20"/>
          <w:szCs w:val="20"/>
          <w:lang w:val="en-ZA"/>
        </w:rPr>
        <w:instrText>ADDIN CSL_CITATION {"citationItems":[{"id":"ITEM-1","itemData":{"ISSN":"03779343","abstract":"OBJECTIVE: To study the influence of initial bacillary load on sputum conversion rates and treatment outcome of new smear positive pulmonary tuberculosis patients. METHODS: A retrospective study was done among 2938 new smear positive pulmonary tuberculosis patients, registered at the peripheral centres, covering a population of 1.6 million in Delhi, India. The patients pre-treatment sputum smears were graded as 1+, 2+ or 3+ based on three samples. Patients were given intermittent short-course chemotherapy under supervision and the treatment outcome was analysed. RESULTS: Sputum conversion rates among patients graded as sputum 3+ and rest of the patients (combined graded sputum 1+ and 2+) at the end of two months were 62.2% and 76.8% respectively (p&lt;0.001), and at the end of three months were 81.3% and 89.5% respectively (p&lt;0.001). Cure rates among same group of patients were 76.6% and 85.1% respectively (p&lt;0.001), and failure rates were 7.7% and 4.5% respectively (p&lt;0.001). CONCLUSIONS: Under field conditions even with directly observed treatment (DOT) new smear positive patients with heavy bacillary load showed statistically significant poor sputum conversion rates at two and three months and higher failure rates as compared to patients with lesser bacillary load. To investigate possible reasons for this poor response and possible solutions further studies are needed.","author":[{"dropping-particle":"","family":"Singla","given":"Rupak","non-dropping-particle":"","parse-names":false,"suffix":""},{"dropping-particle":"","family":"Singla","given":"Neeta","non-dropping-particle":"","parse-names":false,"suffix":""},{"dropping-particle":"","family":"Sarin","given":"Rohit","non-dropping-particle":"","parse-names":false,"suffix":""},{"dropping-particle":"","family":"Arora","given":"V. K.","non-dropping-particle":"","parse-names":false,"suffix":""}],"container-title":"The Indian journal of chest diseases &amp; allied sciences","id":"ITEM-1","issue":"1","issued":{"date-parts":[["2005"]]},"title":"Influence of pre-treatment bacillary load on treatment outcome of pulmonary tuberculosis patients receiving DOTS under revised national tuberculosis control programme.","type":"article-journal","volume":"47"},"uris":["http://www.mendeley.com/documents/?uuid=bca6a520-5df1-3bbb-a28d-7ecb422a1198"]},{"id":"ITEM-2","itemData":{"DOI":"10.1186/1471-2458-7-210","ISSN":"14712458","PMID":"17705838","abstract":"Background. Delay in tuberculosis diagnosis and treatment initiation may increase disease severity and mortality. In evaluations of tuberculosis control programmes high fatality rates during tuberculosis treatment, are used as an indicator of long delays in low HIV-prevalence settings. However, data for this presumed association between delay and fatality are lacking. We assessed the association between diagnostic delay and mortality of new smear-positive pulmonary tuberculosis patients in Vietnam. Methods. Follow-up of a patient cohort included in a survey of diagnostic delay in 70 randomly selected districts. Data on diagnosis and treatment were extracted from routine registers. Patients who had died during the course of treatment were compared to those with reported cure, completed treatment or failure (survivors). Results. Complete data were available for 1881/2093 (89.9%) patients, of whom 82 (4.4%) had died. Fatality was 4.5% for patients with ≤ 4 weeks delay, 5.0% for 5- ≤ 8 weeks delay (aOR 1.11, 95%CI 0.67-1.84) and 3.2% for &gt; 9 weeks delay (aOR 0.69, 95%CI 0.37-1.30). Fatality tended to decline with increasing delay but this was not significant. Fatality was not associated with median diagnostic delay at district level (Spearman's rho = -0.08, P = 0.5). Conclusion. Diagnostic delay is not associated with treatment mortality in Vietnam at individual nor district level, suggesting that high case fatality should not be used as an indicator of long diagnostic delay in national tuberculosis programmes. © 2007 Vree et al; licensee BioMed Central Ltd.","author":[{"dropping-particle":"","family":"Vree","given":"Marleen","non-dropping-particle":"","parse-names":false,"suffix":""},{"dropping-particle":"","family":"Huong","given":"Nguyen T.","non-dropping-particle":"","parse-names":false,"suffix":""},{"dropping-particle":"","family":"Duong","given":"Bui D.","non-dropping-particle":"","parse-names":false,"suffix":""},{"dropping-particle":"V.","family":"Co","given":"Nguyen","non-dropping-particle":"","parse-names":false,"suffix":""},{"dropping-particle":"","family":"Sy","given":"Dinh N.","non-dropping-particle":"","parse-names":false,"suffix":""},{"dropping-particle":"","family":"Cobelens","given":"Frank G.","non-dropping-particle":"","parse-names":false,"suffix":""},{"dropping-particle":"","family":"Borgdorff","given":"Martien W.","non-dropping-particle":"","parse-names":false,"suffix":""}],"container-title":"BMC Public Health","id":"ITEM-2","issued":{"date-parts":[["2007"]]},"page":"1-7","title":"High mortality during tuberculosis treatment does not indicate long diagnostic delays in Vietnam: A cohort study","type":"article-journal","volume":"7"},"uris":["http://www.mendeley.com/documents/?uuid=27bdcc4e-5ac7-4556-b83f-56788fc6b8ba"]},{"id":"ITEM-3","itemData":{"DOI":"10.1371/journal.pone.0073501","ISSN":"19326203","PMID":"24066053","abstract":"Background:Adherence to treatment and sputum smear conversion after 2 months of treatment are thought to be important for successful outcome of tuberculosis (TB) treatment.Methods:Retrospective cohort study of new adult TB patients diagnosed in the first quarter of 2007 at 48 clinics in Rwanda. Data were abstracted from TB registers and individual treatment charts. Logistic regression analysis was done to examine associations between baseline demographic and clinical factors and three outcomes adherence, sputum smear conversion at two months, and death.Results:Out of 725 eligible patients the treatment chart was retrieved for 581 (80%). Fifty-six (10%) of these patients took &lt;90% of doses (defined as poor adherence). Baseline demographic characteristics were not associated with adherence to TB treatment, but adherence was lower among HIV patients not taking antiretroviral therapy (ART); p = 0.03). Sputum smear results around 2 months after start of treatment were available for 220 of 311 initially sputum-smear-positive pulmonary TB (PTB+) patients (71%); 175 (80%) had achieved sputum smear conversion. In multivariable analysis, baseline sputum smear grade (odds ratio [OR] = 2.7, 95% Confidence interval [CI] 1.1-6.6 comparing smear 3+ against 1+) and HIV infection (OR 3.0, 95%CI 1.3-6.7) were independent predictors for non-conversion at 2 months. Sixty-nine of 574 patients (12%) with known TB treatment outcomes had died. Besides other known determinants, poor adherence had an independent, strong effect on mortality (OR 3.4, 95%CI 1.4-7.8).Conclusion:HIV infection is an important independent predictor of failure of sputum smear conversion at 2 months among PTB+ patients. Poor adherence to TB treatment is an important independent determinant of mortality. © 2013 Kayigamba et al.","author":[{"dropping-particle":"","family":"Kayigamba","given":"Felix R.","non-dropping-particle":"","parse-names":false,"suffix":""},{"dropping-particle":"","family":"Bakker","given":"Mirjam I.","non-dropping-particle":"","parse-names":false,"suffix":""},{"dropping-particle":"","family":"Mugisha","given":"Veronicah","non-dropping-particle":"","parse-names":false,"suffix":""},{"dropping-particle":"","family":"Naeyer","given":"Ludwig","non-dropping-particle":"de","parse-names":false,"suffix":""},{"dropping-particle":"","family":"Gasana","given":"Michel","non-dropping-particle":"","parse-names":false,"suffix":""},{"dropping-particle":"","family":"Cobelens","given":"Frank","non-dropping-particle":"","parse-names":false,"suffix":""},{"dropping-particle":"","family":"Loeff","given":"Maarten Schim","non-dropping-particle":"van der","parse-names":false,"suffix":""}],"container-title":"PLoS ONE","id":"ITEM-3","issue":"9","issued":{"date-parts":[["2013"]]},"page":"1-10","title":"Adherence to Tuberculosis Treatment, Sputum Smear Conversion and Mortality: A Retrospective Cohort Study in 48 Rwandan Clinics","type":"article-journal","volume":"8"},"uris":["http://www.mendeley.com/documents/?uuid=774a3b4b-96a9-4707-93cb-717c95607b08"]},{"id":"ITEM-4","itemData":{"DOI":"10.1093/infdis/jiaa275","ISSN":"15376613","PMID":"32445568","abstract":"Globally, tuberculosis is the leading infectious cause of death; discovering biomarkers that predict a high mortality risk may improve treatment outcomes. We prospectively enrolled 252 pulmonary tuberculosis patients who were not coinfected with human immunodeficiency virus and initiated antituberculosis treatment, measured serum procalcitonin levels (PCT), and assessed mortality risk. PCT serum levels higher than 0.13 (day 0), 0.05 (day 7), 0.12 (day 14), or 0.06 (day 28) ng/mL predicted nonsurvivors with odds ratios of 7.9, 14.3, 20.0, and 7.3, respectively (P ≤.005 for all), respectively. Therefore, serum PCT levels are a promising mortality risk indicator for patients with pulmonary tuberculosis.","author":[{"dropping-particle":"","family":"Osawa","given":"Takeshi","non-dropping-particle":"","parse-names":false,"suffix":""},{"dropping-particle":"","family":"Watanabe","given":"Masato","non-dropping-particle":"","parse-names":false,"suffix":""},{"dropping-particle":"","family":"Morimoto","given":"Kozo","non-dropping-particle":"","parse-names":false,"suffix":""},{"dropping-particle":"","family":"Okumura","given":"Masao","non-dropping-particle":"","parse-names":false,"suffix":""},{"dropping-particle":"","family":"Yoshiyama","given":"Takashi","non-dropping-particle":"","parse-names":false,"suffix":""},{"dropping-particle":"","family":"Ogata","given":"Hideo","non-dropping-particle":"","parse-names":false,"suffix":""},{"dropping-particle":"","family":"Goto","given":"Hajime","non-dropping-particle":"","parse-names":false,"suffix":""},{"dropping-particle":"","family":"Kudoh","given":"Shoji","non-dropping-particle":"","parse-names":false,"suffix":""},{"dropping-particle":"","family":"Ohta","given":"Ken","non-dropping-particle":"","parse-names":false,"suffix":""},{"dropping-particle":"","family":"Sasaki","given":"Yuka","non-dropping-particle":"","parse-names":false,"suffix":""}],"container-title":"Journal of Infectious Diseases","id":"ITEM-4","issue":"10","issued":{"date-parts":[["2020"]]},"page":"1651-1654","title":"Serum procalcitonin levels predict mortality risk in patients with pulmonary tuberculosis: A single-center prospective observational study","type":"article-journal","volume":"222"},"uris":["http://www.mendeley.com/documents/?uuid=ce9705ec-e34b-4486-b827-90b3430fc477"]},{"id":"ITEM-5","itemData":{"DOI":"10.18203/2320-6012.ijrms20170012","ISSN":"2320-6071","abstract":"Background: Immune status of a patient influences the susceptibility, clinical presentation of tuberculosis and its treatment outcome. Some of the most common conditions associated with immune deficiency includes, human immunodeficiency virus (HIV) infection, diabetes and chronic steroid therapy for any underlying diseases.Methods: A cohort study, enrolled patients with tuberculosis alone (n=51) and those with tuberculosis and immunosuppressed state (patients with HIV, diabetes and those on steroid therapy, n=97).Results: All patients received Directly Observed Treatment Short course (DOTS) regimen implemented through RNTCP. Among the immunosuppressed patients, 32 were HIV patients, 45 of them were diabetic and 20 received chronic steroid therapy. All immunocompetent patients (control) were totally cured but 62.5% and 88.9% of HIV and diabetic patients in the immunosuppressed group were cured. Mortality was high in the immunosuppressed group (18.75% in HIV, and 11.11% in diabetic group). The grade of sputum smear had significant influence on the treatment outcome after adjusting for death and default (p&gt;0.05). After intensive phase, the smear conversion rate were 86.27% in the control group,37.5% in the HIV patients, 22.22% in diabetics and 55% among chronic steroid use. The mortality and cure rate among those who received treatment for diabetes mellitus is comparable with that of immunocompetent group. Treatment prolongation was required for patients in the immunosuppressed group (62.5% in HIV group, 77.7% in diabetes group and 45% in chronic steroid users group).Conclusions: Immunosuppression was a risk factor for increased morbidity and mortality among new smear positive pulmonary tuberculosis patients. Prolonged DOTS regimen requires long-term close follow-up of patients who are immunocompromised.","author":[{"dropping-particle":"","family":"Muttath","given":"Radhika","non-dropping-particle":"","parse-names":false,"suffix":""},{"dropping-particle":"","family":"Andrews","given":"Mekkattukkunnel","non-dropping-particle":"","parse-names":false,"suffix":""},{"dropping-particle":"","family":"Prabhu","given":"Dinesa","non-dropping-particle":"","parse-names":false,"suffix":""}],"container-title":"International Journal of Research in Medical Sciences","id":"ITEM-5","issue":"2","issued":{"date-parts":[["2017"]]},"page":"384","title":"Treatment outcome in new smear positive pulmonary tuberculosis patients with and without immunosuppression on RNTCP regimen: a comparative observational study","type":"article-journal","volume":"5"},"uris":["http://www.mendeley.com/documents/?uuid=6e23c2cb-c4d6-4c4b-9364-cdbaa198bbda"]},{"id":"ITEM-6","itemData":{"ISSN":"10273719","PMID":"18173882","abstract":"OBJECTIVES: To estimate the excess general mortality among tuberculosis (TB) patients in a rural area (Tiruvallur) and identify risk factors for TB-related mortality. SETTING: The study population consisted of all TB patients aged ≥15 years who were registered under the Revised National Tuberculosis Control Programme (RNTCP) during the years 2000 to 2003 at Velliyur TB unit (TU) in south India. DESIGN: This is a retrospective cohort study of 3405 patients treated under the DOTS strategy, followed up from the date of start of treatment till the date of interview (for the survivors) or the date of death (for those who died). RESULTS: There were 2710 (79.6%) survivors and 695 (20.4%) deaths. The excess general mortalities for the cohort, expressed as standardised mortality ratio (SMR), was 4.2 (95%CI 3.9-4.5). High SMR values were obtained for patients belonging to the 15-44 years age group (12.1), patients on Category II regimen (9.3), treatment failures (9.1) and defaulters (7.8). The adjusted hazards ratios (aHR) were high for patients aged 45-59 years (1.9), ≥60 years (3.1) and with incomplete treatment due to default or failure (6.4). CONCLUSION: TB is one of the main causes of mortality in the younger age group. Among TB patients, the major risk factors for mortality are old age (≥45 years) and incomplete treatment. © 2008 The Union.","author":[{"dropping-particle":"","family":"Kolappan","given":"C.","non-dropping-particle":"","parse-names":false,"suffix":""},{"dropping-particle":"","family":"Subramani","given":"R.","non-dropping-particle":"","parse-names":false,"suffix":""},{"dropping-particle":"","family":"Kumaraswami","given":"V.","non-dropping-particle":"","parse-names":false,"suffix":""},{"dropping-particle":"","family":"Santha","given":"T.","non-dropping-particle":"","parse-names":false,"suffix":""},{"dropping-particle":"","family":"Narayanan","given":"P. R.","non-dropping-particle":"","parse-names":false,"suffix":""}],"container-title":"International Journal of Tuberculosis and Lung Disease","id":"ITEM-6","issue":"1","issued":{"date-parts":[["2008"]]},"page":"81-86","title":"Excess mortality and risk factors for mortality among a cohort of TB patients from rural south India","type":"article-journal","volume":"12"},"uris":["http://www.mendeley.com/documents/?uuid=4e6fb561-03ff-43b0-a77e-e3e56c435750"]}],"mendeley":{"formattedCitation":"(26,85–89)","plainTextFormattedCitation":"(26,85–89)","previouslyFormattedCitation":"(26,85–89)"},"properties":{"noteIndex":0},"schema":"https://github.com/citation-style-language/schema/raw/master/csl-citation.json"}</w:instrText>
      </w:r>
      <w:r w:rsidRPr="00435469">
        <w:rPr>
          <w:rFonts w:cs="Times New Roman"/>
          <w:sz w:val="20"/>
          <w:szCs w:val="20"/>
          <w:lang w:val="en-ZA"/>
        </w:rPr>
        <w:fldChar w:fldCharType="separate"/>
      </w:r>
      <w:r w:rsidR="0063047A" w:rsidRPr="00435469">
        <w:rPr>
          <w:rFonts w:cs="Times New Roman"/>
          <w:noProof/>
          <w:sz w:val="20"/>
          <w:szCs w:val="20"/>
          <w:lang w:val="en-ZA"/>
        </w:rPr>
        <w:t>(26,85–89)</w:t>
      </w:r>
      <w:r w:rsidRPr="00435469">
        <w:rPr>
          <w:rFonts w:cs="Times New Roman"/>
          <w:sz w:val="20"/>
          <w:szCs w:val="20"/>
          <w:lang w:val="en-ZA"/>
        </w:rPr>
        <w:fldChar w:fldCharType="end"/>
      </w:r>
      <w:r w:rsidRPr="00435469">
        <w:rPr>
          <w:rFonts w:cs="Times New Roman"/>
          <w:sz w:val="20"/>
          <w:szCs w:val="20"/>
          <w:lang w:val="en-ZA"/>
        </w:rPr>
        <w:t xml:space="preserve"> (</w:t>
      </w:r>
      <w:r w:rsidRPr="00435469">
        <w:rPr>
          <w:rFonts w:cs="Times New Roman"/>
          <w:sz w:val="20"/>
          <w:szCs w:val="20"/>
          <w:lang w:val="en-ZA"/>
        </w:rPr>
        <w:fldChar w:fldCharType="begin"/>
      </w:r>
      <w:r w:rsidRPr="00435469">
        <w:rPr>
          <w:rFonts w:cs="Times New Roman"/>
          <w:sz w:val="20"/>
          <w:szCs w:val="20"/>
          <w:lang w:val="en-ZA"/>
        </w:rPr>
        <w:instrText xml:space="preserve"> REF _Ref91495216 \h </w:instrText>
      </w:r>
      <w:r w:rsidR="00F334C7" w:rsidRPr="00435469">
        <w:rPr>
          <w:rFonts w:cs="Times New Roman"/>
          <w:sz w:val="20"/>
          <w:szCs w:val="20"/>
          <w:lang w:val="en-ZA"/>
        </w:rPr>
        <w:instrText xml:space="preserve"> \* MERGEFORMAT </w:instrText>
      </w:r>
      <w:r w:rsidRPr="00435469">
        <w:rPr>
          <w:rFonts w:cs="Times New Roman"/>
          <w:sz w:val="20"/>
          <w:szCs w:val="20"/>
          <w:lang w:val="en-ZA"/>
        </w:rPr>
      </w:r>
      <w:r w:rsidRPr="00435469">
        <w:rPr>
          <w:rFonts w:cs="Times New Roman"/>
          <w:sz w:val="20"/>
          <w:szCs w:val="20"/>
          <w:lang w:val="en-ZA"/>
        </w:rPr>
        <w:fldChar w:fldCharType="separate"/>
      </w:r>
      <w:r w:rsidR="00186C2F" w:rsidRPr="00435469">
        <w:rPr>
          <w:sz w:val="20"/>
          <w:szCs w:val="20"/>
        </w:rPr>
        <w:t xml:space="preserve">Table </w:t>
      </w:r>
      <w:r w:rsidR="00186C2F" w:rsidRPr="00435469">
        <w:rPr>
          <w:noProof/>
          <w:sz w:val="20"/>
          <w:szCs w:val="20"/>
        </w:rPr>
        <w:t>15</w:t>
      </w:r>
      <w:r w:rsidRPr="00435469">
        <w:rPr>
          <w:rFonts w:cs="Times New Roman"/>
          <w:sz w:val="20"/>
          <w:szCs w:val="20"/>
          <w:lang w:val="en-ZA"/>
        </w:rPr>
        <w:fldChar w:fldCharType="end"/>
      </w:r>
      <w:r w:rsidRPr="00435469">
        <w:rPr>
          <w:rFonts w:cs="Times New Roman"/>
          <w:sz w:val="20"/>
          <w:szCs w:val="20"/>
          <w:lang w:val="en-ZA"/>
        </w:rPr>
        <w:t xml:space="preserve">). The resulting pooled odds ratio for smear-grade 2+ vs smear-grade &lt;2+ was </w:t>
      </w:r>
      <w:r w:rsidRPr="00435469">
        <w:rPr>
          <w:rFonts w:cs="Times New Roman"/>
          <w:sz w:val="20"/>
          <w:szCs w:val="20"/>
        </w:rPr>
        <w:t xml:space="preserve">1.30 (95% CI: 1.02-1.67) and the </w:t>
      </w:r>
      <w:r w:rsidRPr="00435469">
        <w:rPr>
          <w:rFonts w:cs="Times New Roman"/>
          <w:sz w:val="20"/>
          <w:szCs w:val="20"/>
          <w:lang w:val="en-ZA"/>
        </w:rPr>
        <w:t xml:space="preserve">odds ratio for smear-grade 3+ vs smear-grade &lt;2+ was </w:t>
      </w:r>
      <w:r w:rsidRPr="00435469">
        <w:rPr>
          <w:rFonts w:cs="Times New Roman"/>
          <w:sz w:val="20"/>
          <w:szCs w:val="20"/>
        </w:rPr>
        <w:t xml:space="preserve">1.68 </w:t>
      </w:r>
      <w:r w:rsidRPr="00435469">
        <w:rPr>
          <w:rFonts w:cs="Times New Roman"/>
          <w:sz w:val="20"/>
          <w:szCs w:val="20"/>
          <w:lang w:val="en-ZA"/>
        </w:rPr>
        <w:t xml:space="preserve"> </w:t>
      </w:r>
      <w:r w:rsidRPr="00435469">
        <w:rPr>
          <w:rFonts w:cs="Times New Roman"/>
          <w:sz w:val="20"/>
          <w:szCs w:val="20"/>
          <w:lang w:val="en-ZA"/>
        </w:rPr>
        <w:fldChar w:fldCharType="begin" w:fldLock="1"/>
      </w:r>
      <w:r w:rsidR="002F049E" w:rsidRPr="00435469">
        <w:rPr>
          <w:rFonts w:cs="Times New Roman"/>
          <w:sz w:val="20"/>
          <w:szCs w:val="20"/>
          <w:lang w:val="en-ZA"/>
        </w:rPr>
        <w:instrText>ADDIN CSL_CITATION {"citationItems":[{"id":"ITEM-1","itemData":{"ISSN":"03779343","abstract":"OBJECTIVE: To study the influence of initial bacillary load on sputum conversion rates and treatment outcome of new smear positive pulmonary tuberculosis patients. METHODS: A retrospective study was done among 2938 new smear positive pulmonary tuberculosis patients, registered at the peripheral centres, covering a population of 1.6 million in Delhi, India. The patients pre-treatment sputum smears were graded as 1+, 2+ or 3+ based on three samples. Patients were given intermittent short-course chemotherapy under supervision and the treatment outcome was analysed. RESULTS: Sputum conversion rates among patients graded as sputum 3+ and rest of the patients (combined graded sputum 1+ and 2+) at the end of two months were 62.2% and 76.8% respectively (p&lt;0.001), and at the end of three months were 81.3% and 89.5% respectively (p&lt;0.001). Cure rates among same group of patients were 76.6% and 85.1% respectively (p&lt;0.001), and failure rates were 7.7% and 4.5% respectively (p&lt;0.001). CONCLUSIONS: Under field conditions even with directly observed treatment (DOT) new smear positive patients with heavy bacillary load showed statistically significant poor sputum conversion rates at two and three months and higher failure rates as compared to patients with lesser bacillary load. To investigate possible reasons for this poor response and possible solutions further studies are needed.","author":[{"dropping-particle":"","family":"Singla","given":"Rupak","non-dropping-particle":"","parse-names":false,"suffix":""},{"dropping-particle":"","family":"Singla","given":"Neeta","non-dropping-particle":"","parse-names":false,"suffix":""},{"dropping-particle":"","family":"Sarin","given":"Rohit","non-dropping-particle":"","parse-names":false,"suffix":""},{"dropping-particle":"","family":"Arora","given":"V. K.","non-dropping-particle":"","parse-names":false,"suffix":""}],"container-title":"The Indian journal of chest diseases &amp; allied sciences","id":"ITEM-1","issue":"1","issued":{"date-parts":[["2005"]]},"title":"Influence of pre-treatment bacillary load on treatment outcome of pulmonary tuberculosis patients receiving DOTS under revised national tuberculosis control programme.","type":"article-journal","volume":"47"},"uris":["http://www.mendeley.com/documents/?uuid=bca6a520-5df1-3bbb-a28d-7ecb422a1198"]},{"id":"ITEM-2","itemData":{"DOI":"10.1186/1471-2458-7-210","ISSN":"14712458","PMID":"17705838","abstract":"Background. Delay in tuberculosis diagnosis and treatment initiation may increase disease severity and mortality. In evaluations of tuberculosis control programmes high fatality rates during tuberculosis treatment, are used as an indicator of long delays in low HIV-prevalence settings. However, data for this presumed association between delay and fatality are lacking. We assessed the association between diagnostic delay and mortality of new smear-positive pulmonary tuberculosis patients in Vietnam. Methods. Follow-up of a patient cohort included in a survey of diagnostic delay in 70 randomly selected districts. Data on diagnosis and treatment were extracted from routine registers. Patients who had died during the course of treatment were compared to those with reported cure, completed treatment or failure (survivors). Results. Complete data were available for 1881/2093 (89.9%) patients, of whom 82 (4.4%) had died. Fatality was 4.5% for patients with ≤ 4 weeks delay, 5.0% for 5- ≤ 8 weeks delay (aOR 1.11, 95%CI 0.67-1.84) and 3.2% for &gt; 9 weeks delay (aOR 0.69, 95%CI 0.37-1.30). Fatality tended to decline with increasing delay but this was not significant. Fatality was not associated with median diagnostic delay at district level (Spearman's rho = -0.08, P = 0.5). Conclusion. Diagnostic delay is not associated with treatment mortality in Vietnam at individual nor district level, suggesting that high case fatality should not be used as an indicator of long diagnostic delay in national tuberculosis programmes. © 2007 Vree et al; licensee BioMed Central Ltd.","author":[{"dropping-particle":"","family":"Vree","given":"Marleen","non-dropping-particle":"","parse-names":false,"suffix":""},{"dropping-particle":"","family":"Huong","given":"Nguyen T.","non-dropping-particle":"","parse-names":false,"suffix":""},{"dropping-particle":"","family":"Duong","given":"Bui D.","non-dropping-particle":"","parse-names":false,"suffix":""},{"dropping-particle":"V.","family":"Co","given":"Nguyen","non-dropping-particle":"","parse-names":false,"suffix":""},{"dropping-particle":"","family":"Sy","given":"Dinh N.","non-dropping-particle":"","parse-names":false,"suffix":""},{"dropping-particle":"","family":"Cobelens","given":"Frank G.","non-dropping-particle":"","parse-names":false,"suffix":""},{"dropping-particle":"","family":"Borgdorff","given":"Martien W.","non-dropping-particle":"","parse-names":false,"suffix":""}],"container-title":"BMC Public Health","id":"ITEM-2","issued":{"date-parts":[["2007"]]},"page":"1-7","title":"High mortality during tuberculosis treatment does not indicate long diagnostic delays in Vietnam: A cohort study","type":"article-journal","volume":"7"},"uris":["http://www.mendeley.com/documents/?uuid=27bdcc4e-5ac7-4556-b83f-56788fc6b8ba"]},{"id":"ITEM-3","itemData":{"DOI":"10.1371/journal.pone.0073501","ISSN":"19326203","PMID":"24066053","abstract":"Background:Adherence to treatment and sputum smear conversion after 2 months of treatment are thought to be important for successful outcome of tuberculosis (TB) treatment.Methods:Retrospective cohort study of new adult TB patients diagnosed in the first quarter of 2007 at 48 clinics in Rwanda. Data were abstracted from TB registers and individual treatment charts. Logistic regression analysis was done to examine associations between baseline demographic and clinical factors and three outcomes adherence, sputum smear conversion at two months, and death.Results:Out of 725 eligible patients the treatment chart was retrieved for 581 (80%). Fifty-six (10%) of these patients took &lt;90% of doses (defined as poor adherence). Baseline demographic characteristics were not associated with adherence to TB treatment, but adherence was lower among HIV patients not taking antiretroviral therapy (ART); p = 0.03). Sputum smear results around 2 months after start of treatment were available for 220 of 311 initially sputum-smear-positive pulmonary TB (PTB+) patients (71%); 175 (80%) had achieved sputum smear conversion. In multivariable analysis, baseline sputum smear grade (odds ratio [OR] = 2.7, 95% Confidence interval [CI] 1.1-6.6 comparing smear 3+ against 1+) and HIV infection (OR 3.0, 95%CI 1.3-6.7) were independent predictors for non-conversion at 2 months. Sixty-nine of 574 patients (12%) with known TB treatment outcomes had died. Besides other known determinants, poor adherence had an independent, strong effect on mortality (OR 3.4, 95%CI 1.4-7.8).Conclusion:HIV infection is an important independent predictor of failure of sputum smear conversion at 2 months among PTB+ patients. Poor adherence to TB treatment is an important independent determinant of mortality. © 2013 Kayigamba et al.","author":[{"dropping-particle":"","family":"Kayigamba","given":"Felix R.","non-dropping-particle":"","parse-names":false,"suffix":""},{"dropping-particle":"","family":"Bakker","given":"Mirjam I.","non-dropping-particle":"","parse-names":false,"suffix":""},{"dropping-particle":"","family":"Mugisha","given":"Veronicah","non-dropping-particle":"","parse-names":false,"suffix":""},{"dropping-particle":"","family":"Naeyer","given":"Ludwig","non-dropping-particle":"de","parse-names":false,"suffix":""},{"dropping-particle":"","family":"Gasana","given":"Michel","non-dropping-particle":"","parse-names":false,"suffix":""},{"dropping-particle":"","family":"Cobelens","given":"Frank","non-dropping-particle":"","parse-names":false,"suffix":""},{"dropping-particle":"","family":"Loeff","given":"Maarten Schim","non-dropping-particle":"van der","parse-names":false,"suffix":""}],"container-title":"PLoS ONE","id":"ITEM-3","issue":"9","issued":{"date-parts":[["2013"]]},"page":"1-10","title":"Adherence to Tuberculosis Treatment, Sputum Smear Conversion and Mortality: A Retrospective Cohort Study in 48 Rwandan Clinics","type":"article-journal","volume":"8"},"uris":["http://www.mendeley.com/documents/?uuid=774a3b4b-96a9-4707-93cb-717c95607b08"]},{"id":"ITEM-4","itemData":{"DOI":"10.1093/infdis/jiaa275","ISSN":"15376613","PMID":"32445568","abstract":"Globally, tuberculosis is the leading infectious cause of death; discovering biomarkers that predict a high mortality risk may improve treatment outcomes. We prospectively enrolled 252 pulmonary tuberculosis patients who were not coinfected with human immunodeficiency virus and initiated antituberculosis treatment, measured serum procalcitonin levels (PCT), and assessed mortality risk. PCT serum levels higher than 0.13 (day 0), 0.05 (day 7), 0.12 (day 14), or 0.06 (day 28) ng/mL predicted nonsurvivors with odds ratios of 7.9, 14.3, 20.0, and 7.3, respectively (P ≤.005 for all), respectively. Therefore, serum PCT levels are a promising mortality risk indicator for patients with pulmonary tuberculosis.","author":[{"dropping-particle":"","family":"Osawa","given":"Takeshi","non-dropping-particle":"","parse-names":false,"suffix":""},{"dropping-particle":"","family":"Watanabe","given":"Masato","non-dropping-particle":"","parse-names":false,"suffix":""},{"dropping-particle":"","family":"Morimoto","given":"Kozo","non-dropping-particle":"","parse-names":false,"suffix":""},{"dropping-particle":"","family":"Okumura","given":"Masao","non-dropping-particle":"","parse-names":false,"suffix":""},{"dropping-particle":"","family":"Yoshiyama","given":"Takashi","non-dropping-particle":"","parse-names":false,"suffix":""},{"dropping-particle":"","family":"Ogata","given":"Hideo","non-dropping-particle":"","parse-names":false,"suffix":""},{"dropping-particle":"","family":"Goto","given":"Hajime","non-dropping-particle":"","parse-names":false,"suffix":""},{"dropping-particle":"","family":"Kudoh","given":"Shoji","non-dropping-particle":"","parse-names":false,"suffix":""},{"dropping-particle":"","family":"Ohta","given":"Ken","non-dropping-particle":"","parse-names":false,"suffix":""},{"dropping-particle":"","family":"Sasaki","given":"Yuka","non-dropping-particle":"","parse-names":false,"suffix":""}],"container-title":"Journal of Infectious Diseases","id":"ITEM-4","issue":"10","issued":{"date-parts":[["2020"]]},"page":"1651-1654","title":"Serum procalcitonin levels predict mortality risk in patients with pulmonary tuberculosis: A single-center prospective observational study","type":"article-journal","volume":"222"},"uris":["http://www.mendeley.com/documents/?uuid=ce9705ec-e34b-4486-b827-90b3430fc477"]},{"id":"ITEM-5","itemData":{"DOI":"10.18203/2320-6012.ijrms20170012","ISSN":"2320-6071","abstract":"Background: Immune status of a patient influences the susceptibility, clinical presentation of tuberculosis and its treatment outcome. Some of the most common conditions associated with immune deficiency includes, human immunodeficiency virus (HIV) infection, diabetes and chronic steroid therapy for any underlying diseases.Methods: A cohort study, enrolled patients with tuberculosis alone (n=51) and those with tuberculosis and immunosuppressed state (patients with HIV, diabetes and those on steroid therapy, n=97).Results: All patients received Directly Observed Treatment Short course (DOTS) regimen implemented through RNTCP. Among the immunosuppressed patients, 32 were HIV patients, 45 of them were diabetic and 20 received chronic steroid therapy. All immunocompetent patients (control) were totally cured but 62.5% and 88.9% of HIV and diabetic patients in the immunosuppressed group were cured. Mortality was high in the immunosuppressed group (18.75% in HIV, and 11.11% in diabetic group). The grade of sputum smear had significant influence on the treatment outcome after adjusting for death and default (p&gt;0.05). After intensive phase, the smear conversion rate were 86.27% in the control group,37.5% in the HIV patients, 22.22% in diabetics and 55% among chronic steroid use. The mortality and cure rate among those who received treatment for diabetes mellitus is comparable with that of immunocompetent group. Treatment prolongation was required for patients in the immunosuppressed group (62.5% in HIV group, 77.7% in diabetes group and 45% in chronic steroid users group).Conclusions: Immunosuppression was a risk factor for increased morbidity and mortality among new smear positive pulmonary tuberculosis patients. Prolonged DOTS regimen requires long-term close follow-up of patients who are immunocompromised.","author":[{"dropping-particle":"","family":"Muttath","given":"Radhika","non-dropping-particle":"","parse-names":false,"suffix":""},{"dropping-particle":"","family":"Andrews","given":"Mekkattukkunnel","non-dropping-particle":"","parse-names":false,"suffix":""},{"dropping-particle":"","family":"Prabhu","given":"Dinesa","non-dropping-particle":"","parse-names":false,"suffix":""}],"container-title":"International Journal of Research in Medical Sciences","id":"ITEM-5","issue":"2","issued":{"date-parts":[["2017"]]},"page":"384","title":"Treatment outcome in new smear positive pulmonary tuberculosis patients with and without immunosuppression on RNTCP regimen: a comparative observational study","type":"article-journal","volume":"5"},"uris":["http://www.mendeley.com/documents/?uuid=6e23c2cb-c4d6-4c4b-9364-cdbaa198bbda"]},{"id":"ITEM-6","itemData":{"ISSN":"10273719","PMID":"18173882","abstract":"OBJECTIVES: To estimate the excess general mortality among tuberculosis (TB) patients in a rural area (Tiruvallur) and identify risk factors for TB-related mortality. SETTING: The study population consisted of all TB patients aged ≥15 years who were registered under the Revised National Tuberculosis Control Programme (RNTCP) during the years 2000 to 2003 at Velliyur TB unit (TU) in south India. DESIGN: This is a retrospective cohort study of 3405 patients treated under the DOTS strategy, followed up from the date of start of treatment till the date of interview (for the survivors) or the date of death (for those who died). RESULTS: There were 2710 (79.6%) survivors and 695 (20.4%) deaths. The excess general mortalities for the cohort, expressed as standardised mortality ratio (SMR), was 4.2 (95%CI 3.9-4.5). High SMR values were obtained for patients belonging to the 15-44 years age group (12.1), patients on Category II regimen (9.3), treatment failures (9.1) and defaulters (7.8). The adjusted hazards ratios (aHR) were high for patients aged 45-59 years (1.9), ≥60 years (3.1) and with incomplete treatment due to default or failure (6.4). CONCLUSION: TB is one of the main causes of mortality in the younger age group. Among TB patients, the major risk factors for mortality are old age (≥45 years) and incomplete treatment. © 2008 The Union.","author":[{"dropping-particle":"","family":"Kolappan","given":"C.","non-dropping-particle":"","parse-names":false,"suffix":""},{"dropping-particle":"","family":"Subramani","given":"R.","non-dropping-particle":"","parse-names":false,"suffix":""},{"dropping-particle":"","family":"Kumaraswami","given":"V.","non-dropping-particle":"","parse-names":false,"suffix":""},{"dropping-particle":"","family":"Santha","given":"T.","non-dropping-particle":"","parse-names":false,"suffix":""},{"dropping-particle":"","family":"Narayanan","given":"P. R.","non-dropping-particle":"","parse-names":false,"suffix":""}],"container-title":"International Journal of Tuberculosis and Lung Disease","id":"ITEM-6","issue":"1","issued":{"date-parts":[["2008"]]},"page":"81-86","title":"Excess mortality and risk factors for mortality among a cohort of TB patients from rural south India","type":"article-journal","volume":"12"},"uris":["http://www.mendeley.com/documents/?uuid=4e6fb561-03ff-43b0-a77e-e3e56c435750"]},{"id":"ITEM-7","itemData":{"ISSN":"10273719","PMID":"9755924","abstract":"SETTING: Health centres in The Gambia, West Africa. OBJECTIVES: To identify factors determining the outcome of treatment of adult tuberculosis cases in a Tuberculosis Control Programme using directly observed treatment. DESIGN: Information on the outcome of treatment was collected on all tuberculosis cases registered with the Tuberculosis Control Programme in 1994 and 1995 and treated under supervision by tuberculosis control staff, nurses or village health workers. Treatment outcome was recorded as cured, completed treatment, failed, defaulted or died. Transferred-out patients were traced and their treatment outcome recorded at the health centre where they had last been seen. RESULTS: Data were analysed for 1357 adult smear-positive tuberculosis cases. Sputum smear conversion 2 months after the start of treatment was observed in 90% of smear-positive cases and was more likely to occur if the initial bacterial load in the sputum was low. The total cure rate was 74.6%. Female tuberculosis patients were more likely to achieve cure than males. Adjusting for sex, the cure rate was higher when treatment was provided by tuberculosis control staff in the main health centres rather than by nurses or village health workers at the peripheral level (odds ratio [OR] = 1.60, 95% confidence interval [CI] 1.23-2.09). The absence of sputum smear conversion after 2 months of chemotherapy was associated with defaulting later during treatment (OR = 2.0, 95% CI 1.15-3.57). Adjusting for age and sex, the death rate during treatment was higher in human immunodeficiency virus (HIV) positive than in HIV-negative tuberculosis patients. CONCLUSION: Directly observed treatment is an effective intervention for improving adherence of tuberculosis patients to treatment in a resource-poor country, provided that drugs are effectively delivered to the most peripheral level, and that health staff are adequately trained and regularly supervised. Patients with high bacterial load in initial sputum smears need to be closely supervised, as they are more likely to default from treatment.","author":[{"dropping-particle":"","family":"Lienhardt","given":"C.","non-dropping-particle":"","parse-names":false,"suffix":""},{"dropping-particle":"","family":"Manneh","given":"K.","non-dropping-particle":"","parse-names":false,"suffix":""},{"dropping-particle":"","family":"Bouchier","given":"V.","non-dropping-particle":"","parse-names":false,"suffix":""},{"dropping-particle":"","family":"Lahai","given":"G.","non-dropping-particle":"","parse-names":false,"suffix":""},{"dropping-particle":"","family":"Milligan","given":"P. J.M.","non-dropping-particle":"","parse-names":false,"suffix":""},{"dropping-particle":"","family":"McAdam","given":"K. P.W.J.","non-dropping-particle":"","parse-names":false,"suffix":""}],"container-title":"International Journal of Tuberculosis and Lung Disease","id":"ITEM-7","issue":"9","issued":{"date-parts":[["1998"]]},"page":"712-718","title":"Factors determining the outcome of treatment of adult smear-positive tuberculosis cases in The Gambia","type":"article","volume":"2"},"uris":["http://www.mendeley.com/documents/?uuid=e509187c-0815-4794-bc47-420547706470"]},{"id":"ITEM-8","itemData":{"DOI":"10.1016/S1473-3099(19)30423-2","ISSN":"14744457","PMID":"31678031","abstract":"Background: The epidemiological impact and cost-effectiveness of social protection and biomedical interventions for tuberculosis-affected households might be improved by risk stratification. We therefore derived and externally validated a household-level risk score to predict tuberculosis among contacts of patients with tuberculosis. Methods: In this prospective cohort study, we recruited tuberculosis-affected households from 15 desert shanty towns in Ventanilla and 17 urban communities in Callao, Lima, Peru. Tuberculosis-affected households included index patients with a new diagnosis of tuberculosis and their contacts who reported being in the same house as the index patient for more than 6 h per week in the 2 weeks preceding index patient diagnosis. Tuberculosis-affected households were not included if the index patient had no eligible contacts or lived alone. We followed contacts until 2018 and defined household tuberculosis, the primary outcome, as any contact having any form of tuberculosis within 3 years. We used logistic regression to identify characteristics of index patients, contacts, and households that were predictive of household tuberculosis, and used these to derive and externally validate a household-level score. Findings: Between Dec 12, 2007, and Dec 31, 2015, 16 505 contacts from 3 301 households in Ventanilla were included in a derivation cohort. During the 3-year follow-up, tuberculosis occurred in contacts of index patients in 430 (13%, 95% CI 12–14) households. Index patient predictors were pulmonary tuberculosis and sputum smear grade, age, and the maximum number of hours any contact had spent with the index patient while they had any cough. Household predictors were drug use, schooling of the female head of a household, and lower food spending. Contact predictors were if any of the contacts were children, number of lower-weight (body-mass index [BMI] &lt;20·0 kg/m2) adult contacts, number of normal-weight (BMI 20·0–24·9 kg/m2) adult contacts, and number of past or present household members who previously had tuberculosis. In this derivation cohort, the score c statistic was 0·77 and the risk of household tuberculosis in the highest scoring quintile was 31% (95% CI 25–38; 65 of 211) versus 2% (95% CI 0–4; four of 231) in the lowest scoring quintile. We externally validated the risk score in a cohort of 4248 contacts from 924 households in Callao recruited between April 23, 2014, and Dec 31, 2015. During follow-up, tuberculosis occu…","author":[{"dropping-particle":"","family":"Saunders","given":"Matthew J.","non-dropping-particle":"","parse-names":false,"suffix":""},{"dropping-particle":"","family":"Wingfield","given":"Tom","non-dropping-particle":"","parse-names":false,"suffix":""},{"dropping-particle":"","family":"Datta","given":"Sumona","non-dropping-particle":"","parse-names":false,"suffix":""},{"dropping-particle":"","family":"Montoya","given":"Rosario","non-dropping-particle":"","parse-names":false,"suffix":""},{"dropping-particle":"","family":"Ramos","given":"Eric","non-dropping-particle":"","parse-names":false,"suffix":""},{"dropping-particle":"","family":"Baldwin","given":"Matthew R.","non-dropping-particle":"","parse-names":false,"suffix":""},{"dropping-particle":"","family":"Tovar","given":"Marco A.","non-dropping-particle":"","parse-names":false,"suffix":""},{"dropping-particle":"","family":"Evans","given":"Benjamin E.W.","non-dropping-particle":"","parse-names":false,"suffix":""},{"dropping-particle":"","family":"Gilman","given":"Robert H.","non-dropping-particle":"","parse-names":false,"suffix":""},{"dropping-particle":"","family":"Evans","given":"Carlton A.","non-dropping-particle":"","parse-names":false,"suffix":""}],"container-title":"The Lancet Infectious Diseases","id":"ITEM-8","issue":"1","issued":{"date-parts":[["2020"]]},"page":"110-122","publisher":"The Author(s). Published by Elsevier Ltd. This is an Open Access article under the CC BY 4.0 license","title":"A household-level score to predict the risk of tuberculosis among contacts of patients with tuberculosis: a derivation and external validation prospective cohort study","type":"article-journal","volume":"20"},"uris":["http://www.mendeley.com/documents/?uuid=5b325302-3ff5-47e9-8235-e53250de548f"]},{"id":"ITEM-9","itemData":{"DOI":"10.1093/ofid/ofz184","ISSN":"23288957","abstract":"Background Epidemiologic data suggests that only a minority of tuberculosis (TB) patients are infectious. Cough aerosol sampling is a novel quantitative method to measure TB infectiousness. Methods We analyzed data from three studies conducted in Uganda and Brazil over a 13-year period. We included sputum acid fast bacilli (AFB) and culture positive pulmonary TB patients and used a cough aerosol sampling system (CASS) to measure the number of colony-forming units (CFU) of Mycobacterium tuberculosis in cough-generated aerosols as a measure for infectiousness. Aerosol data was categorized as: aerosol negative (CFU = 0) and aerosol positive (CFU &gt; 0). Logistic regression models were built to identify factors associated with aerosol positivity. Results M. tuberculosis was isolated by culture from cough aerosols in 100/233 (43%) TB patients. In an unadjusted analysis, aerosol positivity was associated with fewer days of antituberculous therapy before CASS sampling (p = .0001), higher sputum AFB smear grade (p = .01), shorter days to positivity in liquid culture media (p = .02), and larger sputum volume (p = .03). In an adjusted analysis, only fewer days of TB treatment (OR 1.47 per 1 day of therapy, 95% CI 1.16-1.89; p = .001) was associated with aerosol positivity. Conclusion Cough generated aerosols containing viable M. tuberculosis, the infectious moiety in TB, are detected in a minority of TB patients and rapidly become non-culturable after initiation of antituberculous treatment. Mechanistic studies are needed to further elucidate these findings.","author":[{"dropping-particle":"","family":"Acuña-Villaorduña","given":"Carlos","non-dropping-particle":"","parse-names":false,"suffix":""},{"dropping-particle":"","family":"Ayakaka","given":"Irene","non-dropping-particle":"","parse-names":false,"suffix":""},{"dropping-particle":"","family":"Schmidt-Castellani","given":"Luiz Guilherme","non-dropping-particle":"","parse-names":false,"suffix":""},{"dropping-particle":"","family":"Mumbowa","given":"Francis","non-dropping-particle":"","parse-names":false,"suffix":""},{"dropping-particle":"","family":"Marques-Rodrigues","given":"Patricia","non-dropping-particle":"","parse-names":false,"suffix":""},{"dropping-particle":"","family":"Gaeddert","given":"Mary","non-dropping-particle":"","parse-names":false,"suffix":""},{"dropping-particle":"","family":"White","given":"Laura F.","non-dropping-particle":"","parse-names":false,"suffix":""},{"dropping-particle":"","family":"Palaci","given":"Moises","non-dropping-particle":"","parse-names":false,"suffix":""},{"dropping-particle":"","family":"Ellner","given":"Jerrold J.","non-dropping-particle":"","parse-names":false,"suffix":""},{"dropping-particle":"","family":"Dietze","given":"Reynaldo","non-dropping-particle":"","parse-names":false,"suffix":""},{"dropping-particle":"","family":"Joloba","given":"Moses","non-dropping-particle":"","parse-names":false,"suffix":""},{"dropping-particle":"","family":"Fennelly","given":"Kevin P.","non-dropping-particle":"","parse-names":false,"suffix":""},{"dropping-particle":"","family":"Jones-López","given":"Edward C.","non-dropping-particle":"","parse-names":false,"suffix":""}],"container-title":"Open Forum Infectious Diseases","id":"ITEM-9","issue":"6","issued":{"date-parts":[["2019"]]},"page":"1-9","title":"Host determinants of infectiousness in smear-positive patients with pulmonary tuberculosis","type":"article-journal","volume":"6"},"uris":["http://www.mendeley.com/documents/?uuid=38ff8253-52f2-4cb8-aa2e-d1b7832141b9"]}],"mendeley":{"formattedCitation":"(26,27,85–91)","plainTextFormattedCitation":"(26,27,85–91)","previouslyFormattedCitation":"(26,27,85–91)"},"properties":{"noteIndex":0},"schema":"https://github.com/citation-style-language/schema/raw/master/csl-citation.json"}</w:instrText>
      </w:r>
      <w:r w:rsidRPr="00435469">
        <w:rPr>
          <w:rFonts w:cs="Times New Roman"/>
          <w:sz w:val="20"/>
          <w:szCs w:val="20"/>
          <w:lang w:val="en-ZA"/>
        </w:rPr>
        <w:fldChar w:fldCharType="separate"/>
      </w:r>
      <w:r w:rsidR="0063047A" w:rsidRPr="00435469">
        <w:rPr>
          <w:rFonts w:cs="Times New Roman"/>
          <w:noProof/>
          <w:sz w:val="20"/>
          <w:szCs w:val="20"/>
          <w:lang w:val="en-ZA"/>
        </w:rPr>
        <w:t>(26,27,85–91)</w:t>
      </w:r>
      <w:r w:rsidRPr="00435469">
        <w:rPr>
          <w:rFonts w:cs="Times New Roman"/>
          <w:sz w:val="20"/>
          <w:szCs w:val="20"/>
          <w:lang w:val="en-ZA"/>
        </w:rPr>
        <w:fldChar w:fldCharType="end"/>
      </w:r>
      <w:r w:rsidRPr="00435469">
        <w:rPr>
          <w:rFonts w:cs="Times New Roman"/>
          <w:sz w:val="20"/>
          <w:szCs w:val="20"/>
          <w:lang w:val="en-ZA"/>
        </w:rPr>
        <w:t>.</w:t>
      </w:r>
    </w:p>
    <w:p w14:paraId="1F403D04" w14:textId="3F7E6EBB" w:rsidR="00A96F85" w:rsidRPr="00435469" w:rsidRDefault="00A96F85" w:rsidP="00955FFB">
      <w:pPr>
        <w:pStyle w:val="3CaptionAbove"/>
        <w:rPr>
          <w:sz w:val="20"/>
          <w:szCs w:val="20"/>
          <w:lang w:val="en-ZA"/>
        </w:rPr>
      </w:pPr>
      <w:bookmarkStart w:id="224" w:name="_Ref91495216"/>
      <w:bookmarkStart w:id="225" w:name="_Ref91495201"/>
      <w:bookmarkStart w:id="226" w:name="_Toc103253668"/>
      <w:r w:rsidRPr="00435469">
        <w:rPr>
          <w:sz w:val="20"/>
          <w:szCs w:val="20"/>
        </w:rPr>
        <w:t xml:space="preserve">Table </w:t>
      </w:r>
      <w:r w:rsidRPr="00435469">
        <w:rPr>
          <w:sz w:val="20"/>
          <w:szCs w:val="20"/>
        </w:rPr>
        <w:fldChar w:fldCharType="begin"/>
      </w:r>
      <w:r w:rsidRPr="00435469">
        <w:rPr>
          <w:sz w:val="20"/>
          <w:szCs w:val="20"/>
        </w:rPr>
        <w:instrText xml:space="preserve"> SEQ Table \* ARABIC </w:instrText>
      </w:r>
      <w:r w:rsidRPr="00435469">
        <w:rPr>
          <w:sz w:val="20"/>
          <w:szCs w:val="20"/>
        </w:rPr>
        <w:fldChar w:fldCharType="separate"/>
      </w:r>
      <w:r w:rsidR="00186C2F" w:rsidRPr="00435469">
        <w:rPr>
          <w:sz w:val="20"/>
          <w:szCs w:val="20"/>
        </w:rPr>
        <w:t>15</w:t>
      </w:r>
      <w:r w:rsidRPr="00435469">
        <w:rPr>
          <w:sz w:val="20"/>
          <w:szCs w:val="20"/>
        </w:rPr>
        <w:fldChar w:fldCharType="end"/>
      </w:r>
      <w:bookmarkEnd w:id="224"/>
      <w:r w:rsidRPr="00435469">
        <w:rPr>
          <w:sz w:val="20"/>
          <w:szCs w:val="20"/>
        </w:rPr>
        <w:t>: Odds ratios for mortality in the 2+ and 3+ categories, relative to the &lt;2+ category</w:t>
      </w:r>
      <w:bookmarkEnd w:id="225"/>
      <w:bookmarkEnd w:id="226"/>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761"/>
        <w:gridCol w:w="2760"/>
      </w:tblGrid>
      <w:tr w:rsidR="00304411" w:rsidRPr="00435469" w14:paraId="69ADE2B2" w14:textId="77777777" w:rsidTr="003415B1">
        <w:tc>
          <w:tcPr>
            <w:tcW w:w="1805" w:type="pct"/>
            <w:vMerge w:val="restart"/>
          </w:tcPr>
          <w:p w14:paraId="7E7178B3" w14:textId="77777777" w:rsidR="00A96F85" w:rsidRPr="00435469" w:rsidRDefault="00A96F85" w:rsidP="00955FFB">
            <w:pPr>
              <w:pStyle w:val="NoSpacing"/>
              <w:rPr>
                <w:rFonts w:cs="Times New Roman"/>
                <w:b/>
                <w:bCs/>
                <w:sz w:val="16"/>
                <w:szCs w:val="16"/>
              </w:rPr>
            </w:pPr>
            <w:r w:rsidRPr="00435469">
              <w:rPr>
                <w:rFonts w:cs="Times New Roman"/>
                <w:b/>
                <w:bCs/>
                <w:sz w:val="16"/>
                <w:szCs w:val="16"/>
              </w:rPr>
              <w:t>Study</w:t>
            </w:r>
          </w:p>
          <w:p w14:paraId="62305859" w14:textId="77777777" w:rsidR="00A96F85" w:rsidRPr="00435469" w:rsidRDefault="00A96F85" w:rsidP="00955FFB">
            <w:pPr>
              <w:pStyle w:val="NoSpacing"/>
              <w:rPr>
                <w:rFonts w:cs="Times New Roman"/>
                <w:b/>
                <w:bCs/>
                <w:sz w:val="16"/>
                <w:szCs w:val="16"/>
              </w:rPr>
            </w:pPr>
          </w:p>
        </w:tc>
        <w:tc>
          <w:tcPr>
            <w:tcW w:w="1598" w:type="pct"/>
          </w:tcPr>
          <w:p w14:paraId="73BA28C5" w14:textId="77777777" w:rsidR="00A96F85" w:rsidRPr="00435469" w:rsidRDefault="00A96F85" w:rsidP="00955FFB">
            <w:pPr>
              <w:pStyle w:val="NoSpacing"/>
              <w:rPr>
                <w:rFonts w:cs="Times New Roman"/>
                <w:b/>
                <w:bCs/>
                <w:sz w:val="16"/>
                <w:szCs w:val="16"/>
              </w:rPr>
            </w:pPr>
            <w:r w:rsidRPr="00435469">
              <w:rPr>
                <w:rFonts w:cs="Times New Roman"/>
                <w:b/>
                <w:bCs/>
                <w:sz w:val="16"/>
                <w:szCs w:val="16"/>
              </w:rPr>
              <w:t>2+ versus &lt;2+</w:t>
            </w:r>
          </w:p>
        </w:tc>
        <w:tc>
          <w:tcPr>
            <w:tcW w:w="1597" w:type="pct"/>
          </w:tcPr>
          <w:p w14:paraId="47BAF09F" w14:textId="77777777" w:rsidR="00A96F85" w:rsidRPr="00435469" w:rsidRDefault="00A96F85" w:rsidP="00955FFB">
            <w:pPr>
              <w:pStyle w:val="NoSpacing"/>
              <w:rPr>
                <w:rFonts w:cs="Times New Roman"/>
                <w:b/>
                <w:bCs/>
                <w:sz w:val="16"/>
                <w:szCs w:val="16"/>
              </w:rPr>
            </w:pPr>
            <w:r w:rsidRPr="00435469">
              <w:rPr>
                <w:rFonts w:cs="Times New Roman"/>
                <w:b/>
                <w:bCs/>
                <w:sz w:val="16"/>
                <w:szCs w:val="16"/>
              </w:rPr>
              <w:t>3+ versus &lt;2+</w:t>
            </w:r>
          </w:p>
        </w:tc>
      </w:tr>
      <w:tr w:rsidR="00304411" w:rsidRPr="00435469" w14:paraId="0E686485" w14:textId="77777777" w:rsidTr="003415B1">
        <w:tc>
          <w:tcPr>
            <w:tcW w:w="1805" w:type="pct"/>
            <w:vMerge/>
            <w:tcBorders>
              <w:bottom w:val="single" w:sz="4" w:space="0" w:color="auto"/>
            </w:tcBorders>
          </w:tcPr>
          <w:p w14:paraId="4EDEA5D3" w14:textId="77777777" w:rsidR="00A96F85" w:rsidRPr="00435469" w:rsidRDefault="00A96F85" w:rsidP="00955FFB">
            <w:pPr>
              <w:pStyle w:val="NoSpacing"/>
              <w:rPr>
                <w:rFonts w:cs="Times New Roman"/>
                <w:b/>
                <w:bCs/>
                <w:sz w:val="16"/>
                <w:szCs w:val="16"/>
              </w:rPr>
            </w:pPr>
          </w:p>
        </w:tc>
        <w:tc>
          <w:tcPr>
            <w:tcW w:w="1598" w:type="pct"/>
            <w:tcBorders>
              <w:bottom w:val="single" w:sz="4" w:space="0" w:color="auto"/>
            </w:tcBorders>
          </w:tcPr>
          <w:p w14:paraId="4E8C5D5A" w14:textId="0C64EAEF" w:rsidR="00A96F85" w:rsidRPr="00435469" w:rsidRDefault="00A96F85" w:rsidP="00955FFB">
            <w:pPr>
              <w:pStyle w:val="NoSpacing"/>
              <w:rPr>
                <w:rFonts w:cs="Times New Roman"/>
                <w:b/>
                <w:bCs/>
                <w:sz w:val="16"/>
                <w:szCs w:val="16"/>
              </w:rPr>
            </w:pPr>
            <w:r w:rsidRPr="00435469">
              <w:rPr>
                <w:rFonts w:cs="Times New Roman"/>
                <w:b/>
                <w:bCs/>
                <w:sz w:val="16"/>
                <w:szCs w:val="16"/>
              </w:rPr>
              <w:t>(O</w:t>
            </w:r>
            <w:r w:rsidR="0027663D" w:rsidRPr="00435469">
              <w:rPr>
                <w:rFonts w:cs="Times New Roman"/>
                <w:b/>
                <w:bCs/>
                <w:sz w:val="16"/>
                <w:szCs w:val="16"/>
              </w:rPr>
              <w:t>dds ratio</w:t>
            </w:r>
            <w:r w:rsidRPr="00435469">
              <w:rPr>
                <w:rFonts w:cs="Times New Roman"/>
                <w:b/>
                <w:bCs/>
                <w:sz w:val="16"/>
                <w:szCs w:val="16"/>
              </w:rPr>
              <w:t>, 95% CI)</w:t>
            </w:r>
          </w:p>
        </w:tc>
        <w:tc>
          <w:tcPr>
            <w:tcW w:w="1597" w:type="pct"/>
            <w:tcBorders>
              <w:bottom w:val="single" w:sz="4" w:space="0" w:color="auto"/>
            </w:tcBorders>
          </w:tcPr>
          <w:p w14:paraId="79E62D65" w14:textId="6B70EABF" w:rsidR="00A96F85" w:rsidRPr="00435469" w:rsidRDefault="00A96F85" w:rsidP="00955FFB">
            <w:pPr>
              <w:pStyle w:val="NoSpacing"/>
              <w:rPr>
                <w:rFonts w:cs="Times New Roman"/>
                <w:b/>
                <w:bCs/>
                <w:sz w:val="16"/>
                <w:szCs w:val="16"/>
              </w:rPr>
            </w:pPr>
            <w:r w:rsidRPr="00435469">
              <w:rPr>
                <w:rFonts w:cs="Times New Roman"/>
                <w:b/>
                <w:bCs/>
                <w:sz w:val="16"/>
                <w:szCs w:val="16"/>
              </w:rPr>
              <w:t>(O</w:t>
            </w:r>
            <w:r w:rsidR="0027663D" w:rsidRPr="00435469">
              <w:rPr>
                <w:rFonts w:cs="Times New Roman"/>
                <w:b/>
                <w:bCs/>
                <w:sz w:val="16"/>
                <w:szCs w:val="16"/>
              </w:rPr>
              <w:t>dds ratio</w:t>
            </w:r>
            <w:r w:rsidRPr="00435469">
              <w:rPr>
                <w:rFonts w:cs="Times New Roman"/>
                <w:b/>
                <w:bCs/>
                <w:sz w:val="16"/>
                <w:szCs w:val="16"/>
              </w:rPr>
              <w:t>, 95% CI)</w:t>
            </w:r>
          </w:p>
        </w:tc>
      </w:tr>
      <w:tr w:rsidR="00304411" w:rsidRPr="00435469" w14:paraId="43E06CBB" w14:textId="77777777" w:rsidTr="003415B1">
        <w:tc>
          <w:tcPr>
            <w:tcW w:w="1805" w:type="pct"/>
            <w:tcBorders>
              <w:top w:val="single" w:sz="4" w:space="0" w:color="auto"/>
              <w:bottom w:val="nil"/>
            </w:tcBorders>
          </w:tcPr>
          <w:p w14:paraId="55E4FA49" w14:textId="3ACA184C" w:rsidR="00A96F85" w:rsidRPr="00435469" w:rsidRDefault="00A96F85" w:rsidP="00955FFB">
            <w:pPr>
              <w:pStyle w:val="NoSpacing"/>
              <w:rPr>
                <w:rFonts w:cs="Times New Roman"/>
                <w:sz w:val="16"/>
                <w:szCs w:val="16"/>
              </w:rPr>
            </w:pPr>
            <w:r w:rsidRPr="00435469">
              <w:rPr>
                <w:rFonts w:cs="Times New Roman"/>
                <w:sz w:val="16"/>
                <w:szCs w:val="16"/>
              </w:rPr>
              <w:t xml:space="preserve">Singla </w:t>
            </w:r>
            <w:r w:rsidRPr="00435469">
              <w:rPr>
                <w:rFonts w:cs="Times New Roman"/>
                <w:i/>
                <w:iCs/>
                <w:sz w:val="16"/>
                <w:szCs w:val="16"/>
              </w:rPr>
              <w:t>et al</w:t>
            </w:r>
            <w:r w:rsidRPr="00435469">
              <w:rPr>
                <w:rFonts w:cs="Times New Roman"/>
                <w:sz w:val="16"/>
                <w:szCs w:val="16"/>
              </w:rPr>
              <w:t xml:space="preserve"> </w:t>
            </w:r>
            <w:r w:rsidRPr="00435469">
              <w:rPr>
                <w:rFonts w:cs="Times New Roman"/>
                <w:sz w:val="16"/>
                <w:szCs w:val="16"/>
              </w:rPr>
              <w:fldChar w:fldCharType="begin" w:fldLock="1"/>
            </w:r>
            <w:r w:rsidR="002F049E" w:rsidRPr="00435469">
              <w:rPr>
                <w:rFonts w:cs="Times New Roman"/>
                <w:sz w:val="16"/>
                <w:szCs w:val="16"/>
              </w:rPr>
              <w:instrText>ADDIN CSL_CITATION {"citationItems":[{"id":"ITEM-1","itemData":{"ISSN":"03779343","abstract":"OBJECTIVE: To study the influence of initial bacillary load on sputum conversion rates and treatment outcome of new smear positive pulmonary tuberculosis patients. METHODS: A retrospective study was done among 2938 new smear positive pulmonary tuberculosis patients, registered at the peripheral centres, covering a population of 1.6 million in Delhi, India. The patients pre-treatment sputum smears were graded as 1+, 2+ or 3+ based on three samples. Patients were given intermittent short-course chemotherapy under supervision and the treatment outcome was analysed. RESULTS: Sputum conversion rates among patients graded as sputum 3+ and rest of the patients (combined graded sputum 1+ and 2+) at the end of two months were 62.2% and 76.8% respectively (p&lt;0.001), and at the end of three months were 81.3% and 89.5% respectively (p&lt;0.001). Cure rates among same group of patients were 76.6% and 85.1% respectively (p&lt;0.001), and failure rates were 7.7% and 4.5% respectively (p&lt;0.001). CONCLUSIONS: Under field conditions even with directly observed treatment (DOT) new smear positive patients with heavy bacillary load showed statistically significant poor sputum conversion rates at two and three months and higher failure rates as compared to patients with lesser bacillary load. To investigate possible reasons for this poor response and possible solutions further studies are needed.","author":[{"dropping-particle":"","family":"Singla","given":"Rupak","non-dropping-particle":"","parse-names":false,"suffix":""},{"dropping-particle":"","family":"Singla","given":"Neeta","non-dropping-particle":"","parse-names":false,"suffix":""},{"dropping-particle":"","family":"Sarin","given":"Rohit","non-dropping-particle":"","parse-names":false,"suffix":""},{"dropping-particle":"","family":"Arora","given":"V. K.","non-dropping-particle":"","parse-names":false,"suffix":""}],"container-title":"The Indian journal of chest diseases &amp; allied sciences","id":"ITEM-1","issue":"1","issued":{"date-parts":[["2005"]]},"title":"Influence of pre-treatment bacillary load on treatment outcome of pulmonary tuberculosis patients receiving DOTS under revised national tuberculosis control programme.","type":"article-journal","volume":"47"},"uris":["http://www.mendeley.com/documents/?uuid=bca6a520-5df1-3bbb-a28d-7ecb422a1198"]}],"mendeley":{"formattedCitation":"(26)","plainTextFormattedCitation":"(26)","previouslyFormattedCitation":"(26)"},"properties":{"noteIndex":0},"schema":"https://github.com/citation-style-language/schema/raw/master/csl-citation.json"}</w:instrText>
            </w:r>
            <w:r w:rsidRPr="00435469">
              <w:rPr>
                <w:rFonts w:cs="Times New Roman"/>
                <w:sz w:val="16"/>
                <w:szCs w:val="16"/>
              </w:rPr>
              <w:fldChar w:fldCharType="separate"/>
            </w:r>
            <w:r w:rsidR="0063047A" w:rsidRPr="00435469">
              <w:rPr>
                <w:rFonts w:cs="Times New Roman"/>
                <w:noProof/>
                <w:sz w:val="16"/>
                <w:szCs w:val="16"/>
              </w:rPr>
              <w:t>(26)</w:t>
            </w:r>
            <w:r w:rsidRPr="00435469">
              <w:rPr>
                <w:rFonts w:cs="Times New Roman"/>
                <w:sz w:val="16"/>
                <w:szCs w:val="16"/>
              </w:rPr>
              <w:fldChar w:fldCharType="end"/>
            </w:r>
          </w:p>
        </w:tc>
        <w:tc>
          <w:tcPr>
            <w:tcW w:w="1598" w:type="pct"/>
            <w:tcBorders>
              <w:top w:val="single" w:sz="4" w:space="0" w:color="auto"/>
              <w:bottom w:val="nil"/>
            </w:tcBorders>
            <w:vAlign w:val="bottom"/>
          </w:tcPr>
          <w:p w14:paraId="4C62B6A8" w14:textId="77777777" w:rsidR="00A96F85" w:rsidRPr="00435469" w:rsidRDefault="00A96F85" w:rsidP="00955FFB">
            <w:pPr>
              <w:pStyle w:val="NoSpacing"/>
              <w:rPr>
                <w:rFonts w:cs="Times New Roman"/>
                <w:sz w:val="16"/>
                <w:szCs w:val="16"/>
              </w:rPr>
            </w:pPr>
            <w:r w:rsidRPr="00435469">
              <w:rPr>
                <w:rFonts w:cs="Times New Roman"/>
                <w:sz w:val="16"/>
                <w:szCs w:val="16"/>
              </w:rPr>
              <w:t>1.28 (0.52-3.17)</w:t>
            </w:r>
          </w:p>
        </w:tc>
        <w:tc>
          <w:tcPr>
            <w:tcW w:w="1597" w:type="pct"/>
            <w:tcBorders>
              <w:top w:val="single" w:sz="4" w:space="0" w:color="auto"/>
              <w:bottom w:val="nil"/>
            </w:tcBorders>
            <w:vAlign w:val="bottom"/>
          </w:tcPr>
          <w:p w14:paraId="020639B4" w14:textId="77777777" w:rsidR="00A96F85" w:rsidRPr="00435469" w:rsidRDefault="00A96F85" w:rsidP="00955FFB">
            <w:pPr>
              <w:pStyle w:val="NoSpacing"/>
              <w:rPr>
                <w:rFonts w:cs="Times New Roman"/>
                <w:sz w:val="16"/>
                <w:szCs w:val="16"/>
              </w:rPr>
            </w:pPr>
            <w:r w:rsidRPr="00435469">
              <w:rPr>
                <w:rFonts w:cs="Times New Roman"/>
                <w:sz w:val="16"/>
                <w:szCs w:val="16"/>
              </w:rPr>
              <w:t>1.97 (0.98-4.30)</w:t>
            </w:r>
          </w:p>
        </w:tc>
      </w:tr>
      <w:tr w:rsidR="00304411" w:rsidRPr="00435469" w14:paraId="4C2F7FE1" w14:textId="77777777" w:rsidTr="003415B1">
        <w:tc>
          <w:tcPr>
            <w:tcW w:w="1805" w:type="pct"/>
            <w:tcBorders>
              <w:top w:val="nil"/>
              <w:bottom w:val="nil"/>
            </w:tcBorders>
          </w:tcPr>
          <w:p w14:paraId="13B82093" w14:textId="7F6FAE2D" w:rsidR="00A96F85" w:rsidRPr="00435469" w:rsidRDefault="00A96F85" w:rsidP="00955FFB">
            <w:pPr>
              <w:pStyle w:val="NoSpacing"/>
              <w:rPr>
                <w:rFonts w:cs="Times New Roman"/>
                <w:sz w:val="16"/>
                <w:szCs w:val="16"/>
              </w:rPr>
            </w:pPr>
            <w:proofErr w:type="spellStart"/>
            <w:r w:rsidRPr="00435469">
              <w:rPr>
                <w:rFonts w:cs="Times New Roman"/>
                <w:sz w:val="16"/>
                <w:szCs w:val="16"/>
              </w:rPr>
              <w:t>Vree</w:t>
            </w:r>
            <w:proofErr w:type="spellEnd"/>
            <w:r w:rsidRPr="00435469">
              <w:rPr>
                <w:rFonts w:cs="Times New Roman"/>
                <w:sz w:val="16"/>
                <w:szCs w:val="16"/>
              </w:rPr>
              <w:t xml:space="preserve"> </w:t>
            </w:r>
            <w:r w:rsidRPr="00435469">
              <w:rPr>
                <w:rFonts w:cs="Times New Roman"/>
                <w:i/>
                <w:iCs/>
                <w:sz w:val="16"/>
                <w:szCs w:val="16"/>
              </w:rPr>
              <w:t xml:space="preserve">et al </w:t>
            </w:r>
            <w:r w:rsidRPr="00435469">
              <w:rPr>
                <w:rFonts w:cs="Times New Roman"/>
                <w:i/>
                <w:iCs/>
                <w:sz w:val="16"/>
                <w:szCs w:val="16"/>
              </w:rPr>
              <w:fldChar w:fldCharType="begin" w:fldLock="1"/>
            </w:r>
            <w:r w:rsidR="00A142FF" w:rsidRPr="00435469">
              <w:rPr>
                <w:rFonts w:cs="Times New Roman"/>
                <w:i/>
                <w:iCs/>
                <w:sz w:val="16"/>
                <w:szCs w:val="16"/>
              </w:rPr>
              <w:instrText>ADDIN CSL_CITATION {"citationItems":[{"id":"ITEM-1","itemData":{"DOI":"10.1186/1471-2458-7-210","ISSN":"14712458","PMID":"17705838","abstract":"Background. Delay in tuberculosis diagnosis and treatment initiation may increase disease severity and mortality. In evaluations of tuberculosis control programmes high fatality rates during tuberculosis treatment, are used as an indicator of long delays in low HIV-prevalence settings. However, data for this presumed association between delay and fatality are lacking. We assessed the association between diagnostic delay and mortality of new smear-positive pulmonary tuberculosis patients in Vietnam. Methods. Follow-up of a patient cohort included in a survey of diagnostic delay in 70 randomly selected districts. Data on diagnosis and treatment were extracted from routine registers. Patients who had died during the course of treatment were compared to those with reported cure, completed treatment or failure (survivors). Results. Complete data were available for 1881/2093 (89.9%) patients, of whom 82 (4.4%) had died. Fatality was 4.5% for patients with ≤ 4 weeks delay, 5.0% for 5- ≤ 8 weeks delay (aOR 1.11, 95%CI 0.67-1.84) and 3.2% for &gt; 9 weeks delay (aOR 0.69, 95%CI 0.37-1.30). Fatality tended to decline with increasing delay but this was not significant. Fatality was not associated with median diagnostic delay at district level (Spearman's rho = -0.08, P = 0.5). Conclusion. Diagnostic delay is not associated with treatment mortality in Vietnam at individual nor district level, suggesting that high case fatality should not be used as an indicator of long diagnostic delay in national tuberculosis programmes. © 2007 Vree et al; licensee BioMed Central Ltd.","author":[{"dropping-particle":"","family":"Vree","given":"Marleen","non-dropping-particle":"","parse-names":false,"suffix":""},{"dropping-particle":"","family":"Huong","given":"Nguyen T.","non-dropping-particle":"","parse-names":false,"suffix":""},{"dropping-particle":"","family":"Duong","given":"Bui D.","non-dropping-particle":"","parse-names":false,"suffix":""},{"dropping-particle":"V.","family":"Co","given":"Nguyen","non-dropping-particle":"","parse-names":false,"suffix":""},{"dropping-particle":"","family":"Sy","given":"Dinh N.","non-dropping-particle":"","parse-names":false,"suffix":""},{"dropping-particle":"","family":"Cobelens","given":"Frank G.","non-dropping-particle":"","parse-names":false,"suffix":""},{"dropping-particle":"","family":"Borgdorff","given":"Martien W.","non-dropping-particle":"","parse-names":false,"suffix":""}],"container-title":"BMC Public Health","id":"ITEM-1","issued":{"date-parts":[["2007"]]},"page":"1-7","title":"High mortality during tuberculosis treatment does not indicate long diagnostic delays in Vietnam: A cohort study","type":"article-journal","volume":"7"},"uris":["http://www.mendeley.com/documents/?uuid=27bdcc4e-5ac7-4556-b83f-56788fc6b8ba"]}],"mendeley":{"formattedCitation":"(85)","plainTextFormattedCitation":"(85)","previouslyFormattedCitation":"(85)"},"properties":{"noteIndex":0},"schema":"https://github.com/citation-style-language/schema/raw/master/csl-citation.json"}</w:instrText>
            </w:r>
            <w:r w:rsidRPr="00435469">
              <w:rPr>
                <w:rFonts w:cs="Times New Roman"/>
                <w:i/>
                <w:iCs/>
                <w:sz w:val="16"/>
                <w:szCs w:val="16"/>
              </w:rPr>
              <w:fldChar w:fldCharType="separate"/>
            </w:r>
            <w:r w:rsidR="0016391D" w:rsidRPr="00435469">
              <w:rPr>
                <w:rFonts w:cs="Times New Roman"/>
                <w:iCs/>
                <w:noProof/>
                <w:sz w:val="16"/>
                <w:szCs w:val="16"/>
              </w:rPr>
              <w:t>(85)</w:t>
            </w:r>
            <w:r w:rsidRPr="00435469">
              <w:rPr>
                <w:rFonts w:cs="Times New Roman"/>
                <w:i/>
                <w:iCs/>
                <w:sz w:val="16"/>
                <w:szCs w:val="16"/>
              </w:rPr>
              <w:fldChar w:fldCharType="end"/>
            </w:r>
          </w:p>
        </w:tc>
        <w:tc>
          <w:tcPr>
            <w:tcW w:w="1598" w:type="pct"/>
            <w:tcBorders>
              <w:top w:val="nil"/>
              <w:bottom w:val="nil"/>
            </w:tcBorders>
            <w:vAlign w:val="bottom"/>
          </w:tcPr>
          <w:p w14:paraId="19C65B55" w14:textId="77777777" w:rsidR="00A96F85" w:rsidRPr="00435469" w:rsidRDefault="00A96F85" w:rsidP="00955FFB">
            <w:pPr>
              <w:pStyle w:val="NoSpacing"/>
              <w:rPr>
                <w:rFonts w:cs="Times New Roman"/>
                <w:sz w:val="16"/>
                <w:szCs w:val="16"/>
              </w:rPr>
            </w:pPr>
            <w:r w:rsidRPr="00435469">
              <w:rPr>
                <w:rFonts w:cs="Times New Roman"/>
                <w:sz w:val="16"/>
                <w:szCs w:val="16"/>
              </w:rPr>
              <w:t>1.07 (0.58-1.89)</w:t>
            </w:r>
          </w:p>
        </w:tc>
        <w:tc>
          <w:tcPr>
            <w:tcW w:w="1597" w:type="pct"/>
            <w:tcBorders>
              <w:top w:val="nil"/>
              <w:bottom w:val="nil"/>
            </w:tcBorders>
            <w:vAlign w:val="bottom"/>
          </w:tcPr>
          <w:p w14:paraId="69AA7AA2" w14:textId="77777777" w:rsidR="00A96F85" w:rsidRPr="00435469" w:rsidRDefault="00A96F85" w:rsidP="00955FFB">
            <w:pPr>
              <w:pStyle w:val="NoSpacing"/>
              <w:rPr>
                <w:rFonts w:cs="Times New Roman"/>
                <w:sz w:val="16"/>
                <w:szCs w:val="16"/>
              </w:rPr>
            </w:pPr>
            <w:r w:rsidRPr="00435469">
              <w:rPr>
                <w:rFonts w:cs="Times New Roman"/>
                <w:sz w:val="16"/>
                <w:szCs w:val="16"/>
              </w:rPr>
              <w:t>0.96 (0.43-1.94)</w:t>
            </w:r>
          </w:p>
        </w:tc>
      </w:tr>
      <w:tr w:rsidR="00304411" w:rsidRPr="00435469" w14:paraId="3F6A3925" w14:textId="77777777" w:rsidTr="003415B1">
        <w:tc>
          <w:tcPr>
            <w:tcW w:w="1805" w:type="pct"/>
            <w:tcBorders>
              <w:top w:val="nil"/>
              <w:bottom w:val="nil"/>
            </w:tcBorders>
          </w:tcPr>
          <w:p w14:paraId="5549AB36" w14:textId="74BB7C95" w:rsidR="00A96F85" w:rsidRPr="00435469" w:rsidRDefault="00A96F85" w:rsidP="00955FFB">
            <w:pPr>
              <w:pStyle w:val="NoSpacing"/>
              <w:rPr>
                <w:rFonts w:cs="Times New Roman"/>
                <w:sz w:val="16"/>
                <w:szCs w:val="16"/>
              </w:rPr>
            </w:pPr>
            <w:proofErr w:type="spellStart"/>
            <w:r w:rsidRPr="00435469">
              <w:rPr>
                <w:rFonts w:cs="Times New Roman"/>
                <w:sz w:val="16"/>
                <w:szCs w:val="16"/>
              </w:rPr>
              <w:t>Kayigamba</w:t>
            </w:r>
            <w:proofErr w:type="spellEnd"/>
            <w:r w:rsidRPr="00435469">
              <w:rPr>
                <w:rFonts w:cs="Times New Roman"/>
                <w:sz w:val="16"/>
                <w:szCs w:val="16"/>
              </w:rPr>
              <w:t xml:space="preserve"> </w:t>
            </w:r>
            <w:r w:rsidRPr="00435469">
              <w:rPr>
                <w:rFonts w:cs="Times New Roman"/>
                <w:i/>
                <w:iCs/>
                <w:sz w:val="16"/>
                <w:szCs w:val="16"/>
              </w:rPr>
              <w:t>et al</w:t>
            </w:r>
            <w:r w:rsidRPr="00435469">
              <w:rPr>
                <w:rFonts w:cs="Times New Roman"/>
                <w:sz w:val="16"/>
                <w:szCs w:val="16"/>
              </w:rPr>
              <w:t xml:space="preserve">  </w:t>
            </w:r>
            <w:r w:rsidRPr="00435469">
              <w:rPr>
                <w:rFonts w:cs="Times New Roman"/>
                <w:sz w:val="16"/>
                <w:szCs w:val="16"/>
              </w:rPr>
              <w:fldChar w:fldCharType="begin" w:fldLock="1"/>
            </w:r>
            <w:r w:rsidR="00A142FF" w:rsidRPr="00435469">
              <w:rPr>
                <w:rFonts w:cs="Times New Roman"/>
                <w:sz w:val="16"/>
                <w:szCs w:val="16"/>
              </w:rPr>
              <w:instrText>ADDIN CSL_CITATION {"citationItems":[{"id":"ITEM-1","itemData":{"DOI":"10.1371/journal.pone.0073501","ISSN":"19326203","PMID":"24066053","abstract":"Background:Adherence to treatment and sputum smear conversion after 2 months of treatment are thought to be important for successful outcome of tuberculosis (TB) treatment.Methods:Retrospective cohort study of new adult TB patients diagnosed in the first quarter of 2007 at 48 clinics in Rwanda. Data were abstracted from TB registers and individual treatment charts. Logistic regression analysis was done to examine associations between baseline demographic and clinical factors and three outcomes adherence, sputum smear conversion at two months, and death.Results:Out of 725 eligible patients the treatment chart was retrieved for 581 (80%). Fifty-six (10%) of these patients took &lt;90% of doses (defined as poor adherence). Baseline demographic characteristics were not associated with adherence to TB treatment, but adherence was lower among HIV patients not taking antiretroviral therapy (ART); p = 0.03). Sputum smear results around 2 months after start of treatment were available for 220 of 311 initially sputum-smear-positive pulmonary TB (PTB+) patients (71%); 175 (80%) had achieved sputum smear conversion. In multivariable analysis, baseline sputum smear grade (odds ratio [OR] = 2.7, 95% Confidence interval [CI] 1.1-6.6 comparing smear 3+ against 1+) and HIV infection (OR 3.0, 95%CI 1.3-6.7) were independent predictors for non-conversion at 2 months. Sixty-nine of 574 patients (12%) with known TB treatment outcomes had died. Besides other known determinants, poor adherence had an independent, strong effect on mortality (OR 3.4, 95%CI 1.4-7.8).Conclusion:HIV infection is an important independent predictor of failure of sputum smear conversion at 2 months among PTB+ patients. Poor adherence to TB treatment is an important independent determinant of mortality. © 2013 Kayigamba et al.","author":[{"dropping-particle":"","family":"Kayigamba","given":"Felix R.","non-dropping-particle":"","parse-names":false,"suffix":""},{"dropping-particle":"","family":"Bakker","given":"Mirjam I.","non-dropping-particle":"","parse-names":false,"suffix":""},{"dropping-particle":"","family":"Mugisha","given":"Veronicah","non-dropping-particle":"","parse-names":false,"suffix":""},{"dropping-particle":"","family":"Naeyer","given":"Ludwig","non-dropping-particle":"de","parse-names":false,"suffix":""},{"dropping-particle":"","family":"Gasana","given":"Michel","non-dropping-particle":"","parse-names":false,"suffix":""},{"dropping-particle":"","family":"Cobelens","given":"Frank","non-dropping-particle":"","parse-names":false,"suffix":""},{"dropping-particle":"","family":"Loeff","given":"Maarten Schim","non-dropping-particle":"van der","parse-names":false,"suffix":""}],"container-title":"PLoS ONE","id":"ITEM-1","issue":"9","issued":{"date-parts":[["2013"]]},"page":"1-10","title":"Adherence to Tuberculosis Treatment, Sputum Smear Conversion and Mortality: A Retrospective Cohort Study in 48 Rwandan Clinics","type":"article-journal","volume":"8"},"uris":["http://www.mendeley.com/documents/?uuid=774a3b4b-96a9-4707-93cb-717c95607b08"]}],"mendeley":{"formattedCitation":"(86)","plainTextFormattedCitation":"(86)","previouslyFormattedCitation":"(86)"},"properties":{"noteIndex":0},"schema":"https://github.com/citation-style-language/schema/raw/master/csl-citation.json"}</w:instrText>
            </w:r>
            <w:r w:rsidRPr="00435469">
              <w:rPr>
                <w:rFonts w:cs="Times New Roman"/>
                <w:sz w:val="16"/>
                <w:szCs w:val="16"/>
              </w:rPr>
              <w:fldChar w:fldCharType="separate"/>
            </w:r>
            <w:r w:rsidR="0016391D" w:rsidRPr="00435469">
              <w:rPr>
                <w:rFonts w:cs="Times New Roman"/>
                <w:noProof/>
                <w:sz w:val="16"/>
                <w:szCs w:val="16"/>
              </w:rPr>
              <w:t>(86)</w:t>
            </w:r>
            <w:r w:rsidRPr="00435469">
              <w:rPr>
                <w:rFonts w:cs="Times New Roman"/>
                <w:sz w:val="16"/>
                <w:szCs w:val="16"/>
              </w:rPr>
              <w:fldChar w:fldCharType="end"/>
            </w:r>
          </w:p>
        </w:tc>
        <w:tc>
          <w:tcPr>
            <w:tcW w:w="1598" w:type="pct"/>
            <w:tcBorders>
              <w:top w:val="nil"/>
              <w:bottom w:val="nil"/>
            </w:tcBorders>
            <w:vAlign w:val="bottom"/>
          </w:tcPr>
          <w:p w14:paraId="063A139B" w14:textId="77777777" w:rsidR="00A96F85" w:rsidRPr="00435469" w:rsidRDefault="00A96F85" w:rsidP="00955FFB">
            <w:pPr>
              <w:pStyle w:val="NoSpacing"/>
              <w:rPr>
                <w:rFonts w:cs="Times New Roman"/>
                <w:sz w:val="16"/>
                <w:szCs w:val="16"/>
              </w:rPr>
            </w:pPr>
            <w:r w:rsidRPr="00435469">
              <w:rPr>
                <w:rFonts w:cs="Times New Roman"/>
                <w:sz w:val="16"/>
                <w:szCs w:val="16"/>
              </w:rPr>
              <w:t>2.04 (0.28-22.9)</w:t>
            </w:r>
          </w:p>
        </w:tc>
        <w:tc>
          <w:tcPr>
            <w:tcW w:w="1597" w:type="pct"/>
            <w:tcBorders>
              <w:top w:val="nil"/>
              <w:bottom w:val="nil"/>
            </w:tcBorders>
            <w:vAlign w:val="bottom"/>
          </w:tcPr>
          <w:p w14:paraId="7D0EE4BE" w14:textId="77777777" w:rsidR="00A96F85" w:rsidRPr="00435469" w:rsidRDefault="00A96F85" w:rsidP="00955FFB">
            <w:pPr>
              <w:pStyle w:val="NoSpacing"/>
              <w:rPr>
                <w:rFonts w:cs="Times New Roman"/>
                <w:sz w:val="16"/>
                <w:szCs w:val="16"/>
              </w:rPr>
            </w:pPr>
            <w:r w:rsidRPr="00435469">
              <w:rPr>
                <w:rFonts w:cs="Times New Roman"/>
                <w:sz w:val="16"/>
                <w:szCs w:val="16"/>
              </w:rPr>
              <w:t>4.35 (0.80-43.7)</w:t>
            </w:r>
          </w:p>
        </w:tc>
      </w:tr>
      <w:tr w:rsidR="00304411" w:rsidRPr="00435469" w14:paraId="725A8A5C" w14:textId="77777777" w:rsidTr="003415B1">
        <w:tc>
          <w:tcPr>
            <w:tcW w:w="1805" w:type="pct"/>
            <w:tcBorders>
              <w:top w:val="nil"/>
              <w:bottom w:val="nil"/>
            </w:tcBorders>
          </w:tcPr>
          <w:p w14:paraId="691F1E79" w14:textId="152ADF76" w:rsidR="00A96F85" w:rsidRPr="00435469" w:rsidRDefault="00A96F85" w:rsidP="00955FFB">
            <w:pPr>
              <w:pStyle w:val="NoSpacing"/>
              <w:rPr>
                <w:rFonts w:cs="Times New Roman"/>
                <w:sz w:val="16"/>
                <w:szCs w:val="16"/>
              </w:rPr>
            </w:pPr>
            <w:proofErr w:type="spellStart"/>
            <w:r w:rsidRPr="00435469">
              <w:rPr>
                <w:rFonts w:cs="Times New Roman"/>
                <w:sz w:val="16"/>
                <w:szCs w:val="16"/>
              </w:rPr>
              <w:t>Osawa</w:t>
            </w:r>
            <w:proofErr w:type="spellEnd"/>
            <w:r w:rsidRPr="00435469">
              <w:rPr>
                <w:rFonts w:cs="Times New Roman"/>
                <w:sz w:val="16"/>
                <w:szCs w:val="16"/>
              </w:rPr>
              <w:t xml:space="preserve"> </w:t>
            </w:r>
            <w:r w:rsidRPr="00435469">
              <w:rPr>
                <w:rFonts w:cs="Times New Roman"/>
                <w:i/>
                <w:iCs/>
                <w:sz w:val="16"/>
                <w:szCs w:val="16"/>
              </w:rPr>
              <w:t>et al</w:t>
            </w:r>
            <w:r w:rsidRPr="00435469">
              <w:rPr>
                <w:rFonts w:cs="Times New Roman"/>
                <w:sz w:val="16"/>
                <w:szCs w:val="16"/>
              </w:rPr>
              <w:t xml:space="preserve">  </w:t>
            </w:r>
            <w:r w:rsidRPr="00435469">
              <w:rPr>
                <w:rFonts w:cs="Times New Roman"/>
                <w:sz w:val="16"/>
                <w:szCs w:val="16"/>
              </w:rPr>
              <w:fldChar w:fldCharType="begin" w:fldLock="1"/>
            </w:r>
            <w:r w:rsidR="00A142FF" w:rsidRPr="00435469">
              <w:rPr>
                <w:rFonts w:cs="Times New Roman"/>
                <w:sz w:val="16"/>
                <w:szCs w:val="16"/>
              </w:rPr>
              <w:instrText>ADDIN CSL_CITATION {"citationItems":[{"id":"ITEM-1","itemData":{"DOI":"10.1093/infdis/jiaa275","ISSN":"15376613","PMID":"32445568","abstract":"Globally, tuberculosis is the leading infectious cause of death; discovering biomarkers that predict a high mortality risk may improve treatment outcomes. We prospectively enrolled 252 pulmonary tuberculosis patients who were not coinfected with human immunodeficiency virus and initiated antituberculosis treatment, measured serum procalcitonin levels (PCT), and assessed mortality risk. PCT serum levels higher than 0.13 (day 0), 0.05 (day 7), 0.12 (day 14), or 0.06 (day 28) ng/mL predicted nonsurvivors with odds ratios of 7.9, 14.3, 20.0, and 7.3, respectively (P ≤.005 for all), respectively. Therefore, serum PCT levels are a promising mortality risk indicator for patients with pulmonary tuberculosis.","author":[{"dropping-particle":"","family":"Osawa","given":"Takeshi","non-dropping-particle":"","parse-names":false,"suffix":""},{"dropping-particle":"","family":"Watanabe","given":"Masato","non-dropping-particle":"","parse-names":false,"suffix":""},{"dropping-particle":"","family":"Morimoto","given":"Kozo","non-dropping-particle":"","parse-names":false,"suffix":""},{"dropping-particle":"","family":"Okumura","given":"Masao","non-dropping-particle":"","parse-names":false,"suffix":""},{"dropping-particle":"","family":"Yoshiyama","given":"Takashi","non-dropping-particle":"","parse-names":false,"suffix":""},{"dropping-particle":"","family":"Ogata","given":"Hideo","non-dropping-particle":"","parse-names":false,"suffix":""},{"dropping-particle":"","family":"Goto","given":"Hajime","non-dropping-particle":"","parse-names":false,"suffix":""},{"dropping-particle":"","family":"Kudoh","given":"Shoji","non-dropping-particle":"","parse-names":false,"suffix":""},{"dropping-particle":"","family":"Ohta","given":"Ken","non-dropping-particle":"","parse-names":false,"suffix":""},{"dropping-particle":"","family":"Sasaki","given":"Yuka","non-dropping-particle":"","parse-names":false,"suffix":""}],"container-title":"Journal of Infectious Diseases","id":"ITEM-1","issue":"10","issued":{"date-parts":[["2020"]]},"page":"1651-1654","title":"Serum procalcitonin levels predict mortality risk in patients with pulmonary tuberculosis: A single-center prospective observational study","type":"article-journal","volume":"222"},"uris":["http://www.mendeley.com/documents/?uuid=ce9705ec-e34b-4486-b827-90b3430fc477"]}],"mendeley":{"formattedCitation":"(87)","plainTextFormattedCitation":"(87)","previouslyFormattedCitation":"(87)"},"properties":{"noteIndex":0},"schema":"https://github.com/citation-style-language/schema/raw/master/csl-citation.json"}</w:instrText>
            </w:r>
            <w:r w:rsidRPr="00435469">
              <w:rPr>
                <w:rFonts w:cs="Times New Roman"/>
                <w:sz w:val="16"/>
                <w:szCs w:val="16"/>
              </w:rPr>
              <w:fldChar w:fldCharType="separate"/>
            </w:r>
            <w:r w:rsidR="0016391D" w:rsidRPr="00435469">
              <w:rPr>
                <w:rFonts w:cs="Times New Roman"/>
                <w:noProof/>
                <w:sz w:val="16"/>
                <w:szCs w:val="16"/>
              </w:rPr>
              <w:t>(87)</w:t>
            </w:r>
            <w:r w:rsidRPr="00435469">
              <w:rPr>
                <w:rFonts w:cs="Times New Roman"/>
                <w:sz w:val="16"/>
                <w:szCs w:val="16"/>
              </w:rPr>
              <w:fldChar w:fldCharType="end"/>
            </w:r>
          </w:p>
        </w:tc>
        <w:tc>
          <w:tcPr>
            <w:tcW w:w="1598" w:type="pct"/>
            <w:tcBorders>
              <w:top w:val="nil"/>
              <w:bottom w:val="nil"/>
            </w:tcBorders>
            <w:vAlign w:val="bottom"/>
          </w:tcPr>
          <w:p w14:paraId="69E10695" w14:textId="77777777" w:rsidR="00A96F85" w:rsidRPr="00435469" w:rsidRDefault="00A96F85" w:rsidP="00955FFB">
            <w:pPr>
              <w:pStyle w:val="NoSpacing"/>
              <w:rPr>
                <w:rFonts w:cs="Times New Roman"/>
                <w:sz w:val="16"/>
                <w:szCs w:val="16"/>
              </w:rPr>
            </w:pPr>
            <w:r w:rsidRPr="00435469">
              <w:rPr>
                <w:rFonts w:cs="Times New Roman"/>
                <w:sz w:val="16"/>
                <w:szCs w:val="16"/>
              </w:rPr>
              <w:t>2.75 (0.97-7.61)</w:t>
            </w:r>
          </w:p>
        </w:tc>
        <w:tc>
          <w:tcPr>
            <w:tcW w:w="1597" w:type="pct"/>
            <w:tcBorders>
              <w:top w:val="nil"/>
              <w:bottom w:val="nil"/>
            </w:tcBorders>
            <w:vAlign w:val="bottom"/>
          </w:tcPr>
          <w:p w14:paraId="78C68147" w14:textId="77777777" w:rsidR="00A96F85" w:rsidRPr="00435469" w:rsidRDefault="00A96F85" w:rsidP="00955FFB">
            <w:pPr>
              <w:pStyle w:val="NoSpacing"/>
              <w:rPr>
                <w:rFonts w:cs="Times New Roman"/>
                <w:sz w:val="16"/>
                <w:szCs w:val="16"/>
              </w:rPr>
            </w:pPr>
            <w:r w:rsidRPr="00435469">
              <w:rPr>
                <w:rFonts w:cs="Times New Roman"/>
                <w:sz w:val="16"/>
                <w:szCs w:val="16"/>
              </w:rPr>
              <w:t>1.08 (0.38-2.96)</w:t>
            </w:r>
          </w:p>
        </w:tc>
      </w:tr>
      <w:tr w:rsidR="00304411" w:rsidRPr="00435469" w14:paraId="184DCAE7" w14:textId="77777777" w:rsidTr="003415B1">
        <w:tc>
          <w:tcPr>
            <w:tcW w:w="1805" w:type="pct"/>
            <w:tcBorders>
              <w:top w:val="nil"/>
              <w:bottom w:val="nil"/>
            </w:tcBorders>
          </w:tcPr>
          <w:p w14:paraId="167AD825" w14:textId="5080E585" w:rsidR="00A96F85" w:rsidRPr="00435469" w:rsidRDefault="00A96F85" w:rsidP="00955FFB">
            <w:pPr>
              <w:pStyle w:val="NoSpacing"/>
              <w:rPr>
                <w:rFonts w:cs="Times New Roman"/>
                <w:sz w:val="16"/>
                <w:szCs w:val="16"/>
              </w:rPr>
            </w:pPr>
            <w:proofErr w:type="spellStart"/>
            <w:r w:rsidRPr="00435469">
              <w:rPr>
                <w:rFonts w:cs="Times New Roman"/>
                <w:sz w:val="16"/>
                <w:szCs w:val="16"/>
              </w:rPr>
              <w:t>Muttath</w:t>
            </w:r>
            <w:proofErr w:type="spellEnd"/>
            <w:r w:rsidRPr="00435469">
              <w:rPr>
                <w:rFonts w:cs="Times New Roman"/>
                <w:sz w:val="16"/>
                <w:szCs w:val="16"/>
              </w:rPr>
              <w:t xml:space="preserve"> </w:t>
            </w:r>
            <w:r w:rsidRPr="00435469">
              <w:rPr>
                <w:rFonts w:cs="Times New Roman"/>
                <w:i/>
                <w:iCs/>
                <w:sz w:val="16"/>
                <w:szCs w:val="16"/>
              </w:rPr>
              <w:t xml:space="preserve">et al </w:t>
            </w:r>
            <w:r w:rsidRPr="00435469">
              <w:rPr>
                <w:rFonts w:cs="Times New Roman"/>
                <w:i/>
                <w:iCs/>
                <w:sz w:val="16"/>
                <w:szCs w:val="16"/>
              </w:rPr>
              <w:fldChar w:fldCharType="begin" w:fldLock="1"/>
            </w:r>
            <w:r w:rsidR="00A142FF" w:rsidRPr="00435469">
              <w:rPr>
                <w:rFonts w:cs="Times New Roman"/>
                <w:i/>
                <w:iCs/>
                <w:sz w:val="16"/>
                <w:szCs w:val="16"/>
              </w:rPr>
              <w:instrText>ADDIN CSL_CITATION {"citationItems":[{"id":"ITEM-1","itemData":{"DOI":"10.18203/2320-6012.ijrms20170012","ISSN":"2320-6071","abstract":"Background: Immune status of a patient influences the susceptibility, clinical presentation of tuberculosis and its treatment outcome. Some of the most common conditions associated with immune deficiency includes, human immunodeficiency virus (HIV) infection, diabetes and chronic steroid therapy for any underlying diseases.Methods: A cohort study, enrolled patients with tuberculosis alone (n=51) and those with tuberculosis and immunosuppressed state (patients with HIV, diabetes and those on steroid therapy, n=97).Results: All patients received Directly Observed Treatment Short course (DOTS) regimen implemented through RNTCP. Among the immunosuppressed patients, 32 were HIV patients, 45 of them were diabetic and 20 received chronic steroid therapy. All immunocompetent patients (control) were totally cured but 62.5% and 88.9% of HIV and diabetic patients in the immunosuppressed group were cured. Mortality was high in the immunosuppressed group (18.75% in HIV, and 11.11% in diabetic group). The grade of sputum smear had significant influence on the treatment outcome after adjusting for death and default (p&gt;0.05). After intensive phase, the smear conversion rate were 86.27% in the control group,37.5% in the HIV patients, 22.22% in diabetics and 55% among chronic steroid use. The mortality and cure rate among those who received treatment for diabetes mellitus is comparable with that of immunocompetent group. Treatment prolongation was required for patients in the immunosuppressed group (62.5% in HIV group, 77.7% in diabetes group and 45% in chronic steroid users group).Conclusions: Immunosuppression was a risk factor for increased morbidity and mortality among new smear positive pulmonary tuberculosis patients. Prolonged DOTS regimen requires long-term close follow-up of patients who are immunocompromised.","author":[{"dropping-particle":"","family":"Muttath","given":"Radhika","non-dropping-particle":"","parse-names":false,"suffix":""},{"dropping-particle":"","family":"Andrews","given":"Mekkattukkunnel","non-dropping-particle":"","parse-names":false,"suffix":""},{"dropping-particle":"","family":"Prabhu","given":"Dinesa","non-dropping-particle":"","parse-names":false,"suffix":""}],"container-title":"International Journal of Research in Medical Sciences","id":"ITEM-1","issue":"2","issued":{"date-parts":[["2017"]]},"page":"384","title":"Treatment outcome in new smear positive pulmonary tuberculosis patients with and without immunosuppression on RNTCP regimen: a comparative observational study","type":"article-journal","volume":"5"},"uris":["http://www.mendeley.com/documents/?uuid=6e23c2cb-c4d6-4c4b-9364-cdbaa198bbda"]}],"mendeley":{"formattedCitation":"(88)","plainTextFormattedCitation":"(88)","previouslyFormattedCitation":"(88)"},"properties":{"noteIndex":0},"schema":"https://github.com/citation-style-language/schema/raw/master/csl-citation.json"}</w:instrText>
            </w:r>
            <w:r w:rsidRPr="00435469">
              <w:rPr>
                <w:rFonts w:cs="Times New Roman"/>
                <w:i/>
                <w:iCs/>
                <w:sz w:val="16"/>
                <w:szCs w:val="16"/>
              </w:rPr>
              <w:fldChar w:fldCharType="separate"/>
            </w:r>
            <w:r w:rsidR="0016391D" w:rsidRPr="00435469">
              <w:rPr>
                <w:rFonts w:cs="Times New Roman"/>
                <w:iCs/>
                <w:noProof/>
                <w:sz w:val="16"/>
                <w:szCs w:val="16"/>
              </w:rPr>
              <w:t>(88)</w:t>
            </w:r>
            <w:r w:rsidRPr="00435469">
              <w:rPr>
                <w:rFonts w:cs="Times New Roman"/>
                <w:i/>
                <w:iCs/>
                <w:sz w:val="16"/>
                <w:szCs w:val="16"/>
              </w:rPr>
              <w:fldChar w:fldCharType="end"/>
            </w:r>
          </w:p>
        </w:tc>
        <w:tc>
          <w:tcPr>
            <w:tcW w:w="1598" w:type="pct"/>
            <w:tcBorders>
              <w:top w:val="nil"/>
              <w:bottom w:val="nil"/>
            </w:tcBorders>
            <w:vAlign w:val="bottom"/>
          </w:tcPr>
          <w:p w14:paraId="01C2CC80" w14:textId="77777777" w:rsidR="00A96F85" w:rsidRPr="00435469" w:rsidRDefault="00A96F85" w:rsidP="00955FFB">
            <w:pPr>
              <w:pStyle w:val="NoSpacing"/>
              <w:rPr>
                <w:rFonts w:cs="Times New Roman"/>
                <w:sz w:val="16"/>
                <w:szCs w:val="16"/>
              </w:rPr>
            </w:pPr>
            <w:r w:rsidRPr="00435469">
              <w:rPr>
                <w:rFonts w:cs="Times New Roman"/>
                <w:sz w:val="16"/>
                <w:szCs w:val="16"/>
              </w:rPr>
              <w:t>2.33 (0.03-186.4)</w:t>
            </w:r>
          </w:p>
        </w:tc>
        <w:tc>
          <w:tcPr>
            <w:tcW w:w="1597" w:type="pct"/>
            <w:tcBorders>
              <w:top w:val="nil"/>
              <w:bottom w:val="nil"/>
            </w:tcBorders>
            <w:vAlign w:val="bottom"/>
          </w:tcPr>
          <w:p w14:paraId="292C01CC" w14:textId="77777777" w:rsidR="00A96F85" w:rsidRPr="00435469" w:rsidRDefault="00A96F85" w:rsidP="00955FFB">
            <w:pPr>
              <w:pStyle w:val="NoSpacing"/>
              <w:rPr>
                <w:rFonts w:cs="Times New Roman"/>
                <w:sz w:val="16"/>
                <w:szCs w:val="16"/>
              </w:rPr>
            </w:pPr>
            <w:r w:rsidRPr="00435469">
              <w:rPr>
                <w:rFonts w:cs="Times New Roman"/>
                <w:sz w:val="16"/>
                <w:szCs w:val="16"/>
              </w:rPr>
              <w:t>9.16 (1.18-408.6)</w:t>
            </w:r>
          </w:p>
        </w:tc>
      </w:tr>
      <w:tr w:rsidR="00304411" w:rsidRPr="00435469" w14:paraId="446EEFAB" w14:textId="77777777" w:rsidTr="003415B1">
        <w:tc>
          <w:tcPr>
            <w:tcW w:w="1805" w:type="pct"/>
            <w:tcBorders>
              <w:top w:val="nil"/>
              <w:bottom w:val="single" w:sz="4" w:space="0" w:color="auto"/>
            </w:tcBorders>
          </w:tcPr>
          <w:p w14:paraId="7B6DB796" w14:textId="6A2FB955" w:rsidR="00A96F85" w:rsidRPr="00435469" w:rsidRDefault="00A96F85" w:rsidP="00955FFB">
            <w:pPr>
              <w:pStyle w:val="NoSpacing"/>
              <w:rPr>
                <w:rFonts w:cs="Times New Roman"/>
                <w:sz w:val="16"/>
                <w:szCs w:val="16"/>
              </w:rPr>
            </w:pPr>
            <w:proofErr w:type="spellStart"/>
            <w:r w:rsidRPr="00435469">
              <w:rPr>
                <w:rFonts w:cs="Times New Roman"/>
                <w:sz w:val="16"/>
                <w:szCs w:val="16"/>
              </w:rPr>
              <w:t>Kolappan</w:t>
            </w:r>
            <w:proofErr w:type="spellEnd"/>
            <w:r w:rsidRPr="00435469">
              <w:rPr>
                <w:rFonts w:cs="Times New Roman"/>
                <w:sz w:val="16"/>
                <w:szCs w:val="16"/>
              </w:rPr>
              <w:t xml:space="preserve"> </w:t>
            </w:r>
            <w:r w:rsidRPr="00435469">
              <w:rPr>
                <w:rFonts w:cs="Times New Roman"/>
                <w:i/>
                <w:iCs/>
                <w:sz w:val="16"/>
                <w:szCs w:val="16"/>
              </w:rPr>
              <w:t>et al</w:t>
            </w:r>
            <w:r w:rsidRPr="00435469">
              <w:rPr>
                <w:rFonts w:cs="Times New Roman"/>
                <w:sz w:val="16"/>
                <w:szCs w:val="16"/>
              </w:rPr>
              <w:t xml:space="preserve">  </w:t>
            </w:r>
            <w:r w:rsidRPr="00435469">
              <w:rPr>
                <w:rFonts w:cs="Times New Roman"/>
                <w:sz w:val="16"/>
                <w:szCs w:val="16"/>
              </w:rPr>
              <w:fldChar w:fldCharType="begin" w:fldLock="1"/>
            </w:r>
            <w:r w:rsidR="00A142FF" w:rsidRPr="00435469">
              <w:rPr>
                <w:rFonts w:cs="Times New Roman"/>
                <w:sz w:val="16"/>
                <w:szCs w:val="16"/>
              </w:rPr>
              <w:instrText>ADDIN CSL_CITATION {"citationItems":[{"id":"ITEM-1","itemData":{"ISSN":"10273719","PMID":"18173882","abstract":"OBJECTIVES: To estimate the excess general mortality among tuberculosis (TB) patients in a rural area (Tiruvallur) and identify risk factors for TB-related mortality. SETTING: The study population consisted of all TB patients aged ≥15 years who were registered under the Revised National Tuberculosis Control Programme (RNTCP) during the years 2000 to 2003 at Velliyur TB unit (TU) in south India. DESIGN: This is a retrospective cohort study of 3405 patients treated under the DOTS strategy, followed up from the date of start of treatment till the date of interview (for the survivors) or the date of death (for those who died). RESULTS: There were 2710 (79.6%) survivors and 695 (20.4%) deaths. The excess general mortalities for the cohort, expressed as standardised mortality ratio (SMR), was 4.2 (95%CI 3.9-4.5). High SMR values were obtained for patients belonging to the 15-44 years age group (12.1), patients on Category II regimen (9.3), treatment failures (9.1) and defaulters (7.8). The adjusted hazards ratios (aHR) were high for patients aged 45-59 years (1.9), ≥60 years (3.1) and with incomplete treatment due to default or failure (6.4). CONCLUSION: TB is one of the main causes of mortality in the younger age group. Among TB patients, the major risk factors for mortality are old age (≥45 years) and incomplete treatment. © 2008 The Union.","author":[{"dropping-particle":"","family":"Kolappan","given":"C.","non-dropping-particle":"","parse-names":false,"suffix":""},{"dropping-particle":"","family":"Subramani","given":"R.","non-dropping-particle":"","parse-names":false,"suffix":""},{"dropping-particle":"","family":"Kumaraswami","given":"V.","non-dropping-particle":"","parse-names":false,"suffix":""},{"dropping-particle":"","family":"Santha","given":"T.","non-dropping-particle":"","parse-names":false,"suffix":""},{"dropping-particle":"","family":"Narayanan","given":"P. R.","non-dropping-particle":"","parse-names":false,"suffix":""}],"container-title":"International Journal of Tuberculosis and Lung Disease","id":"ITEM-1","issue":"1","issued":{"date-parts":[["2008"]]},"page":"81-86","title":"Excess mortality and risk factors for mortality among a cohort of TB patients from rural south India","type":"article-journal","volume":"12"},"uris":["http://www.mendeley.com/documents/?uuid=4e6fb561-03ff-43b0-a77e-e3e56c435750"]}],"mendeley":{"formattedCitation":"(89)","plainTextFormattedCitation":"(89)","previouslyFormattedCitation":"(89)"},"properties":{"noteIndex":0},"schema":"https://github.com/citation-style-language/schema/raw/master/csl-citation.json"}</w:instrText>
            </w:r>
            <w:r w:rsidRPr="00435469">
              <w:rPr>
                <w:rFonts w:cs="Times New Roman"/>
                <w:sz w:val="16"/>
                <w:szCs w:val="16"/>
              </w:rPr>
              <w:fldChar w:fldCharType="separate"/>
            </w:r>
            <w:r w:rsidR="0016391D" w:rsidRPr="00435469">
              <w:rPr>
                <w:rFonts w:cs="Times New Roman"/>
                <w:noProof/>
                <w:sz w:val="16"/>
                <w:szCs w:val="16"/>
              </w:rPr>
              <w:t>(89)</w:t>
            </w:r>
            <w:r w:rsidRPr="00435469">
              <w:rPr>
                <w:rFonts w:cs="Times New Roman"/>
                <w:sz w:val="16"/>
                <w:szCs w:val="16"/>
              </w:rPr>
              <w:fldChar w:fldCharType="end"/>
            </w:r>
          </w:p>
        </w:tc>
        <w:tc>
          <w:tcPr>
            <w:tcW w:w="1598" w:type="pct"/>
            <w:tcBorders>
              <w:top w:val="nil"/>
              <w:bottom w:val="single" w:sz="4" w:space="0" w:color="auto"/>
            </w:tcBorders>
            <w:vAlign w:val="bottom"/>
          </w:tcPr>
          <w:p w14:paraId="3B28F41F" w14:textId="77777777" w:rsidR="00A96F85" w:rsidRPr="00435469" w:rsidRDefault="00A96F85" w:rsidP="00955FFB">
            <w:pPr>
              <w:pStyle w:val="NoSpacing"/>
              <w:rPr>
                <w:rFonts w:cs="Times New Roman"/>
                <w:sz w:val="16"/>
                <w:szCs w:val="16"/>
              </w:rPr>
            </w:pPr>
            <w:r w:rsidRPr="00435469">
              <w:rPr>
                <w:rFonts w:cs="Times New Roman"/>
                <w:sz w:val="16"/>
                <w:szCs w:val="16"/>
              </w:rPr>
              <w:t>1.27 (0.94-1.73)</w:t>
            </w:r>
          </w:p>
        </w:tc>
        <w:tc>
          <w:tcPr>
            <w:tcW w:w="1597" w:type="pct"/>
            <w:tcBorders>
              <w:top w:val="nil"/>
              <w:bottom w:val="single" w:sz="4" w:space="0" w:color="auto"/>
            </w:tcBorders>
            <w:vAlign w:val="bottom"/>
          </w:tcPr>
          <w:p w14:paraId="2D2A2234" w14:textId="77777777" w:rsidR="00A96F85" w:rsidRPr="00435469" w:rsidRDefault="00A96F85" w:rsidP="00955FFB">
            <w:pPr>
              <w:pStyle w:val="NoSpacing"/>
              <w:rPr>
                <w:rFonts w:cs="Times New Roman"/>
                <w:sz w:val="16"/>
                <w:szCs w:val="16"/>
              </w:rPr>
            </w:pPr>
            <w:r w:rsidRPr="00435469">
              <w:rPr>
                <w:rFonts w:cs="Times New Roman"/>
                <w:sz w:val="16"/>
                <w:szCs w:val="16"/>
              </w:rPr>
              <w:t>1.81 (1.38-2.37)</w:t>
            </w:r>
          </w:p>
        </w:tc>
      </w:tr>
      <w:tr w:rsidR="00304411" w:rsidRPr="00435469" w14:paraId="30066933" w14:textId="77777777" w:rsidTr="003415B1">
        <w:tc>
          <w:tcPr>
            <w:tcW w:w="1805" w:type="pct"/>
            <w:tcBorders>
              <w:top w:val="single" w:sz="4" w:space="0" w:color="auto"/>
            </w:tcBorders>
          </w:tcPr>
          <w:p w14:paraId="6EED5799" w14:textId="77777777" w:rsidR="00A96F85" w:rsidRPr="00435469" w:rsidRDefault="00A96F85" w:rsidP="00955FFB">
            <w:pPr>
              <w:pStyle w:val="NoSpacing"/>
              <w:rPr>
                <w:rFonts w:cs="Times New Roman"/>
                <w:b/>
                <w:bCs/>
                <w:sz w:val="16"/>
                <w:szCs w:val="16"/>
              </w:rPr>
            </w:pPr>
            <w:r w:rsidRPr="00435469">
              <w:rPr>
                <w:rFonts w:cs="Times New Roman"/>
                <w:b/>
                <w:bCs/>
                <w:sz w:val="16"/>
                <w:szCs w:val="16"/>
              </w:rPr>
              <w:t>Meta-analysis</w:t>
            </w:r>
          </w:p>
        </w:tc>
        <w:tc>
          <w:tcPr>
            <w:tcW w:w="1598" w:type="pct"/>
            <w:tcBorders>
              <w:top w:val="single" w:sz="4" w:space="0" w:color="auto"/>
            </w:tcBorders>
          </w:tcPr>
          <w:p w14:paraId="224678AD" w14:textId="77777777" w:rsidR="00A96F85" w:rsidRPr="00435469" w:rsidRDefault="00A96F85" w:rsidP="00955FFB">
            <w:pPr>
              <w:pStyle w:val="NoSpacing"/>
              <w:rPr>
                <w:rFonts w:cs="Times New Roman"/>
                <w:b/>
                <w:bCs/>
                <w:sz w:val="16"/>
                <w:szCs w:val="16"/>
              </w:rPr>
            </w:pPr>
            <w:r w:rsidRPr="00435469">
              <w:rPr>
                <w:rFonts w:cs="Times New Roman"/>
                <w:b/>
                <w:bCs/>
                <w:sz w:val="16"/>
                <w:szCs w:val="16"/>
              </w:rPr>
              <w:t>1.30 (1.02-1.67)</w:t>
            </w:r>
          </w:p>
        </w:tc>
        <w:tc>
          <w:tcPr>
            <w:tcW w:w="1597" w:type="pct"/>
            <w:tcBorders>
              <w:top w:val="single" w:sz="4" w:space="0" w:color="auto"/>
            </w:tcBorders>
          </w:tcPr>
          <w:p w14:paraId="04905480" w14:textId="77777777" w:rsidR="00A96F85" w:rsidRPr="00435469" w:rsidRDefault="00A96F85" w:rsidP="00955FFB">
            <w:pPr>
              <w:pStyle w:val="NoSpacing"/>
              <w:rPr>
                <w:rFonts w:cs="Times New Roman"/>
                <w:b/>
                <w:bCs/>
                <w:sz w:val="16"/>
                <w:szCs w:val="16"/>
              </w:rPr>
            </w:pPr>
            <w:r w:rsidRPr="00435469">
              <w:rPr>
                <w:rFonts w:cs="Times New Roman"/>
                <w:b/>
                <w:bCs/>
                <w:sz w:val="16"/>
                <w:szCs w:val="16"/>
              </w:rPr>
              <w:t>1.68 (1.26-2.23)</w:t>
            </w:r>
          </w:p>
        </w:tc>
      </w:tr>
    </w:tbl>
    <w:p w14:paraId="6CF95ACB" w14:textId="57A59BF0" w:rsidR="009C756F" w:rsidRPr="00435469" w:rsidRDefault="009C756F" w:rsidP="00955FFB">
      <w:pPr>
        <w:pStyle w:val="NoSpacing"/>
        <w:spacing w:before="240" w:after="240"/>
        <w:rPr>
          <w:rFonts w:cs="Times New Roman"/>
          <w:sz w:val="20"/>
          <w:szCs w:val="20"/>
          <w:lang w:val="en-ZA"/>
        </w:rPr>
      </w:pPr>
      <w:r w:rsidRPr="00435469">
        <w:rPr>
          <w:rFonts w:cs="Times New Roman"/>
          <w:sz w:val="20"/>
          <w:szCs w:val="20"/>
          <w:lang w:val="en-ZA"/>
        </w:rPr>
        <w:t>We assumed</w:t>
      </w:r>
      <w:r w:rsidRPr="00435469">
        <w:rPr>
          <w:rFonts w:cs="Times New Roman"/>
          <w:sz w:val="20"/>
          <w:szCs w:val="20"/>
        </w:rPr>
        <w:t xml:space="preserve"> a ‘baseline’ smear grade distribution corresponding to that observed by Singla </w:t>
      </w:r>
      <w:r w:rsidRPr="00435469">
        <w:rPr>
          <w:rFonts w:cs="Times New Roman"/>
          <w:i/>
          <w:iCs/>
          <w:sz w:val="20"/>
          <w:szCs w:val="20"/>
        </w:rPr>
        <w:t>et al</w:t>
      </w:r>
      <w:r w:rsidRPr="00435469">
        <w:rPr>
          <w:rFonts w:cs="Times New Roman"/>
          <w:sz w:val="20"/>
          <w:szCs w:val="20"/>
        </w:rPr>
        <w:t xml:space="preserve">. in India </w:t>
      </w:r>
      <w:r w:rsidRPr="00435469">
        <w:rPr>
          <w:rFonts w:cs="Times New Roman"/>
          <w:sz w:val="20"/>
          <w:szCs w:val="20"/>
        </w:rPr>
        <w:fldChar w:fldCharType="begin" w:fldLock="1"/>
      </w:r>
      <w:r w:rsidR="002F049E" w:rsidRPr="00435469">
        <w:rPr>
          <w:rFonts w:cs="Times New Roman"/>
          <w:sz w:val="20"/>
          <w:szCs w:val="20"/>
        </w:rPr>
        <w:instrText>ADDIN CSL_CITATION {"citationItems":[{"id":"ITEM-1","itemData":{"ISSN":"03779343","abstract":"OBJECTIVE: To study the influence of initial bacillary load on sputum conversion rates and treatment outcome of new smear positive pulmonary tuberculosis patients. METHODS: A retrospective study was done among 2938 new smear positive pulmonary tuberculosis patients, registered at the peripheral centres, covering a population of 1.6 million in Delhi, India. The patients pre-treatment sputum smears were graded as 1+, 2+ or 3+ based on three samples. Patients were given intermittent short-course chemotherapy under supervision and the treatment outcome was analysed. RESULTS: Sputum conversion rates among patients graded as sputum 3+ and rest of the patients (combined graded sputum 1+ and 2+) at the end of two months were 62.2% and 76.8% respectively (p&lt;0.001), and at the end of three months were 81.3% and 89.5% respectively (p&lt;0.001). Cure rates among same group of patients were 76.6% and 85.1% respectively (p&lt;0.001), and failure rates were 7.7% and 4.5% respectively (p&lt;0.001). CONCLUSIONS: Under field conditions even with directly observed treatment (DOT) new smear positive patients with heavy bacillary load showed statistically significant poor sputum conversion rates at two and three months and higher failure rates as compared to patients with lesser bacillary load. To investigate possible reasons for this poor response and possible solutions further studies are needed.","author":[{"dropping-particle":"","family":"Singla","given":"Rupak","non-dropping-particle":"","parse-names":false,"suffix":""},{"dropping-particle":"","family":"Singla","given":"Neeta","non-dropping-particle":"","parse-names":false,"suffix":""},{"dropping-particle":"","family":"Sarin","given":"Rohit","non-dropping-particle":"","parse-names":false,"suffix":""},{"dropping-particle":"","family":"Arora","given":"V. K.","non-dropping-particle":"","parse-names":false,"suffix":""}],"container-title":"The Indian journal of chest diseases &amp; allied sciences","id":"ITEM-1","issue":"1","issued":{"date-parts":[["2005"]]},"title":"Influence of pre-treatment bacillary load on treatment outcome of pulmonary tuberculosis patients receiving DOTS under revised national tuberculosis control programme.","type":"article-journal","volume":"47"},"uris":["http://www.mendeley.com/documents/?uuid=bca6a520-5df1-3bbb-a28d-7ecb422a1198"]}],"mendeley":{"formattedCitation":"(26)","plainTextFormattedCitation":"(26)","previouslyFormattedCitation":"(26)"},"properties":{"noteIndex":0},"schema":"https://github.com/citation-style-language/schema/raw/master/csl-citation.json"}</w:instrText>
      </w:r>
      <w:r w:rsidRPr="00435469">
        <w:rPr>
          <w:rFonts w:cs="Times New Roman"/>
          <w:sz w:val="20"/>
          <w:szCs w:val="20"/>
        </w:rPr>
        <w:fldChar w:fldCharType="separate"/>
      </w:r>
      <w:r w:rsidR="0063047A" w:rsidRPr="00435469">
        <w:rPr>
          <w:rFonts w:cs="Times New Roman"/>
          <w:noProof/>
          <w:sz w:val="20"/>
          <w:szCs w:val="20"/>
        </w:rPr>
        <w:t>(26)</w:t>
      </w:r>
      <w:r w:rsidRPr="00435469">
        <w:rPr>
          <w:rFonts w:cs="Times New Roman"/>
          <w:sz w:val="20"/>
          <w:szCs w:val="20"/>
        </w:rPr>
        <w:fldChar w:fldCharType="end"/>
      </w:r>
      <w:r w:rsidRPr="00435469">
        <w:rPr>
          <w:rFonts w:cs="Times New Roman"/>
          <w:sz w:val="20"/>
          <w:szCs w:val="20"/>
        </w:rPr>
        <w:t>. In this study, the</w:t>
      </w:r>
      <w:r w:rsidRPr="00435469">
        <w:rPr>
          <w:rFonts w:cs="Times New Roman"/>
          <w:sz w:val="20"/>
          <w:szCs w:val="20"/>
          <w:lang w:val="en-ZA"/>
        </w:rPr>
        <w:t xml:space="preserve"> proportions of TB patients in different smear grades were 0.27 for smear-grade &lt;2+; 0.25 for smear-grade 2+ and 0.48 for smear-grade 3+ </w:t>
      </w:r>
      <w:r w:rsidRPr="00435469">
        <w:rPr>
          <w:rFonts w:cs="Times New Roman"/>
          <w:sz w:val="20"/>
          <w:szCs w:val="20"/>
          <w:lang w:val="en-ZA"/>
        </w:rPr>
        <w:fldChar w:fldCharType="begin" w:fldLock="1"/>
      </w:r>
      <w:r w:rsidR="002F049E" w:rsidRPr="00435469">
        <w:rPr>
          <w:rFonts w:cs="Times New Roman"/>
          <w:sz w:val="20"/>
          <w:szCs w:val="20"/>
          <w:lang w:val="en-ZA"/>
        </w:rPr>
        <w:instrText>ADDIN CSL_CITATION {"citationItems":[{"id":"ITEM-1","itemData":{"ISSN":"03779343","abstract":"OBJECTIVE: To study the influence of initial bacillary load on sputum conversion rates and treatment outcome of new smear positive pulmonary tuberculosis patients. METHODS: A retrospective study was done among 2938 new smear positive pulmonary tuberculosis patients, registered at the peripheral centres, covering a population of 1.6 million in Delhi, India. The patients pre-treatment sputum smears were graded as 1+, 2+ or 3+ based on three samples. Patients were given intermittent short-course chemotherapy under supervision and the treatment outcome was analysed. RESULTS: Sputum conversion rates among patients graded as sputum 3+ and rest of the patients (combined graded sputum 1+ and 2+) at the end of two months were 62.2% and 76.8% respectively (p&lt;0.001), and at the end of three months were 81.3% and 89.5% respectively (p&lt;0.001). Cure rates among same group of patients were 76.6% and 85.1% respectively (p&lt;0.001), and failure rates were 7.7% and 4.5% respectively (p&lt;0.001). CONCLUSIONS: Under field conditions even with directly observed treatment (DOT) new smear positive patients with heavy bacillary load showed statistically significant poor sputum conversion rates at two and three months and higher failure rates as compared to patients with lesser bacillary load. To investigate possible reasons for this poor response and possible solutions further studies are needed.","author":[{"dropping-particle":"","family":"Singla","given":"Rupak","non-dropping-particle":"","parse-names":false,"suffix":""},{"dropping-particle":"","family":"Singla","given":"Neeta","non-dropping-particle":"","parse-names":false,"suffix":""},{"dropping-particle":"","family":"Sarin","given":"Rohit","non-dropping-particle":"","parse-names":false,"suffix":""},{"dropping-particle":"","family":"Arora","given":"V. K.","non-dropping-particle":"","parse-names":false,"suffix":""}],"container-title":"The Indian journal of chest diseases &amp; allied sciences","id":"ITEM-1","issue":"1","issued":{"date-parts":[["2005"]]},"title":"Influence of pre-treatment bacillary load on treatment outcome of pulmonary tuberculosis patients receiving DOTS under revised national tuberculosis control programme.","type":"article-journal","volume":"47"},"uris":["http://www.mendeley.com/documents/?uuid=bca6a520-5df1-3bbb-a28d-7ecb422a1198"]}],"mendeley":{"formattedCitation":"(26)","plainTextFormattedCitation":"(26)","previouslyFormattedCitation":"(26)"},"properties":{"noteIndex":0},"schema":"https://github.com/citation-style-language/schema/raw/master/csl-citation.json"}</w:instrText>
      </w:r>
      <w:r w:rsidRPr="00435469">
        <w:rPr>
          <w:rFonts w:cs="Times New Roman"/>
          <w:sz w:val="20"/>
          <w:szCs w:val="20"/>
          <w:lang w:val="en-ZA"/>
        </w:rPr>
        <w:fldChar w:fldCharType="separate"/>
      </w:r>
      <w:r w:rsidR="0063047A" w:rsidRPr="00435469">
        <w:rPr>
          <w:rFonts w:cs="Times New Roman"/>
          <w:noProof/>
          <w:sz w:val="20"/>
          <w:szCs w:val="20"/>
          <w:lang w:val="en-ZA"/>
        </w:rPr>
        <w:t>(26)</w:t>
      </w:r>
      <w:r w:rsidRPr="00435469">
        <w:rPr>
          <w:rFonts w:cs="Times New Roman"/>
          <w:sz w:val="20"/>
          <w:szCs w:val="20"/>
          <w:lang w:val="en-ZA"/>
        </w:rPr>
        <w:fldChar w:fldCharType="end"/>
      </w:r>
      <w:r w:rsidRPr="00435469">
        <w:rPr>
          <w:rFonts w:cs="Times New Roman"/>
          <w:sz w:val="20"/>
          <w:szCs w:val="20"/>
          <w:lang w:val="en-ZA"/>
        </w:rPr>
        <w:t>.</w:t>
      </w:r>
      <w:r w:rsidRPr="00435469">
        <w:rPr>
          <w:rFonts w:cs="Times New Roman"/>
          <w:sz w:val="20"/>
          <w:szCs w:val="20"/>
        </w:rPr>
        <w:t xml:space="preserve"> We assume the Indian data would be most representative of what might be expected in a resource-limited setting, i.e., with limited screening.</w:t>
      </w:r>
      <w:r w:rsidRPr="00435469">
        <w:rPr>
          <w:rFonts w:cs="Times New Roman"/>
          <w:sz w:val="20"/>
          <w:szCs w:val="20"/>
          <w:lang w:val="en-ZA"/>
        </w:rPr>
        <w:t xml:space="preserve"> </w:t>
      </w:r>
      <w:r w:rsidRPr="00435469">
        <w:rPr>
          <w:rFonts w:cs="Times New Roman"/>
          <w:sz w:val="20"/>
          <w:szCs w:val="20"/>
        </w:rPr>
        <w:t xml:space="preserve">We then calculate </w:t>
      </w:r>
    </w:p>
    <w:p w14:paraId="78B59F43" w14:textId="3142F45F" w:rsidR="00780DA1" w:rsidRPr="00435469" w:rsidRDefault="00000000" w:rsidP="00955FFB">
      <w:pPr>
        <w:pStyle w:val="NoSpacing"/>
        <w:spacing w:before="240" w:after="240"/>
        <w:jc w:val="center"/>
        <w:rPr>
          <w:rFonts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m</m:t>
            </m:r>
          </m:sub>
        </m:sSub>
        <m:r>
          <w:rPr>
            <w:rFonts w:ascii="Cambria Math" w:hAnsi="Cambria Math" w:cs="Times New Roman"/>
            <w:sz w:val="20"/>
            <w:szCs w:val="20"/>
          </w:rPr>
          <m:t>=</m:t>
        </m:r>
        <m:r>
          <m:rPr>
            <m:sty m:val="p"/>
          </m:rPr>
          <w:rPr>
            <w:rFonts w:ascii="Cambria Math" w:hAnsi="Cambria Math" w:cs="Times New Roman"/>
            <w:sz w:val="20"/>
            <w:szCs w:val="20"/>
          </w:rPr>
          <m:t>1/(0.27 + 0.25 × 1.30 + 0.48 × 1.68) = 0.71</m:t>
        </m:r>
      </m:oMath>
      <w:r w:rsidR="00F401A9" w:rsidRPr="00435469">
        <w:rPr>
          <w:rFonts w:cs="Times New Roman"/>
          <w:sz w:val="20"/>
          <w:szCs w:val="20"/>
        </w:rPr>
        <w:t>,</w:t>
      </w:r>
    </w:p>
    <w:p w14:paraId="04FE57F9" w14:textId="0F7147B8" w:rsidR="00780DA1" w:rsidRPr="00435469" w:rsidRDefault="00F401A9" w:rsidP="00955FFB">
      <w:pPr>
        <w:spacing w:line="240" w:lineRule="auto"/>
        <w:rPr>
          <w:sz w:val="20"/>
          <w:szCs w:val="20"/>
        </w:rPr>
      </w:pPr>
      <w:r w:rsidRPr="00435469">
        <w:rPr>
          <w:rFonts w:cs="Times New Roman"/>
          <w:sz w:val="20"/>
          <w:szCs w:val="20"/>
        </w:rPr>
        <w:lastRenderedPageBreak/>
        <w:t>b</w:t>
      </w:r>
      <w:r w:rsidR="00780DA1" w:rsidRPr="00435469">
        <w:rPr>
          <w:rFonts w:cs="Times New Roman"/>
          <w:sz w:val="20"/>
          <w:szCs w:val="20"/>
        </w:rPr>
        <w:t xml:space="preserve">ased </w:t>
      </w:r>
      <w:r w:rsidR="00780DA1" w:rsidRPr="00435469">
        <w:rPr>
          <w:sz w:val="20"/>
          <w:szCs w:val="20"/>
        </w:rPr>
        <w:t>on the assumption that if there was no treatment delay, all newly treated smear-positive TB cases would have a smear grade &lt;2+.</w:t>
      </w:r>
    </w:p>
    <w:p w14:paraId="0446415D" w14:textId="77777777" w:rsidR="006438A9" w:rsidRPr="00435469" w:rsidRDefault="006438A9" w:rsidP="00955FFB">
      <w:pPr>
        <w:pStyle w:val="Heading4"/>
        <w:rPr>
          <w:sz w:val="20"/>
          <w:szCs w:val="20"/>
        </w:rPr>
      </w:pPr>
      <w:r w:rsidRPr="00435469">
        <w:rPr>
          <w:sz w:val="20"/>
          <w:szCs w:val="20"/>
        </w:rPr>
        <w:t xml:space="preserve">Modelling the effect of age on tuberculosis mortality </w:t>
      </w:r>
    </w:p>
    <w:p w14:paraId="7C5D603A" w14:textId="0405E468" w:rsidR="00463495" w:rsidRPr="00435469" w:rsidRDefault="006438A9" w:rsidP="00955FFB">
      <w:pPr>
        <w:pStyle w:val="xmsonormal"/>
        <w:shd w:val="clear" w:color="auto" w:fill="FFFFFF"/>
        <w:spacing w:before="0" w:beforeAutospacing="0" w:after="0" w:afterAutospacing="0"/>
        <w:rPr>
          <w:sz w:val="20"/>
          <w:szCs w:val="20"/>
        </w:rPr>
      </w:pPr>
      <w:r w:rsidRPr="00435469">
        <w:rPr>
          <w:sz w:val="20"/>
          <w:szCs w:val="20"/>
        </w:rPr>
        <w:t xml:space="preserve">Age </w:t>
      </w:r>
      <w:r w:rsidR="00BB1B56" w:rsidRPr="00435469">
        <w:rPr>
          <w:sz w:val="20"/>
          <w:szCs w:val="20"/>
        </w:rPr>
        <w:t>is</w:t>
      </w:r>
      <w:r w:rsidRPr="00435469">
        <w:rPr>
          <w:sz w:val="20"/>
          <w:szCs w:val="20"/>
        </w:rPr>
        <w:t xml:space="preserve"> an independent predictor of TB mortality both in HIV-infected and HIV-uninfected individuals </w:t>
      </w:r>
      <w:r w:rsidRPr="00435469">
        <w:rPr>
          <w:sz w:val="20"/>
          <w:szCs w:val="20"/>
        </w:rPr>
        <w:fldChar w:fldCharType="begin" w:fldLock="1"/>
      </w:r>
      <w:r w:rsidR="00A142FF" w:rsidRPr="00435469">
        <w:rPr>
          <w:sz w:val="20"/>
          <w:szCs w:val="20"/>
        </w:rPr>
        <w:instrText>ADDIN CSL_CITATION {"citationItems":[{"id":"ITEM-1","itemData":{"DOI":"10.1186/s12981-015-0076-5","ISSN":"17426405","abstract":"© 2015 Pepper et al. Background: Identifying those at increased risk of death during TB treatment is a priority in resource-constrained settings. We performed this study to determine predictors of mortality during TB treatment. Methods: We performed a retrospective analysis of a TB surveillance population in a high HIV prevalence area that was recorded in ETR.net (Electronic Tuberculosis Register). Adult TB cases initiated TB treatment from 2007 through 2009 in Khayelitsha, South Africa. Cox proportional hazards models were used to identify risk factors for death  (after multiple imputations for missing data). Model selection was performed using Akaike's Information Criterion to obtain the most relevant predictors of death. Results: Of 16,209 adult TB cases, 851 (5.3 %) died during TB treatment. In all TB cases, advancing age, co-infection with HIV, a prior history of TB and the presence of both pulmonary and extra-pulmonary TB were independently associated with an increasing hazard of death. In HIV-infected TB cases, advancing age and female gender were independently associated with an increasing hazard of death. Increasing CD4 counts and antiretroviral treatment during TB treatment were protective against death. In HIV-uninfected TB cases, advancing age was independently associated with death, whereas smear-positive disease was protective. Conclusion: We identified several independent predictors of death during TB treatment in resource-constrained settings. Our findings inform resource-constrained settings about certain subgroups of TB patients that should be targeted to improve mortality during TB treatment.","author":[{"dropping-particle":"","family":"Pepper","given":"Dominique J.","non-dropping-particle":"","parse-names":false,"suffix":""},{"dropping-particle":"","family":"Schomaker","given":"Michael","non-dropping-particle":"","parse-names":false,"suffix":""},{"dropping-particle":"","family":"Wilkinson","given":"Robert J.","non-dropping-particle":"","parse-names":false,"suffix":""},{"dropping-particle":"","family":"Azevedo","given":"Virginia","non-dropping-particle":"","parse-names":false,"suffix":""},{"dropping-particle":"","family":"Maartens","given":"Gary","non-dropping-particle":"","parse-names":false,"suffix":""}],"container-title":"AIDS Research and Therapy","id":"ITEM-1","issue":"1","issued":{"date-parts":[["2015"]]},"page":"1-9","publisher":"BioMed Central","title":"Independent predictors of tuberculosis mortality in a high HIV prevalence setting: A retrospective cohort study","type":"article-journal","volume":"12"},"uris":["http://www.mendeley.com/documents/?uuid=3d10b293-2347-4563-b477-2417fa0ee547"]},{"id":"ITEM-2","itemData":{"DOI":"10.1186/s12879-018-3256-9","ISBN":"1287901832","ISSN":"14712334","abstract":"Background: In Cape Town, the roll-out of antiretroviral therapy (ART) has increased over the last decade with an estimated coverage of 63% of HIV-positive patients in 2013. The influence of ART on the characteristics of the population of HIV-positive patients presenting to the primary care TB programme is unknown. In this study, we examined trends in CD4 count distribution, ART usage and treatment outcomes among HIV-positive TB patients in Cape Town from 2009 to 2013. Methods: Data from the electronic TB register on all newly registered drug-sensitive TB patients ≥18 years were analyzed retrospectively. Descriptive statistics were used to compare baseline characteristics, the CD4 count distribution and TB treatment outcomes both by year of treatment and ART status at the start of TB treatment. Survival analyses were used to assess the change in mortality risk during TB treatment over time, stratified by ART status at start of TB treatment.","author":[{"dropping-particle":"","family":"Kaplan","given":"Richard","non-dropping-particle":"","parse-names":false,"suffix":""},{"dropping-particle":"","family":"Hermans","given":"Sabine","non-dropping-particle":"","parse-names":false,"suffix":""},{"dropping-particle":"","family":"Caldwell","given":"Judy","non-dropping-particle":"","parse-names":false,"suffix":""},{"dropping-particle":"","family":"Jennings","given":"Karen","non-dropping-particle":"","parse-names":false,"suffix":""},{"dropping-particle":"","family":"Bekker","given":"Linda Gail","non-dropping-particle":"","parse-names":false,"suffix":""},{"dropping-particle":"","family":"Wood","given":"Robin","non-dropping-particle":"","parse-names":false,"suffix":""}],"container-title":"BMC Infectious Diseases","id":"ITEM-2","issue":"1","issued":{"date-parts":[["2018"]]},"page":"1-9","publisher":"BMC Infectious Diseases","title":"HIV and TB co-infection in the ART era: CD4 count distributions and TB case fatality in Cape Town","type":"article-journal","volume":"18"},"uris":["http://www.mendeley.com/documents/?uuid=743d6460-b526-4c8d-9391-dae94ad7efd8"]},{"id":"ITEM-3","itemData":{"DOI":"10.1097/QAI.0000000000000201.The","ISBN":"0000000000000","author":[{"dropping-particle":"","family":"Kaplan","given":"R.","non-dropping-particle":"","parse-names":false,"suffix":""},{"dropping-particle":"","family":"Caldwell","given":"J.","non-dropping-particle":"","parse-names":false,"suffix":""},{"dropping-particle":"","family":"Middelkoop","given":"K.","non-dropping-particle":"","parse-names":false,"suffix":""},{"dropping-particle":"","family":"Bekker","given":"L.-G.","non-dropping-particle":"","parse-names":false,"suffix":""},{"dropping-particle":"","family":"Wood","given":"R.","non-dropping-particle":"","parse-names":false,"suffix":""}],"container-title":"J. Acquir. Immune Defic. Syndr.","id":"ITEM-3","issue":"5","issued":{"date-parts":[["2014"]]},"page":"487-494","title":"Impact of ART on TB case fatality stratified by CD4 count for HIV-positive TB patients in Cape Town. South Africa (2009-2011)","type":"article-journal","volume":"66"},"uris":["http://www.mendeley.com/documents/?uuid=c9b441fd-a013-4335-8017-0e0020ce6982"]},{"id":"ITEM-4","itemData":{"ISSN":"10273719","abstract":"SETTING: Little is known about the outcome of tuberculosis (TB) treatment and subsequent survival of human immunodeficiency virus (HIV) infected patients treated under routine programme conditions in a developing country. We followed a cohort of HIV-positive and HIV-negative tuberculosis patients during therapy and assessed their vital and tuberculosis status 3 years after completion of treatment in Mwanza, Tanzania. METHODS: Newly diagnosed and relapse tuberculosis cases consecutively registered over a 6- month period were enrolled into an epidemiological study of TB/HIV. Treatment outcome was based on information in tuberculosis treatment registers. Patients surviving treatment were assessed 3 years later by personal interview. Cause of death was determined by verbal autopsy. RESULTS: Of 561 patients enrolled into the study, 505 patients alive at completion of treatment were eligible for assessment at 3 years. Except for mortality, HIV infection was not statistically associated with differing treatment outcomes. At time of follow-up, the overall mortality was 19% and was associated with HIV infection (hazard ratio [hr] 3.7, 95% confidence interval [CI]  2.6-5.2) and age 35 years and over (hr 1.5, 95% CI 1.02-2.1), but not with type of tuberculosis, gender, or initial drug resistance. By life table analysis, probability of survival at 4 years was 35% for HIV-positive patients compared to 90% for HIV-negative patients. Although no relapse cases were diagnosed, verbal autopsy suggested equivalent low rates of relapse in both groups. CONCLUSION: These results demonstrate the effectiveness of the current approach to the treatment of tuberculosis patients regardless of HIV status. However, HIV-related mortality remains high both during and following completion of treatment, and further studies are needed to determine if this mortality might be reduced by simple interventions which are feasible in developing countries.","author":[{"dropping-particle":"","family":"Broek","given":"J.","non-dropping-particle":"Van den","parse-names":false,"suffix":""},{"dropping-particle":"","family":"Mfinanga","given":"S.","non-dropping-particle":"","parse-names":false,"suffix":""},{"dropping-particle":"","family":"Moshiro","given":"C.","non-dropping-particle":"","parse-names":false,"suffix":""},{"dropping-particle":"","family":"O'Brien","given":"R.","non-dropping-particle":"","parse-names":false,"suffix":""},{"dropping-particle":"","family":"Mugomela","given":"A.","non-dropping-particle":"","parse-names":false,"suffix":""},{"dropping-particle":"","family":"Lefi","given":"M.","non-dropping-particle":"","parse-names":false,"suffix":""}],"container-title":"International Journal of Tuberculosis and Lung Disease","id":"ITEM-4","issue":"7","issued":{"date-parts":[["1998"]]},"page":"547-552","title":"Impact of human immunodeficiency virus infection on the outcome of treatment and survival of tuberculosis patients in Mwanza, Tanzania","type":"article-journal","volume":"2"},"uris":["http://www.mendeley.com/documents/?uuid=32a9e7d5-8de6-440c-9c25-ab4d88d5184b","http://www.mendeley.com/documents/?uuid=a098f3d0-a95c-4bac-9d61-b610550da33d"]}],"mendeley":{"formattedCitation":"(73,92–94)","plainTextFormattedCitation":"(73,92–94)","previouslyFormattedCitation":"(73,92–94)"},"properties":{"noteIndex":0},"schema":"https://github.com/citation-style-language/schema/raw/master/csl-citation.json"}</w:instrText>
      </w:r>
      <w:r w:rsidRPr="00435469">
        <w:rPr>
          <w:sz w:val="20"/>
          <w:szCs w:val="20"/>
        </w:rPr>
        <w:fldChar w:fldCharType="separate"/>
      </w:r>
      <w:r w:rsidR="0016391D" w:rsidRPr="00435469">
        <w:rPr>
          <w:noProof/>
          <w:sz w:val="20"/>
          <w:szCs w:val="20"/>
        </w:rPr>
        <w:t>(73,92–94)</w:t>
      </w:r>
      <w:r w:rsidRPr="00435469">
        <w:rPr>
          <w:sz w:val="20"/>
          <w:szCs w:val="20"/>
        </w:rPr>
        <w:fldChar w:fldCharType="end"/>
      </w:r>
      <w:r w:rsidRPr="00435469">
        <w:rPr>
          <w:sz w:val="20"/>
          <w:szCs w:val="20"/>
        </w:rPr>
        <w:t xml:space="preserve">. The Cape Town-based study by Kaplan </w:t>
      </w:r>
      <w:r w:rsidRPr="00435469">
        <w:rPr>
          <w:i/>
          <w:iCs/>
          <w:sz w:val="20"/>
          <w:szCs w:val="20"/>
        </w:rPr>
        <w:t>et al</w:t>
      </w:r>
      <w:r w:rsidRPr="00435469">
        <w:rPr>
          <w:sz w:val="20"/>
          <w:szCs w:val="20"/>
        </w:rPr>
        <w:t>. reported that age is independently associated with TB mortality (a</w:t>
      </w:r>
      <w:r w:rsidR="00B97BBA" w:rsidRPr="00435469">
        <w:rPr>
          <w:sz w:val="20"/>
          <w:szCs w:val="20"/>
        </w:rPr>
        <w:t xml:space="preserve">djusted </w:t>
      </w:r>
      <w:r w:rsidRPr="00435469">
        <w:rPr>
          <w:sz w:val="20"/>
          <w:szCs w:val="20"/>
        </w:rPr>
        <w:t>HR 1.28, 95% CI 1.17–1.40</w:t>
      </w:r>
      <w:r w:rsidR="00E64C67" w:rsidRPr="00435469">
        <w:rPr>
          <w:sz w:val="20"/>
          <w:szCs w:val="20"/>
        </w:rPr>
        <w:t>, for every 10 year increase</w:t>
      </w:r>
      <w:r w:rsidRPr="00435469">
        <w:rPr>
          <w:sz w:val="20"/>
          <w:szCs w:val="20"/>
        </w:rPr>
        <w:t>)</w:t>
      </w:r>
      <w:r w:rsidR="00913C09" w:rsidRPr="00435469">
        <w:rPr>
          <w:sz w:val="20"/>
          <w:szCs w:val="20"/>
        </w:rPr>
        <w:t xml:space="preserve"> </w:t>
      </w:r>
      <w:r w:rsidRPr="00435469">
        <w:rPr>
          <w:sz w:val="20"/>
          <w:szCs w:val="20"/>
        </w:rPr>
        <w:fldChar w:fldCharType="begin" w:fldLock="1"/>
      </w:r>
      <w:r w:rsidR="00A142FF" w:rsidRPr="00435469">
        <w:rPr>
          <w:sz w:val="20"/>
          <w:szCs w:val="20"/>
        </w:rPr>
        <w:instrText>ADDIN CSL_CITATION {"citationItems":[{"id":"ITEM-1","itemData":{"DOI":"10.1186/s12879-018-3256-9","ISBN":"1287901832","ISSN":"14712334","abstract":"Background: In Cape Town, the roll-out of antiretroviral therapy (ART) has increased over the last decade with an estimated coverage of 63% of HIV-positive patients in 2013. The influence of ART on the characteristics of the population of HIV-positive patients presenting to the primary care TB programme is unknown. In this study, we examined trends in CD4 count distribution, ART usage and treatment outcomes among HIV-positive TB patients in Cape Town from 2009 to 2013. Methods: Data from the electronic TB register on all newly registered drug-sensitive TB patients ≥18 years were analyzed retrospectively. Descriptive statistics were used to compare baseline characteristics, the CD4 count distribution and TB treatment outcomes both by year of treatment and ART status at the start of TB treatment. Survival analyses were used to assess the change in mortality risk during TB treatment over time, stratified by ART status at start of TB treatment.","author":[{"dropping-particle":"","family":"Kaplan","given":"Richard","non-dropping-particle":"","parse-names":false,"suffix":""},{"dropping-particle":"","family":"Hermans","given":"Sabine","non-dropping-particle":"","parse-names":false,"suffix":""},{"dropping-particle":"","family":"Caldwell","given":"Judy","non-dropping-particle":"","parse-names":false,"suffix":""},{"dropping-particle":"","family":"Jennings","given":"Karen","non-dropping-particle":"","parse-names":false,"suffix":""},{"dropping-particle":"","family":"Bekker","given":"Linda Gail","non-dropping-particle":"","parse-names":false,"suffix":""},{"dropping-particle":"","family":"Wood","given":"Robin","non-dropping-particle":"","parse-names":false,"suffix":""}],"container-title":"BMC Infectious Diseases","id":"ITEM-1","issue":"1","issued":{"date-parts":[["2018"]]},"page":"1-9","publisher":"BMC Infectious Diseases","title":"HIV and TB co-infection in the ART era: CD4 count distributions and TB case fatality in Cape Town","type":"article-journal","volume":"18"},"uris":["http://www.mendeley.com/documents/?uuid=743d6460-b526-4c8d-9391-dae94ad7efd8"]}],"mendeley":{"formattedCitation":"(92)","plainTextFormattedCitation":"(92)","previouslyFormattedCitation":"(92)"},"properties":{"noteIndex":0},"schema":"https://github.com/citation-style-language/schema/raw/master/csl-citation.json"}</w:instrText>
      </w:r>
      <w:r w:rsidRPr="00435469">
        <w:rPr>
          <w:sz w:val="20"/>
          <w:szCs w:val="20"/>
        </w:rPr>
        <w:fldChar w:fldCharType="separate"/>
      </w:r>
      <w:r w:rsidR="0016391D" w:rsidRPr="00435469">
        <w:rPr>
          <w:noProof/>
          <w:sz w:val="20"/>
          <w:szCs w:val="20"/>
        </w:rPr>
        <w:t>(92)</w:t>
      </w:r>
      <w:r w:rsidRPr="00435469">
        <w:rPr>
          <w:sz w:val="20"/>
          <w:szCs w:val="20"/>
        </w:rPr>
        <w:fldChar w:fldCharType="end"/>
      </w:r>
      <w:r w:rsidRPr="00435469">
        <w:rPr>
          <w:sz w:val="20"/>
          <w:szCs w:val="20"/>
        </w:rPr>
        <w:t xml:space="preserve">. Pepper </w:t>
      </w:r>
      <w:r w:rsidRPr="00435469">
        <w:rPr>
          <w:i/>
          <w:iCs/>
          <w:sz w:val="20"/>
          <w:szCs w:val="20"/>
        </w:rPr>
        <w:t>et al</w:t>
      </w:r>
      <w:r w:rsidRPr="00435469">
        <w:rPr>
          <w:sz w:val="20"/>
          <w:szCs w:val="20"/>
        </w:rPr>
        <w:t xml:space="preserve">. reported similar relative hazards, of approximately 1.5 for every ten year increase of age </w:t>
      </w:r>
      <w:r w:rsidRPr="00435469">
        <w:rPr>
          <w:sz w:val="20"/>
          <w:szCs w:val="20"/>
        </w:rPr>
        <w:fldChar w:fldCharType="begin" w:fldLock="1"/>
      </w:r>
      <w:r w:rsidR="00A142FF" w:rsidRPr="00435469">
        <w:rPr>
          <w:sz w:val="20"/>
          <w:szCs w:val="20"/>
        </w:rPr>
        <w:instrText>ADDIN CSL_CITATION {"citationItems":[{"id":"ITEM-1","itemData":{"DOI":"10.1186/s12981-015-0076-5","ISSN":"17426405","abstract":"© 2015 Pepper et al. Background: Identifying those at increased risk of death during TB treatment is a priority in resource-constrained settings. We performed this study to determine predictors of mortality during TB treatment. Methods: We performed a retrospective analysis of a TB surveillance population in a high HIV prevalence area that was recorded in ETR.net (Electronic Tuberculosis Register). Adult TB cases initiated TB treatment from 2007 through 2009 in Khayelitsha, South Africa. Cox proportional hazards models were used to identify risk factors for death  (after multiple imputations for missing data). Model selection was performed using Akaike's Information Criterion to obtain the most relevant predictors of death. Results: Of 16,209 adult TB cases, 851 (5.3 %) died during TB treatment. In all TB cases, advancing age, co-infection with HIV, a prior history of TB and the presence of both pulmonary and extra-pulmonary TB were independently associated with an increasing hazard of death. In HIV-infected TB cases, advancing age and female gender were independently associated with an increasing hazard of death. Increasing CD4 counts and antiretroviral treatment during TB treatment were protective against death. In HIV-uninfected TB cases, advancing age was independently associated with death, whereas smear-positive disease was protective. Conclusion: We identified several independent predictors of death during TB treatment in resource-constrained settings. Our findings inform resource-constrained settings about certain subgroups of TB patients that should be targeted to improve mortality during TB treatment.","author":[{"dropping-particle":"","family":"Pepper","given":"Dominique J.","non-dropping-particle":"","parse-names":false,"suffix":""},{"dropping-particle":"","family":"Schomaker","given":"Michael","non-dropping-particle":"","parse-names":false,"suffix":""},{"dropping-particle":"","family":"Wilkinson","given":"Robert J.","non-dropping-particle":"","parse-names":false,"suffix":""},{"dropping-particle":"","family":"Azevedo","given":"Virginia","non-dropping-particle":"","parse-names":false,"suffix":""},{"dropping-particle":"","family":"Maartens","given":"Gary","non-dropping-particle":"","parse-names":false,"suffix":""}],"container-title":"AIDS Research and Therapy","id":"ITEM-1","issue":"1","issued":{"date-parts":[["2015"]]},"page":"1-9","publisher":"BioMed Central","title":"Independent predictors of tuberculosis mortality in a high HIV prevalence setting: A retrospective cohort study","type":"article-journal","volume":"12"},"uris":["http://www.mendeley.com/documents/?uuid=3d10b293-2347-4563-b477-2417fa0ee547"]}],"mendeley":{"formattedCitation":"(73)","plainTextFormattedCitation":"(73)","previouslyFormattedCitation":"(73)"},"properties":{"noteIndex":0},"schema":"https://github.com/citation-style-language/schema/raw/master/csl-citation.json"}</w:instrText>
      </w:r>
      <w:r w:rsidRPr="00435469">
        <w:rPr>
          <w:sz w:val="20"/>
          <w:szCs w:val="20"/>
        </w:rPr>
        <w:fldChar w:fldCharType="separate"/>
      </w:r>
      <w:r w:rsidR="0016391D" w:rsidRPr="00435469">
        <w:rPr>
          <w:noProof/>
          <w:sz w:val="20"/>
          <w:szCs w:val="20"/>
        </w:rPr>
        <w:t>(73)</w:t>
      </w:r>
      <w:r w:rsidRPr="00435469">
        <w:rPr>
          <w:sz w:val="20"/>
          <w:szCs w:val="20"/>
        </w:rPr>
        <w:fldChar w:fldCharType="end"/>
      </w:r>
      <w:r w:rsidRPr="00435469">
        <w:rPr>
          <w:sz w:val="20"/>
          <w:szCs w:val="20"/>
        </w:rPr>
        <w:t xml:space="preserve">. </w:t>
      </w:r>
      <w:r w:rsidR="008023FA" w:rsidRPr="00435469">
        <w:rPr>
          <w:sz w:val="20"/>
          <w:szCs w:val="20"/>
        </w:rPr>
        <w:t xml:space="preserve">In most studies assessing TB mortality by age, the higher risk of death is in the 50+ years age categories </w:t>
      </w:r>
      <w:r w:rsidR="008023FA" w:rsidRPr="00435469">
        <w:rPr>
          <w:sz w:val="20"/>
          <w:szCs w:val="20"/>
        </w:rPr>
        <w:fldChar w:fldCharType="begin" w:fldLock="1"/>
      </w:r>
      <w:r w:rsidR="00A142FF" w:rsidRPr="00435469">
        <w:rPr>
          <w:sz w:val="20"/>
          <w:szCs w:val="20"/>
        </w:rPr>
        <w:instrText>ADDIN CSL_CITATION {"citationItems":[{"id":"ITEM-1","itemData":{"DOI":"10.1186/s12889-016-3972-2","ISSN":"14712458","PMID":"28061839","abstract":"BACKGROUND Since 1990, reduction of tuberculosis (TB) mortality has been lower in South Africa than in other high-burden countries in Africa. This research investigated the influence of routinely captured demographic and clinical or programme variables on death in TB patients in the Free State Province. METHODS A retrospective review of case information captured in the Electronic TB register (ETR.net) over the years 2003 to 2012 was conducted. Extracted data were subjected to descriptive and logistic regression analyses. The outcome variable was defined as all registered TB cases with 'died' as the recorded outcome. The variables associated with increased or decreased odds of dying in TB patients were established. The univariate and adjusted odds ratios (OR and AOR) together with their corresponding 95% confidence intervals (CI) were estimated, taking the clustering effect of the districts into account. RESULTS Of the 190,472 TB cases included in the analysis, 30,991 (16.3%) had 'died' as the recorded treatment outcome. The proportion of TB patients that died increased from 15.1% in 2003 to 17.8% in 2009, before declining to 15.4% in 2012. The odds of dying was incrementally higher in the older age groups: 8-17 years (AOR: 2.0; CI: 1.5-2.7), 18-49 years (AOR: 5.8; CI: 4.0-8.4), 50-64 years (AOR: 7.7; CI: 4.6-12.7), and ≥65 years (AOR: 14.4; CI: 10.3-20.2). Other factors associated with increased odds of mortality included: HIV co-infection (males - AOR: 2.4; CI: 2.1-2.8; females - AOR: 1.9; CI: 1.7-2.1) or unknown HIV status (males - AOR: 2.8; CI: 2.5-3.1; females - AOR: 2.4; CI: 2.2-2.6), having a negative (AOR: 1.4; CI: 1.3-1.6) or a missing (AOR: 2.1; CI: 1.4-3.2) pre-treatment sputum smear result, and being a retreatment case (AOR: 1.3; CI: 1.2-1.4). CONCLUSIONS Although mortality in TB patients in the Free State has been falling since 2009, it remained high at more than 15% in 2012. Appropriately targeted treatment and care for the identified high-risk groups could be considered.","author":[{"dropping-particle":"","family":"Heunis","given":"J. Christo","non-dropping-particle":"","parse-names":false,"suffix":""},{"dropping-particle":"","family":"Kigozi","given":"N. Gladys","non-dropping-particle":"","parse-names":false,"suffix":""},{"dropping-particle":"","family":"Chikobvu","given":"Perpetual","non-dropping-particle":"","parse-names":false,"suffix":""},{"dropping-particle":"","family":"Botha","given":"Sonja","non-dropping-particle":"","parse-names":false,"suffix":""},{"dropping-particle":"","family":"Rensburg","given":"Hcj Dingie","non-dropping-particle":"Van","parse-names":false,"suffix":""}],"container-title":"BMC Public Health","id":"ITEM-1","issue":"1","issued":{"date-parts":[["2017"]]},"page":"1-7","publisher":"BMC Public Health","title":"Risk factors for mortality in TB patients: A 10-year electronic record review in a South African province","type":"article-journal","volume":"17"},"uris":["http://www.mendeley.com/documents/?uuid=7a9ffec4-a9e8-4dad-a20f-df4df754640b"]},{"id":"ITEM-2","itemData":{"DOI":"10.1186/s12981-015-0076-5","ISSN":"17426405","abstract":"© 2015 Pepper et al. Background: Identifying those at increased risk of death during TB treatment is a priority in resource-constrained settings. We performed this study to determine predictors of mortality during TB treatment. Methods: We performed a retrospective analysis of a TB surveillance population in a high HIV prevalence area that was recorded in ETR.net (Electronic Tuberculosis Register). Adult TB cases initiated TB treatment from 2007 through 2009 in Khayelitsha, South Africa. Cox proportional hazards models were used to identify risk factors for death  (after multiple imputations for missing data). Model selection was performed using Akaike's Information Criterion to obtain the most relevant predictors of death. Results: Of 16,209 adult TB cases, 851 (5.3 %) died during TB treatment. In all TB cases, advancing age, co-infection with HIV, a prior history of TB and the presence of both pulmonary and extra-pulmonary TB were independently associated with an increasing hazard of death. In HIV-infected TB cases, advancing age and female gender were independently associated with an increasing hazard of death. Increasing CD4 counts and antiretroviral treatment during TB treatment were protective against death. In HIV-uninfected TB cases, advancing age was independently associated with death, whereas smear-positive disease was protective. Conclusion: We identified several independent predictors of death during TB treatment in resource-constrained settings. Our findings inform resource-constrained settings about certain subgroups of TB patients that should be targeted to improve mortality during TB treatment.","author":[{"dropping-particle":"","family":"Pepper","given":"Dominique J.","non-dropping-particle":"","parse-names":false,"suffix":""},{"dropping-particle":"","family":"Schomaker","given":"Michael","non-dropping-particle":"","parse-names":false,"suffix":""},{"dropping-particle":"","family":"Wilkinson","given":"Robert J.","non-dropping-particle":"","parse-names":false,"suffix":""},{"dropping-particle":"","family":"Azevedo","given":"Virginia","non-dropping-particle":"","parse-names":false,"suffix":""},{"dropping-particle":"","family":"Maartens","given":"Gary","non-dropping-particle":"","parse-names":false,"suffix":""}],"container-title":"AIDS Research and Therapy","id":"ITEM-2","issue":"1","issued":{"date-parts":[["2015"]]},"page":"1-9","publisher":"BioMed Central","title":"Independent predictors of tuberculosis mortality in a high HIV prevalence setting: A retrospective cohort study","type":"article-journal","volume":"12"},"uris":["http://www.mendeley.com/documents/?uuid=3d10b293-2347-4563-b477-2417fa0ee547"]},{"id":"ITEM-3","itemData":{"DOI":"10.1038/s41598-021-95331-w","ISBN":"0123456789","ISSN":"20452322","PMID":"34354135","abstract":"In 2011, the South African HIV treatment eligibility criteria were expanded to allow all tuberculosis (TB) patients lifelong ART. The impact of this change on TB mortality in South Africa is not known. We evaluated mortality in all adults (≥ 15 years old) treated for drug-susceptible TB in South Africa between 2009 and 2016. Using a Cox regression model, we quantified risk factors for mortality during TB treatment and present standardised mortality ratios (SMR) stratified by year, age, sex, and HIV status. During the study period, 8.6% (219,618/2,551,058) of adults on TB treatment died. Older age, male sex, previous TB treatment and HIV infection (with or without the use of ART) were associated with increased hazard of mortality. There was a 19% reduction in hazard of mortality amongst all TB patients between 2009 and 2016 (adjusted hazard ratio: 0.81 95%CI 0.80–0.83). The highest SMR was in 15–24-year-old women, more than double that of men (42.3 in 2016). Between 2009 and 2016, the SMR for HIV-positive TB patients increased, from 9.0 to 19.6 in women, and 7.0 to 10.6 in men. In South Africa, case fatality during TB treatment is decreasing and further interventions to address specific risk factors for TB mortality are required. Young women (15–24-year-olds) with TB experience a disproportionate burden of mortality and interventions targeting this age-group are needed.","author":[{"dropping-particle":"","family":"Osman","given":"Muhammad","non-dropping-particle":"","parse-names":false,"suffix":""},{"dropping-particle":"","family":"Schalkwyk","given":"Cari","non-dropping-particle":"van","parse-names":false,"suffix":""},{"dropping-particle":"","family":"Naidoo","given":"Pren","non-dropping-particle":"","parse-names":false,"suffix":""},{"dropping-particle":"","family":"Seddon","given":"James A.","non-dropping-particle":"","parse-names":false,"suffix":""},{"dropping-particle":"","family":"Dunbar","given":"Rory","non-dropping-particle":"","parse-names":false,"suffix":""},{"dropping-particle":"","family":"Dlamini","given":"Sicelo S.","non-dropping-particle":"","parse-names":false,"suffix":""},{"dropping-particle":"","family":"Welte","given":"Alex","non-dropping-particle":"","parse-names":false,"suffix":""},{"dropping-particle":"","family":"Hesseling","given":"Anneke C.","non-dropping-particle":"","parse-names":false,"suffix":""},{"dropping-particle":"","family":"Claassens","given":"Mareli M.","non-dropping-particle":"","parse-names":false,"suffix":""}],"container-title":"Scientific Reports","id":"ITEM-3","issue":"1","issued":{"date-parts":[["2021"]]},"page":"1-10","publisher":"Nature Publishing Group UK","title":"Mortality during tuberculosis treatment in South Africa using an 8-year analysis of the national tuberculosis treatment register","type":"article-journal","volume":"11"},"uris":["http://www.mendeley.com/documents/?uuid=e6779f40-d610-4700-bc38-beb1429786e6"]}],"mendeley":{"formattedCitation":"(73,95,96)","plainTextFormattedCitation":"(73,95,96)","previouslyFormattedCitation":"(73,95,96)"},"properties":{"noteIndex":0},"schema":"https://github.com/citation-style-language/schema/raw/master/csl-citation.json"}</w:instrText>
      </w:r>
      <w:r w:rsidR="008023FA" w:rsidRPr="00435469">
        <w:rPr>
          <w:sz w:val="20"/>
          <w:szCs w:val="20"/>
        </w:rPr>
        <w:fldChar w:fldCharType="separate"/>
      </w:r>
      <w:r w:rsidR="0016391D" w:rsidRPr="00435469">
        <w:rPr>
          <w:noProof/>
          <w:sz w:val="20"/>
          <w:szCs w:val="20"/>
        </w:rPr>
        <w:t>(73,95,96)</w:t>
      </w:r>
      <w:r w:rsidR="008023FA" w:rsidRPr="00435469">
        <w:rPr>
          <w:sz w:val="20"/>
          <w:szCs w:val="20"/>
        </w:rPr>
        <w:fldChar w:fldCharType="end"/>
      </w:r>
      <w:r w:rsidR="008023FA" w:rsidRPr="00435469">
        <w:rPr>
          <w:sz w:val="20"/>
          <w:szCs w:val="20"/>
        </w:rPr>
        <w:t xml:space="preserve">. </w:t>
      </w:r>
    </w:p>
    <w:p w14:paraId="164643A3" w14:textId="78AFC5B8" w:rsidR="006438A9" w:rsidRPr="00435469" w:rsidRDefault="00463495" w:rsidP="00955FFB">
      <w:pPr>
        <w:pStyle w:val="xmsonormal"/>
        <w:shd w:val="clear" w:color="auto" w:fill="FFFFFF"/>
        <w:spacing w:before="0" w:beforeAutospacing="0" w:after="0" w:afterAutospacing="0"/>
        <w:rPr>
          <w:sz w:val="20"/>
          <w:szCs w:val="20"/>
        </w:rPr>
      </w:pPr>
      <w:r w:rsidRPr="00435469">
        <w:rPr>
          <w:sz w:val="20"/>
          <w:szCs w:val="20"/>
        </w:rPr>
        <w:t xml:space="preserve">We assigned a </w:t>
      </w:r>
      <w:r w:rsidR="00FD5DBA" w:rsidRPr="00435469">
        <w:rPr>
          <w:sz w:val="20"/>
          <w:szCs w:val="20"/>
        </w:rPr>
        <w:t>Gamma(</w:t>
      </w:r>
      <w:r w:rsidR="00274A23" w:rsidRPr="00435469">
        <w:rPr>
          <w:sz w:val="20"/>
          <w:szCs w:val="20"/>
        </w:rPr>
        <w:t>196;140</w:t>
      </w:r>
      <w:r w:rsidR="00FD5DBA" w:rsidRPr="00435469">
        <w:rPr>
          <w:sz w:val="20"/>
          <w:szCs w:val="20"/>
        </w:rPr>
        <w:t xml:space="preserve">) prior distribution for </w:t>
      </w:r>
      <w:r w:rsidR="00274A23" w:rsidRPr="00435469">
        <w:rPr>
          <w:sz w:val="20"/>
          <w:szCs w:val="20"/>
        </w:rPr>
        <w:t xml:space="preserve">the uncertainty around </w:t>
      </w:r>
      <w:r w:rsidR="00FD5DBA" w:rsidRPr="00435469">
        <w:rPr>
          <w:sz w:val="20"/>
          <w:szCs w:val="20"/>
        </w:rPr>
        <w:t>this parameter, w</w:t>
      </w:r>
      <w:r w:rsidR="00981111" w:rsidRPr="00435469">
        <w:rPr>
          <w:sz w:val="20"/>
          <w:szCs w:val="20"/>
        </w:rPr>
        <w:t>e set the mean of this distribution at</w:t>
      </w:r>
      <w:r w:rsidR="00FD5DBA" w:rsidRPr="00435469">
        <w:rPr>
          <w:sz w:val="20"/>
          <w:szCs w:val="20"/>
        </w:rPr>
        <w:t xml:space="preserve"> 1.4 and</w:t>
      </w:r>
      <w:r w:rsidR="00981111" w:rsidRPr="00435469">
        <w:rPr>
          <w:sz w:val="20"/>
          <w:szCs w:val="20"/>
        </w:rPr>
        <w:t xml:space="preserve"> the</w:t>
      </w:r>
      <w:r w:rsidR="00FD5DBA" w:rsidRPr="00435469">
        <w:rPr>
          <w:sz w:val="20"/>
          <w:szCs w:val="20"/>
        </w:rPr>
        <w:t xml:space="preserve"> </w:t>
      </w:r>
      <w:r w:rsidR="008F5E86" w:rsidRPr="00435469">
        <w:rPr>
          <w:sz w:val="20"/>
          <w:szCs w:val="20"/>
        </w:rPr>
        <w:t xml:space="preserve">standard deviation </w:t>
      </w:r>
      <w:r w:rsidR="00981111" w:rsidRPr="00435469">
        <w:rPr>
          <w:sz w:val="20"/>
          <w:szCs w:val="20"/>
        </w:rPr>
        <w:t>at</w:t>
      </w:r>
      <w:r w:rsidR="008F5E86" w:rsidRPr="00435469">
        <w:rPr>
          <w:sz w:val="20"/>
          <w:szCs w:val="20"/>
        </w:rPr>
        <w:t xml:space="preserve"> 0.1</w:t>
      </w:r>
      <w:r w:rsidR="008D753A" w:rsidRPr="00435469">
        <w:rPr>
          <w:sz w:val="20"/>
          <w:szCs w:val="20"/>
        </w:rPr>
        <w:t xml:space="preserve"> based on these two studies </w:t>
      </w:r>
      <w:r w:rsidR="008D753A" w:rsidRPr="00435469">
        <w:rPr>
          <w:sz w:val="20"/>
          <w:szCs w:val="20"/>
        </w:rPr>
        <w:fldChar w:fldCharType="begin" w:fldLock="1"/>
      </w:r>
      <w:r w:rsidR="00A142FF" w:rsidRPr="00435469">
        <w:rPr>
          <w:sz w:val="20"/>
          <w:szCs w:val="20"/>
        </w:rPr>
        <w:instrText>ADDIN CSL_CITATION {"citationItems":[{"id":"ITEM-1","itemData":{"DOI":"10.1186/s12981-015-0076-5","ISSN":"17426405","abstract":"© 2015 Pepper et al. Background: Identifying those at increased risk of death during TB treatment is a priority in resource-constrained settings. We performed this study to determine predictors of mortality during TB treatment. Methods: We performed a retrospective analysis of a TB surveillance population in a high HIV prevalence area that was recorded in ETR.net (Electronic Tuberculosis Register). Adult TB cases initiated TB treatment from 2007 through 2009 in Khayelitsha, South Africa. Cox proportional hazards models were used to identify risk factors for death  (after multiple imputations for missing data). Model selection was performed using Akaike's Information Criterion to obtain the most relevant predictors of death. Results: Of 16,209 adult TB cases, 851 (5.3 %) died during TB treatment. In all TB cases, advancing age, co-infection with HIV, a prior history of TB and the presence of both pulmonary and extra-pulmonary TB were independently associated with an increasing hazard of death. In HIV-infected TB cases, advancing age and female gender were independently associated with an increasing hazard of death. Increasing CD4 counts and antiretroviral treatment during TB treatment were protective against death. In HIV-uninfected TB cases, advancing age was independently associated with death, whereas smear-positive disease was protective. Conclusion: We identified several independent predictors of death during TB treatment in resource-constrained settings. Our findings inform resource-constrained settings about certain subgroups of TB patients that should be targeted to improve mortality during TB treatment.","author":[{"dropping-particle":"","family":"Pepper","given":"Dominique J.","non-dropping-particle":"","parse-names":false,"suffix":""},{"dropping-particle":"","family":"Schomaker","given":"Michael","non-dropping-particle":"","parse-names":false,"suffix":""},{"dropping-particle":"","family":"Wilkinson","given":"Robert J.","non-dropping-particle":"","parse-names":false,"suffix":""},{"dropping-particle":"","family":"Azevedo","given":"Virginia","non-dropping-particle":"","parse-names":false,"suffix":""},{"dropping-particle":"","family":"Maartens","given":"Gary","non-dropping-particle":"","parse-names":false,"suffix":""}],"container-title":"AIDS Research and Therapy","id":"ITEM-1","issue":"1","issued":{"date-parts":[["2015"]]},"page":"1-9","publisher":"BioMed Central","title":"Independent predictors of tuberculosis mortality in a high HIV prevalence setting: A retrospective cohort study","type":"article-journal","volume":"12"},"uris":["http://www.mendeley.com/documents/?uuid=3d10b293-2347-4563-b477-2417fa0ee547"]},{"id":"ITEM-2","itemData":{"DOI":"10.1186/s12879-018-3256-9","ISBN":"1287901832","ISSN":"14712334","abstract":"Background: In Cape Town, the roll-out of antiretroviral therapy (ART) has increased over the last decade with an estimated coverage of 63% of HIV-positive patients in 2013. The influence of ART on the characteristics of the population of HIV-positive patients presenting to the primary care TB programme is unknown. In this study, we examined trends in CD4 count distribution, ART usage and treatment outcomes among HIV-positive TB patients in Cape Town from 2009 to 2013. Methods: Data from the electronic TB register on all newly registered drug-sensitive TB patients ≥18 years were analyzed retrospectively. Descriptive statistics were used to compare baseline characteristics, the CD4 count distribution and TB treatment outcomes both by year of treatment and ART status at the start of TB treatment. Survival analyses were used to assess the change in mortality risk during TB treatment over time, stratified by ART status at start of TB treatment.","author":[{"dropping-particle":"","family":"Kaplan","given":"Richard","non-dropping-particle":"","parse-names":false,"suffix":""},{"dropping-particle":"","family":"Hermans","given":"Sabine","non-dropping-particle":"","parse-names":false,"suffix":""},{"dropping-particle":"","family":"Caldwell","given":"Judy","non-dropping-particle":"","parse-names":false,"suffix":""},{"dropping-particle":"","family":"Jennings","given":"Karen","non-dropping-particle":"","parse-names":false,"suffix":""},{"dropping-particle":"","family":"Bekker","given":"Linda Gail","non-dropping-particle":"","parse-names":false,"suffix":""},{"dropping-particle":"","family":"Wood","given":"Robin","non-dropping-particle":"","parse-names":false,"suffix":""}],"container-title":"BMC Infectious Diseases","id":"ITEM-2","issue":"1","issued":{"date-parts":[["2018"]]},"page":"1-9","publisher":"BMC Infectious Diseases","title":"HIV and TB co-infection in the ART era: CD4 count distributions and TB case fatality in Cape Town","type":"article-journal","volume":"18"},"uris":["http://www.mendeley.com/documents/?uuid=743d6460-b526-4c8d-9391-dae94ad7efd8"]}],"mendeley":{"formattedCitation":"(73,92)","plainTextFormattedCitation":"(73,92)","previouslyFormattedCitation":"(73,92)"},"properties":{"noteIndex":0},"schema":"https://github.com/citation-style-language/schema/raw/master/csl-citation.json"}</w:instrText>
      </w:r>
      <w:r w:rsidR="008D753A" w:rsidRPr="00435469">
        <w:rPr>
          <w:sz w:val="20"/>
          <w:szCs w:val="20"/>
        </w:rPr>
        <w:fldChar w:fldCharType="separate"/>
      </w:r>
      <w:r w:rsidR="0016391D" w:rsidRPr="00435469">
        <w:rPr>
          <w:noProof/>
          <w:sz w:val="20"/>
          <w:szCs w:val="20"/>
        </w:rPr>
        <w:t>(73,92)</w:t>
      </w:r>
      <w:r w:rsidR="008D753A" w:rsidRPr="00435469">
        <w:rPr>
          <w:sz w:val="20"/>
          <w:szCs w:val="20"/>
        </w:rPr>
        <w:fldChar w:fldCharType="end"/>
      </w:r>
      <w:r w:rsidR="008F5E86" w:rsidRPr="00435469">
        <w:rPr>
          <w:sz w:val="20"/>
          <w:szCs w:val="20"/>
        </w:rPr>
        <w:t>.</w:t>
      </w:r>
      <w:r w:rsidR="00274A23" w:rsidRPr="00435469">
        <w:rPr>
          <w:sz w:val="20"/>
          <w:szCs w:val="20"/>
        </w:rPr>
        <w:t xml:space="preserve"> Th</w:t>
      </w:r>
      <w:r w:rsidR="00B97BBA" w:rsidRPr="00435469">
        <w:rPr>
          <w:sz w:val="20"/>
          <w:szCs w:val="20"/>
        </w:rPr>
        <w:t>e baseline age to which these</w:t>
      </w:r>
      <w:r w:rsidR="00CE5ED3" w:rsidRPr="00435469">
        <w:rPr>
          <w:sz w:val="20"/>
          <w:szCs w:val="20"/>
        </w:rPr>
        <w:t xml:space="preserve"> age</w:t>
      </w:r>
      <w:r w:rsidR="00B97BBA" w:rsidRPr="00435469">
        <w:rPr>
          <w:sz w:val="20"/>
          <w:szCs w:val="20"/>
        </w:rPr>
        <w:t xml:space="preserve"> effects apply is </w:t>
      </w:r>
      <w:r w:rsidR="008458B1" w:rsidRPr="00435469">
        <w:rPr>
          <w:sz w:val="20"/>
          <w:szCs w:val="20"/>
        </w:rPr>
        <w:t>5</w:t>
      </w:r>
      <w:r w:rsidR="00B97BBA" w:rsidRPr="00435469">
        <w:rPr>
          <w:sz w:val="20"/>
          <w:szCs w:val="20"/>
        </w:rPr>
        <w:t>5 years</w:t>
      </w:r>
      <w:r w:rsidR="00C04902" w:rsidRPr="00435469">
        <w:rPr>
          <w:sz w:val="20"/>
          <w:szCs w:val="20"/>
        </w:rPr>
        <w:t xml:space="preserve">. </w:t>
      </w:r>
      <w:r w:rsidR="00F03457" w:rsidRPr="00435469">
        <w:rPr>
          <w:sz w:val="20"/>
          <w:szCs w:val="20"/>
        </w:rPr>
        <w:t xml:space="preserve">Studies assessing the effect of age on TB mortality were conducted in patients on treatment, and due to the lack of similar studies in untreated TB patients we rely on these same studies in setting assumed age effects for untreated patients. </w:t>
      </w:r>
    </w:p>
    <w:p w14:paraId="53CC158F" w14:textId="77777777" w:rsidR="006438A9" w:rsidRPr="00435469" w:rsidRDefault="006438A9" w:rsidP="00955FFB">
      <w:pPr>
        <w:pStyle w:val="xmsonormal"/>
        <w:shd w:val="clear" w:color="auto" w:fill="FFFFFF"/>
        <w:spacing w:before="0" w:beforeAutospacing="0" w:after="0" w:afterAutospacing="0"/>
        <w:rPr>
          <w:sz w:val="20"/>
          <w:szCs w:val="20"/>
        </w:rPr>
      </w:pPr>
    </w:p>
    <w:p w14:paraId="5B577BC6" w14:textId="5F40EF15" w:rsidR="00502DCA" w:rsidRPr="00435469" w:rsidRDefault="00502DCA" w:rsidP="00955FFB">
      <w:pPr>
        <w:pStyle w:val="Heading4"/>
        <w:rPr>
          <w:sz w:val="20"/>
          <w:szCs w:val="20"/>
        </w:rPr>
      </w:pPr>
      <w:r w:rsidRPr="00435469">
        <w:rPr>
          <w:sz w:val="20"/>
          <w:szCs w:val="20"/>
        </w:rPr>
        <w:t>Modelling the effect of human immunodeficiency virus and the use of antiretroviral therapy on tuberculosis mortality</w:t>
      </w:r>
    </w:p>
    <w:p w14:paraId="21191B43" w14:textId="53A5AB31" w:rsidR="008D34F2" w:rsidRPr="00435469" w:rsidRDefault="00894F68" w:rsidP="00955FFB">
      <w:pPr>
        <w:pStyle w:val="1Para"/>
        <w:spacing w:line="240" w:lineRule="auto"/>
        <w:ind w:firstLine="0"/>
        <w:rPr>
          <w:rFonts w:eastAsia="Calibri" w:cs="Times New Roman"/>
          <w:sz w:val="20"/>
          <w:szCs w:val="20"/>
        </w:rPr>
      </w:pPr>
      <w:r w:rsidRPr="00435469">
        <w:rPr>
          <w:rFonts w:cs="Times New Roman"/>
          <w:sz w:val="20"/>
          <w:szCs w:val="20"/>
          <w:lang w:val="en-US"/>
        </w:rPr>
        <w:t xml:space="preserve">Here </w:t>
      </w:r>
      <w:r w:rsidR="00502DCA" w:rsidRPr="00435469">
        <w:rPr>
          <w:rFonts w:cs="Times New Roman"/>
          <w:sz w:val="20"/>
          <w:szCs w:val="20"/>
          <w:lang w:val="en-US"/>
        </w:rPr>
        <w:t xml:space="preserve">we describe how we incorporated the </w:t>
      </w:r>
      <w:r w:rsidR="00502DCA" w:rsidRPr="00435469">
        <w:rPr>
          <w:rFonts w:eastAsia="Calibri" w:cs="Times New Roman"/>
          <w:sz w:val="20"/>
          <w:szCs w:val="20"/>
        </w:rPr>
        <w:t xml:space="preserve">effect of HIV on both treated and untreated TB </w:t>
      </w:r>
      <w:r w:rsidR="00BC7747" w:rsidRPr="00435469">
        <w:rPr>
          <w:rFonts w:eastAsia="Calibri" w:cs="Times New Roman"/>
          <w:sz w:val="20"/>
          <w:szCs w:val="20"/>
        </w:rPr>
        <w:t>mortality rates</w:t>
      </w:r>
      <w:r w:rsidR="00502DCA" w:rsidRPr="00435469">
        <w:rPr>
          <w:rFonts w:eastAsia="Calibri" w:cs="Times New Roman"/>
          <w:sz w:val="20"/>
          <w:szCs w:val="20"/>
        </w:rPr>
        <w:t>.</w:t>
      </w:r>
      <w:r w:rsidR="008D34F2" w:rsidRPr="00435469">
        <w:rPr>
          <w:sz w:val="20"/>
          <w:szCs w:val="20"/>
        </w:rPr>
        <w:t xml:space="preserve"> There are limited studies on the natural history of TB in people living with HIV and most of the studies on TB mortality rates in people living with HIV have been conducted among patients receiving TB treatment. As such, for the purpose of setting the assumptions about the effect of HIV on untreated TB mortality we rely on the literature from treated TB patients.</w:t>
      </w:r>
    </w:p>
    <w:p w14:paraId="463431FF" w14:textId="67037EFC" w:rsidR="00502DCA" w:rsidRPr="00435469" w:rsidRDefault="00502DCA" w:rsidP="00955FFB">
      <w:pPr>
        <w:pStyle w:val="1Para"/>
        <w:spacing w:line="240" w:lineRule="auto"/>
        <w:ind w:firstLine="0"/>
        <w:rPr>
          <w:rFonts w:cs="Times New Roman"/>
          <w:sz w:val="20"/>
          <w:szCs w:val="20"/>
        </w:rPr>
      </w:pPr>
      <w:r w:rsidRPr="00435469">
        <w:rPr>
          <w:rFonts w:eastAsia="Calibri" w:cs="Times New Roman"/>
          <w:sz w:val="20"/>
          <w:szCs w:val="20"/>
        </w:rPr>
        <w:t xml:space="preserve">We first define the relative rate of </w:t>
      </w:r>
      <w:r w:rsidRPr="00435469">
        <w:rPr>
          <w:rFonts w:cs="Times New Roman"/>
          <w:sz w:val="20"/>
          <w:szCs w:val="20"/>
        </w:rPr>
        <w:t xml:space="preserve">TB mortality per 50 cell increase in CD4 count in HIV-positive individuals, and estimate this parameter based on the findings from Kaplan </w:t>
      </w:r>
      <w:r w:rsidRPr="00435469">
        <w:rPr>
          <w:rFonts w:cs="Times New Roman"/>
          <w:i/>
          <w:iCs/>
          <w:sz w:val="20"/>
          <w:szCs w:val="20"/>
        </w:rPr>
        <w:t xml:space="preserve">et al.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{"citationItems":[{"id":"ITEM-1","itemData":{"DOI":"10.1186/s12879-018-3256-9","ISBN":"1287901832","ISSN":"14712334","abstract":"Background: In Cape Town, the roll-out of antiretroviral therapy (ART) has increased over the last decade with an estimated coverage of 63% of HIV-positive patients in 2013. The influence of ART on the characteristics of the population of HIV-positive patients presenting to the primary care TB programme is unknown. In this study, we examined trends in CD4 count distribution, ART usage and treatment outcomes among HIV-positive TB patients in Cape Town from 2009 to 2013. Methods: Data from the electronic TB register on all newly registered drug-sensitive TB patients ≥18 years were analyzed retrospectively. Descriptive statistics were used to compare baseline characteristics, the CD4 count distribution and TB treatment outcomes both by year of treatment and ART status at the start of TB treatment. Survival analyses were used to assess the change in mortality risk during TB treatment over time, stratified by ART status at start of TB treatment.","author":[{"dropping-particle":"","family":"Kaplan","given":"Richard","non-dropping-particle":"","parse-names":false,"suffix":""},{"dropping-particle":"","family":"Hermans","given":"Sabine","non-dropping-particle":"","parse-names":false,"suffix":""},{"dropping-particle":"","family":"Caldwell","given":"Judy","non-dropping-particle":"","parse-names":false,"suffix":""},{"dropping-particle":"","family":"Jennings","given":"Karen","non-dropping-particle":"","parse-names":false,"suffix":""},{"dropping-particle":"","family":"Bekker","given":"Linda Gail","non-dropping-particle":"","parse-names":false,"suffix":""},{"dropping-particle":"","family":"Wood","given":"Robin","non-dropping-particle":"","parse-names":false,"suffix":""}],"container-title":"BMC Infectious Diseases","id":"ITEM-1","issue":"1","issued":{"date-parts":[["2018"]]},"page":"1-9","publisher":"BMC Infectious Diseases","title":"HIV and TB co-infection in the ART era: CD4 count distributions and TB case fatality in Cape Town","type":"article-journal","volume":"18"},"uris":["http://www.mendeley.com/documents/?uuid=743d6460-b526-4c8d-9391-dae94ad7efd8"]}],"mendeley":{"formattedCitation":"(92)","plainTextFormattedCitation":"(92)","previouslyFormattedCitation":"(92)"},"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(92)</w:t>
      </w:r>
      <w:r w:rsidRPr="00435469">
        <w:rPr>
          <w:rFonts w:cs="Times New Roman"/>
          <w:sz w:val="20"/>
          <w:szCs w:val="20"/>
        </w:rPr>
        <w:fldChar w:fldCharType="end"/>
      </w:r>
      <w:r w:rsidRPr="00435469">
        <w:rPr>
          <w:rFonts w:cs="Times New Roman"/>
          <w:sz w:val="20"/>
          <w:szCs w:val="20"/>
        </w:rPr>
        <w:t xml:space="preserve">. The study sought to </w:t>
      </w:r>
      <w:r w:rsidRPr="00435469">
        <w:rPr>
          <w:sz w:val="20"/>
          <w:szCs w:val="20"/>
          <w:shd w:val="clear" w:color="auto" w:fill="FFFFFF"/>
        </w:rPr>
        <w:t xml:space="preserve">determine changes in TB treatment outcomes among HIV-positive TB individuals; </w:t>
      </w:r>
      <w:r w:rsidRPr="00435469">
        <w:rPr>
          <w:rFonts w:cs="Times New Roman"/>
          <w:sz w:val="20"/>
          <w:szCs w:val="20"/>
          <w:lang w:val="en-ZA"/>
        </w:rPr>
        <w:t>and relied on data of adult TB patients newly registered on the electronic TB register in Cape Town (2009-2013). From this analysis,</w:t>
      </w:r>
      <w:r w:rsidRPr="00435469">
        <w:rPr>
          <w:rFonts w:cs="Times New Roman"/>
          <w:sz w:val="20"/>
          <w:szCs w:val="20"/>
        </w:rPr>
        <w:t xml:space="preserve"> an increase in 50 CD4 </w:t>
      </w:r>
      <w:r w:rsidRPr="00435469">
        <w:rPr>
          <w:rFonts w:eastAsia="Calibri" w:cs="Times New Roman"/>
          <w:sz w:val="20"/>
          <w:szCs w:val="20"/>
        </w:rPr>
        <w:t>cells/</w:t>
      </w:r>
      <w:proofErr w:type="spellStart"/>
      <w:r w:rsidRPr="00435469">
        <w:rPr>
          <w:rFonts w:eastAsia="Calibri" w:cs="Times New Roman"/>
          <w:sz w:val="20"/>
          <w:szCs w:val="20"/>
        </w:rPr>
        <w:t>μl</w:t>
      </w:r>
      <w:proofErr w:type="spellEnd"/>
      <w:r w:rsidRPr="00435469">
        <w:rPr>
          <w:rFonts w:cs="Times New Roman"/>
          <w:sz w:val="20"/>
          <w:szCs w:val="20"/>
        </w:rPr>
        <w:t xml:space="preserve"> was associated with a decrease in mortality risk (</w:t>
      </w:r>
      <w:r w:rsidRPr="00435469">
        <w:rPr>
          <w:sz w:val="20"/>
          <w:szCs w:val="20"/>
          <w:shd w:val="clear" w:color="auto" w:fill="FFFFFF"/>
        </w:rPr>
        <w:t>HR 0.87, 95% C1 0.84–0.89</w:t>
      </w:r>
      <w:r w:rsidRPr="00435469">
        <w:rPr>
          <w:rFonts w:cs="Times New Roman"/>
          <w:sz w:val="20"/>
          <w:szCs w:val="20"/>
        </w:rPr>
        <w:t xml:space="preserve">). A Beta (38.49; 5.75) prior </w:t>
      </w:r>
      <w:r w:rsidR="004026CC" w:rsidRPr="00435469">
        <w:rPr>
          <w:rFonts w:cs="Times New Roman"/>
          <w:sz w:val="20"/>
          <w:szCs w:val="20"/>
        </w:rPr>
        <w:t xml:space="preserve">distribution </w:t>
      </w:r>
      <w:r w:rsidRPr="00435469">
        <w:rPr>
          <w:rFonts w:cs="Times New Roman"/>
          <w:sz w:val="20"/>
          <w:szCs w:val="20"/>
        </w:rPr>
        <w:t>was specified for the relative risk of death per 50 cell increase in CD4 coun</w:t>
      </w:r>
      <w:r w:rsidR="0062718B" w:rsidRPr="00435469">
        <w:rPr>
          <w:rFonts w:cs="Times New Roman"/>
          <w:sz w:val="20"/>
          <w:szCs w:val="20"/>
        </w:rPr>
        <w:t xml:space="preserve">t, </w:t>
      </w:r>
      <w:r w:rsidR="00A615F8" w:rsidRPr="00435469">
        <w:rPr>
          <w:rFonts w:cs="Times New Roman"/>
          <w:sz w:val="20"/>
          <w:szCs w:val="20"/>
        </w:rPr>
        <w:t xml:space="preserve">with a mean of 0.87 and standard deviation </w:t>
      </w:r>
      <w:r w:rsidRPr="00435469">
        <w:rPr>
          <w:rFonts w:cs="Times New Roman"/>
          <w:sz w:val="20"/>
          <w:szCs w:val="20"/>
        </w:rPr>
        <w:t>of 0.</w:t>
      </w:r>
      <w:r w:rsidR="00451836" w:rsidRPr="00435469">
        <w:rPr>
          <w:rFonts w:cs="Times New Roman"/>
          <w:sz w:val="20"/>
          <w:szCs w:val="20"/>
        </w:rPr>
        <w:t>0</w:t>
      </w:r>
      <w:r w:rsidR="00A50264" w:rsidRPr="00435469">
        <w:rPr>
          <w:rFonts w:cs="Times New Roman"/>
          <w:sz w:val="20"/>
          <w:szCs w:val="20"/>
        </w:rPr>
        <w:t>5</w:t>
      </w:r>
      <w:r w:rsidR="004026CC" w:rsidRPr="00435469">
        <w:rPr>
          <w:rFonts w:cs="Times New Roman"/>
          <w:i/>
          <w:iCs/>
          <w:sz w:val="20"/>
          <w:szCs w:val="20"/>
        </w:rPr>
        <w:t xml:space="preserve"> </w:t>
      </w:r>
      <w:r w:rsidR="004026CC"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{"citationItems":[{"id":"ITEM-1","itemData":{"DOI":"10.1186/s12879-018-3256-9","ISBN":"1287901832","ISSN":"14712334","abstract":"Background: In Cape Town, the roll-out of antiretroviral therapy (ART) has increased over the last decade with an estimated coverage of 63% of HIV-positive patients in 2013. The influence of ART on the characteristics of the population of HIV-positive patients presenting to the primary care TB programme is unknown. In this study, we examined trends in CD4 count distribution, ART usage and treatment outcomes among HIV-positive TB patients in Cape Town from 2009 to 2013. Methods: Data from the electronic TB register on all newly registered drug-sensitive TB patients ≥18 years were analyzed retrospectively. Descriptive statistics were used to compare baseline characteristics, the CD4 count distribution and TB treatment outcomes both by year of treatment and ART status at the start of TB treatment. Survival analyses were used to assess the change in mortality risk during TB treatment over time, stratified by ART status at start of TB treatment.","author":[{"dropping-particle":"","family":"Kaplan","given":"Richard","non-dropping-particle":"","parse-names":false,"suffix":""},{"dropping-particle":"","family":"Hermans","given":"Sabine","non-dropping-particle":"","parse-names":false,"suffix":""},{"dropping-particle":"","family":"Caldwell","given":"Judy","non-dropping-particle":"","parse-names":false,"suffix":""},{"dropping-particle":"","family":"Jennings","given":"Karen","non-dropping-particle":"","parse-names":false,"suffix":""},{"dropping-particle":"","family":"Bekker","given":"Linda Gail","non-dropping-particle":"","parse-names":false,"suffix":""},{"dropping-particle":"","family":"Wood","given":"Robin","non-dropping-particle":"","parse-names":false,"suffix":""}],"container-title":"BMC Infectious Diseases","id":"ITEM-1","issue":"1","issued":{"date-parts":[["2018"]]},"page":"1-9","publisher":"BMC Infectious Diseases","title":"HIV and TB co-infection in the ART era: CD4 count distributions and TB case fatality in Cape Town","type":"article-journal","volume":"18"},"uris":["http://www.mendeley.com/documents/?uuid=743d6460-b526-4c8d-9391-dae94ad7efd8"]}],"mendeley":{"formattedCitation":"(92)","plainTextFormattedCitation":"(92)","previouslyFormattedCitation":"(92)"},"properties":{"noteIndex":0},"schema":"https://github.com/citation-style-language/schema/raw/master/csl-citation.json"}</w:instrText>
      </w:r>
      <w:r w:rsidR="004026CC" w:rsidRPr="00435469">
        <w:rPr>
          <w:rFonts w:cs="Times New Roman"/>
          <w:sz w:val="20"/>
          <w:szCs w:val="20"/>
        </w:rPr>
        <w:fldChar w:fldCharType="separate"/>
      </w:r>
      <w:r w:rsidR="0016391D" w:rsidRPr="00435469">
        <w:rPr>
          <w:rFonts w:cs="Times New Roman"/>
          <w:noProof/>
          <w:sz w:val="20"/>
          <w:szCs w:val="20"/>
        </w:rPr>
        <w:t>(92)</w:t>
      </w:r>
      <w:r w:rsidR="004026CC" w:rsidRPr="00435469">
        <w:rPr>
          <w:rFonts w:cs="Times New Roman"/>
          <w:sz w:val="20"/>
          <w:szCs w:val="20"/>
        </w:rPr>
        <w:fldChar w:fldCharType="end"/>
      </w:r>
      <w:r w:rsidR="004026CC" w:rsidRPr="00435469">
        <w:rPr>
          <w:rFonts w:cs="Times New Roman"/>
          <w:sz w:val="20"/>
          <w:szCs w:val="20"/>
        </w:rPr>
        <w:t xml:space="preserve">. </w:t>
      </w:r>
    </w:p>
    <w:p w14:paraId="5B6EE006" w14:textId="7DEABA74" w:rsidR="00502DCA" w:rsidRPr="00435469" w:rsidRDefault="004E2FB1" w:rsidP="00955FFB">
      <w:pPr>
        <w:pStyle w:val="1Para"/>
        <w:spacing w:line="240" w:lineRule="auto"/>
        <w:ind w:firstLine="0"/>
        <w:rPr>
          <w:rFonts w:cs="Times New Roman"/>
          <w:sz w:val="20"/>
          <w:szCs w:val="20"/>
        </w:rPr>
      </w:pPr>
      <w:r w:rsidRPr="00435469">
        <w:rPr>
          <w:rFonts w:cs="Times New Roman"/>
          <w:sz w:val="20"/>
          <w:szCs w:val="20"/>
        </w:rPr>
        <w:t xml:space="preserve">Secondly, we assume there is an </w:t>
      </w:r>
      <w:r w:rsidRPr="00435469">
        <w:rPr>
          <w:rFonts w:cs="Times New Roman"/>
          <w:sz w:val="20"/>
          <w:szCs w:val="20"/>
          <w:lang w:val="en-US"/>
        </w:rPr>
        <w:t>effect of HIV viremia on TB mortality</w:t>
      </w:r>
      <w:r w:rsidRPr="00435469">
        <w:rPr>
          <w:rFonts w:cs="Times New Roman"/>
          <w:sz w:val="20"/>
          <w:szCs w:val="20"/>
        </w:rPr>
        <w:t xml:space="preserve">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{"citationItems":[{"id":"ITEM-1","itemData":{"DOI":"10.1186/1471-2458-9-409","ISSN":"14712458","abstract":"Background: HIV has fuelled the TB epidemic in sub-Saharan Africa. Mortality in patients co-infected with TB and HIV is high. Managing factors influencing mortality in TB patients might help reducing it. This study investigates factors associated with mortality including patients' HIV sero-status, CD4 cell count, laboratory, nutritional and demographic characteristics in AFB smear positive pulmonary TB patients. Methods: We studied 887 sputum smear positive PTB patients, between 18 and 65 years of age receiving standard 8 months anti-TB treatment. Demographic, anthropometric and laboratory data including HIV, CD4 and other tests were collected at baseline and at regular intervals. Patients were followed for a median period of 2.5 years. Results: Of the 887 participants, 155 (17.5%) died, of whom 90.3% (140/155) were HIV-infected, a fatality of 29.7% (140/471) compared to 3.6% (15/416) among HIV-uninfected. HIV infection, age, low Karnofsky score, CD4 cell counts and hemoglobin, high viral load, and oral thrush were significantly associated with high mortality in all patients. Conclusion: Mortality among HIV-infected TB patients is high despite the use of effective anti-TB therapy. Most deaths occur after successful completion of therapy, an indication that patients die from causes other than TB. HIV infection is the strongest independent predictor of mortality in this cohort. © 2009 Mugusi et al; licensee BioMed Central Ltd.","author":[{"dropping-particle":"","family":"Mugusi","given":"Ferdinand M.","non-dropping-particle":"","parse-names":false,"suffix":""},{"dropping-particle":"","family":"Mehta","given":"Saurabh","non-dropping-particle":"","parse-names":false,"suffix":""},{"dropping-particle":"","family":"Villamor","given":"Eduardo","non-dropping-particle":"","parse-names":false,"suffix":""},{"dropping-particle":"","family":"Urassa","given":"Willy","non-dropping-particle":"","parse-names":false,"suffix":""},{"dropping-particle":"","family":"Saathoff","given":"Elmar","non-dropping-particle":"","parse-names":false,"suffix":""},{"dropping-particle":"","family":"Bosch","given":"Ronald J.","non-dropping-particle":"","parse-names":false,"suffix":""},{"dropping-particle":"","family":"Fawzi","given":"Wafaie W.","non-dropping-particle":"","parse-names":false,"suffix":""}],"container-title":"BMC Public Health","id":"ITEM-1","issued":{"date-parts":[["2009"]]},"page":"1-8","title":"Factors associated with mortality in HIV-infected and uninfected patients with pulmonary tuberculosis","type":"article-journal","volume":"9"},"uris":["http://www.mendeley.com/documents/?uuid=98dd4c96-1d5f-4835-af28-c3d3daef8586"]}],"mendeley":{"formattedCitation":"(97)","plainTextFormattedCitation":"(97)","previouslyFormattedCitation":"(97)"},"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(97)</w:t>
      </w:r>
      <w:r w:rsidRPr="00435469">
        <w:rPr>
          <w:rFonts w:cs="Times New Roman"/>
          <w:sz w:val="20"/>
          <w:szCs w:val="20"/>
        </w:rPr>
        <w:fldChar w:fldCharType="end"/>
      </w:r>
      <w:r w:rsidRPr="00435469">
        <w:rPr>
          <w:rFonts w:cs="Times New Roman"/>
          <w:sz w:val="20"/>
          <w:szCs w:val="20"/>
        </w:rPr>
        <w:t xml:space="preserve">, which is independent of CD4 count. </w:t>
      </w:r>
      <w:r w:rsidRPr="00435469">
        <w:rPr>
          <w:sz w:val="20"/>
          <w:szCs w:val="20"/>
        </w:rPr>
        <w:t>We estimate this effect of viremia by comparing ART patients to untreated patients, on the assumption that treated patients would mostly be virally suppressed</w:t>
      </w:r>
      <w:r w:rsidRPr="00435469">
        <w:rPr>
          <w:rFonts w:cs="Times New Roman"/>
          <w:sz w:val="20"/>
          <w:szCs w:val="20"/>
        </w:rPr>
        <w:t>. We define the r</w:t>
      </w:r>
      <w:r w:rsidRPr="00435469">
        <w:rPr>
          <w:rFonts w:eastAsia="Calibri" w:cs="Times New Roman"/>
          <w:sz w:val="20"/>
          <w:szCs w:val="20"/>
        </w:rPr>
        <w:t xml:space="preserve">elative rate of TB mortality if on ART, based on the average of estimates from two studies that reported the effect of ART on TB mortality, </w:t>
      </w:r>
      <w:r w:rsidRPr="00435469">
        <w:rPr>
          <w:rFonts w:cs="Times New Roman"/>
          <w:sz w:val="20"/>
          <w:szCs w:val="20"/>
        </w:rPr>
        <w:t xml:space="preserve">Kaplan </w:t>
      </w:r>
      <w:r w:rsidRPr="00435469">
        <w:rPr>
          <w:rFonts w:cs="Times New Roman"/>
          <w:i/>
          <w:iCs/>
          <w:sz w:val="20"/>
          <w:szCs w:val="20"/>
        </w:rPr>
        <w:t>et al</w:t>
      </w:r>
      <w:r w:rsidRPr="00435469">
        <w:rPr>
          <w:rFonts w:cs="Times New Roman"/>
          <w:sz w:val="20"/>
          <w:szCs w:val="20"/>
        </w:rPr>
        <w:t xml:space="preserve">. (RR </w:t>
      </w:r>
      <w:r w:rsidRPr="00435469">
        <w:rPr>
          <w:rFonts w:cs="Times New Roman"/>
          <w:sz w:val="20"/>
          <w:szCs w:val="20"/>
          <w:lang w:val="en-ZA"/>
        </w:rPr>
        <w:t>0.53, 95% CI 0.46 – 0.60</w:t>
      </w:r>
      <w:r w:rsidRPr="00435469">
        <w:rPr>
          <w:rFonts w:cs="Times New Roman"/>
          <w:sz w:val="20"/>
          <w:szCs w:val="20"/>
        </w:rPr>
        <w:t xml:space="preserve">) and Pepper </w:t>
      </w:r>
      <w:r w:rsidRPr="00435469">
        <w:rPr>
          <w:rFonts w:cs="Times New Roman"/>
          <w:i/>
          <w:iCs/>
          <w:sz w:val="20"/>
          <w:szCs w:val="20"/>
        </w:rPr>
        <w:t>et al</w:t>
      </w:r>
      <w:r w:rsidRPr="00435469">
        <w:rPr>
          <w:rFonts w:cs="Times New Roman"/>
          <w:sz w:val="20"/>
          <w:szCs w:val="20"/>
        </w:rPr>
        <w:t xml:space="preserve">. (RR </w:t>
      </w:r>
      <w:r w:rsidRPr="00435469">
        <w:rPr>
          <w:rFonts w:cs="Times New Roman"/>
          <w:sz w:val="20"/>
          <w:szCs w:val="20"/>
          <w:lang w:val="en-ZA"/>
        </w:rPr>
        <w:t>0.60, 95% CI 0.50 – 0.70</w:t>
      </w:r>
      <w:r w:rsidRPr="00435469">
        <w:rPr>
          <w:rFonts w:cs="Times New Roman"/>
          <w:sz w:val="20"/>
          <w:szCs w:val="20"/>
        </w:rPr>
        <w:t xml:space="preserve">)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{"citationItems":[{"id":"ITEM-1","itemData":{"DOI":"10.1186/s12981-015-0076-5","ISSN":"17426405","abstract":"© 2015 Pepper et al. Background: Identifying those at increased risk of death during TB treatment is a priority in resource-constrained settings. We performed this study to determine predictors of mortality during TB treatment. Methods: We performed a retrospective analysis of a TB surveillance population in a high HIV prevalence area that was recorded in ETR.net (Electronic Tuberculosis Register). Adult TB cases initiated TB treatment from 2007 through 2009 in Khayelitsha, South Africa. Cox proportional hazards models were used to identify risk factors for death  (after multiple imputations for missing data). Model selection was performed using Akaike's Information Criterion to obtain the most relevant predictors of death. Results: Of 16,209 adult TB cases, 851 (5.3 %) died during TB treatment. In all TB cases, advancing age, co-infection with HIV, a prior history of TB and the presence of both pulmonary and extra-pulmonary TB were independently associated with an increasing hazard of death. In HIV-infected TB cases, advancing age and female gender were independently associated with an increasing hazard of death. Increasing CD4 counts and antiretroviral treatment during TB treatment were protective against death. In HIV-uninfected TB cases, advancing age was independently associated with death, whereas smear-positive disease was protective. Conclusion: We identified several independent predictors of death during TB treatment in resource-constrained settings. Our findings inform resource-constrained settings about certain subgroups of TB patients that should be targeted to improve mortality during TB treatment.","author":[{"dropping-particle":"","family":"Pepper","given":"Dominique J.","non-dropping-particle":"","parse-names":false,"suffix":""},{"dropping-particle":"","family":"Schomaker","given":"Michael","non-dropping-particle":"","parse-names":false,"suffix":""},{"dropping-particle":"","family":"Wilkinson","given":"Robert J.","non-dropping-particle":"","parse-names":false,"suffix":""},{"dropping-particle":"","family":"Azevedo","given":"Virginia","non-dropping-particle":"","parse-names":false,"suffix":""},{"dropping-particle":"","family":"Maartens","given":"Gary","non-dropping-particle":"","parse-names":false,"suffix":""}],"container-title":"AIDS Research and Therapy","id":"ITEM-1","issue":"1","issued":{"date-parts":[["2015"]]},"page":"1-9","publisher":"BioMed Central","title":"Independent predictors of tuberculosis mortality in a high HIV prevalence setting: A retrospective cohort study","type":"article-journal","volume":"12"},"uris":["http://www.mendeley.com/documents/?uuid=3d10b293-2347-4563-b477-2417fa0ee547"]},{"id":"ITEM-2","itemData":{"DOI":"10.1097/QAI.0000000000000201.The","ISBN":"0000000000000","author":[{"dropping-particle":"","family":"Kaplan","given":"R.","non-dropping-particle":"","parse-names":false,"suffix":""},{"dropping-particle":"","family":"Caldwell","given":"J.","non-dropping-particle":"","parse-names":false,"suffix":""},{"dropping-particle":"","family":"Middelkoop","given":"K.","non-dropping-particle":"","parse-names":false,"suffix":""},{"dropping-particle":"","family":"Bekker","given":"L.-G.","non-dropping-particle":"","parse-names":false,"suffix":""},{"dropping-particle":"","family":"Wood","given":"R.","non-dropping-particle":"","parse-names":false,"suffix":""}],"container-title":"J. Acquir. Immune Defic. Syndr.","id":"ITEM-2","issue":"5","issued":{"date-parts":[["2014"]]},"page":"487-494","title":"Impact of ART on TB case fatality stratified by CD4 count for HIV-positive TB patients in Cape Town. South Africa (2009-2011)","type":"article-journal","volume":"66"},"uris":["http://www.mendeley.com/documents/?uuid=c9b441fd-a013-4335-8017-0e0020ce6982"]}],"mendeley":{"formattedCitation":"(73,93)","plainTextFormattedCitation":"(73,93)","previouslyFormattedCitation":"(73,93)"},"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(73,93)</w:t>
      </w:r>
      <w:r w:rsidRPr="00435469">
        <w:rPr>
          <w:rFonts w:cs="Times New Roman"/>
          <w:sz w:val="20"/>
          <w:szCs w:val="20"/>
        </w:rPr>
        <w:fldChar w:fldCharType="end"/>
      </w:r>
      <w:r w:rsidRPr="00435469">
        <w:rPr>
          <w:rFonts w:cs="Times New Roman"/>
          <w:sz w:val="20"/>
          <w:szCs w:val="20"/>
        </w:rPr>
        <w:t xml:space="preserve">. Both studies relied on the electronic tuberculosis treatment register data from the Western Cape, Pepper </w:t>
      </w:r>
      <w:r w:rsidRPr="00435469">
        <w:rPr>
          <w:rFonts w:cs="Times New Roman"/>
          <w:i/>
          <w:iCs/>
          <w:sz w:val="20"/>
          <w:szCs w:val="20"/>
        </w:rPr>
        <w:t>et al.</w:t>
      </w:r>
      <w:r w:rsidRPr="00435469">
        <w:rPr>
          <w:rFonts w:cs="Times New Roman"/>
          <w:sz w:val="20"/>
          <w:szCs w:val="20"/>
        </w:rPr>
        <w:t xml:space="preserve"> using 2007-2009 data and Kaplan </w:t>
      </w:r>
      <w:r w:rsidRPr="00435469">
        <w:rPr>
          <w:rFonts w:cs="Times New Roman"/>
          <w:i/>
          <w:iCs/>
          <w:sz w:val="20"/>
          <w:szCs w:val="20"/>
        </w:rPr>
        <w:t>et al.</w:t>
      </w:r>
      <w:r w:rsidRPr="00435469">
        <w:rPr>
          <w:rFonts w:cs="Times New Roman"/>
          <w:sz w:val="20"/>
          <w:szCs w:val="20"/>
        </w:rPr>
        <w:t xml:space="preserve"> using 2010-2011 data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{"citationItems":[{"id":"ITEM-1","itemData":{"DOI":"10.1186/s12981-015-0076-5","ISSN":"17426405","abstract":"© 2015 Pepper et al. Background: Identifying those at increased risk of death during TB treatment is a priority in resource-constrained settings. We performed this study to determine predictors of mortality during TB treatment. Methods: We performed a retrospective analysis of a TB surveillance population in a high HIV prevalence area that was recorded in ETR.net (Electronic Tuberculosis Register). Adult TB cases initiated TB treatment from 2007 through 2009 in Khayelitsha, South Africa. Cox proportional hazards models were used to identify risk factors for death  (after multiple imputations for missing data). Model selection was performed using Akaike's Information Criterion to obtain the most relevant predictors of death. Results: Of 16,209 adult TB cases, 851 (5.3 %) died during TB treatment. In all TB cases, advancing age, co-infection with HIV, a prior history of TB and the presence of both pulmonary and extra-pulmonary TB were independently associated with an increasing hazard of death. In HIV-infected TB cases, advancing age and female gender were independently associated with an increasing hazard of death. Increasing CD4 counts and antiretroviral treatment during TB treatment were protective against death. In HIV-uninfected TB cases, advancing age was independently associated with death, whereas smear-positive disease was protective. Conclusion: We identified several independent predictors of death during TB treatment in resource-constrained settings. Our findings inform resource-constrained settings about certain subgroups of TB patients that should be targeted to improve mortality during TB treatment.","author":[{"dropping-particle":"","family":"Pepper","given":"Dominique J.","non-dropping-particle":"","parse-names":false,"suffix":""},{"dropping-particle":"","family":"Schomaker","given":"Michael","non-dropping-particle":"","parse-names":false,"suffix":""},{"dropping-particle":"","family":"Wilkinson","given":"Robert J.","non-dropping-particle":"","parse-names":false,"suffix":""},{"dropping-particle":"","family":"Azevedo","given":"Virginia","non-dropping-particle":"","parse-names":false,"suffix":""},{"dropping-particle":"","family":"Maartens","given":"Gary","non-dropping-particle":"","parse-names":false,"suffix":""}],"container-title":"AIDS Research and Therapy","id":"ITEM-1","issue":"1","issued":{"date-parts":[["2015"]]},"page":"1-9","publisher":"BioMed Central","title":"Independent predictors of tuberculosis mortality in a high HIV prevalence setting: A retrospective cohort study","type":"article-journal","volume":"12"},"uris":["http://www.mendeley.com/documents/?uuid=3d10b293-2347-4563-b477-2417fa0ee547"]},{"id":"ITEM-2","itemData":{"DOI":"10.1097/QAI.0000000000000201.The","ISBN":"0000000000000","author":[{"dropping-particle":"","family":"Kaplan","given":"R.","non-dropping-particle":"","parse-names":false,"suffix":""},{"dropping-particle":"","family":"Caldwell","given":"J.","non-dropping-particle":"","parse-names":false,"suffix":""},{"dropping-particle":"","family":"Middelkoop","given":"K.","non-dropping-particle":"","parse-names":false,"suffix":""},{"dropping-particle":"","family":"Bekker","given":"L.-G.","non-dropping-particle":"","parse-names":false,"suffix":""},{"dropping-particle":"","family":"Wood","given":"R.","non-dropping-particle":"","parse-names":false,"suffix":""}],"container-title":"J. Acquir. Immune Defic. Syndr.","id":"ITEM-2","issue":"5","issued":{"date-parts":[["2014"]]},"page":"487-494","title":"Impact of ART on TB case fatality stratified by CD4 count for HIV-positive TB patients in Cape Town. South Africa (2009-2011)","type":"article-journal","volume":"66"},"uris":["http://www.mendeley.com/documents/?uuid=c9b441fd-a013-4335-8017-0e0020ce6982"]}],"mendeley":{"formattedCitation":"(73,93)","plainTextFormattedCitation":"(73,93)","previouslyFormattedCitation":"(73,93)"},"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(73,93)</w:t>
      </w:r>
      <w:r w:rsidRPr="00435469">
        <w:rPr>
          <w:rFonts w:cs="Times New Roman"/>
          <w:sz w:val="20"/>
          <w:szCs w:val="20"/>
        </w:rPr>
        <w:fldChar w:fldCharType="end"/>
      </w:r>
      <w:r w:rsidRPr="00435469">
        <w:rPr>
          <w:rFonts w:cs="Times New Roman"/>
          <w:sz w:val="20"/>
          <w:szCs w:val="20"/>
        </w:rPr>
        <w:t xml:space="preserve">. </w:t>
      </w:r>
      <w:r w:rsidR="00174812" w:rsidRPr="00435469">
        <w:rPr>
          <w:rFonts w:cs="Times New Roman"/>
          <w:sz w:val="20"/>
          <w:szCs w:val="20"/>
        </w:rPr>
        <w:t>W</w:t>
      </w:r>
      <w:r w:rsidRPr="00435469">
        <w:rPr>
          <w:rFonts w:cs="Times New Roman"/>
          <w:sz w:val="20"/>
          <w:szCs w:val="20"/>
        </w:rPr>
        <w:t>e specif</w:t>
      </w:r>
      <w:r w:rsidR="00174812" w:rsidRPr="00435469">
        <w:rPr>
          <w:rFonts w:cs="Times New Roman"/>
          <w:sz w:val="20"/>
          <w:szCs w:val="20"/>
        </w:rPr>
        <w:t>ied</w:t>
      </w:r>
      <w:r w:rsidRPr="00435469">
        <w:rPr>
          <w:rFonts w:cs="Times New Roman"/>
          <w:sz w:val="20"/>
          <w:szCs w:val="20"/>
        </w:rPr>
        <w:t xml:space="preserve"> a </w:t>
      </w:r>
      <w:r w:rsidRPr="00435469">
        <w:rPr>
          <w:rFonts w:cs="Times New Roman"/>
          <w:sz w:val="20"/>
          <w:szCs w:val="20"/>
          <w:lang w:val="en-ZA"/>
        </w:rPr>
        <w:t xml:space="preserve">Beta (20.72; 16.95) prior with a mean of 0.55 </w:t>
      </w:r>
      <w:r w:rsidR="00174812" w:rsidRPr="00435469">
        <w:rPr>
          <w:rFonts w:cs="Times New Roman"/>
          <w:sz w:val="20"/>
          <w:szCs w:val="20"/>
          <w:lang w:val="en-ZA"/>
        </w:rPr>
        <w:t xml:space="preserve">(based on the average of the estimates in </w:t>
      </w:r>
      <w:r w:rsidR="00506605" w:rsidRPr="00435469">
        <w:rPr>
          <w:rFonts w:cs="Times New Roman"/>
          <w:sz w:val="20"/>
          <w:szCs w:val="20"/>
          <w:lang w:val="en-ZA"/>
        </w:rPr>
        <w:t xml:space="preserve">these studies </w:t>
      </w:r>
      <w:r w:rsidR="00506605"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{"citationItems":[{"id":"ITEM-1","itemData":{"DOI":"10.1186/s12981-015-0076-5","ISSN":"17426405","abstract":"© 2015 Pepper et al. Background: Identifying those at increased risk of death during TB treatment is a priority in resource-constrained settings. We performed this study to determine predictors of mortality during TB treatment. Methods: We performed a retrospective analysis of a TB surveillance population in a high HIV prevalence area that was recorded in ETR.net (Electronic Tuberculosis Register). Adult TB cases initiated TB treatment from 2007 through 2009 in Khayelitsha, South Africa. Cox proportional hazards models were used to identify risk factors for death  (after multiple imputations for missing data). Model selection was performed using Akaike's Information Criterion to obtain the most relevant predictors of death. Results: Of 16,209 adult TB cases, 851 (5.3 %) died during TB treatment. In all TB cases, advancing age, co-infection with HIV, a prior history of TB and the presence of both pulmonary and extra-pulmonary TB were independently associated with an increasing hazard of death. In HIV-infected TB cases, advancing age and female gender were independently associated with an increasing hazard of death. Increasing CD4 counts and antiretroviral treatment during TB treatment were protective against death. In HIV-uninfected TB cases, advancing age was independently associated with death, whereas smear-positive disease was protective. Conclusion: We identified several independent predictors of death during TB treatment in resource-constrained settings. Our findings inform resource-constrained settings about certain subgroups of TB patients that should be targeted to improve mortality during TB treatment.","author":[{"dropping-particle":"","family":"Pepper","given":"Dominique J.","non-dropping-particle":"","parse-names":false,"suffix":""},{"dropping-particle":"","family":"Schomaker","given":"Michael","non-dropping-particle":"","parse-names":false,"suffix":""},{"dropping-particle":"","family":"Wilkinson","given":"Robert J.","non-dropping-particle":"","parse-names":false,"suffix":""},{"dropping-particle":"","family":"Azevedo","given":"Virginia","non-dropping-particle":"","parse-names":false,"suffix":""},{"dropping-particle":"","family":"Maartens","given":"Gary","non-dropping-particle":"","parse-names":false,"suffix":""}],"container-title":"AIDS Research and Therapy","id":"ITEM-1","issue":"1","issued":{"date-parts":[["2015"]]},"page":"1-9","publisher":"BioMed Central","title":"Independent predictors of tuberculosis mortality in a high HIV prevalence setting: A retrospective cohort study","type":"article-journal","volume":"12"},"uris":["http://www.mendeley.com/documents/?uuid=3d10b293-2347-4563-b477-2417fa0ee547"]},{"id":"ITEM-2","itemData":{"DOI":"10.1097/QAI.0000000000000201.The","ISBN":"0000000000000","author":[{"dropping-particle":"","family":"Kaplan","given":"R.","non-dropping-particle":"","parse-names":false,"suffix":""},{"dropping-particle":"","family":"Caldwell","given":"J.","non-dropping-particle":"","parse-names":false,"suffix":""},{"dropping-particle":"","family":"Middelkoop","given":"K.","non-dropping-particle":"","parse-names":false,"suffix":""},{"dropping-particle":"","family":"Bekker","given":"L.-G.","non-dropping-particle":"","parse-names":false,"suffix":""},{"dropping-particle":"","family":"Wood","given":"R.","non-dropping-particle":"","parse-names":false,"suffix":""}],"container-title":"J. Acquir. Immune Defic. Syndr.","id":"ITEM-2","issue":"5","issued":{"date-parts":[["2014"]]},"page":"487-494","title":"Impact of ART on TB case fatality stratified by CD4 count for HIV-positive TB patients in Cape Town. South Africa (2009-2011)","type":"article-journal","volume":"66"},"uris":["http://www.mendeley.com/documents/?uuid=c9b441fd-a013-4335-8017-0e0020ce6982"]}],"mendeley":{"formattedCitation":"(73,93)","plainTextFormattedCitation":"(73,93)","previouslyFormattedCitation":"(73,93)"},"properties":{"noteIndex":0},"schema":"https://github.com/citation-style-language/schema/raw/master/csl-citation.json"}</w:instrText>
      </w:r>
      <w:r w:rsidR="00506605" w:rsidRPr="00435469">
        <w:rPr>
          <w:rFonts w:cs="Times New Roman"/>
          <w:sz w:val="20"/>
          <w:szCs w:val="20"/>
        </w:rPr>
        <w:fldChar w:fldCharType="separate"/>
      </w:r>
      <w:r w:rsidR="0016391D" w:rsidRPr="00435469">
        <w:rPr>
          <w:rFonts w:cs="Times New Roman"/>
          <w:noProof/>
          <w:sz w:val="20"/>
          <w:szCs w:val="20"/>
        </w:rPr>
        <w:t>(73,93)</w:t>
      </w:r>
      <w:r w:rsidR="00506605" w:rsidRPr="00435469">
        <w:rPr>
          <w:rFonts w:cs="Times New Roman"/>
          <w:sz w:val="20"/>
          <w:szCs w:val="20"/>
        </w:rPr>
        <w:fldChar w:fldCharType="end"/>
      </w:r>
      <w:r w:rsidR="00174812" w:rsidRPr="00435469">
        <w:rPr>
          <w:rFonts w:cs="Times New Roman"/>
          <w:sz w:val="20"/>
          <w:szCs w:val="20"/>
          <w:lang w:val="en-ZA"/>
        </w:rPr>
        <w:t xml:space="preserve">) </w:t>
      </w:r>
      <w:r w:rsidRPr="00435469">
        <w:rPr>
          <w:rFonts w:cs="Times New Roman"/>
          <w:sz w:val="20"/>
          <w:szCs w:val="20"/>
          <w:lang w:val="en-ZA"/>
        </w:rPr>
        <w:t xml:space="preserve">and </w:t>
      </w:r>
      <w:r w:rsidR="00BA2B41" w:rsidRPr="00435469">
        <w:rPr>
          <w:rFonts w:cs="Times New Roman"/>
          <w:sz w:val="20"/>
          <w:szCs w:val="20"/>
          <w:lang w:val="en-ZA"/>
        </w:rPr>
        <w:t xml:space="preserve">a </w:t>
      </w:r>
      <w:r w:rsidRPr="00435469">
        <w:rPr>
          <w:rFonts w:cs="Times New Roman"/>
          <w:sz w:val="20"/>
          <w:szCs w:val="20"/>
          <w:lang w:val="en-ZA"/>
        </w:rPr>
        <w:t>standard deviation of 0.08</w:t>
      </w:r>
      <w:r w:rsidR="00502DCA" w:rsidRPr="00435469">
        <w:rPr>
          <w:rFonts w:cs="Times New Roman"/>
          <w:sz w:val="20"/>
          <w:szCs w:val="20"/>
          <w:lang w:val="en-ZA"/>
        </w:rPr>
        <w:t>.</w:t>
      </w:r>
    </w:p>
    <w:p w14:paraId="28EFF8E8" w14:textId="77777777" w:rsidR="00956AF3" w:rsidRPr="00435469" w:rsidRDefault="00956AF3" w:rsidP="00955FFB">
      <w:pPr>
        <w:pStyle w:val="1Para"/>
        <w:spacing w:line="240" w:lineRule="auto"/>
        <w:ind w:firstLine="0"/>
        <w:rPr>
          <w:rFonts w:cs="Times New Roman"/>
          <w:sz w:val="20"/>
          <w:szCs w:val="20"/>
        </w:rPr>
      </w:pPr>
      <w:r w:rsidRPr="00435469">
        <w:rPr>
          <w:rFonts w:cs="Times New Roman"/>
          <w:sz w:val="20"/>
          <w:szCs w:val="20"/>
        </w:rPr>
        <w:t>In the model, mortality for HIV-infected individuals who are not on ART is represented by</w:t>
      </w:r>
    </w:p>
    <w:p w14:paraId="192CB287" w14:textId="438C6843" w:rsidR="00956AF3" w:rsidRPr="00435469" w:rsidRDefault="00956AF3" w:rsidP="00955FFB">
      <w:pPr>
        <w:spacing w:line="240" w:lineRule="auto"/>
        <w:rPr>
          <w:rFonts w:eastAsiaTheme="minorEastAsia" w:cs="Times New Roman"/>
          <w:i/>
          <w:sz w:val="20"/>
          <w:szCs w:val="20"/>
        </w:rPr>
      </w:pPr>
      <m:oMathPara>
        <m:oMath>
          <m:r>
            <w:rPr>
              <w:rFonts w:ascii="Cambria Math" w:hAnsi="Cambria Math" w:cs="Times New Roman"/>
              <w:sz w:val="20"/>
              <w:szCs w:val="20"/>
            </w:rPr>
            <m:t>M</m:t>
          </m:r>
          <m:d>
            <m:dPr>
              <m:ctrlPr>
                <w:rPr>
                  <w:rFonts w:ascii="Cambria Math" w:hAnsi="Cambria Math" w:cs="Times New Roman"/>
                  <w:i/>
                  <w:sz w:val="20"/>
                  <w:szCs w:val="20"/>
                </w:rPr>
              </m:ctrlPr>
            </m:dPr>
            <m:e>
              <m:r>
                <w:rPr>
                  <w:rFonts w:ascii="Cambria Math" w:hAnsi="Cambria Math" w:cs="Times New Roman"/>
                  <w:sz w:val="20"/>
                  <w:szCs w:val="20"/>
                </w:rPr>
                <m:t>x,s</m:t>
              </m:r>
            </m:e>
          </m:d>
          <m:r>
            <w:rPr>
              <w:rFonts w:ascii="Cambria Math" w:hAnsi="Cambria Math" w:cs="Times New Roman"/>
              <w:sz w:val="20"/>
              <w:szCs w:val="20"/>
            </w:rPr>
            <m:t>=</m:t>
          </m:r>
          <m:sSup>
            <m:sSupPr>
              <m:ctrlPr>
                <w:rPr>
                  <w:rFonts w:ascii="Cambria Math" w:hAnsi="Cambria Math" w:cs="Times New Roman"/>
                  <w:i/>
                  <w:sz w:val="20"/>
                  <w:szCs w:val="20"/>
                  <w:lang w:val="en-GB"/>
                </w:rPr>
              </m:ctrlPr>
            </m:sSupPr>
            <m:e>
              <m:r>
                <w:rPr>
                  <w:rFonts w:ascii="Cambria Math" w:eastAsiaTheme="minorEastAsia" w:hAnsi="Cambria Math" w:cs="Times New Roman"/>
                  <w:sz w:val="20"/>
                  <w:szCs w:val="20"/>
                </w:rPr>
                <m:t>μ</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α</m:t>
                  </m:r>
                </m:e>
                <m:sup>
                  <m:r>
                    <w:rPr>
                      <w:rFonts w:ascii="Cambria Math" w:eastAsiaTheme="minorEastAsia" w:hAnsi="Cambria Math" w:cs="Times New Roman"/>
                      <w:sz w:val="20"/>
                      <w:szCs w:val="20"/>
                    </w:rPr>
                    <m:t>(x-55)/10</m:t>
                  </m:r>
                </m:sup>
              </m:sSup>
              <m:r>
                <w:rPr>
                  <w:rFonts w:ascii="Cambria Math" w:hAnsi="Cambria Math" w:cs="Times New Roman"/>
                  <w:sz w:val="20"/>
                  <w:szCs w:val="20"/>
                  <w:lang w:val="en-GB"/>
                </w:rPr>
                <m:t>γ</m:t>
              </m:r>
              <m:ctrlPr>
                <w:rPr>
                  <w:rFonts w:ascii="Cambria Math" w:hAnsi="Cambria Math" w:cs="Times New Roman"/>
                  <w:i/>
                  <w:sz w:val="20"/>
                  <w:szCs w:val="20"/>
                </w:rPr>
              </m:ctrlPr>
            </m:e>
            <m:sup>
              <m:r>
                <w:rPr>
                  <w:rFonts w:ascii="Cambria Math" w:hAnsi="Cambria Math" w:cs="Times New Roman"/>
                  <w:sz w:val="20"/>
                  <w:szCs w:val="20"/>
                  <w:lang w:val="en-GB"/>
                </w:rPr>
                <m:t>-1</m:t>
              </m:r>
            </m:sup>
          </m:sSup>
          <m:sSup>
            <m:sSupPr>
              <m:ctrlPr>
                <w:rPr>
                  <w:rFonts w:ascii="Cambria Math" w:eastAsiaTheme="minorEastAsia" w:hAnsi="Cambria Math" w:cs="Times New Roman"/>
                  <w:i/>
                  <w:sz w:val="20"/>
                  <w:szCs w:val="20"/>
                </w:rPr>
              </m:ctrlPr>
            </m:sSupPr>
            <m:e>
              <m:r>
                <w:rPr>
                  <w:rFonts w:ascii="Cambria Math" w:hAnsi="Cambria Math" w:cs="Times New Roman"/>
                  <w:sz w:val="20"/>
                  <w:szCs w:val="20"/>
                </w:rPr>
                <m:t>ϑ</m:t>
              </m:r>
            </m:e>
            <m:sup>
              <m:r>
                <w:rPr>
                  <w:rFonts w:ascii="Cambria Math" w:eastAsia="Calibri" w:hAnsi="Cambria Math" w:cs="Times New Roman"/>
                  <w:sz w:val="20"/>
                  <w:szCs w:val="20"/>
                </w:rPr>
                <m:t>(s-a)/50</m:t>
              </m:r>
            </m:sup>
          </m:sSup>
          <m:r>
            <w:rPr>
              <w:rFonts w:ascii="Cambria Math" w:eastAsiaTheme="minorEastAsia" w:hAnsi="Cambria Math" w:cs="Times New Roman"/>
              <w:sz w:val="20"/>
              <w:szCs w:val="20"/>
            </w:rPr>
            <m:t>,</m:t>
          </m:r>
        </m:oMath>
      </m:oMathPara>
    </w:p>
    <w:p w14:paraId="3392F879" w14:textId="77777777" w:rsidR="00956AF3" w:rsidRPr="00435469" w:rsidRDefault="00956AF3" w:rsidP="00955FFB">
      <w:pPr>
        <w:spacing w:line="240" w:lineRule="auto"/>
        <w:rPr>
          <w:rFonts w:eastAsiaTheme="minorEastAsia" w:cs="Times New Roman"/>
          <w:iCs/>
          <w:sz w:val="20"/>
          <w:szCs w:val="20"/>
        </w:rPr>
      </w:pPr>
      <w:r w:rsidRPr="00435469">
        <w:rPr>
          <w:rFonts w:eastAsiaTheme="minorEastAsia" w:cs="Times New Roman"/>
          <w:iCs/>
          <w:sz w:val="20"/>
          <w:szCs w:val="20"/>
        </w:rPr>
        <w:t>and the mortality for those on ART is represented as by</w:t>
      </w:r>
    </w:p>
    <w:p w14:paraId="2853154C" w14:textId="592458C3" w:rsidR="00956AF3" w:rsidRPr="00435469" w:rsidRDefault="00956AF3" w:rsidP="00955FFB">
      <w:pPr>
        <w:spacing w:line="240" w:lineRule="auto"/>
        <w:rPr>
          <w:rFonts w:eastAsiaTheme="minorEastAsia" w:cs="Times New Roman"/>
          <w:i/>
          <w:sz w:val="20"/>
          <w:szCs w:val="20"/>
        </w:rPr>
      </w:pPr>
      <m:oMathPara>
        <m:oMath>
          <m:r>
            <w:rPr>
              <w:rFonts w:ascii="Cambria Math" w:hAnsi="Cambria Math" w:cs="Times New Roman"/>
              <w:sz w:val="20"/>
              <w:szCs w:val="20"/>
            </w:rPr>
            <m:t>M</m:t>
          </m:r>
          <m:d>
            <m:dPr>
              <m:ctrlPr>
                <w:rPr>
                  <w:rFonts w:ascii="Cambria Math" w:hAnsi="Cambria Math" w:cs="Times New Roman"/>
                  <w:i/>
                  <w:sz w:val="20"/>
                  <w:szCs w:val="20"/>
                </w:rPr>
              </m:ctrlPr>
            </m:dPr>
            <m:e>
              <m:r>
                <w:rPr>
                  <w:rFonts w:ascii="Cambria Math" w:hAnsi="Cambria Math" w:cs="Times New Roman"/>
                  <w:sz w:val="20"/>
                  <w:szCs w:val="20"/>
                </w:rPr>
                <m:t>x,s,d</m:t>
              </m:r>
            </m:e>
          </m:d>
          <m:r>
            <w:rPr>
              <w:rFonts w:ascii="Cambria Math"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hAnsi="Cambria Math" w:cs="Times New Roman"/>
                  <w:sz w:val="20"/>
                  <w:szCs w:val="20"/>
                </w:rPr>
                <m:t> </m:t>
              </m:r>
              <m:r>
                <w:rPr>
                  <w:rFonts w:ascii="Cambria Math" w:eastAsiaTheme="minorEastAsia" w:hAnsi="Cambria Math" w:cs="Times New Roman"/>
                  <w:sz w:val="20"/>
                  <w:szCs w:val="20"/>
                </w:rPr>
                <m:t>μ</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α</m:t>
                  </m:r>
                </m:e>
                <m:sup>
                  <m:r>
                    <w:rPr>
                      <w:rFonts w:ascii="Cambria Math" w:eastAsiaTheme="minorEastAsia" w:hAnsi="Cambria Math" w:cs="Times New Roman"/>
                      <w:sz w:val="20"/>
                      <w:szCs w:val="20"/>
                    </w:rPr>
                    <m:t>(x-55)/10</m:t>
                  </m:r>
                </m:sup>
              </m:sSup>
              <m:r>
                <w:rPr>
                  <w:rFonts w:ascii="Cambria Math" w:hAnsi="Cambria Math" w:cs="Times New Roman"/>
                  <w:sz w:val="20"/>
                  <w:szCs w:val="20"/>
                </w:rPr>
                <m:t>ϑ</m:t>
              </m:r>
            </m:e>
            <m:sup>
              <m:r>
                <w:rPr>
                  <w:rFonts w:ascii="Cambria Math" w:eastAsia="Calibri" w:hAnsi="Cambria Math" w:cs="Times New Roman"/>
                  <w:sz w:val="20"/>
                  <w:szCs w:val="20"/>
                </w:rPr>
                <m:t>(</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s</m:t>
                  </m:r>
                </m:e>
                <m:sub>
                  <m:r>
                    <w:rPr>
                      <w:rFonts w:ascii="Cambria Math" w:eastAsia="Calibri" w:hAnsi="Cambria Math" w:cs="Times New Roman"/>
                      <w:sz w:val="20"/>
                      <w:szCs w:val="20"/>
                    </w:rPr>
                    <m:t>d</m:t>
                  </m:r>
                </m:sub>
              </m:sSub>
              <m:r>
                <w:rPr>
                  <w:rFonts w:ascii="Cambria Math" w:eastAsia="Calibri" w:hAnsi="Cambria Math" w:cs="Times New Roman"/>
                  <w:sz w:val="20"/>
                  <w:szCs w:val="20"/>
                </w:rPr>
                <m:t>-a)/50</m:t>
              </m:r>
            </m:sup>
          </m:sSup>
        </m:oMath>
      </m:oMathPara>
    </w:p>
    <w:p w14:paraId="49F47C78" w14:textId="77777777" w:rsidR="00E81F98" w:rsidRPr="00435469" w:rsidRDefault="00E81F98" w:rsidP="00955FFB">
      <w:pPr>
        <w:spacing w:line="240" w:lineRule="auto"/>
        <w:rPr>
          <w:rFonts w:cs="Times New Roman"/>
          <w:sz w:val="20"/>
          <w:szCs w:val="20"/>
        </w:rPr>
      </w:pPr>
    </w:p>
    <w:p w14:paraId="1E815BB7" w14:textId="77777777" w:rsidR="00E81F98" w:rsidRPr="00435469" w:rsidRDefault="00E81F98" w:rsidP="00955FFB">
      <w:pPr>
        <w:spacing w:line="240" w:lineRule="auto"/>
        <w:rPr>
          <w:rFonts w:cs="Times New Roman"/>
          <w:sz w:val="20"/>
          <w:szCs w:val="20"/>
        </w:rPr>
      </w:pPr>
    </w:p>
    <w:p w14:paraId="1664C833" w14:textId="4357E88E" w:rsidR="00956AF3" w:rsidRPr="00435469" w:rsidRDefault="00956AF3" w:rsidP="00955FFB">
      <w:pPr>
        <w:spacing w:line="240" w:lineRule="auto"/>
        <w:rPr>
          <w:rFonts w:cs="Times New Roman"/>
          <w:sz w:val="20"/>
          <w:szCs w:val="20"/>
        </w:rPr>
      </w:pPr>
      <w:proofErr w:type="gramStart"/>
      <w:r w:rsidRPr="00435469">
        <w:rPr>
          <w:rFonts w:cs="Times New Roman"/>
          <w:sz w:val="20"/>
          <w:szCs w:val="20"/>
        </w:rPr>
        <w:lastRenderedPageBreak/>
        <w:t>where</w:t>
      </w:r>
      <w:proofErr w:type="gramEnd"/>
      <w:r w:rsidRPr="00435469">
        <w:rPr>
          <w:rFonts w:cs="Times New Roman"/>
          <w:sz w:val="20"/>
          <w:szCs w:val="20"/>
        </w:rPr>
        <w:t xml:space="preserve"> </w:t>
      </w:r>
    </w:p>
    <w:p w14:paraId="38B10888" w14:textId="03163197" w:rsidR="008458B1" w:rsidRPr="00435469" w:rsidRDefault="008458B1" w:rsidP="00955FFB">
      <w:pPr>
        <w:spacing w:line="240" w:lineRule="auto"/>
        <w:rPr>
          <w:rFonts w:cs="Times New Roman"/>
          <w:sz w:val="20"/>
          <w:szCs w:val="20"/>
        </w:rPr>
      </w:pPr>
      <m:oMath>
        <m:r>
          <w:rPr>
            <w:rFonts w:ascii="Cambria Math" w:hAnsi="Cambria Math" w:cs="Times New Roman"/>
            <w:sz w:val="20"/>
            <w:szCs w:val="20"/>
          </w:rPr>
          <m:t>x</m:t>
        </m:r>
      </m:oMath>
      <w:r w:rsidRPr="00435469">
        <w:rPr>
          <w:rFonts w:eastAsiaTheme="minorEastAsia" w:cs="Times New Roman"/>
          <w:sz w:val="20"/>
          <w:szCs w:val="20"/>
        </w:rPr>
        <w:t>: age in years</w:t>
      </w:r>
    </w:p>
    <w:p w14:paraId="7FC6E1AD" w14:textId="65F7BCE9" w:rsidR="0041443F" w:rsidRPr="00435469" w:rsidRDefault="0041443F" w:rsidP="00955FFB">
      <w:pPr>
        <w:spacing w:line="240" w:lineRule="auto"/>
        <w:rPr>
          <w:rFonts w:eastAsiaTheme="minorEastAsia" w:cs="Times New Roman"/>
          <w:sz w:val="20"/>
          <w:szCs w:val="20"/>
        </w:rPr>
      </w:pPr>
      <m:oMath>
        <m:r>
          <w:rPr>
            <w:rFonts w:ascii="Cambria Math" w:eastAsiaTheme="minorEastAsia" w:hAnsi="Cambria Math" w:cs="Times New Roman"/>
            <w:sz w:val="20"/>
            <w:szCs w:val="20"/>
          </w:rPr>
          <m:t>μ:</m:t>
        </m:r>
      </m:oMath>
      <w:r w:rsidRPr="00435469">
        <w:rPr>
          <w:rFonts w:eastAsiaTheme="minorEastAsia" w:cs="Times New Roman"/>
          <w:sz w:val="20"/>
          <w:szCs w:val="20"/>
        </w:rPr>
        <w:t xml:space="preserve"> the mortality rate in HIV</w:t>
      </w:r>
      <w:r w:rsidR="00E34036" w:rsidRPr="00435469">
        <w:rPr>
          <w:rFonts w:eastAsiaTheme="minorEastAsia" w:cs="Times New Roman"/>
          <w:sz w:val="20"/>
          <w:szCs w:val="20"/>
        </w:rPr>
        <w:t>-negative individuals</w:t>
      </w:r>
    </w:p>
    <w:p w14:paraId="6C1717F9" w14:textId="4B3F3ACF" w:rsidR="00E34036" w:rsidRPr="00435469" w:rsidRDefault="00E34036" w:rsidP="00955FFB">
      <w:pPr>
        <w:spacing w:line="240" w:lineRule="auto"/>
        <w:rPr>
          <w:rFonts w:eastAsiaTheme="minorEastAsia" w:cs="Times New Roman"/>
          <w:sz w:val="20"/>
          <w:szCs w:val="20"/>
        </w:rPr>
      </w:pPr>
      <m:oMath>
        <m:r>
          <w:rPr>
            <w:rFonts w:ascii="Cambria Math" w:eastAsiaTheme="minorEastAsia" w:hAnsi="Cambria Math" w:cs="Times New Roman"/>
            <w:sz w:val="20"/>
            <w:szCs w:val="20"/>
          </w:rPr>
          <m:t>α:</m:t>
        </m:r>
      </m:oMath>
      <w:r w:rsidRPr="00435469">
        <w:rPr>
          <w:rFonts w:eastAsiaTheme="minorEastAsia" w:cs="Times New Roman"/>
          <w:sz w:val="20"/>
          <w:szCs w:val="20"/>
        </w:rPr>
        <w:t xml:space="preserve"> </w:t>
      </w:r>
      <w:r w:rsidR="003B4048" w:rsidRPr="00435469">
        <w:rPr>
          <w:rFonts w:eastAsiaTheme="minorEastAsia" w:cs="Times New Roman"/>
          <w:sz w:val="20"/>
          <w:szCs w:val="20"/>
        </w:rPr>
        <w:t>increase in TB mortality per 10-year increase in age</w:t>
      </w:r>
    </w:p>
    <w:p w14:paraId="3360F9DC" w14:textId="77777777" w:rsidR="00956AF3" w:rsidRPr="00435469" w:rsidRDefault="00956AF3" w:rsidP="00955FFB">
      <w:pPr>
        <w:spacing w:line="240" w:lineRule="auto"/>
        <w:rPr>
          <w:rFonts w:cs="Times New Roman"/>
          <w:sz w:val="20"/>
          <w:szCs w:val="20"/>
        </w:rPr>
      </w:pPr>
      <m:oMath>
        <m:r>
          <w:rPr>
            <w:rFonts w:ascii="Cambria Math" w:hAnsi="Cambria Math" w:cs="Times New Roman"/>
            <w:sz w:val="20"/>
            <w:szCs w:val="20"/>
          </w:rPr>
          <m:t>ϑ:</m:t>
        </m:r>
      </m:oMath>
      <w:r w:rsidRPr="00435469">
        <w:rPr>
          <w:rFonts w:cs="Times New Roman"/>
          <w:sz w:val="20"/>
          <w:szCs w:val="20"/>
        </w:rPr>
        <w:t xml:space="preserve"> relative rate of TB death per 50 cell/</w:t>
      </w:r>
      <w:r w:rsidRPr="00435469">
        <w:rPr>
          <w:rFonts w:cs="Times New Roman"/>
          <w:sz w:val="20"/>
          <w:szCs w:val="20"/>
          <w:lang w:val="el-GR"/>
        </w:rPr>
        <w:t>μ</w:t>
      </w:r>
      <w:r w:rsidRPr="00435469">
        <w:rPr>
          <w:rFonts w:cs="Times New Roman"/>
          <w:sz w:val="20"/>
          <w:szCs w:val="20"/>
        </w:rPr>
        <w:t xml:space="preserve">l CD4 increase </w:t>
      </w:r>
    </w:p>
    <w:p w14:paraId="2A5E42A4" w14:textId="77777777" w:rsidR="00956AF3" w:rsidRPr="00435469" w:rsidRDefault="00956AF3" w:rsidP="00955FFB">
      <w:pPr>
        <w:spacing w:line="240" w:lineRule="auto"/>
        <w:rPr>
          <w:rFonts w:cs="Times New Roman"/>
          <w:sz w:val="20"/>
          <w:szCs w:val="20"/>
        </w:rPr>
      </w:pPr>
      <m:oMath>
        <m:r>
          <w:rPr>
            <w:rFonts w:ascii="Cambria Math" w:hAnsi="Cambria Math" w:cs="Times New Roman"/>
            <w:sz w:val="20"/>
            <w:szCs w:val="20"/>
            <w:lang w:val="en-GB"/>
          </w:rPr>
          <m:t>γ:</m:t>
        </m:r>
      </m:oMath>
      <w:r w:rsidRPr="00435469">
        <w:rPr>
          <w:rFonts w:cs="Times New Roman"/>
          <w:sz w:val="20"/>
          <w:szCs w:val="20"/>
        </w:rPr>
        <w:t xml:space="preserve"> relative rate of TB mortality for those on ART vs not on ART </w:t>
      </w:r>
    </w:p>
    <w:p w14:paraId="7D2F5F9F" w14:textId="77777777" w:rsidR="00956AF3" w:rsidRPr="00435469" w:rsidRDefault="00956AF3" w:rsidP="00955FFB">
      <w:pPr>
        <w:spacing w:before="240" w:line="240" w:lineRule="auto"/>
        <w:rPr>
          <w:rFonts w:eastAsia="Calibri" w:cs="Times New Roman"/>
          <w:sz w:val="20"/>
          <w:szCs w:val="20"/>
        </w:rPr>
      </w:pPr>
      <m:oMath>
        <m:r>
          <w:rPr>
            <w:rFonts w:ascii="Cambria Math" w:eastAsia="Calibri" w:hAnsi="Cambria Math" w:cs="Times New Roman"/>
            <w:sz w:val="20"/>
            <w:szCs w:val="20"/>
          </w:rPr>
          <m:t>a</m:t>
        </m:r>
      </m:oMath>
      <w:r w:rsidRPr="00435469">
        <w:rPr>
          <w:rFonts w:eastAsia="Calibri" w:cs="Times New Roman"/>
          <w:sz w:val="20"/>
          <w:szCs w:val="20"/>
        </w:rPr>
        <w:t xml:space="preserve">: average CD4 count in HIV-uninfected individuals </w:t>
      </w:r>
    </w:p>
    <w:p w14:paraId="1D7452FF" w14:textId="77777777" w:rsidR="00956AF3" w:rsidRPr="00435469" w:rsidRDefault="00956AF3" w:rsidP="00955FFB">
      <w:pPr>
        <w:spacing w:line="240" w:lineRule="auto"/>
        <w:rPr>
          <w:rFonts w:cs="Times New Roman"/>
          <w:sz w:val="20"/>
          <w:szCs w:val="20"/>
        </w:rPr>
      </w:pPr>
      <m:oMath>
        <m:r>
          <w:rPr>
            <w:rFonts w:ascii="Cambria Math" w:hAnsi="Cambria Math" w:cs="Times New Roman"/>
            <w:sz w:val="20"/>
            <w:szCs w:val="20"/>
          </w:rPr>
          <m:t>s</m:t>
        </m:r>
      </m:oMath>
      <w:r w:rsidRPr="00435469">
        <w:rPr>
          <w:rFonts w:cs="Times New Roman"/>
          <w:sz w:val="20"/>
          <w:szCs w:val="20"/>
        </w:rPr>
        <w:t xml:space="preserve">: CD4 count if untreated, or baseline CD4 count if treated, </w:t>
      </w:r>
    </w:p>
    <w:p w14:paraId="12A0BA69" w14:textId="77777777" w:rsidR="00956AF3" w:rsidRPr="00435469" w:rsidRDefault="00956AF3" w:rsidP="00955FFB">
      <w:pPr>
        <w:spacing w:line="240" w:lineRule="auto"/>
        <w:rPr>
          <w:rFonts w:cs="Times New Roman"/>
          <w:sz w:val="20"/>
          <w:szCs w:val="20"/>
        </w:rPr>
      </w:pPr>
      <m:oMath>
        <m:r>
          <w:rPr>
            <w:rFonts w:ascii="Cambria Math" w:hAnsi="Cambria Math" w:cs="Times New Roman"/>
            <w:sz w:val="20"/>
            <w:szCs w:val="20"/>
          </w:rPr>
          <m:t>d</m:t>
        </m:r>
      </m:oMath>
      <w:r w:rsidRPr="00435469">
        <w:rPr>
          <w:rFonts w:cs="Times New Roman"/>
          <w:sz w:val="20"/>
          <w:szCs w:val="20"/>
        </w:rPr>
        <w:t xml:space="preserve">: duration on ART </w:t>
      </w:r>
    </w:p>
    <w:p w14:paraId="2E707952" w14:textId="056F225D" w:rsidR="00894F68" w:rsidRPr="00435469" w:rsidRDefault="00000000" w:rsidP="00955FFB">
      <w:pPr>
        <w:spacing w:line="240" w:lineRule="auto"/>
        <w:rPr>
          <w:rFonts w:eastAsia="Calibri" w:cs="Times New Roman"/>
          <w:sz w:val="20"/>
          <w:szCs w:val="20"/>
        </w:rPr>
      </w:pP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s</m:t>
            </m:r>
          </m:e>
          <m:sub>
            <m:r>
              <w:rPr>
                <w:rFonts w:ascii="Cambria Math" w:eastAsia="Calibri" w:hAnsi="Cambria Math" w:cs="Times New Roman"/>
                <w:sz w:val="20"/>
                <w:szCs w:val="20"/>
              </w:rPr>
              <m:t>d</m:t>
            </m:r>
          </m:sub>
        </m:sSub>
      </m:oMath>
      <w:r w:rsidR="00956AF3" w:rsidRPr="00435469">
        <w:rPr>
          <w:rFonts w:eastAsia="Calibri" w:cs="Times New Roman"/>
          <w:sz w:val="20"/>
          <w:szCs w:val="20"/>
        </w:rPr>
        <w:t xml:space="preserve">: current CD4 count for those on ART, with baseline CD4 count s, at a given year of treatment duration </w:t>
      </w:r>
      <m:oMath>
        <m:r>
          <w:rPr>
            <w:rFonts w:ascii="Cambria Math" w:eastAsia="Calibri" w:hAnsi="Cambria Math" w:cs="Times New Roman"/>
            <w:sz w:val="20"/>
            <w:szCs w:val="20"/>
          </w:rPr>
          <m:t>d</m:t>
        </m:r>
      </m:oMath>
      <w:r w:rsidR="006E1EAE" w:rsidRPr="00435469">
        <w:rPr>
          <w:rFonts w:eastAsia="Calibri" w:cs="Times New Roman"/>
          <w:sz w:val="20"/>
          <w:szCs w:val="20"/>
        </w:rPr>
        <w:t>.</w:t>
      </w:r>
    </w:p>
    <w:p w14:paraId="709093B8" w14:textId="77777777" w:rsidR="003454B8" w:rsidRPr="00435469" w:rsidRDefault="003454B8" w:rsidP="00955FFB">
      <w:pPr>
        <w:pStyle w:val="Heading2"/>
        <w:rPr>
          <w:rFonts w:cs="Times New Roman"/>
          <w:color w:val="auto"/>
          <w:sz w:val="20"/>
          <w:szCs w:val="20"/>
        </w:rPr>
      </w:pPr>
      <w:bookmarkStart w:id="227" w:name="_Toc79099813"/>
      <w:bookmarkStart w:id="228" w:name="_Ref80351052"/>
      <w:bookmarkStart w:id="229" w:name="_Ref80351057"/>
      <w:bookmarkStart w:id="230" w:name="_Toc80352135"/>
      <w:bookmarkStart w:id="231" w:name="_Ref81562938"/>
      <w:bookmarkStart w:id="232" w:name="_Toc87863342"/>
      <w:bookmarkStart w:id="233" w:name="_Toc88488573"/>
      <w:bookmarkStart w:id="234" w:name="_Toc103252941"/>
      <w:r w:rsidRPr="00435469">
        <w:rPr>
          <w:rFonts w:cs="Times New Roman"/>
          <w:color w:val="auto"/>
          <w:sz w:val="20"/>
          <w:szCs w:val="20"/>
        </w:rPr>
        <w:t>Tuberculosis recurrence</w:t>
      </w:r>
      <w:bookmarkEnd w:id="227"/>
      <w:bookmarkEnd w:id="228"/>
      <w:bookmarkEnd w:id="229"/>
      <w:bookmarkEnd w:id="230"/>
      <w:bookmarkEnd w:id="231"/>
      <w:bookmarkEnd w:id="232"/>
      <w:bookmarkEnd w:id="233"/>
      <w:bookmarkEnd w:id="234"/>
      <w:r w:rsidRPr="00435469">
        <w:rPr>
          <w:rFonts w:cs="Times New Roman"/>
          <w:color w:val="auto"/>
          <w:sz w:val="20"/>
          <w:szCs w:val="20"/>
        </w:rPr>
        <w:t xml:space="preserve"> </w:t>
      </w:r>
    </w:p>
    <w:p w14:paraId="757FDF4B" w14:textId="4E119282" w:rsidR="003454B8" w:rsidRPr="00435469" w:rsidRDefault="003454B8" w:rsidP="00955FFB">
      <w:pPr>
        <w:spacing w:line="240" w:lineRule="auto"/>
        <w:rPr>
          <w:sz w:val="20"/>
          <w:szCs w:val="20"/>
        </w:rPr>
      </w:pPr>
      <w:r w:rsidRPr="00435469">
        <w:rPr>
          <w:sz w:val="20"/>
          <w:szCs w:val="20"/>
        </w:rPr>
        <w:t>Recurrent TB is a TB episode that occurs after the previous TB episode has been considered cured. True relapse occurs when tuberculosis bacilli persist even though bacteriological tests suggest</w:t>
      </w:r>
      <w:r w:rsidR="002D2BE9" w:rsidRPr="00435469">
        <w:rPr>
          <w:sz w:val="20"/>
          <w:szCs w:val="20"/>
        </w:rPr>
        <w:t>ed</w:t>
      </w:r>
      <w:r w:rsidRPr="00435469">
        <w:rPr>
          <w:sz w:val="20"/>
          <w:szCs w:val="20"/>
        </w:rPr>
        <w:t xml:space="preserve"> a cure</w:t>
      </w:r>
      <w:r w:rsidR="002D2BE9" w:rsidRPr="00435469">
        <w:rPr>
          <w:sz w:val="20"/>
          <w:szCs w:val="20"/>
        </w:rPr>
        <w:t xml:space="preserve"> </w:t>
      </w:r>
      <w:r w:rsidR="00DF3766" w:rsidRPr="00435469">
        <w:rPr>
          <w:sz w:val="20"/>
          <w:szCs w:val="20"/>
        </w:rPr>
        <w:t>at</w:t>
      </w:r>
      <w:r w:rsidR="002D2BE9" w:rsidRPr="00435469">
        <w:rPr>
          <w:sz w:val="20"/>
          <w:szCs w:val="20"/>
        </w:rPr>
        <w:t xml:space="preserve"> treatment completion</w:t>
      </w:r>
      <w:r w:rsidRPr="00435469">
        <w:rPr>
          <w:sz w:val="20"/>
          <w:szCs w:val="20"/>
        </w:rPr>
        <w:t xml:space="preserve"> </w:t>
      </w:r>
      <w:r w:rsidRPr="00435469">
        <w:rPr>
          <w:sz w:val="20"/>
          <w:szCs w:val="20"/>
        </w:rPr>
        <w:fldChar w:fldCharType="begin" w:fldLock="1"/>
      </w:r>
      <w:r w:rsidR="00A142FF" w:rsidRPr="00435469">
        <w:rPr>
          <w:sz w:val="20"/>
          <w:szCs w:val="20"/>
        </w:rPr>
        <w:instrText>ADDIN CSL_CITATION {"citationItems":[{"id":"ITEM-1","itemData":{"DOI":"10.1016/S1473-3099(03)00607-8","ISSN":"14733099","abstract":"The importance of reinfection as a cause for recurrence of tuberculosis is unclear and has potential public-health implications. We systematically searched published material for studies using DNA fingerprinting to provide data on the issue. Very few studies were designed for that particular research objective and/or report on a sufficient number of observations. Differences in methods - eg, case-definitions - seriously hamper comparisons between studies. The proportion of recurrences due to reinfection ranged between 0% and 100%; however, this figure cannot be a useful indicator since the two causes of recurrence - relapse and reinfection - are essentially independent. Only one study provides an estimate of the incidence of recurrence due to reinfection, indicating its importance for HIV-infected patients in an environment with an unusually high tuberculosis incidence. We argue that apart from extreme situations like this one the problem of recurrence of tuberculosis due to reinfection has few implications for tuberculosis-control programmes.","author":[{"dropping-particle":"","family":"Lambert","given":"Marie Laurence","non-dropping-particle":"","parse-names":false,"suffix":""},{"dropping-particle":"","family":"Hasker","given":"Epco","non-dropping-particle":"","parse-names":false,"suffix":""},{"dropping-particle":"","family":"Deun","given":"Armand","non-dropping-particle":"Van","parse-names":false,"suffix":""},{"dropping-particle":"","family":"Roberfroid","given":"Dominique","non-dropping-particle":"","parse-names":false,"suffix":""},{"dropping-particle":"","family":"Boelaert","given":"Marleen","non-dropping-particle":"","parse-names":false,"suffix":""},{"dropping-particle":"","family":"Stuyft","given":"Patrick","non-dropping-particle":"Van der","parse-names":false,"suffix":""}],"container-title":"Lancet Infectious Diseases","id":"ITEM-1","issue":"5","issued":{"date-parts":[["2003"]]},"page":"282-287","title":"Recurrence in tuberculosis: Relapse or reinfection?","type":"article-journal","volume":"3"},"uris":["http://www.mendeley.com/documents/?uuid=261211b2-1d86-4252-9d4e-077d1aa1f07e"]}],"mendeley":{"formattedCitation":"(98)","plainTextFormattedCitation":"(98)","previouslyFormattedCitation":"(98)"},"properties":{"noteIndex":0},"schema":"https://github.com/citation-style-language/schema/raw/master/csl-citation.json"}</w:instrText>
      </w:r>
      <w:r w:rsidRPr="00435469">
        <w:rPr>
          <w:sz w:val="20"/>
          <w:szCs w:val="20"/>
        </w:rPr>
        <w:fldChar w:fldCharType="separate"/>
      </w:r>
      <w:r w:rsidR="0016391D" w:rsidRPr="00435469">
        <w:rPr>
          <w:noProof/>
          <w:sz w:val="20"/>
          <w:szCs w:val="20"/>
        </w:rPr>
        <w:t>(98)</w:t>
      </w:r>
      <w:r w:rsidRPr="00435469">
        <w:rPr>
          <w:sz w:val="20"/>
          <w:szCs w:val="20"/>
        </w:rPr>
        <w:fldChar w:fldCharType="end"/>
      </w:r>
      <w:r w:rsidRPr="00435469">
        <w:rPr>
          <w:sz w:val="20"/>
          <w:szCs w:val="20"/>
        </w:rPr>
        <w:t xml:space="preserve">. This </w:t>
      </w:r>
      <w:r w:rsidR="00DF3766" w:rsidRPr="00435469">
        <w:rPr>
          <w:sz w:val="20"/>
          <w:szCs w:val="20"/>
        </w:rPr>
        <w:t>relapse is</w:t>
      </w:r>
      <w:r w:rsidRPr="00435469">
        <w:rPr>
          <w:sz w:val="20"/>
          <w:szCs w:val="20"/>
        </w:rPr>
        <w:t xml:space="preserve"> viewed as endogenous reactivation of the previous TB strain</w:t>
      </w:r>
      <w:r w:rsidR="00DF3766" w:rsidRPr="00435469">
        <w:rPr>
          <w:sz w:val="20"/>
          <w:szCs w:val="20"/>
        </w:rPr>
        <w:t xml:space="preserve"> </w:t>
      </w:r>
      <w:r w:rsidR="00DF3766" w:rsidRPr="00435469">
        <w:rPr>
          <w:sz w:val="20"/>
          <w:szCs w:val="20"/>
        </w:rPr>
        <w:fldChar w:fldCharType="begin" w:fldLock="1"/>
      </w:r>
      <w:r w:rsidR="00A142FF" w:rsidRPr="00435469">
        <w:rPr>
          <w:sz w:val="20"/>
          <w:szCs w:val="20"/>
        </w:rPr>
        <w:instrText>ADDIN CSL_CITATION {"citationItems":[{"id":"ITEM-1","itemData":{"DOI":"10.1016/S1473-3099(03)00607-8","ISSN":"14733099","abstract":"The importance of reinfection as a cause for recurrence of tuberculosis is unclear and has potential public-health implications. We systematically searched published material for studies using DNA fingerprinting to provide data on the issue. Very few studies were designed for that particular research objective and/or report on a sufficient number of observations. Differences in methods - eg, case-definitions - seriously hamper comparisons between studies. The proportion of recurrences due to reinfection ranged between 0% and 100%; however, this figure cannot be a useful indicator since the two causes of recurrence - relapse and reinfection - are essentially independent. Only one study provides an estimate of the incidence of recurrence due to reinfection, indicating its importance for HIV-infected patients in an environment with an unusually high tuberculosis incidence. We argue that apart from extreme situations like this one the problem of recurrence of tuberculosis due to reinfection has few implications for tuberculosis-control programmes.","author":[{"dropping-particle":"","family":"Lambert","given":"Marie Laurence","non-dropping-particle":"","parse-names":false,"suffix":""},{"dropping-particle":"","family":"Hasker","given":"Epco","non-dropping-particle":"","parse-names":false,"suffix":""},{"dropping-particle":"","family":"Deun","given":"Armand","non-dropping-particle":"Van","parse-names":false,"suffix":""},{"dropping-particle":"","family":"Roberfroid","given":"Dominique","non-dropping-particle":"","parse-names":false,"suffix":""},{"dropping-particle":"","family":"Boelaert","given":"Marleen","non-dropping-particle":"","parse-names":false,"suffix":""},{"dropping-particle":"","family":"Stuyft","given":"Patrick","non-dropping-particle":"Van der","parse-names":false,"suffix":""}],"container-title":"Lancet Infectious Diseases","id":"ITEM-1","issue":"5","issued":{"date-parts":[["2003"]]},"page":"282-287","title":"Recurrence in tuberculosis: Relapse or reinfection?","type":"article-journal","volume":"3"},"uris":["http://www.mendeley.com/documents/?uuid=261211b2-1d86-4252-9d4e-077d1aa1f07e"]}],"mendeley":{"formattedCitation":"(98)","plainTextFormattedCitation":"(98)","previouslyFormattedCitation":"(98)"},"properties":{"noteIndex":0},"schema":"https://github.com/citation-style-language/schema/raw/master/csl-citation.json"}</w:instrText>
      </w:r>
      <w:r w:rsidR="00DF3766" w:rsidRPr="00435469">
        <w:rPr>
          <w:sz w:val="20"/>
          <w:szCs w:val="20"/>
        </w:rPr>
        <w:fldChar w:fldCharType="separate"/>
      </w:r>
      <w:r w:rsidR="0016391D" w:rsidRPr="00435469">
        <w:rPr>
          <w:noProof/>
          <w:sz w:val="20"/>
          <w:szCs w:val="20"/>
        </w:rPr>
        <w:t>(98)</w:t>
      </w:r>
      <w:r w:rsidR="00DF3766" w:rsidRPr="00435469">
        <w:rPr>
          <w:sz w:val="20"/>
          <w:szCs w:val="20"/>
        </w:rPr>
        <w:fldChar w:fldCharType="end"/>
      </w:r>
      <w:r w:rsidRPr="00435469">
        <w:rPr>
          <w:sz w:val="20"/>
          <w:szCs w:val="20"/>
        </w:rPr>
        <w:t>. Factors that contribute to relapse include inadequate regimen and poor adherence. According to most studies, relapse is time-dependent, and the highest risk is within the first 3 – 6 months following successful treatment</w:t>
      </w:r>
      <w:r w:rsidRPr="00435469">
        <w:rPr>
          <w:rFonts w:eastAsia="Calibri"/>
          <w:sz w:val="20"/>
          <w:szCs w:val="20"/>
        </w:rPr>
        <w:t xml:space="preserve"> </w:t>
      </w:r>
      <w:r w:rsidRPr="00435469">
        <w:rPr>
          <w:rFonts w:eastAsia="Calibri"/>
          <w:sz w:val="20"/>
          <w:szCs w:val="20"/>
        </w:rPr>
        <w:fldChar w:fldCharType="begin" w:fldLock="1"/>
      </w:r>
      <w:r w:rsidR="00A142FF" w:rsidRPr="00435469">
        <w:rPr>
          <w:rFonts w:eastAsia="Calibri"/>
          <w:sz w:val="20"/>
          <w:szCs w:val="20"/>
        </w:rPr>
        <w:instrText>ADDIN CSL_CITATION {"citationItems":[{"id":"ITEM-1","itemData":{"DOI":"10.1086/375220","ISBN":"1537-6591 (Electronic) 1058-4838 (Linking)","ISSN":"1058-4838","PMID":"12830415","abstract":"We reviewed 47 prospective studies of recurrence of pulmonary tuberculosis (TB) after cure to assess the influence of human immunodeficiency virus (HIV) infection and rifampin treatment. Multivariate regression revealed that the recurrence rate for HIV-uninfected persons increased with decreasing duration of therapy: it was 1.4 cases per 100 person-years for recipients of &gt;or=7 months of rifampin therapy and 2.0 and 4.0 cases per 100 person-years for recipients of 5-6 and 2-3 months of rifampin therapy, respectively (trend P=.00014), over a mean follow-up duration of 34 months, at a TB incidence of 250 cases per 100,000 person-years. Relative risks of recurrence associated with HIV infection at these 3 treatment durations were 2.2, 2.1, and 3.4, respectively, with a significant interaction between HIV infection status and treatment duration (P=.025). The recurrence rate increased with the background TB incidence (P=.048), and it decreased over time since completion of treatment in HIV-uninfected but not in HIV-infected patients (overall trend, P=.00008; difference by HIV infection status, P=.025). In countries where HIV infection is endemic, TB recurrence may be reduced by administration of rifampin-based treatment for at least 6 months, in accordance with World Health Organization recommendations.","author":[{"dropping-particle":"","family":"Korenromp","given":"Eline L.","non-dropping-particle":"","parse-names":false,"suffix":""},{"dropping-particle":"","family":"Scano","given":"Fabio","non-dropping-particle":"","parse-names":false,"suffix":""},{"dropping-particle":"","family":"Williams","given":"Brian G.","non-dropping-particle":"","parse-names":false,"suffix":""},{"dropping-particle":"","family":"Dye","given":"Christopher","non-dropping-particle":"","parse-names":false,"suffix":""},{"dropping-particle":"","family":"Nunn","given":"Paul","non-dropping-particle":"","parse-names":false,"suffix":""}],"container-title":"Clinical Infectious Diseases","id":"ITEM-1","issue":"1","issued":{"date-parts":[["2003"]]},"page":"101-112","title":"Effects of Human Immunodeficiency Virus Infection on Recurrence of Tuberculosis after Rifampin-Based Treatment: An Analytical Review","type":"article-journal","volume":"37"},"uris":["http://www.mendeley.com/documents/?uuid=31a18c67-40bf-47dc-9bdd-7a65a6a21fc5"]},{"id":"ITEM-2","itemData":{"DOI":"10.1093/cid/ciu186","ISBN":"1537-6591 (Electronic)\\r1058-4838 (Linking)","ISSN":"15376591","PMID":"24647020","abstract":"BACKGROUND There is increasing evidence from tuberculosis high-burden settings that exogenous reinfection contributes considerably to recurrent disease. However, large longitudinal studies of endogenous reactivation (relapse) and reinfection tuberculosis are lacking. We hypothesize a relationship between relapse vs reinfection and the time between treatment completion and recurrent disease. METHODS Population-based retrospective cohort study on all smear-positive tuberculosis cases successfully treated between 1996 and 2008 in a suburban setting in Cape Town, South Africa. Inverse gaussian distributions were fitted to observed annual rates of relapse and reinfection, distinguished by DNA fingerprinting of Mycobacterium tuberculosis strains recultured from diagnostic samples. RESULTS Paired DNA fingerprint data were available for 130 (64%) of 203 recurrent smear-positive tuberculosis cases in the 13-year study period. Reinfection accounted for 66 (51%) of 130 recurrent cases overall, 9 (20%) of 44 recurrent cases within the first year, and 57 (66%) of 86 thereafter (P &lt; .001). The relapse rate peaked at 3.93% (95% confidence interval [CI], 2.35%-5.96%) per annum 0.35 (95% CI, .15-.45) years after treatment completion. The reinfection tuberculosis rate peaked at 1.58% (95% CI, .94%-2.46%) per annum 1.20 (95% CI, .55-1.70) years after completion. CONCLUSIONS To our knowledge, this is the first study of sufficient size and duration using DNA fingerprinting to investigate tuberculosis relapse and reinfection over a lengthy period. Relapse occurred early after treatment completion, whereas reinfection dominated after 1 year and accounted for at least half of recurrent disease. This temporal relationship may explain the high variability in reinfection observed across smaller studies. We speculate that follow-up time in antituberculosis drug trials should take reinfection into account.","author":[{"dropping-particle":"","family":"Marx","given":"Florian M","non-dropping-particle":"","parse-names":false,"suffix":""},{"dropping-particle":"","family":"Dunbar","given":"Rory","non-dropping-particle":"","parse-names":false,"suffix":""},{"dropping-particle":"","family":"Enarson","given":"Donald A","non-dropping-particle":"","parse-names":false,"suffix":""},{"dropping-particle":"","family":"Williams","given":"Brian G","non-dropping-particle":"","parse-names":false,"suffix":""},{"dropping-particle":"","family":"Warren","given":"Robin M","non-dropping-particle":"","parse-names":false,"suffix":""},{"dropping-particle":"","family":"Spuy","given":"Gian D.","non-dropping-particle":"Van Der","parse-names":false,"suffix":""},{"dropping-particle":"","family":"Helden","given":"Paul D.","non-dropping-particle":"Van","parse-names":false,"suffix":""},{"dropping-particle":"","family":"Beyers","given":"Nulda","non-dropping-particle":"","parse-names":false,"suffix":""}],"container-title":"Clinical Infectious Diseases","id":"ITEM-2","issue":"12","issued":{"date-parts":[["2014"]]},"page":"1676-1683","title":"The temporal dynamics of relapse and reinfection tuberculosis after successful treatment: A retrospective cohort study","type":"article-journal","volume":"58"},"uris":["http://www.mendeley.com/documents/?uuid=68f3529d-2cf0-4219-8a73-bc35edede603"]},{"id":"ITEM-3","itemData":{"DOI":"http://dx.doi.org/10.5772/57353","abstract":"Recurrent tuberculosis (TB) following successful treatment constitutes a significant challenge to TB control strategies. TB recurrence can be due to either reactivation of the same strain, i.e., relapse, or reinfection with a new strain. Recurrence due to reinfection has become an area of intense study due to its perceived significance in TB endemic settings with high rates of human immunodeficiency virus (HIV) coinfection. This review presents a descriptive analysis of recurrent TB disease and explores risk factors, immunopathogenesis, treatment, and preventative strategies. Currently available laboratory methods used to discriminate tuberculosis recurrence due to reinfection and relapse are discussed. We highlight risk factors for recurrence and strategies for early detection of TB recurrence. Enhanced treatment options such as intensified initial treatment, extension of treatment, and secondary preventative therapy for patients presenting with multiple risk factors are explored in this review. The potential value of identifying immunological correlates of risk and protection in recurrent TB is also briefly examined.","author":[{"dropping-particle":"","family":"Naidoo","given":"Kogieleum","non-dropping-particle":"","parse-names":false,"suffix":""},{"dropping-particle":"","family":"Dookie","given":"Navisha","non-dropping-particle":"","parse-names":false,"suffix":""}],"container-title":"IntechOpen","id":"ITEM-3","issued":{"date-parts":[["2018"]]},"title":"Insights into Recurrent Tuberculosis: Relapse Versus Reinfection and Related Risk Factors, Tuberculosis","type":"article-journal"},"uris":["http://www.mendeley.com/documents/?uuid=2a760297-ead1-49d3-97b9-4429d6f3b47b"]}],"mendeley":{"formattedCitation":"(99–101)","plainTextFormattedCitation":"(99–101)","previouslyFormattedCitation":"(99–101)"},"properties":{"noteIndex":0},"schema":"https://github.com/citation-style-language/schema/raw/master/csl-citation.json"}</w:instrText>
      </w:r>
      <w:r w:rsidRPr="00435469">
        <w:rPr>
          <w:rFonts w:eastAsia="Calibri"/>
          <w:sz w:val="20"/>
          <w:szCs w:val="20"/>
        </w:rPr>
        <w:fldChar w:fldCharType="separate"/>
      </w:r>
      <w:r w:rsidR="0016391D" w:rsidRPr="00435469">
        <w:rPr>
          <w:rFonts w:eastAsia="Calibri"/>
          <w:noProof/>
          <w:sz w:val="20"/>
          <w:szCs w:val="20"/>
        </w:rPr>
        <w:t>(99–101)</w:t>
      </w:r>
      <w:r w:rsidRPr="00435469">
        <w:rPr>
          <w:rFonts w:eastAsia="Calibri"/>
          <w:sz w:val="20"/>
          <w:szCs w:val="20"/>
        </w:rPr>
        <w:fldChar w:fldCharType="end"/>
      </w:r>
      <w:r w:rsidRPr="00435469">
        <w:rPr>
          <w:sz w:val="20"/>
          <w:szCs w:val="20"/>
        </w:rPr>
        <w:t xml:space="preserve">. </w:t>
      </w:r>
    </w:p>
    <w:p w14:paraId="45A63E5A" w14:textId="75186FA5" w:rsidR="003454B8" w:rsidRPr="00435469" w:rsidRDefault="003454B8" w:rsidP="00955FFB">
      <w:pPr>
        <w:spacing w:line="240" w:lineRule="auto"/>
        <w:rPr>
          <w:rFonts w:eastAsia="Calibri"/>
          <w:sz w:val="20"/>
          <w:szCs w:val="20"/>
        </w:rPr>
      </w:pPr>
      <w:r w:rsidRPr="00435469">
        <w:rPr>
          <w:sz w:val="20"/>
          <w:szCs w:val="20"/>
        </w:rPr>
        <w:t>On the other hand, TB recurrence due to reinfection results from re-exposure to TB</w:t>
      </w:r>
      <w:r w:rsidRPr="00435469">
        <w:rPr>
          <w:i/>
          <w:sz w:val="20"/>
          <w:szCs w:val="20"/>
        </w:rPr>
        <w:t xml:space="preserve"> </w:t>
      </w:r>
      <w:r w:rsidRPr="00435469">
        <w:rPr>
          <w:sz w:val="20"/>
          <w:szCs w:val="20"/>
        </w:rPr>
        <w:t xml:space="preserve">and occurs at a relatively constant </w:t>
      </w:r>
      <w:r w:rsidR="00A60AFA" w:rsidRPr="00435469">
        <w:rPr>
          <w:sz w:val="20"/>
          <w:szCs w:val="20"/>
        </w:rPr>
        <w:t xml:space="preserve">rate </w:t>
      </w:r>
      <w:r w:rsidRPr="00435469">
        <w:rPr>
          <w:sz w:val="20"/>
          <w:szCs w:val="20"/>
        </w:rPr>
        <w:t xml:space="preserve">over time </w:t>
      </w:r>
      <w:r w:rsidRPr="00435469">
        <w:rPr>
          <w:rFonts w:eastAsia="Calibri"/>
          <w:sz w:val="20"/>
          <w:szCs w:val="20"/>
        </w:rPr>
        <w:fldChar w:fldCharType="begin" w:fldLock="1"/>
      </w:r>
      <w:r w:rsidR="00A142FF" w:rsidRPr="00435469">
        <w:rPr>
          <w:rFonts w:eastAsia="Calibri"/>
          <w:sz w:val="20"/>
          <w:szCs w:val="20"/>
        </w:rPr>
        <w:instrText>ADDIN CSL_CITATION {"citationItems":[{"id":"ITEM-1","itemData":{"DOI":"10.1086/375220","ISBN":"1537-6591 (Electronic) 1058-4838 (Linking)","ISSN":"1058-4838","PMID":"12830415","abstract":"We reviewed 47 prospective studies of recurrence of pulmonary tuberculosis (TB) after cure to assess the influence of human immunodeficiency virus (HIV) infection and rifampin treatment. Multivariate regression revealed that the recurrence rate for HIV-uninfected persons increased with decreasing duration of therapy: it was 1.4 cases per 100 person-years for recipients of &gt;or=7 months of rifampin therapy and 2.0 and 4.0 cases per 100 person-years for recipients of 5-6 and 2-3 months of rifampin therapy, respectively (trend P=.00014), over a mean follow-up duration of 34 months, at a TB incidence of 250 cases per 100,000 person-years. Relative risks of recurrence associated with HIV infection at these 3 treatment durations were 2.2, 2.1, and 3.4, respectively, with a significant interaction between HIV infection status and treatment duration (P=.025). The recurrence rate increased with the background TB incidence (P=.048), and it decreased over time since completion of treatment in HIV-uninfected but not in HIV-infected patients (overall trend, P=.00008; difference by HIV infection status, P=.025). In countries where HIV infection is endemic, TB recurrence may be reduced by administration of rifampin-based treatment for at least 6 months, in accordance with World Health Organization recommendations.","author":[{"dropping-particle":"","family":"Korenromp","given":"Eline L.","non-dropping-particle":"","parse-names":false,"suffix":""},{"dropping-particle":"","family":"Scano","given":"Fabio","non-dropping-particle":"","parse-names":false,"suffix":""},{"dropping-particle":"","family":"Williams","given":"Brian G.","non-dropping-particle":"","parse-names":false,"suffix":""},{"dropping-particle":"","family":"Dye","given":"Christopher","non-dropping-particle":"","parse-names":false,"suffix":""},{"dropping-particle":"","family":"Nunn","given":"Paul","non-dropping-particle":"","parse-names":false,"suffix":""}],"container-title":"Clinical Infectious Diseases","id":"ITEM-1","issue":"1","issued":{"date-parts":[["2003"]]},"page":"101-112","title":"Effects of Human Immunodeficiency Virus Infection on Recurrence of Tuberculosis after Rifampin-Based Treatment: An Analytical Review","type":"article-journal","volume":"37"},"uris":["http://www.mendeley.com/documents/?uuid=31a18c67-40bf-47dc-9bdd-7a65a6a21fc5"]}],"mendeley":{"formattedCitation":"(99)","plainTextFormattedCitation":"(99)","previouslyFormattedCitation":"(99)"},"properties":{"noteIndex":0},"schema":"https://github.com/citation-style-language/schema/raw/master/csl-citation.json"}</w:instrText>
      </w:r>
      <w:r w:rsidRPr="00435469">
        <w:rPr>
          <w:rFonts w:eastAsia="Calibri"/>
          <w:sz w:val="20"/>
          <w:szCs w:val="20"/>
        </w:rPr>
        <w:fldChar w:fldCharType="separate"/>
      </w:r>
      <w:r w:rsidR="0016391D" w:rsidRPr="00435469">
        <w:rPr>
          <w:rFonts w:eastAsia="Calibri"/>
          <w:noProof/>
          <w:sz w:val="20"/>
          <w:szCs w:val="20"/>
        </w:rPr>
        <w:t>(99)</w:t>
      </w:r>
      <w:r w:rsidRPr="00435469">
        <w:rPr>
          <w:rFonts w:eastAsia="Calibri"/>
          <w:sz w:val="20"/>
          <w:szCs w:val="20"/>
        </w:rPr>
        <w:fldChar w:fldCharType="end"/>
      </w:r>
      <w:r w:rsidRPr="00435469">
        <w:rPr>
          <w:sz w:val="20"/>
          <w:szCs w:val="20"/>
        </w:rPr>
        <w:t>. The risk of recurrent TB due to reinfection depends on ongoing TB transmission in the community and</w:t>
      </w:r>
      <w:r w:rsidR="00944FB0" w:rsidRPr="00435469">
        <w:rPr>
          <w:sz w:val="20"/>
          <w:szCs w:val="20"/>
        </w:rPr>
        <w:t xml:space="preserve"> prevalent </w:t>
      </w:r>
      <w:r w:rsidR="00B72321" w:rsidRPr="00435469">
        <w:rPr>
          <w:sz w:val="20"/>
          <w:szCs w:val="20"/>
        </w:rPr>
        <w:t>factors that increase the</w:t>
      </w:r>
      <w:r w:rsidRPr="00435469">
        <w:rPr>
          <w:sz w:val="20"/>
          <w:szCs w:val="20"/>
        </w:rPr>
        <w:t xml:space="preserve"> risk of </w:t>
      </w:r>
      <w:r w:rsidR="00B72321" w:rsidRPr="00435469">
        <w:rPr>
          <w:sz w:val="20"/>
          <w:szCs w:val="20"/>
        </w:rPr>
        <w:t>fast progression to</w:t>
      </w:r>
      <w:r w:rsidRPr="00435469">
        <w:rPr>
          <w:sz w:val="20"/>
          <w:szCs w:val="20"/>
        </w:rPr>
        <w:t xml:space="preserve"> active TB disease. </w:t>
      </w:r>
      <w:r w:rsidRPr="00435469">
        <w:rPr>
          <w:rFonts w:eastAsia="Calibri"/>
          <w:sz w:val="20"/>
          <w:szCs w:val="20"/>
        </w:rPr>
        <w:t xml:space="preserve">We note that reinfection in re-treatment individuals is usually measured as the number of new active TB disease cases rather than </w:t>
      </w:r>
      <w:r w:rsidR="00A60AFA" w:rsidRPr="00435469">
        <w:rPr>
          <w:rFonts w:eastAsia="Calibri"/>
          <w:sz w:val="20"/>
          <w:szCs w:val="20"/>
        </w:rPr>
        <w:t xml:space="preserve">new </w:t>
      </w:r>
      <w:r w:rsidRPr="00435469">
        <w:rPr>
          <w:rFonts w:eastAsia="Calibri"/>
          <w:sz w:val="20"/>
          <w:szCs w:val="20"/>
        </w:rPr>
        <w:t xml:space="preserve">latent TB infection, thus reflecting fast progression in those experiencing a second (or </w:t>
      </w:r>
      <w:r w:rsidR="00E56E3E" w:rsidRPr="00435469">
        <w:rPr>
          <w:rFonts w:eastAsia="Calibri"/>
          <w:sz w:val="20"/>
          <w:szCs w:val="20"/>
        </w:rPr>
        <w:t>subsequent</w:t>
      </w:r>
      <w:r w:rsidRPr="00435469">
        <w:rPr>
          <w:rFonts w:eastAsia="Calibri"/>
          <w:sz w:val="20"/>
          <w:szCs w:val="20"/>
        </w:rPr>
        <w:t xml:space="preserve">) episode of TB </w:t>
      </w:r>
      <w:r w:rsidR="00A60AFA" w:rsidRPr="00435469">
        <w:rPr>
          <w:rFonts w:eastAsia="Calibri"/>
          <w:sz w:val="20"/>
          <w:szCs w:val="20"/>
        </w:rPr>
        <w:t xml:space="preserve">infection </w:t>
      </w:r>
      <w:r w:rsidRPr="00435469">
        <w:rPr>
          <w:sz w:val="20"/>
          <w:szCs w:val="20"/>
        </w:rPr>
        <w:fldChar w:fldCharType="begin" w:fldLock="1"/>
      </w:r>
      <w:r w:rsidR="00A142FF" w:rsidRPr="00435469">
        <w:rPr>
          <w:sz w:val="20"/>
          <w:szCs w:val="20"/>
        </w:rPr>
        <w:instrText>ADDIN CSL_CITATION {"citationItems":[{"id":"ITEM-1","itemData":{"DOI":"http://dx.doi.org/10.5772/57353","abstract":"Recurrent tuberculosis (TB) following successful treatment constitutes a significant challenge to TB control strategies. TB recurrence can be due to either reactivation of the same strain, i.e., relapse, or reinfection with a new strain. Recurrence due to reinfection has become an area of intense study due to its perceived significance in TB endemic settings with high rates of human immunodeficiency virus (HIV) coinfection. This review presents a descriptive analysis of recurrent TB disease and explores risk factors, immunopathogenesis, treatment, and preventative strategies. Currently available laboratory methods used to discriminate tuberculosis recurrence due to reinfection and relapse are discussed. We highlight risk factors for recurrence and strategies for early detection of TB recurrence. Enhanced treatment options such as intensified initial treatment, extension of treatment, and secondary preventative therapy for patients presenting with multiple risk factors are explored in this review. The potential value of identifying immunological correlates of risk and protection in recurrent TB is also briefly examined.","author":[{"dropping-particle":"","family":"Naidoo","given":"Kogieleum","non-dropping-particle":"","parse-names":false,"suffix":""},{"dropping-particle":"","family":"Dookie","given":"Navisha","non-dropping-particle":"","parse-names":false,"suffix":""}],"container-title":"IntechOpen","id":"ITEM-1","issued":{"date-parts":[["2018"]]},"title":"Insights into Recurrent Tuberculosis: Relapse Versus Reinfection and Related Risk Factors, Tuberculosis","type":"article-journal"},"uris":["http://www.mendeley.com/documents/?uuid=2a760297-ead1-49d3-97b9-4429d6f3b47b"]},{"id":"ITEM-2","itemData":{"DOI":"10.1086/375220","ISBN":"1537-6591 (Electronic) 1058-4838 (Linking)","ISSN":"1058-4838","PMID":"12830415","abstract":"We reviewed 47 prospective studies of recurrence of pulmonary tuberculosis (TB) after cure to assess the influence of human immunodeficiency virus (HIV) infection and rifampin treatment. Multivariate regression revealed that the recurrence rate for HIV-uninfected persons increased with decreasing duration of therapy: it was 1.4 cases per 100 person-years for recipients of &gt;or=7 months of rifampin therapy and 2.0 and 4.0 cases per 100 person-years for recipients of 5-6 and 2-3 months of rifampin therapy, respectively (trend P=.00014), over a mean follow-up duration of 34 months, at a TB incidence of 250 cases per 100,000 person-years. Relative risks of recurrence associated with HIV infection at these 3 treatment durations were 2.2, 2.1, and 3.4, respectively, with a significant interaction between HIV infection status and treatment duration (P=.025). The recurrence rate increased with the background TB incidence (P=.048), and it decreased over time since completion of treatment in HIV-uninfected but not in HIV-infected patients (overall trend, P=.00008; difference by HIV infection status, P=.025). In countries where HIV infection is endemic, TB recurrence may be reduced by administration of rifampin-based treatment for at least 6 months, in accordance with World Health Organization recommendations.","author":[{"dropping-particle":"","family":"Korenromp","given":"Eline L.","non-dropping-particle":"","parse-names":false,"suffix":""},{"dropping-particle":"","family":"Scano","given":"Fabio","non-dropping-particle":"","parse-names":false,"suffix":""},{"dropping-particle":"","family":"Williams","given":"Brian G.","non-dropping-particle":"","parse-names":false,"suffix":""},{"dropping-particle":"","family":"Dye","given":"Christopher","non-dropping-particle":"","parse-names":false,"suffix":""},{"dropping-particle":"","family":"Nunn","given":"Paul","non-dropping-particle":"","parse-names":false,"suffix":""}],"container-title":"Clinical Infectious Diseases","id":"ITEM-2","issue":"1","issued":{"date-parts":[["2003"]]},"page":"101-112","title":"Effects of Human Immunodeficiency Virus Infection on Recurrence of Tuberculosis after Rifampin-Based Treatment: An Analytical Review","type":"article-journal","volume":"37"},"uris":["http://www.mendeley.com/documents/?uuid=31a18c67-40bf-47dc-9bdd-7a65a6a21fc5"]}],"mendeley":{"formattedCitation":"(99,101)","plainTextFormattedCitation":"(99,101)","previouslyFormattedCitation":"(99,101)"},"properties":{"noteIndex":0},"schema":"https://github.com/citation-style-language/schema/raw/master/csl-citation.json"}</w:instrText>
      </w:r>
      <w:r w:rsidRPr="00435469">
        <w:rPr>
          <w:sz w:val="20"/>
          <w:szCs w:val="20"/>
        </w:rPr>
        <w:fldChar w:fldCharType="separate"/>
      </w:r>
      <w:r w:rsidR="0016391D" w:rsidRPr="00435469">
        <w:rPr>
          <w:noProof/>
          <w:sz w:val="20"/>
          <w:szCs w:val="20"/>
        </w:rPr>
        <w:t>(99,101)</w:t>
      </w:r>
      <w:r w:rsidRPr="00435469">
        <w:rPr>
          <w:sz w:val="20"/>
          <w:szCs w:val="20"/>
        </w:rPr>
        <w:fldChar w:fldCharType="end"/>
      </w:r>
      <w:r w:rsidRPr="00435469">
        <w:rPr>
          <w:sz w:val="20"/>
          <w:szCs w:val="20"/>
        </w:rPr>
        <w:t xml:space="preserve">. </w:t>
      </w:r>
      <w:r w:rsidRPr="00435469">
        <w:rPr>
          <w:rFonts w:eastAsia="Calibri"/>
          <w:sz w:val="20"/>
          <w:szCs w:val="20"/>
        </w:rPr>
        <w:t xml:space="preserve"> </w:t>
      </w:r>
    </w:p>
    <w:p w14:paraId="4C51BD6F" w14:textId="1BD1B007" w:rsidR="00FF6073" w:rsidRPr="00435469" w:rsidRDefault="00FF6073" w:rsidP="00955FFB">
      <w:pPr>
        <w:spacing w:line="240" w:lineRule="auto"/>
        <w:rPr>
          <w:sz w:val="20"/>
          <w:szCs w:val="20"/>
        </w:rPr>
      </w:pPr>
      <w:proofErr w:type="spellStart"/>
      <w:r w:rsidRPr="00435469">
        <w:rPr>
          <w:rFonts w:eastAsia="Calibri"/>
          <w:sz w:val="20"/>
          <w:szCs w:val="20"/>
        </w:rPr>
        <w:t>Korenromp</w:t>
      </w:r>
      <w:proofErr w:type="spellEnd"/>
      <w:r w:rsidRPr="00435469">
        <w:rPr>
          <w:rFonts w:eastAsia="Calibri"/>
          <w:sz w:val="20"/>
          <w:szCs w:val="20"/>
        </w:rPr>
        <w:t xml:space="preserve"> </w:t>
      </w:r>
      <w:r w:rsidRPr="00435469">
        <w:rPr>
          <w:rFonts w:eastAsia="Calibri"/>
          <w:i/>
          <w:iCs/>
          <w:sz w:val="20"/>
          <w:szCs w:val="20"/>
        </w:rPr>
        <w:t>et al</w:t>
      </w:r>
      <w:r w:rsidRPr="00435469">
        <w:rPr>
          <w:rFonts w:eastAsia="Calibri"/>
          <w:sz w:val="20"/>
          <w:szCs w:val="20"/>
        </w:rPr>
        <w:t xml:space="preserve">. showed that recurrence rates decreased with an increase in follow-up time after treatment completion </w:t>
      </w:r>
      <w:r w:rsidRPr="00435469">
        <w:rPr>
          <w:rFonts w:eastAsia="Calibri"/>
          <w:sz w:val="20"/>
          <w:szCs w:val="20"/>
        </w:rPr>
        <w:fldChar w:fldCharType="begin" w:fldLock="1"/>
      </w:r>
      <w:r w:rsidR="00A142FF" w:rsidRPr="00435469">
        <w:rPr>
          <w:rFonts w:eastAsia="Calibri"/>
          <w:sz w:val="20"/>
          <w:szCs w:val="20"/>
        </w:rPr>
        <w:instrText>ADDIN CSL_CITATION {"citationItems":[{"id":"ITEM-1","itemData":{"DOI":"10.1086/375220","ISBN":"1537-6591 (Electronic) 1058-4838 (Linking)","ISSN":"1058-4838","PMID":"12830415","abstract":"We reviewed 47 prospective studies of recurrence of pulmonary tuberculosis (TB) after cure to assess the influence of human immunodeficiency virus (HIV) infection and rifampin treatment. Multivariate regression revealed that the recurrence rate for HIV-uninfected persons increased with decreasing duration of therapy: it was 1.4 cases per 100 person-years for recipients of &gt;or=7 months of rifampin therapy and 2.0 and 4.0 cases per 100 person-years for recipients of 5-6 and 2-3 months of rifampin therapy, respectively (trend P=.00014), over a mean follow-up duration of 34 months, at a TB incidence of 250 cases per 100,000 person-years. Relative risks of recurrence associated with HIV infection at these 3 treatment durations were 2.2, 2.1, and 3.4, respectively, with a significant interaction between HIV infection status and treatment duration (P=.025). The recurrence rate increased with the background TB incidence (P=.048), and it decreased over time since completion of treatment in HIV-uninfected but not in HIV-infected patients (overall trend, P=.00008; difference by HIV infection status, P=.025). In countries where HIV infection is endemic, TB recurrence may be reduced by administration of rifampin-based treatment for at least 6 months, in accordance with World Health Organization recommendations.","author":[{"dropping-particle":"","family":"Korenromp","given":"Eline L.","non-dropping-particle":"","parse-names":false,"suffix":""},{"dropping-particle":"","family":"Scano","given":"Fabio","non-dropping-particle":"","parse-names":false,"suffix":""},{"dropping-particle":"","family":"Williams","given":"Brian G.","non-dropping-particle":"","parse-names":false,"suffix":""},{"dropping-particle":"","family":"Dye","given":"Christopher","non-dropping-particle":"","parse-names":false,"suffix":""},{"dropping-particle":"","family":"Nunn","given":"Paul","non-dropping-particle":"","parse-names":false,"suffix":""}],"container-title":"Clinical Infectious Diseases","id":"ITEM-1","issue":"1","issued":{"date-parts":[["2003"]]},"page":"101-112","title":"Effects of Human Immunodeficiency Virus Infection on Recurrence of Tuberculosis after Rifampin-Based Treatment: An Analytical Review","type":"article-journal","volume":"37"},"uris":["http://www.mendeley.com/documents/?uuid=31a18c67-40bf-47dc-9bdd-7a65a6a21fc5"]}],"mendeley":{"formattedCitation":"(99)","plainTextFormattedCitation":"(99)","previouslyFormattedCitation":"(99)"},"properties":{"noteIndex":0},"schema":"https://github.com/citation-style-language/schema/raw/master/csl-citation.json"}</w:instrText>
      </w:r>
      <w:r w:rsidRPr="00435469">
        <w:rPr>
          <w:rFonts w:eastAsia="Calibri"/>
          <w:sz w:val="20"/>
          <w:szCs w:val="20"/>
        </w:rPr>
        <w:fldChar w:fldCharType="separate"/>
      </w:r>
      <w:r w:rsidR="0016391D" w:rsidRPr="00435469">
        <w:rPr>
          <w:rFonts w:eastAsia="Calibri"/>
          <w:noProof/>
          <w:sz w:val="20"/>
          <w:szCs w:val="20"/>
        </w:rPr>
        <w:t>(99)</w:t>
      </w:r>
      <w:r w:rsidRPr="00435469">
        <w:rPr>
          <w:rFonts w:eastAsia="Calibri"/>
          <w:sz w:val="20"/>
          <w:szCs w:val="20"/>
        </w:rPr>
        <w:fldChar w:fldCharType="end"/>
      </w:r>
      <w:r w:rsidRPr="00435469">
        <w:rPr>
          <w:rFonts w:eastAsia="Calibri"/>
          <w:sz w:val="20"/>
          <w:szCs w:val="20"/>
        </w:rPr>
        <w:t xml:space="preserve">. Among HIV-positive individuals, there were 4.5 recurrences (95% CI 3.2–5.8) per 100-person years, whereas there were 1.9 recurrences (95% CI 1.2–2.7) per 100-person years among HIV uninfected individuals </w:t>
      </w:r>
      <w:r w:rsidRPr="00435469">
        <w:rPr>
          <w:rFonts w:eastAsia="Calibri"/>
          <w:sz w:val="20"/>
          <w:szCs w:val="20"/>
        </w:rPr>
        <w:fldChar w:fldCharType="begin" w:fldLock="1"/>
      </w:r>
      <w:r w:rsidR="00A142FF" w:rsidRPr="00435469">
        <w:rPr>
          <w:rFonts w:eastAsia="Calibri"/>
          <w:sz w:val="20"/>
          <w:szCs w:val="20"/>
        </w:rPr>
        <w:instrText>ADDIN CSL_CITATION {"citationItems":[{"id":"ITEM-1","itemData":{"DOI":"10.1086/375220","ISBN":"1537-6591 (Electronic) 1058-4838 (Linking)","ISSN":"1058-4838","PMID":"12830415","abstract":"We reviewed 47 prospective studies of recurrence of pulmonary tuberculosis (TB) after cure to assess the influence of human immunodeficiency virus (HIV) infection and rifampin treatment. Multivariate regression revealed that the recurrence rate for HIV-uninfected persons increased with decreasing duration of therapy: it was 1.4 cases per 100 person-years for recipients of &gt;or=7 months of rifampin therapy and 2.0 and 4.0 cases per 100 person-years for recipients of 5-6 and 2-3 months of rifampin therapy, respectively (trend P=.00014), over a mean follow-up duration of 34 months, at a TB incidence of 250 cases per 100,000 person-years. Relative risks of recurrence associated with HIV infection at these 3 treatment durations were 2.2, 2.1, and 3.4, respectively, with a significant interaction between HIV infection status and treatment duration (P=.025). The recurrence rate increased with the background TB incidence (P=.048), and it decreased over time since completion of treatment in HIV-uninfected but not in HIV-infected patients (overall trend, P=.00008; difference by HIV infection status, P=.025). In countries where HIV infection is endemic, TB recurrence may be reduced by administration of rifampin-based treatment for at least 6 months, in accordance with World Health Organization recommendations.","author":[{"dropping-particle":"","family":"Korenromp","given":"Eline L.","non-dropping-particle":"","parse-names":false,"suffix":""},{"dropping-particle":"","family":"Scano","given":"Fabio","non-dropping-particle":"","parse-names":false,"suffix":""},{"dropping-particle":"","family":"Williams","given":"Brian G.","non-dropping-particle":"","parse-names":false,"suffix":""},{"dropping-particle":"","family":"Dye","given":"Christopher","non-dropping-particle":"","parse-names":false,"suffix":""},{"dropping-particle":"","family":"Nunn","given":"Paul","non-dropping-particle":"","parse-names":false,"suffix":""}],"container-title":"Clinical Infectious Diseases","id":"ITEM-1","issue":"1","issued":{"date-parts":[["2003"]]},"page":"101-112","title":"Effects of Human Immunodeficiency Virus Infection on Recurrence of Tuberculosis after Rifampin-Based Treatment: An Analytical Review","type":"article-journal","volume":"37"},"uris":["http://www.mendeley.com/documents/?uuid=31a18c67-40bf-47dc-9bdd-7a65a6a21fc5"]}],"mendeley":{"formattedCitation":"(99)","plainTextFormattedCitation":"(99)","previouslyFormattedCitation":"(99)"},"properties":{"noteIndex":0},"schema":"https://github.com/citation-style-language/schema/raw/master/csl-citation.json"}</w:instrText>
      </w:r>
      <w:r w:rsidRPr="00435469">
        <w:rPr>
          <w:rFonts w:eastAsia="Calibri"/>
          <w:sz w:val="20"/>
          <w:szCs w:val="20"/>
        </w:rPr>
        <w:fldChar w:fldCharType="separate"/>
      </w:r>
      <w:r w:rsidR="0016391D" w:rsidRPr="00435469">
        <w:rPr>
          <w:rFonts w:eastAsia="Calibri"/>
          <w:noProof/>
          <w:sz w:val="20"/>
          <w:szCs w:val="20"/>
        </w:rPr>
        <w:t>(99)</w:t>
      </w:r>
      <w:r w:rsidRPr="00435469">
        <w:rPr>
          <w:rFonts w:eastAsia="Calibri"/>
          <w:sz w:val="20"/>
          <w:szCs w:val="20"/>
        </w:rPr>
        <w:fldChar w:fldCharType="end"/>
      </w:r>
      <w:r w:rsidRPr="00435469">
        <w:rPr>
          <w:rFonts w:eastAsia="Calibri"/>
          <w:sz w:val="20"/>
          <w:szCs w:val="20"/>
        </w:rPr>
        <w:t xml:space="preserve">. The time trend in reinfection and relapse is more apparent among those without HIV than in those with HIV </w:t>
      </w:r>
      <w:r w:rsidRPr="00435469">
        <w:rPr>
          <w:rFonts w:eastAsia="Calibri"/>
          <w:sz w:val="20"/>
          <w:szCs w:val="20"/>
        </w:rPr>
        <w:fldChar w:fldCharType="begin" w:fldLock="1"/>
      </w:r>
      <w:r w:rsidR="00A142FF" w:rsidRPr="00435469">
        <w:rPr>
          <w:rFonts w:eastAsia="Calibri"/>
          <w:sz w:val="20"/>
          <w:szCs w:val="20"/>
        </w:rPr>
        <w:instrText>ADDIN CSL_CITATION {"citationItems":[{"id":"ITEM-1","itemData":{"DOI":"10.1086/375220","ISBN":"1537-6591 (Electronic) 1058-4838 (Linking)","ISSN":"1058-4838","PMID":"12830415","abstract":"We reviewed 47 prospective studies of recurrence of pulmonary tuberculosis (TB) after cure to assess the influence of human immunodeficiency virus (HIV) infection and rifampin treatment. Multivariate regression revealed that the recurrence rate for HIV-uninfected persons increased with decreasing duration of therapy: it was 1.4 cases per 100 person-years for recipients of &gt;or=7 months of rifampin therapy and 2.0 and 4.0 cases per 100 person-years for recipients of 5-6 and 2-3 months of rifampin therapy, respectively (trend P=.00014), over a mean follow-up duration of 34 months, at a TB incidence of 250 cases per 100,000 person-years. Relative risks of recurrence associated with HIV infection at these 3 treatment durations were 2.2, 2.1, and 3.4, respectively, with a significant interaction between HIV infection status and treatment duration (P=.025). The recurrence rate increased with the background TB incidence (P=.048), and it decreased over time since completion of treatment in HIV-uninfected but not in HIV-infected patients (overall trend, P=.00008; difference by HIV infection status, P=.025). In countries where HIV infection is endemic, TB recurrence may be reduced by administration of rifampin-based treatment for at least 6 months, in accordance with World Health Organization recommendations.","author":[{"dropping-particle":"","family":"Korenromp","given":"Eline L.","non-dropping-particle":"","parse-names":false,"suffix":""},{"dropping-particle":"","family":"Scano","given":"Fabio","non-dropping-particle":"","parse-names":false,"suffix":""},{"dropping-particle":"","family":"Williams","given":"Brian G.","non-dropping-particle":"","parse-names":false,"suffix":""},{"dropping-particle":"","family":"Dye","given":"Christopher","non-dropping-particle":"","parse-names":false,"suffix":""},{"dropping-particle":"","family":"Nunn","given":"Paul","non-dropping-particle":"","parse-names":false,"suffix":""}],"container-title":"Clinical Infectious Diseases","id":"ITEM-1","issue":"1","issued":{"date-parts":[["2003"]]},"page":"101-112","title":"Effects of Human Immunodeficiency Virus Infection on Recurrence of Tuberculosis after Rifampin-Based Treatment: An Analytical Review","type":"article-journal","volume":"37"},"uris":["http://www.mendeley.com/documents/?uuid=31a18c67-40bf-47dc-9bdd-7a65a6a21fc5"]}],"mendeley":{"formattedCitation":"(99)","plainTextFormattedCitation":"(99)","previouslyFormattedCitation":"(99)"},"properties":{"noteIndex":0},"schema":"https://github.com/citation-style-language/schema/raw/master/csl-citation.json"}</w:instrText>
      </w:r>
      <w:r w:rsidRPr="00435469">
        <w:rPr>
          <w:rFonts w:eastAsia="Calibri"/>
          <w:sz w:val="20"/>
          <w:szCs w:val="20"/>
        </w:rPr>
        <w:fldChar w:fldCharType="separate"/>
      </w:r>
      <w:r w:rsidR="0016391D" w:rsidRPr="00435469">
        <w:rPr>
          <w:rFonts w:eastAsia="Calibri"/>
          <w:noProof/>
          <w:sz w:val="20"/>
          <w:szCs w:val="20"/>
        </w:rPr>
        <w:t>(99)</w:t>
      </w:r>
      <w:r w:rsidRPr="00435469">
        <w:rPr>
          <w:rFonts w:eastAsia="Calibri"/>
          <w:sz w:val="20"/>
          <w:szCs w:val="20"/>
        </w:rPr>
        <w:fldChar w:fldCharType="end"/>
      </w:r>
      <w:r w:rsidRPr="00435469">
        <w:rPr>
          <w:rFonts w:eastAsia="Calibri"/>
          <w:sz w:val="20"/>
          <w:szCs w:val="20"/>
        </w:rPr>
        <w:t xml:space="preserve">. </w:t>
      </w:r>
    </w:p>
    <w:p w14:paraId="080E591A" w14:textId="0E092E3C" w:rsidR="003454B8" w:rsidRPr="00435469" w:rsidRDefault="003454B8" w:rsidP="00955FFB">
      <w:pPr>
        <w:pStyle w:val="Heading3"/>
        <w:rPr>
          <w:color w:val="auto"/>
          <w:sz w:val="20"/>
          <w:szCs w:val="20"/>
        </w:rPr>
      </w:pPr>
      <w:bookmarkStart w:id="235" w:name="_Toc66458463"/>
      <w:bookmarkStart w:id="236" w:name="_Toc87863343"/>
      <w:bookmarkStart w:id="237" w:name="_Toc88488574"/>
      <w:bookmarkStart w:id="238" w:name="_Toc103252942"/>
      <w:r w:rsidRPr="00435469">
        <w:rPr>
          <w:color w:val="auto"/>
          <w:sz w:val="20"/>
          <w:szCs w:val="20"/>
        </w:rPr>
        <w:t>Short-term post-treatment</w:t>
      </w:r>
      <w:bookmarkEnd w:id="235"/>
      <w:bookmarkEnd w:id="236"/>
      <w:bookmarkEnd w:id="237"/>
      <w:bookmarkEnd w:id="238"/>
    </w:p>
    <w:p w14:paraId="3A91F375" w14:textId="222B9E58" w:rsidR="003454B8" w:rsidRPr="00435469" w:rsidRDefault="00D51959" w:rsidP="00955FFB">
      <w:pPr>
        <w:spacing w:before="240" w:line="240" w:lineRule="auto"/>
        <w:rPr>
          <w:rFonts w:eastAsia="Calibri" w:cs="Times New Roman"/>
          <w:sz w:val="20"/>
          <w:szCs w:val="20"/>
        </w:rPr>
      </w:pPr>
      <w:r w:rsidRPr="00435469">
        <w:rPr>
          <w:rFonts w:eastAsia="Calibri" w:cs="Times New Roman"/>
          <w:sz w:val="20"/>
          <w:szCs w:val="20"/>
        </w:rPr>
        <w:t xml:space="preserve">As evidence suggests that after treatment, the risk of relapse is highest within the first six months following treatment completion </w:t>
      </w:r>
      <w:r w:rsidRPr="00435469">
        <w:rPr>
          <w:rFonts w:eastAsia="Calibri" w:cs="Times New Roman"/>
          <w:sz w:val="20"/>
          <w:szCs w:val="20"/>
        </w:rPr>
        <w:fldChar w:fldCharType="begin" w:fldLock="1"/>
      </w:r>
      <w:r w:rsidR="00A142FF" w:rsidRPr="00435469">
        <w:rPr>
          <w:rFonts w:eastAsia="Calibri" w:cs="Times New Roman"/>
          <w:sz w:val="20"/>
          <w:szCs w:val="20"/>
        </w:rPr>
        <w:instrText>ADDIN CSL_CITATION {"citationItems":[{"id":"ITEM-1","itemData":{"DOI":"10.1093/cid/ciu186","ISBN":"1537-6591 (Electronic)\\r1058-4838 (Linking)","ISSN":"15376591","PMID":"24647020","abstract":"BACKGROUND There is increasing evidence from tuberculosis high-burden settings that exogenous reinfection contributes considerably to recurrent disease. However, large longitudinal studies of endogenous reactivation (relapse) and reinfection tuberculosis are lacking. We hypothesize a relationship between relapse vs reinfection and the time between treatment completion and recurrent disease. METHODS Population-based retrospective cohort study on all smear-positive tuberculosis cases successfully treated between 1996 and 2008 in a suburban setting in Cape Town, South Africa. Inverse gaussian distributions were fitted to observed annual rates of relapse and reinfection, distinguished by DNA fingerprinting of Mycobacterium tuberculosis strains recultured from diagnostic samples. RESULTS Paired DNA fingerprint data were available for 130 (64%) of 203 recurrent smear-positive tuberculosis cases in the 13-year study period. Reinfection accounted for 66 (51%) of 130 recurrent cases overall, 9 (20%) of 44 recurrent cases within the first year, and 57 (66%) of 86 thereafter (P &lt; .001). The relapse rate peaked at 3.93% (95% confidence interval [CI], 2.35%-5.96%) per annum 0.35 (95% CI, .15-.45) years after treatment completion. The reinfection tuberculosis rate peaked at 1.58% (95% CI, .94%-2.46%) per annum 1.20 (95% CI, .55-1.70) years after completion. CONCLUSIONS To our knowledge, this is the first study of sufficient size and duration using DNA fingerprinting to investigate tuberculosis relapse and reinfection over a lengthy period. Relapse occurred early after treatment completion, whereas reinfection dominated after 1 year and accounted for at least half of recurrent disease. This temporal relationship may explain the high variability in reinfection observed across smaller studies. We speculate that follow-up time in antituberculosis drug trials should take reinfection into account.","author":[{"dropping-particle":"","family":"Marx","given":"Florian M","non-dropping-particle":"","parse-names":false,"suffix":""},{"dropping-particle":"","family":"Dunbar","given":"Rory","non-dropping-particle":"","parse-names":false,"suffix":""},{"dropping-particle":"","family":"Enarson","given":"Donald A","non-dropping-particle":"","parse-names":false,"suffix":""},{"dropping-particle":"","family":"Williams","given":"Brian G","non-dropping-particle":"","parse-names":false,"suffix":""},{"dropping-particle":"","family":"Warren","given":"Robin M","non-dropping-particle":"","parse-names":false,"suffix":""},{"dropping-particle":"","family":"Spuy","given":"Gian D.","non-dropping-particle":"Van Der","parse-names":false,"suffix":""},{"dropping-particle":"","family":"Helden","given":"Paul D.","non-dropping-particle":"Van","parse-names":false,"suffix":""},{"dropping-particle":"","family":"Beyers","given":"Nulda","non-dropping-particle":"","parse-names":false,"suffix":""}],"container-title":"Clinical Infectious Diseases","id":"ITEM-1","issue":"12","issued":{"date-parts":[["2014"]]},"page":"1676-1683","title":"The temporal dynamics of relapse and reinfection tuberculosis after successful treatment: A retrospective cohort study","type":"article-journal","volume":"58"},"uris":["http://www.mendeley.com/documents/?uuid=68f3529d-2cf0-4219-8a73-bc35edede603"]},{"id":"ITEM-2","itemData":{"DOI":"10.1086/375220","ISBN":"1537-6591 (Electronic) 1058-4838 (Linking)","ISSN":"1058-4838","PMID":"12830415","abstract":"We reviewed 47 prospective studies of recurrence of pulmonary tuberculosis (TB) after cure to assess the influence of human immunodeficiency virus (HIV) infection and rifampin treatment. Multivariate regression revealed that the recurrence rate for HIV-uninfected persons increased with decreasing duration of therapy: it was 1.4 cases per 100 person-years for recipients of &gt;or=7 months of rifampin therapy and 2.0 and 4.0 cases per 100 person-years for recipients of 5-6 and 2-3 months of rifampin therapy, respectively (trend P=.00014), over a mean follow-up duration of 34 months, at a TB incidence of 250 cases per 100,000 person-years. Relative risks of recurrence associated with HIV infection at these 3 treatment durations were 2.2, 2.1, and 3.4, respectively, with a significant interaction between HIV infection status and treatment duration (P=.025). The recurrence rate increased with the background TB incidence (P=.048), and it decreased over time since completion of treatment in HIV-uninfected but not in HIV-infected patients (overall trend, P=.00008; difference by HIV infection status, P=.025). In countries where HIV infection is endemic, TB recurrence may be reduced by administration of rifampin-based treatment for at least 6 months, in accordance with World Health Organization recommendations.","author":[{"dropping-particle":"","family":"Korenromp","given":"Eline L.","non-dropping-particle":"","parse-names":false,"suffix":""},{"dropping-particle":"","family":"Scano","given":"Fabio","non-dropping-particle":"","parse-names":false,"suffix":""},{"dropping-particle":"","family":"Williams","given":"Brian G.","non-dropping-particle":"","parse-names":false,"suffix":""},{"dropping-particle":"","family":"Dye","given":"Christopher","non-dropping-particle":"","parse-names":false,"suffix":""},{"dropping-particle":"","family":"Nunn","given":"Paul","non-dropping-particle":"","parse-names":false,"suffix":""}],"container-title":"Clinical Infectious Diseases","id":"ITEM-2","issue":"1","issued":{"date-parts":[["2003"]]},"page":"101-112","title":"Effects of Human Immunodeficiency Virus Infection on Recurrence of Tuberculosis after Rifampin-Based Treatment: An Analytical Review","type":"article-journal","volume":"37"},"uris":["http://www.mendeley.com/documents/?uuid=31a18c67-40bf-47dc-9bdd-7a65a6a21fc5"]},{"id":"ITEM-3","itemData":{"DOI":"10.1016/S1473-3099(03)00607-8","ISSN":"14733099","abstract":"The importance of reinfection as a cause for recurrence of tuberculosis is unclear and has potential public-health implications. We systematically searched published material for studies using DNA fingerprinting to provide data on the issue. Very few studies were designed for that particular research objective and/or report on a sufficient number of observations. Differences in methods - eg, case-definitions - seriously hamper comparisons between studies. The proportion of recurrences due to reinfection ranged between 0% and 100%; however, this figure cannot be a useful indicator since the two causes of recurrence - relapse and reinfection - are essentially independent. Only one study provides an estimate of the incidence of recurrence due to reinfection, indicating its importance for HIV-infected patients in an environment with an unusually high tuberculosis incidence. We argue that apart from extreme situations like this one the problem of recurrence of tuberculosis due to reinfection has few implications for tuberculosis-control programmes.","author":[{"dropping-particle":"","family":"Lambert","given":"Marie Laurence","non-dropping-particle":"","parse-names":false,"suffix":""},{"dropping-particle":"","family":"Hasker","given":"Epco","non-dropping-particle":"","parse-names":false,"suffix":""},{"dropping-particle":"","family":"Deun","given":"Armand","non-dropping-particle":"Van","parse-names":false,"suffix":""},{"dropping-particle":"","family":"Roberfroid","given":"Dominique","non-dropping-particle":"","parse-names":false,"suffix":""},{"dropping-particle":"","family":"Boelaert","given":"Marleen","non-dropping-particle":"","parse-names":false,"suffix":""},{"dropping-particle":"","family":"Stuyft","given":"Patrick","non-dropping-particle":"Van der","parse-names":false,"suffix":""}],"container-title":"Lancet Infectious Diseases","id":"ITEM-3","issue":"5","issued":{"date-parts":[["2003"]]},"page":"282-287","title":"Recurrence in tuberculosis: Relapse or reinfection?","type":"article-journal","volume":"3"},"uris":["http://www.mendeley.com/documents/?uuid=261211b2-1d86-4252-9d4e-077d1aa1f07e"]},{"id":"ITEM-4","itemData":{"DOI":"10.1016/S0140-6736(01)06712-5","ISBN":"0140-6736 (Print) 0140-6736","ISSN":"01406736","PMID":"11728545","abstract":"Background: The proportion of recurrent tuberculosis cases attributable to relapse or reinfection and the risk factors associated with these different mechanisms are poorly understood. We followed up a cohort of 326 South African mineworkers, who had successfully completed treatment for pulmonary tuberculosis in 1995, to determine the rate and mechanisms of recurrence. Methods: Patients were examined 3 and 6 months after cure, and then were monitored by the routine tuberculosis surveillance system until December, 1998. IS6110 DNA fingerprints from initial and subsequent episodes of tuberculosis were compared to determine whether recurrence was due to relapse or reinfection All patients gave consent for HIV-1 testing. Findings: During follow-up (median 25.1 months, IQR 13.2-33.4), 65 patients (20%) had a recurrent episode of tuberculosis, a recurrence rate of 10.3 episodes per 100 person-years at risk (PYAR) - 16.0 per 100 PYAR in HIV-1-positive patients and 6.4 per 100 PYAR in HIV-1-negative patients. Paired DNA fingerprints were available in 39 of 65 recurrences: 25 pairs were identical (relapse) and 14 were different (reinfection). 93% (13/14) of recurrences within the first 6 months were attributable to relapse compared with 48% (12/25) of later recurrences. HIV-1 infection was a risk factor for recurrence (hazard ratio 2.4, 95% CI 1.5-4.0), due to its strong association with disease caused by reinfection (18.7 2.4-143), but not relapse (0.58; 0.24-1.4). Residual cavitation and increasing years of employment at the mine were risk factors for relapse. Interpretation: In a setting with a high risk of tuberculous infection, HIV-1 increases the risk of recurrent tuberculosis because of an increased risk of reinfection. Interventions to prevent recurrent disease, such as lifelong chemoprophylaxis in HIV-1-positive tuberculosis patients, should be further assessed.","author":[{"dropping-particle":"","family":"Sonnenberg","given":"Pamela","non-dropping-particle":"","parse-names":false,"suffix":""},{"dropping-particle":"","family":"Murray","given":"Jill","non-dropping-particle":"","parse-names":false,"suffix":""},{"dropping-particle":"","family":"Glynn","given":"Judith R.","non-dropping-particle":"","parse-names":false,"suffix":""},{"dropping-particle":"","family":"Shearer","given":"Stuart","non-dropping-particle":"","parse-names":false,"suffix":""},{"dropping-particle":"","family":"Kambashi","given":"Bupe","non-dropping-particle":"","parse-names":false,"suffix":""},{"dropping-particle":"","family":"Godfrey-Faussett","given":"Peter","non-dropping-particle":"","parse-names":false,"suffix":""}],"container-title":"Lancet","id":"ITEM-4","issue":"9294","issued":{"date-parts":[["2001"]]},"page":"1687-1693","title":"HIV-1 and recurrence, relapse, and reinfection of tuberculosis after cure: A cohort study in South African mineworkers","type":"article-journal","volume":"358"},"uris":["http://www.mendeley.com/documents/?uuid=5c4efecb-0135-4dfb-b4c6-e07630c4a205"]}],"mendeley":{"formattedCitation":"(98–100,102)","plainTextFormattedCitation":"(98–100,102)","previouslyFormattedCitation":"(98–100,102)"},"properties":{"noteIndex":0},"schema":"https://github.com/citation-style-language/schema/raw/master/csl-citation.json"}</w:instrText>
      </w:r>
      <w:r w:rsidRPr="00435469">
        <w:rPr>
          <w:rFonts w:eastAsia="Calibri" w:cs="Times New Roman"/>
          <w:sz w:val="20"/>
          <w:szCs w:val="20"/>
        </w:rPr>
        <w:fldChar w:fldCharType="separate"/>
      </w:r>
      <w:r w:rsidR="0016391D" w:rsidRPr="00435469">
        <w:rPr>
          <w:rFonts w:eastAsia="Calibri" w:cs="Times New Roman"/>
          <w:noProof/>
          <w:sz w:val="20"/>
          <w:szCs w:val="20"/>
        </w:rPr>
        <w:t>(98–100,102)</w:t>
      </w:r>
      <w:r w:rsidRPr="00435469">
        <w:rPr>
          <w:rFonts w:eastAsia="Calibri" w:cs="Times New Roman"/>
          <w:sz w:val="20"/>
          <w:szCs w:val="20"/>
        </w:rPr>
        <w:fldChar w:fldCharType="end"/>
      </w:r>
      <w:r w:rsidRPr="00435469">
        <w:rPr>
          <w:rFonts w:eastAsia="Calibri" w:cs="Times New Roman"/>
          <w:sz w:val="20"/>
          <w:szCs w:val="20"/>
        </w:rPr>
        <w:t xml:space="preserve">; for the model, we set the average time spent in the first post-treatment state to be six months. That is, cured and recovered individuals will move out of the state at a rate of 1/6 per month. We then assume that relapse occurs at an annual rate of 0.1 during the short-term post-treatment state, based on </w:t>
      </w:r>
      <w:r w:rsidR="001932E0" w:rsidRPr="00435469">
        <w:rPr>
          <w:rFonts w:eastAsia="Calibri" w:cs="Times New Roman"/>
          <w:sz w:val="20"/>
          <w:szCs w:val="20"/>
        </w:rPr>
        <w:t xml:space="preserve">the </w:t>
      </w:r>
      <w:proofErr w:type="spellStart"/>
      <w:r w:rsidRPr="00435469">
        <w:rPr>
          <w:rFonts w:cs="Times New Roman"/>
          <w:sz w:val="20"/>
          <w:szCs w:val="20"/>
        </w:rPr>
        <w:t>Korenromp</w:t>
      </w:r>
      <w:proofErr w:type="spellEnd"/>
      <w:r w:rsidRPr="00435469">
        <w:rPr>
          <w:rFonts w:cs="Times New Roman"/>
          <w:sz w:val="20"/>
          <w:szCs w:val="20"/>
        </w:rPr>
        <w:t xml:space="preserve"> </w:t>
      </w:r>
      <w:r w:rsidRPr="00435469">
        <w:rPr>
          <w:rFonts w:cs="Times New Roman"/>
          <w:i/>
          <w:iCs/>
          <w:sz w:val="20"/>
          <w:szCs w:val="20"/>
        </w:rPr>
        <w:t>et al</w:t>
      </w:r>
      <w:r w:rsidRPr="00435469">
        <w:rPr>
          <w:rFonts w:cs="Times New Roman"/>
          <w:sz w:val="20"/>
          <w:szCs w:val="20"/>
        </w:rPr>
        <w:t xml:space="preserve">. study </w:t>
      </w:r>
      <w:r w:rsidRPr="00435469">
        <w:rPr>
          <w:rFonts w:eastAsia="Calibri" w:cs="Times New Roman"/>
          <w:sz w:val="20"/>
          <w:szCs w:val="20"/>
        </w:rPr>
        <w:fldChar w:fldCharType="begin" w:fldLock="1"/>
      </w:r>
      <w:r w:rsidR="00A142FF" w:rsidRPr="00435469">
        <w:rPr>
          <w:rFonts w:eastAsia="Calibri" w:cs="Times New Roman"/>
          <w:sz w:val="20"/>
          <w:szCs w:val="20"/>
        </w:rPr>
        <w:instrText>ADDIN CSL_CITATION {"citationItems":[{"id":"ITEM-1","itemData":{"DOI":"10.1086/375220","ISBN":"1537-6591 (Electronic) 1058-4838 (Linking)","ISSN":"1058-4838","PMID":"12830415","abstract":"We reviewed 47 prospective studies of recurrence of pulmonary tuberculosis (TB) after cure to assess the influence of human immunodeficiency virus (HIV) infection and rifampin treatment. Multivariate regression revealed that the recurrence rate for HIV-uninfected persons increased with decreasing duration of therapy: it was 1.4 cases per 100 person-years for recipients of &gt;or=7 months of rifampin therapy and 2.0 and 4.0 cases per 100 person-years for recipients of 5-6 and 2-3 months of rifampin therapy, respectively (trend P=.00014), over a mean follow-up duration of 34 months, at a TB incidence of 250 cases per 100,000 person-years. Relative risks of recurrence associated with HIV infection at these 3 treatment durations were 2.2, 2.1, and 3.4, respectively, with a significant interaction between HIV infection status and treatment duration (P=.025). The recurrence rate increased with the background TB incidence (P=.048), and it decreased over time since completion of treatment in HIV-uninfected but not in HIV-infected patients (overall trend, P=.00008; difference by HIV infection status, P=.025). In countries where HIV infection is endemic, TB recurrence may be reduced by administration of rifampin-based treatment for at least 6 months, in accordance with World Health Organization recommendations.","author":[{"dropping-particle":"","family":"Korenromp","given":"Eline L.","non-dropping-particle":"","parse-names":false,"suffix":""},{"dropping-particle":"","family":"Scano","given":"Fabio","non-dropping-particle":"","parse-names":false,"suffix":""},{"dropping-particle":"","family":"Williams","given":"Brian G.","non-dropping-particle":"","parse-names":false,"suffix":""},{"dropping-particle":"","family":"Dye","given":"Christopher","non-dropping-particle":"","parse-names":false,"suffix":""},{"dropping-particle":"","family":"Nunn","given":"Paul","non-dropping-particle":"","parse-names":false,"suffix":""}],"container-title":"Clinical Infectious Diseases","id":"ITEM-1","issue":"1","issued":{"date-parts":[["2003"]]},"page":"101-112","title":"Effects of Human Immunodeficiency Virus Infection on Recurrence of Tuberculosis after Rifampin-Based Treatment: An Analytical Review","type":"article-journal","volume":"37"},"uris":["http://www.mendeley.com/documents/?uuid=31a18c67-40bf-47dc-9bdd-7a65a6a21fc5"]}],"mendeley":{"formattedCitation":"(99)","plainTextFormattedCitation":"(99)","previouslyFormattedCitation":"(99)"},"properties":{"noteIndex":0},"schema":"https://github.com/citation-style-language/schema/raw/master/csl-citation.json"}</w:instrText>
      </w:r>
      <w:r w:rsidRPr="00435469">
        <w:rPr>
          <w:rFonts w:eastAsia="Calibri" w:cs="Times New Roman"/>
          <w:sz w:val="20"/>
          <w:szCs w:val="20"/>
        </w:rPr>
        <w:fldChar w:fldCharType="separate"/>
      </w:r>
      <w:r w:rsidR="0016391D" w:rsidRPr="00435469">
        <w:rPr>
          <w:rFonts w:eastAsia="Calibri" w:cs="Times New Roman"/>
          <w:noProof/>
          <w:sz w:val="20"/>
          <w:szCs w:val="20"/>
        </w:rPr>
        <w:t>(99)</w:t>
      </w:r>
      <w:r w:rsidRPr="00435469">
        <w:rPr>
          <w:rFonts w:eastAsia="Calibri" w:cs="Times New Roman"/>
          <w:sz w:val="20"/>
          <w:szCs w:val="20"/>
        </w:rPr>
        <w:fldChar w:fldCharType="end"/>
      </w:r>
      <w:r w:rsidRPr="00435469">
        <w:rPr>
          <w:rFonts w:eastAsia="Calibri" w:cs="Times New Roman"/>
          <w:sz w:val="20"/>
          <w:szCs w:val="20"/>
        </w:rPr>
        <w:t xml:space="preserve">. </w:t>
      </w:r>
      <w:r w:rsidR="00E86853" w:rsidRPr="00435469">
        <w:rPr>
          <w:rFonts w:eastAsia="Calibri" w:cs="Times New Roman"/>
          <w:sz w:val="20"/>
          <w:szCs w:val="20"/>
        </w:rPr>
        <w:t>Due to limited data on the effect of HIV on relapse, we assume no differences in relapse rates between HIV-infected and HIV-uninfected individuals.</w:t>
      </w:r>
    </w:p>
    <w:p w14:paraId="306ED577" w14:textId="77777777" w:rsidR="00F45149" w:rsidRPr="00435469" w:rsidRDefault="00F45149" w:rsidP="00955FFB">
      <w:pPr>
        <w:spacing w:before="240" w:line="240" w:lineRule="auto"/>
        <w:rPr>
          <w:rFonts w:eastAsia="Calibri" w:cs="Times New Roman"/>
          <w:sz w:val="20"/>
          <w:szCs w:val="20"/>
        </w:rPr>
      </w:pPr>
    </w:p>
    <w:p w14:paraId="0C359976" w14:textId="77777777" w:rsidR="003454B8" w:rsidRPr="00435469" w:rsidRDefault="003454B8" w:rsidP="00955FFB">
      <w:pPr>
        <w:pStyle w:val="Heading3"/>
        <w:rPr>
          <w:color w:val="auto"/>
          <w:sz w:val="20"/>
          <w:szCs w:val="20"/>
        </w:rPr>
      </w:pPr>
      <w:bookmarkStart w:id="239" w:name="_Toc66458464"/>
      <w:bookmarkStart w:id="240" w:name="_Toc87863344"/>
      <w:bookmarkStart w:id="241" w:name="_Toc88488575"/>
      <w:bookmarkStart w:id="242" w:name="_Toc103252943"/>
      <w:r w:rsidRPr="00435469">
        <w:rPr>
          <w:color w:val="auto"/>
          <w:sz w:val="20"/>
          <w:szCs w:val="20"/>
        </w:rPr>
        <w:lastRenderedPageBreak/>
        <w:t>Long-term post-treatment</w:t>
      </w:r>
      <w:bookmarkEnd w:id="239"/>
      <w:bookmarkEnd w:id="240"/>
      <w:bookmarkEnd w:id="241"/>
      <w:bookmarkEnd w:id="242"/>
      <w:r w:rsidRPr="00435469">
        <w:rPr>
          <w:color w:val="auto"/>
          <w:sz w:val="20"/>
          <w:szCs w:val="20"/>
        </w:rPr>
        <w:t xml:space="preserve"> </w:t>
      </w:r>
    </w:p>
    <w:p w14:paraId="0D600867" w14:textId="00F7111F" w:rsidR="00D203DD" w:rsidRPr="00435469" w:rsidRDefault="00851284" w:rsidP="00955FFB">
      <w:pPr>
        <w:spacing w:line="240" w:lineRule="auto"/>
        <w:rPr>
          <w:rFonts w:cs="Times New Roman"/>
          <w:sz w:val="20"/>
          <w:szCs w:val="20"/>
        </w:rPr>
      </w:pPr>
      <w:bookmarkStart w:id="243" w:name="_Hlk91495761"/>
      <w:r w:rsidRPr="00435469">
        <w:rPr>
          <w:rFonts w:eastAsia="Calibri" w:cs="Times New Roman"/>
          <w:sz w:val="20"/>
          <w:szCs w:val="20"/>
        </w:rPr>
        <w:t xml:space="preserve">We handle individuals in this long-term post-treatment state the same way as treatment naïve, latent TB individuals in that they are at risk of both reactivation and reinfection. However, to allow the effect of treatment history, we apply an adjustment factor to the rate of TB incidence and estimate it through calibration. Based on epidemiological studies that have estimated the relative odds/risks of developing TB in treatment-experienced compared to treatment naïve individuals, </w:t>
      </w:r>
      <w:r w:rsidR="00EE6AFD" w:rsidRPr="00435469">
        <w:rPr>
          <w:rFonts w:eastAsia="Calibri" w:cs="Times New Roman"/>
          <w:sz w:val="20"/>
          <w:szCs w:val="20"/>
        </w:rPr>
        <w:t xml:space="preserve">as a start, </w:t>
      </w:r>
      <w:r w:rsidRPr="00435469">
        <w:rPr>
          <w:rFonts w:eastAsia="Calibri" w:cs="Times New Roman"/>
          <w:sz w:val="20"/>
          <w:szCs w:val="20"/>
        </w:rPr>
        <w:t>we assume this factor</w:t>
      </w:r>
      <w:r w:rsidR="00EE6AFD" w:rsidRPr="00435469">
        <w:rPr>
          <w:rFonts w:eastAsia="Calibri" w:cs="Times New Roman"/>
          <w:sz w:val="20"/>
          <w:szCs w:val="20"/>
        </w:rPr>
        <w:t xml:space="preserve"> </w:t>
      </w:r>
      <w:r w:rsidR="00C25FE8" w:rsidRPr="00435469">
        <w:rPr>
          <w:rFonts w:eastAsia="Calibri" w:cs="Times New Roman"/>
          <w:sz w:val="20"/>
          <w:szCs w:val="20"/>
        </w:rPr>
        <w:t xml:space="preserve">is  </w:t>
      </w:r>
      <w:r w:rsidR="00A226B5" w:rsidRPr="00435469">
        <w:rPr>
          <w:rFonts w:eastAsia="Calibri" w:cs="Times New Roman"/>
          <w:sz w:val="20"/>
          <w:szCs w:val="20"/>
        </w:rPr>
        <w:t xml:space="preserve">greater than </w:t>
      </w:r>
      <w:r w:rsidRPr="00435469">
        <w:rPr>
          <w:rFonts w:eastAsia="Calibri" w:cs="Times New Roman"/>
          <w:sz w:val="20"/>
          <w:szCs w:val="20"/>
        </w:rPr>
        <w:t xml:space="preserve">1.0 and likely to lie in the range 1.8 – 5.9 </w:t>
      </w:r>
      <w:r w:rsidRPr="00435469">
        <w:rPr>
          <w:rFonts w:eastAsia="Calibri" w:cs="Times New Roman"/>
          <w:sz w:val="20"/>
          <w:szCs w:val="20"/>
        </w:rPr>
        <w:fldChar w:fldCharType="begin" w:fldLock="1"/>
      </w:r>
      <w:r w:rsidR="00A142FF" w:rsidRPr="00435469">
        <w:rPr>
          <w:rFonts w:eastAsia="Calibri" w:cs="Times New Roman"/>
          <w:sz w:val="20"/>
          <w:szCs w:val="20"/>
        </w:rPr>
        <w:instrText>ADDIN CSL_CITATION {"citationItems":[{"id":"ITEM-1","itemData":{"ISSN":"10806040 / -","author":[{"dropping-particle":"","family":"Boon","given":"Saskia","non-dropping-particle":"den","parse-names":false,"suffix":""},{"dropping-particle":"","family":"Bateman","given":"Eric D","non-dropping-particle":"","parse-names":false,"suffix":""},{"dropping-particle":"","family":"Borgdorff","given":"Martien W","non-dropping-particle":"","parse-names":false,"suffix":""},{"dropping-particle":"","family":"Villiers","given":"Christine","non-dropping-particle":"de","parse-names":false,"suffix":""},{"dropping-particle":"","family":"Enarson","given":"Donald a","non-dropping-particle":"","parse-names":false,"suffix":""},{"dropping-particle":"","family":"Irusen","given":"Elvis","non-dropping-particle":"","parse-names":false,"suffix":""},{"dropping-particle":"","family":"Lombard","given":"Carl J","non-dropping-particle":"","parse-names":false,"suffix":""},{"dropping-particle":"","family":"Lill","given":"Schalk W P","non-dropping-particle":"van","parse-names":false,"suffix":""},{"dropping-particle":"","family":"Verver","given":"Suzanne","non-dropping-particle":"","parse-names":false,"suffix":""},{"dropping-particle":"","family":"White","given":"Neil W","non-dropping-particle":"","parse-names":false,"suffix":""},{"dropping-particle":"","family":"Beyers","given":"Nulda","non-dropping-particle":"","parse-names":false,"suffix":""}],"container-title":"Emerging Infectious Diseases","id":"ITEM-1","issue":"8","issued":{"date-parts":[["2007"]]},"page":"1189-1194","title":"High prevalence of tuberculosis in previously treated patients, Cape Town, South Africa","type":"article-journal","volume":"13"},"uris":["http://www.mendeley.com/documents/?uuid=bac97c07-2c50-464f-b1c0-dd647614b164"]},{"id":"ITEM-2","itemData":{"DOI":"10.1016/j.physbeh.2017.03.040","author":[{"dropping-particle":"","family":"Marx","given":"Florian M.","non-dropping-particle":"","parse-names":false,"suffix":""},{"dropping-particle":"","family":"Floyd","given":"Sian","non-dropping-particle":"","parse-names":false,"suffix":""},{"dropping-particle":"","family":"Ayles","given":"Helen","non-dropping-particle":"","parse-names":false,"suffix":""},{"dropping-particle":"","family":"Godfrey-Faussett","given":"Peter","non-dropping-particle":"","parse-names":false,"suffix":""},{"dropping-particle":"","family":"Beyers","given":"Nulda","non-dropping-particle":"","parse-names":false,"suffix":""},{"dropping-particle":"","family":"Cohen","given":"Ted","non-dropping-particle":"","parse-names":false,"suffix":""}],"container-title":"European Respiratory Journal","id":"ITEM-2","issue":"48","issued":{"date-parts":[["2016"]]},"page":"1227-1230","title":"High burden of prevalent tuberculosis among previously treated people in Southern Africa suggests potential for targeted control interventions","type":"article-journal"},"uris":["http://www.mendeley.com/documents/?uuid=1cfc7d60-68d0-4a61-bb34-95fb15ebfe5f"]}],"mendeley":{"formattedCitation":"(103,104)","plainTextFormattedCitation":"(103,104)","previouslyFormattedCitation":"(103,104)"},"properties":{"noteIndex":0},"schema":"https://github.com/citation-style-language/schema/raw/master/csl-citation.json"}</w:instrText>
      </w:r>
      <w:r w:rsidRPr="00435469">
        <w:rPr>
          <w:rFonts w:eastAsia="Calibri" w:cs="Times New Roman"/>
          <w:sz w:val="20"/>
          <w:szCs w:val="20"/>
        </w:rPr>
        <w:fldChar w:fldCharType="separate"/>
      </w:r>
      <w:r w:rsidR="0016391D" w:rsidRPr="00435469">
        <w:rPr>
          <w:rFonts w:eastAsia="Calibri" w:cs="Times New Roman"/>
          <w:noProof/>
          <w:sz w:val="20"/>
          <w:szCs w:val="20"/>
        </w:rPr>
        <w:t>(103,104)</w:t>
      </w:r>
      <w:r w:rsidRPr="00435469">
        <w:rPr>
          <w:rFonts w:eastAsia="Calibri" w:cs="Times New Roman"/>
          <w:sz w:val="20"/>
          <w:szCs w:val="20"/>
        </w:rPr>
        <w:fldChar w:fldCharType="end"/>
      </w:r>
      <w:r w:rsidRPr="00435469">
        <w:rPr>
          <w:rFonts w:eastAsia="Calibri" w:cs="Times New Roman"/>
          <w:sz w:val="20"/>
          <w:szCs w:val="20"/>
        </w:rPr>
        <w:t xml:space="preserve">. This is based on two studies: firstly </w:t>
      </w:r>
      <w:r w:rsidRPr="00435469">
        <w:rPr>
          <w:rFonts w:cs="Times New Roman"/>
          <w:sz w:val="20"/>
          <w:szCs w:val="20"/>
        </w:rPr>
        <w:t xml:space="preserve">Marx </w:t>
      </w:r>
      <w:r w:rsidRPr="00435469">
        <w:rPr>
          <w:rFonts w:cs="Times New Roman"/>
          <w:i/>
          <w:iCs/>
          <w:sz w:val="20"/>
          <w:szCs w:val="20"/>
        </w:rPr>
        <w:t>et al.</w:t>
      </w:r>
      <w:r w:rsidRPr="00435469">
        <w:rPr>
          <w:rFonts w:cs="Times New Roman"/>
          <w:sz w:val="20"/>
          <w:szCs w:val="20"/>
        </w:rPr>
        <w:t xml:space="preserve">'s study, which reported a TB prevalence of 3.81% and 2.13% in previously treated and treatment-naïve individuals, respectively, suggesting a relative risk of 1.8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{"citationItems":[{"id":"ITEM-1","itemData":{"DOI":"10.1016/j.physbeh.2017.03.040","author":[{"dropping-particle":"","family":"Marx","given":"Florian M.","non-dropping-particle":"","parse-names":false,"suffix":""},{"dropping-particle":"","family":"Floyd","given":"Sian","non-dropping-particle":"","parse-names":false,"suffix":""},{"dropping-particle":"","family":"Ayles","given":"Helen","non-dropping-particle":"","parse-names":false,"suffix":""},{"dropping-particle":"","family":"Godfrey-Faussett","given":"Peter","non-dropping-particle":"","parse-names":false,"suffix":""},{"dropping-particle":"","family":"Beyers","given":"Nulda","non-dropping-particle":"","parse-names":false,"suffix":""},{"dropping-particle":"","family":"Cohen","given":"Ted","non-dropping-particle":"","parse-names":false,"suffix":""}],"container-title":"European Respiratory Journal","id":"ITEM-1","issue":"48","issued":{"date-parts":[["2016"]]},"page":"1227-1230","title":"High burden of prevalent tuberculosis among previously treated people in Southern Africa suggests potential for targeted control interventions","type":"article-journal"},"uris":["http://www.mendeley.com/documents/?uuid=1cfc7d60-68d0-4a61-bb34-95fb15ebfe5f"]}],"mendeley":{"formattedCitation":"(104)","plainTextFormattedCitation":"(104)","previouslyFormattedCitation":"(104)"},"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(104)</w:t>
      </w:r>
      <w:r w:rsidRPr="00435469">
        <w:rPr>
          <w:rFonts w:cs="Times New Roman"/>
          <w:sz w:val="20"/>
          <w:szCs w:val="20"/>
        </w:rPr>
        <w:fldChar w:fldCharType="end"/>
      </w:r>
      <w:r w:rsidRPr="00435469">
        <w:rPr>
          <w:rFonts w:cs="Times New Roman"/>
          <w:sz w:val="20"/>
          <w:szCs w:val="20"/>
        </w:rPr>
        <w:t xml:space="preserve">. </w:t>
      </w:r>
      <w:r w:rsidRPr="00435469">
        <w:rPr>
          <w:rFonts w:eastAsia="Calibri" w:cs="Times New Roman"/>
          <w:sz w:val="20"/>
          <w:szCs w:val="20"/>
        </w:rPr>
        <w:t xml:space="preserve">Secondly, </w:t>
      </w:r>
      <w:r w:rsidRPr="00435469">
        <w:rPr>
          <w:rFonts w:cs="Times New Roman"/>
          <w:sz w:val="20"/>
          <w:szCs w:val="20"/>
        </w:rPr>
        <w:t xml:space="preserve">Den Boon </w:t>
      </w:r>
      <w:r w:rsidRPr="00435469">
        <w:rPr>
          <w:rFonts w:cs="Times New Roman"/>
          <w:i/>
          <w:iCs/>
          <w:sz w:val="20"/>
          <w:szCs w:val="20"/>
        </w:rPr>
        <w:t>et al.</w:t>
      </w:r>
      <w:r w:rsidRPr="00435469">
        <w:rPr>
          <w:rFonts w:cs="Times New Roman"/>
          <w:sz w:val="20"/>
          <w:szCs w:val="20"/>
        </w:rPr>
        <w:t xml:space="preserve">'s study found the prevalence of TB was 10/338 (2.96%) in people who had previously been treated, compared to 16/3145 (0.51%) that do not have the previous TB, suggesting a relative risk of 5.8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{"citationItems":[{"id":"ITEM-1","itemData":{"ISSN":"10806040 / -","author":[{"dropping-particle":"","family":"Boon","given":"Saskia","non-dropping-particle":"den","parse-names":false,"suffix":""},{"dropping-particle":"","family":"Bateman","given":"Eric D","non-dropping-particle":"","parse-names":false,"suffix":""},{"dropping-particle":"","family":"Borgdorff","given":"Martien W","non-dropping-particle":"","parse-names":false,"suffix":""},{"dropping-particle":"","family":"Villiers","given":"Christine","non-dropping-particle":"de","parse-names":false,"suffix":""},{"dropping-particle":"","family":"Enarson","given":"Donald a","non-dropping-particle":"","parse-names":false,"suffix":""},{"dropping-particle":"","family":"Irusen","given":"Elvis","non-dropping-particle":"","parse-names":false,"suffix":""},{"dropping-particle":"","family":"Lombard","given":"Carl J","non-dropping-particle":"","parse-names":false,"suffix":""},{"dropping-particle":"","family":"Lill","given":"Schalk W P","non-dropping-particle":"van","parse-names":false,"suffix":""},{"dropping-particle":"","family":"Verver","given":"Suzanne","non-dropping-particle":"","parse-names":false,"suffix":""},{"dropping-particle":"","family":"White","given":"Neil W","non-dropping-particle":"","parse-names":false,"suffix":""},{"dropping-particle":"","family":"Beyers","given":"Nulda","non-dropping-particle":"","parse-names":false,"suffix":""}],"container-title":"Emerging Infectious Diseases","id":"ITEM-1","issue":"8","issued":{"date-parts":[["2007"]]},"page":"1189-1194","title":"High prevalence of tuberculosis in previously treated patients, Cape Town, South Africa","type":"article-journal","volume":"13"},"uris":["http://www.mendeley.com/documents/?uuid=bac97c07-2c50-464f-b1c0-dd647614b164"]}],"mendeley":{"formattedCitation":"(103)","plainTextFormattedCitation":"(103)","previouslyFormattedCitation":"(103)"},"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(103)</w:t>
      </w:r>
      <w:r w:rsidRPr="00435469">
        <w:rPr>
          <w:rFonts w:cs="Times New Roman"/>
          <w:sz w:val="20"/>
          <w:szCs w:val="20"/>
        </w:rPr>
        <w:fldChar w:fldCharType="end"/>
      </w:r>
      <w:r w:rsidRPr="00435469">
        <w:rPr>
          <w:rFonts w:cs="Times New Roman"/>
          <w:sz w:val="20"/>
          <w:szCs w:val="20"/>
        </w:rPr>
        <w:t xml:space="preserve">. We </w:t>
      </w:r>
      <w:r w:rsidR="001F343F" w:rsidRPr="00435469">
        <w:rPr>
          <w:rFonts w:cs="Times New Roman"/>
          <w:sz w:val="20"/>
          <w:szCs w:val="20"/>
        </w:rPr>
        <w:t xml:space="preserve">previously </w:t>
      </w:r>
      <w:r w:rsidRPr="00435469">
        <w:rPr>
          <w:rFonts w:cs="Times New Roman"/>
          <w:sz w:val="20"/>
          <w:szCs w:val="20"/>
        </w:rPr>
        <w:t>specif</w:t>
      </w:r>
      <w:r w:rsidR="00E60AF7" w:rsidRPr="00435469">
        <w:rPr>
          <w:rFonts w:cs="Times New Roman"/>
          <w:sz w:val="20"/>
          <w:szCs w:val="20"/>
        </w:rPr>
        <w:t>ied</w:t>
      </w:r>
      <w:r w:rsidRPr="00435469">
        <w:rPr>
          <w:rFonts w:cs="Times New Roman"/>
          <w:sz w:val="20"/>
          <w:szCs w:val="20"/>
        </w:rPr>
        <w:t xml:space="preserve"> a Gamma (5.444; 1.556) prior distribution with a mean of 3.5 and a standard deviation of 1.5 for this effect of previous TB. </w:t>
      </w:r>
      <w:bookmarkEnd w:id="243"/>
      <w:r w:rsidR="000677BB" w:rsidRPr="00435469">
        <w:rPr>
          <w:rFonts w:cs="Times New Roman"/>
          <w:sz w:val="20"/>
          <w:szCs w:val="20"/>
        </w:rPr>
        <w:t xml:space="preserve"> </w:t>
      </w:r>
      <w:r w:rsidR="00EB4B35" w:rsidRPr="00435469">
        <w:rPr>
          <w:rFonts w:cs="Times New Roman"/>
          <w:sz w:val="20"/>
          <w:szCs w:val="20"/>
        </w:rPr>
        <w:t xml:space="preserve">In </w:t>
      </w:r>
      <w:r w:rsidR="004026CC" w:rsidRPr="00435469">
        <w:rPr>
          <w:rFonts w:cs="Times New Roman"/>
          <w:sz w:val="20"/>
          <w:szCs w:val="20"/>
        </w:rPr>
        <w:t xml:space="preserve">the previous </w:t>
      </w:r>
      <w:r w:rsidR="00EB4B35" w:rsidRPr="00435469">
        <w:rPr>
          <w:rFonts w:cs="Times New Roman"/>
          <w:sz w:val="20"/>
          <w:szCs w:val="20"/>
        </w:rPr>
        <w:t xml:space="preserve">calibration analysis, </w:t>
      </w:r>
      <w:r w:rsidR="00F25606" w:rsidRPr="00435469">
        <w:rPr>
          <w:rFonts w:cs="Times New Roman"/>
          <w:sz w:val="20"/>
          <w:szCs w:val="20"/>
        </w:rPr>
        <w:t xml:space="preserve">we </w:t>
      </w:r>
      <w:r w:rsidR="00453E37" w:rsidRPr="00435469">
        <w:rPr>
          <w:rFonts w:cs="Times New Roman"/>
          <w:sz w:val="20"/>
          <w:szCs w:val="20"/>
        </w:rPr>
        <w:t xml:space="preserve">estimated </w:t>
      </w:r>
      <w:r w:rsidR="00F25606" w:rsidRPr="00435469">
        <w:rPr>
          <w:rFonts w:cs="Times New Roman"/>
          <w:sz w:val="20"/>
          <w:szCs w:val="20"/>
        </w:rPr>
        <w:t xml:space="preserve">the </w:t>
      </w:r>
      <w:r w:rsidR="00EB4B35" w:rsidRPr="00435469">
        <w:rPr>
          <w:rFonts w:cs="Times New Roman"/>
          <w:sz w:val="20"/>
          <w:szCs w:val="20"/>
        </w:rPr>
        <w:t>posterior mea</w:t>
      </w:r>
      <w:r w:rsidR="00453E37" w:rsidRPr="00435469">
        <w:rPr>
          <w:rFonts w:cs="Times New Roman"/>
          <w:sz w:val="20"/>
          <w:szCs w:val="20"/>
        </w:rPr>
        <w:t xml:space="preserve">n </w:t>
      </w:r>
      <w:r w:rsidR="004026CC" w:rsidRPr="00435469">
        <w:rPr>
          <w:rFonts w:cs="Times New Roman"/>
          <w:sz w:val="20"/>
          <w:szCs w:val="20"/>
        </w:rPr>
        <w:t>and 95% confidence intervals as</w:t>
      </w:r>
      <w:r w:rsidR="00F25606" w:rsidRPr="00435469">
        <w:rPr>
          <w:rFonts w:cs="Times New Roman"/>
          <w:sz w:val="20"/>
          <w:szCs w:val="20"/>
        </w:rPr>
        <w:t xml:space="preserve"> </w:t>
      </w:r>
      <w:r w:rsidR="000958E1" w:rsidRPr="00435469">
        <w:rPr>
          <w:rFonts w:cs="Times New Roman"/>
          <w:sz w:val="20"/>
          <w:szCs w:val="20"/>
        </w:rPr>
        <w:t>3.03 (95% CI 2.74 – 3.23)</w:t>
      </w:r>
      <w:r w:rsidR="002B2BDB" w:rsidRPr="00435469">
        <w:rPr>
          <w:rFonts w:cs="Times New Roman"/>
          <w:sz w:val="20"/>
          <w:szCs w:val="20"/>
        </w:rPr>
        <w:t xml:space="preserve"> </w:t>
      </w:r>
      <w:r w:rsidR="002B2BDB" w:rsidRPr="00435469">
        <w:rPr>
          <w:rFonts w:eastAsia="Yu Mincho" w:cs="Times New Roman"/>
          <w:sz w:val="20"/>
          <w:szCs w:val="20"/>
        </w:rPr>
        <w:fldChar w:fldCharType="begin" w:fldLock="1"/>
      </w:r>
      <w:r w:rsidR="00650727"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2B2BDB" w:rsidRPr="00435469">
        <w:rPr>
          <w:rFonts w:eastAsia="Yu Mincho" w:cs="Times New Roman"/>
          <w:sz w:val="20"/>
          <w:szCs w:val="20"/>
        </w:rPr>
        <w:fldChar w:fldCharType="separate"/>
      </w:r>
      <w:r w:rsidR="002B2BDB" w:rsidRPr="00435469">
        <w:rPr>
          <w:rFonts w:eastAsia="Yu Mincho" w:cs="Times New Roman"/>
          <w:noProof/>
          <w:sz w:val="20"/>
          <w:szCs w:val="20"/>
        </w:rPr>
        <w:t>(6)</w:t>
      </w:r>
      <w:r w:rsidR="002B2BDB" w:rsidRPr="00435469">
        <w:rPr>
          <w:rFonts w:eastAsia="Yu Mincho" w:cs="Times New Roman"/>
          <w:sz w:val="20"/>
          <w:szCs w:val="20"/>
        </w:rPr>
        <w:fldChar w:fldCharType="end"/>
      </w:r>
      <w:r w:rsidR="004026CC" w:rsidRPr="00435469">
        <w:rPr>
          <w:rFonts w:cs="Times New Roman"/>
          <w:sz w:val="20"/>
          <w:szCs w:val="20"/>
        </w:rPr>
        <w:t xml:space="preserve">, </w:t>
      </w:r>
      <w:r w:rsidR="00950E30" w:rsidRPr="00435469">
        <w:rPr>
          <w:rFonts w:cs="Times New Roman"/>
          <w:sz w:val="20"/>
          <w:szCs w:val="20"/>
        </w:rPr>
        <w:t xml:space="preserve">for this parameter. In this current analysis, we </w:t>
      </w:r>
      <w:r w:rsidR="002A3891" w:rsidRPr="00435469">
        <w:rPr>
          <w:rFonts w:cs="Times New Roman"/>
          <w:sz w:val="20"/>
          <w:szCs w:val="20"/>
        </w:rPr>
        <w:t>fixed this parameter at 3.</w:t>
      </w:r>
      <w:r w:rsidR="004F4F7E" w:rsidRPr="00435469">
        <w:rPr>
          <w:rFonts w:cs="Times New Roman"/>
          <w:sz w:val="20"/>
          <w:szCs w:val="20"/>
        </w:rPr>
        <w:t>03.</w:t>
      </w:r>
    </w:p>
    <w:p w14:paraId="4854CA26" w14:textId="12DEA16E" w:rsidR="003454B8" w:rsidRPr="00435469" w:rsidRDefault="004E5B64" w:rsidP="00955FFB">
      <w:pPr>
        <w:spacing w:line="240" w:lineRule="auto"/>
        <w:rPr>
          <w:rFonts w:eastAsia="Calibri" w:cs="Times New Roman"/>
          <w:sz w:val="20"/>
          <w:szCs w:val="20"/>
        </w:rPr>
      </w:pPr>
      <w:r w:rsidRPr="00435469">
        <w:rPr>
          <w:rFonts w:eastAsia="Calibri" w:cs="Times New Roman"/>
          <w:sz w:val="20"/>
          <w:szCs w:val="20"/>
        </w:rPr>
        <w:t>For this long-term post-treatment state, the effect of HIV on reinfection in HIV-infected individuals is modelled in the same way as it is applied on fast progression to active TB. Similarly, for reactivation, we apply the HIV effects described earlier</w:t>
      </w:r>
      <w:r w:rsidR="003454B8" w:rsidRPr="00435469">
        <w:rPr>
          <w:rFonts w:eastAsia="Calibri" w:cs="Times New Roman"/>
          <w:sz w:val="20"/>
          <w:szCs w:val="20"/>
        </w:rPr>
        <w:t xml:space="preserve">. </w:t>
      </w:r>
    </w:p>
    <w:p w14:paraId="785C5643" w14:textId="77777777" w:rsidR="00E256E8" w:rsidRPr="00435469" w:rsidRDefault="00E256E8" w:rsidP="00955FFB">
      <w:pPr>
        <w:pStyle w:val="Heading2"/>
        <w:rPr>
          <w:rFonts w:cs="Times New Roman"/>
          <w:color w:val="auto"/>
          <w:sz w:val="20"/>
          <w:szCs w:val="20"/>
        </w:rPr>
      </w:pPr>
      <w:bookmarkStart w:id="244" w:name="_Ref81563083"/>
      <w:bookmarkStart w:id="245" w:name="_Toc87863345"/>
      <w:bookmarkStart w:id="246" w:name="_Toc88488576"/>
      <w:bookmarkStart w:id="247" w:name="_Toc89683406"/>
      <w:bookmarkStart w:id="248" w:name="_Toc103252944"/>
      <w:bookmarkStart w:id="249" w:name="_Toc79099828"/>
      <w:bookmarkStart w:id="250" w:name="_Ref80344193"/>
      <w:bookmarkStart w:id="251" w:name="_Ref80344200"/>
      <w:bookmarkStart w:id="252" w:name="_Toc80352157"/>
      <w:bookmarkStart w:id="253" w:name="_Ref81564611"/>
      <w:bookmarkStart w:id="254" w:name="_Toc87863351"/>
      <w:bookmarkStart w:id="255" w:name="_Toc88488582"/>
      <w:r w:rsidRPr="00435469">
        <w:rPr>
          <w:rFonts w:cs="Times New Roman"/>
          <w:color w:val="auto"/>
          <w:sz w:val="20"/>
          <w:szCs w:val="20"/>
        </w:rPr>
        <w:t>Modelling the effect of isoniazid preventative therapy</w:t>
      </w:r>
      <w:bookmarkEnd w:id="244"/>
      <w:bookmarkEnd w:id="245"/>
      <w:bookmarkEnd w:id="246"/>
      <w:bookmarkEnd w:id="247"/>
      <w:bookmarkEnd w:id="248"/>
    </w:p>
    <w:p w14:paraId="09664027" w14:textId="03CC05A5" w:rsidR="00E256E8" w:rsidRPr="00435469" w:rsidRDefault="00E256E8" w:rsidP="00955FFB">
      <w:pPr>
        <w:pStyle w:val="NoSpacing"/>
        <w:spacing w:before="240" w:after="240"/>
        <w:rPr>
          <w:rFonts w:cs="Times New Roman"/>
          <w:sz w:val="20"/>
          <w:szCs w:val="20"/>
        </w:rPr>
      </w:pPr>
      <w:r w:rsidRPr="00435469">
        <w:rPr>
          <w:rFonts w:cs="Times New Roman"/>
          <w:sz w:val="20"/>
          <w:szCs w:val="20"/>
        </w:rPr>
        <w:t xml:space="preserve">To incorporate the effect of IPT in the model, we define additional variables. We let </w:t>
      </w:r>
      <m:oMath>
        <m:r>
          <w:rPr>
            <w:rFonts w:ascii="Cambria Math" w:hAnsi="Cambria Math" w:cs="Times New Roman"/>
            <w:sz w:val="20"/>
            <w:szCs w:val="20"/>
          </w:rPr>
          <m:t>k</m:t>
        </m:r>
      </m:oMath>
      <w:r w:rsidRPr="00435469">
        <w:rPr>
          <w:rFonts w:cs="Times New Roman"/>
          <w:i/>
          <w:iCs/>
          <w:sz w:val="20"/>
          <w:szCs w:val="20"/>
        </w:rPr>
        <w:t xml:space="preserve"> </w:t>
      </w:r>
      <w:r w:rsidRPr="00435469">
        <w:rPr>
          <w:rFonts w:cs="Times New Roman"/>
          <w:sz w:val="20"/>
          <w:szCs w:val="20"/>
        </w:rPr>
        <w:t>represent the following groups: 0 = uninfected individuals, 1 = latently infected individuals with no TB history, and 2 = previously treated individuals (we do not consider individuals with active TB as IPT would not be recommended for such individuals). We also define</w:t>
      </w:r>
      <w:r w:rsidRPr="00435469">
        <w:rPr>
          <w:rFonts w:cs="Times New Roman"/>
          <w:i/>
          <w:iCs/>
          <w:sz w:val="20"/>
          <w:szCs w:val="20"/>
        </w:rPr>
        <w:t xml:space="preserve"> </w:t>
      </w:r>
      <m:oMath>
        <m:r>
          <w:rPr>
            <w:rFonts w:ascii="Cambria Math" w:hAnsi="Cambria Math" w:cs="Times New Roman"/>
            <w:sz w:val="20"/>
            <w:szCs w:val="20"/>
          </w:rPr>
          <m:t>λ(t,s,d,k)</m:t>
        </m:r>
        <m:r>
          <m:rPr>
            <m:sty m:val="p"/>
          </m:rPr>
          <w:rPr>
            <w:rFonts w:ascii="Cambria Math" w:hAnsi="Cambria Math" w:cs="Times New Roman"/>
            <w:sz w:val="20"/>
            <w:szCs w:val="20"/>
          </w:rPr>
          <m:t xml:space="preserve"> </m:t>
        </m:r>
      </m:oMath>
      <w:r w:rsidRPr="00435469">
        <w:rPr>
          <w:rFonts w:eastAsiaTheme="minorEastAsia" w:cs="Times New Roman"/>
          <w:iCs/>
          <w:sz w:val="20"/>
          <w:szCs w:val="20"/>
        </w:rPr>
        <w:t>to</w:t>
      </w:r>
      <w:r w:rsidRPr="00435469">
        <w:rPr>
          <w:rFonts w:eastAsiaTheme="minorEastAsia" w:cs="Times New Roman"/>
          <w:i/>
          <w:sz w:val="20"/>
          <w:szCs w:val="20"/>
        </w:rPr>
        <w:t xml:space="preserve"> </w:t>
      </w:r>
      <w:r w:rsidRPr="00435469">
        <w:rPr>
          <w:rFonts w:cs="Times New Roman"/>
          <w:sz w:val="20"/>
          <w:szCs w:val="20"/>
        </w:rPr>
        <w:t xml:space="preserve">represent the annual rate of IPT initiation in HIV-positive individuals with CD4 count </w:t>
      </w:r>
      <w:r w:rsidRPr="00435469">
        <w:rPr>
          <w:rFonts w:cs="Times New Roman"/>
          <w:i/>
          <w:iCs/>
          <w:sz w:val="20"/>
          <w:szCs w:val="20"/>
        </w:rPr>
        <w:t>s</w:t>
      </w:r>
      <w:r w:rsidRPr="00435469">
        <w:rPr>
          <w:rFonts w:cs="Times New Roman"/>
          <w:sz w:val="20"/>
          <w:szCs w:val="20"/>
        </w:rPr>
        <w:t xml:space="preserve"> and ART duration </w:t>
      </w:r>
      <w:r w:rsidRPr="00435469">
        <w:rPr>
          <w:rFonts w:cs="Times New Roman"/>
          <w:i/>
          <w:iCs/>
          <w:sz w:val="20"/>
          <w:szCs w:val="20"/>
        </w:rPr>
        <w:t xml:space="preserve">d </w:t>
      </w:r>
      <w:r w:rsidRPr="00435469">
        <w:rPr>
          <w:rFonts w:cs="Times New Roman"/>
          <w:sz w:val="20"/>
          <w:szCs w:val="20"/>
        </w:rPr>
        <w:t xml:space="preserve">(0 if ART-naïve, 1 for duration &lt;1 year, 2 for duration &gt;1 year), in year </w:t>
      </w:r>
      <m:oMath>
        <m:r>
          <w:rPr>
            <w:rFonts w:ascii="Cambria Math" w:hAnsi="Cambria Math" w:cs="Times New Roman"/>
            <w:sz w:val="20"/>
            <w:szCs w:val="20"/>
          </w:rPr>
          <m:t>t</m:t>
        </m:r>
      </m:oMath>
      <w:r w:rsidRPr="00435469">
        <w:rPr>
          <w:rFonts w:cs="Times New Roman"/>
          <w:sz w:val="20"/>
          <w:szCs w:val="20"/>
        </w:rPr>
        <w:t>. Lastly, define</w:t>
      </w:r>
      <w:r w:rsidRPr="00435469">
        <w:rPr>
          <w:rFonts w:cs="Times New Roman"/>
          <w:i/>
          <w:iCs/>
          <w:sz w:val="20"/>
          <w:szCs w:val="20"/>
        </w:rPr>
        <w:t xml:space="preserve"> </w:t>
      </w:r>
      <m:oMath>
        <m:r>
          <w:rPr>
            <w:rFonts w:ascii="Cambria Math" w:hAnsi="Cambria Math" w:cs="Times New Roman"/>
            <w:sz w:val="20"/>
            <w:szCs w:val="20"/>
          </w:rPr>
          <m:t>R</m:t>
        </m:r>
        <m:d>
          <m:dPr>
            <m:ctrlPr>
              <w:rPr>
                <w:rFonts w:ascii="Cambria Math" w:hAnsi="Cambria Math" w:cs="Times New Roman"/>
                <w:i/>
                <w:iCs/>
                <w:sz w:val="20"/>
                <w:szCs w:val="20"/>
              </w:rPr>
            </m:ctrlPr>
          </m:dPr>
          <m:e>
            <m:r>
              <w:rPr>
                <w:rFonts w:ascii="Cambria Math" w:hAnsi="Cambria Math" w:cs="Times New Roman"/>
                <w:sz w:val="20"/>
                <w:szCs w:val="20"/>
              </w:rPr>
              <m:t>k</m:t>
            </m:r>
          </m:e>
        </m:d>
      </m:oMath>
      <w:r w:rsidRPr="00435469">
        <w:rPr>
          <w:rFonts w:cs="Times New Roman"/>
          <w:sz w:val="20"/>
          <w:szCs w:val="20"/>
        </w:rPr>
        <w:t xml:space="preserve"> as the relative rate of IPT initiation for individuals in TB state </w:t>
      </w:r>
      <m:oMath>
        <m:r>
          <w:rPr>
            <w:rFonts w:ascii="Cambria Math" w:hAnsi="Cambria Math" w:cs="Times New Roman"/>
            <w:sz w:val="20"/>
            <w:szCs w:val="20"/>
          </w:rPr>
          <m:t>k</m:t>
        </m:r>
      </m:oMath>
      <w:r w:rsidRPr="00435469">
        <w:rPr>
          <w:rFonts w:cs="Times New Roman"/>
          <w:i/>
          <w:iCs/>
          <w:sz w:val="20"/>
          <w:szCs w:val="20"/>
        </w:rPr>
        <w:t xml:space="preserve"> </w:t>
      </w:r>
      <w:r w:rsidRPr="00435469">
        <w:rPr>
          <w:rFonts w:cs="Times New Roman"/>
          <w:sz w:val="20"/>
          <w:szCs w:val="20"/>
        </w:rPr>
        <w:t>relative to latently infected individuals</w:t>
      </w:r>
      <w:r w:rsidR="0091421B" w:rsidRPr="00435469">
        <w:rPr>
          <w:rFonts w:cs="Times New Roman"/>
          <w:sz w:val="20"/>
          <w:szCs w:val="20"/>
        </w:rPr>
        <w:t>. The model assumption</w:t>
      </w:r>
      <w:r w:rsidR="0003024A" w:rsidRPr="00435469">
        <w:rPr>
          <w:rFonts w:cs="Times New Roman"/>
          <w:sz w:val="20"/>
          <w:szCs w:val="20"/>
        </w:rPr>
        <w:t>s</w:t>
      </w:r>
      <w:r w:rsidR="0091421B" w:rsidRPr="00435469">
        <w:rPr>
          <w:rFonts w:cs="Times New Roman"/>
          <w:sz w:val="20"/>
          <w:szCs w:val="20"/>
        </w:rPr>
        <w:t xml:space="preserve"> </w:t>
      </w:r>
      <w:r w:rsidR="0064483E" w:rsidRPr="00435469">
        <w:rPr>
          <w:rFonts w:cs="Times New Roman"/>
          <w:sz w:val="20"/>
          <w:szCs w:val="20"/>
        </w:rPr>
        <w:t xml:space="preserve">on IPT duration and the associated guidelines are shown </w:t>
      </w:r>
      <w:r w:rsidR="00987DD9" w:rsidRPr="00435469">
        <w:rPr>
          <w:rFonts w:cs="Times New Roman"/>
          <w:sz w:val="20"/>
          <w:szCs w:val="20"/>
        </w:rPr>
        <w:t xml:space="preserve">in </w:t>
      </w:r>
      <w:r w:rsidR="00987DD9" w:rsidRPr="00435469">
        <w:rPr>
          <w:rFonts w:cs="Times New Roman"/>
          <w:sz w:val="20"/>
          <w:szCs w:val="20"/>
        </w:rPr>
        <w:fldChar w:fldCharType="begin"/>
      </w:r>
      <w:r w:rsidR="00987DD9" w:rsidRPr="00435469">
        <w:rPr>
          <w:rFonts w:cs="Times New Roman"/>
          <w:sz w:val="20"/>
          <w:szCs w:val="20"/>
        </w:rPr>
        <w:instrText xml:space="preserve"> REF _Ref91498399 \h </w:instrText>
      </w:r>
      <w:r w:rsidR="00F334C7" w:rsidRPr="00435469">
        <w:rPr>
          <w:rFonts w:cs="Times New Roman"/>
          <w:sz w:val="20"/>
          <w:szCs w:val="20"/>
        </w:rPr>
        <w:instrText xml:space="preserve"> \* MERGEFORMAT </w:instrText>
      </w:r>
      <w:r w:rsidR="00987DD9" w:rsidRPr="00435469">
        <w:rPr>
          <w:rFonts w:cs="Times New Roman"/>
          <w:sz w:val="20"/>
          <w:szCs w:val="20"/>
        </w:rPr>
      </w:r>
      <w:r w:rsidR="00987DD9"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16</w:t>
      </w:r>
      <w:r w:rsidR="00987DD9" w:rsidRPr="00435469">
        <w:rPr>
          <w:rFonts w:cs="Times New Roman"/>
          <w:sz w:val="20"/>
          <w:szCs w:val="20"/>
        </w:rPr>
        <w:fldChar w:fldCharType="end"/>
      </w:r>
      <w:r w:rsidRPr="00435469">
        <w:rPr>
          <w:rFonts w:cs="Times New Roman"/>
          <w:sz w:val="20"/>
          <w:szCs w:val="20"/>
        </w:rPr>
        <w:t>.</w:t>
      </w:r>
    </w:p>
    <w:p w14:paraId="32B7DCBA" w14:textId="41714B97" w:rsidR="00E256E8" w:rsidRPr="00435469" w:rsidRDefault="00E256E8" w:rsidP="00955FFB">
      <w:pPr>
        <w:pStyle w:val="3CaptionAbove"/>
        <w:rPr>
          <w:iCs/>
          <w:sz w:val="20"/>
          <w:szCs w:val="20"/>
        </w:rPr>
      </w:pPr>
      <w:bookmarkStart w:id="256" w:name="_Ref91498399"/>
      <w:bookmarkStart w:id="257" w:name="_Toc103253669"/>
      <w:bookmarkStart w:id="258" w:name="_Hlk100663656"/>
      <w:r w:rsidRPr="00435469">
        <w:rPr>
          <w:sz w:val="20"/>
          <w:szCs w:val="20"/>
        </w:rPr>
        <w:t xml:space="preserve">Table </w:t>
      </w:r>
      <w:r w:rsidRPr="00435469">
        <w:rPr>
          <w:sz w:val="20"/>
          <w:szCs w:val="20"/>
        </w:rPr>
        <w:fldChar w:fldCharType="begin"/>
      </w:r>
      <w:r w:rsidRPr="00435469">
        <w:rPr>
          <w:sz w:val="20"/>
          <w:szCs w:val="20"/>
        </w:rPr>
        <w:instrText xml:space="preserve"> SEQ Table \* ARABIC </w:instrText>
      </w:r>
      <w:r w:rsidRPr="00435469">
        <w:rPr>
          <w:sz w:val="20"/>
          <w:szCs w:val="20"/>
        </w:rPr>
        <w:fldChar w:fldCharType="separate"/>
      </w:r>
      <w:r w:rsidR="00186C2F" w:rsidRPr="00435469">
        <w:rPr>
          <w:sz w:val="20"/>
          <w:szCs w:val="20"/>
        </w:rPr>
        <w:t>16</w:t>
      </w:r>
      <w:r w:rsidRPr="00435469">
        <w:rPr>
          <w:sz w:val="20"/>
          <w:szCs w:val="20"/>
        </w:rPr>
        <w:fldChar w:fldCharType="end"/>
      </w:r>
      <w:bookmarkEnd w:id="256"/>
      <w:r w:rsidRPr="00435469">
        <w:rPr>
          <w:sz w:val="20"/>
          <w:szCs w:val="20"/>
        </w:rPr>
        <w:t xml:space="preserve">: </w:t>
      </w:r>
      <w:bookmarkStart w:id="259" w:name="_Ref62084053"/>
      <w:r w:rsidRPr="00435469">
        <w:rPr>
          <w:sz w:val="20"/>
          <w:szCs w:val="20"/>
        </w:rPr>
        <w:t>Isoniazid Preventative Therapy eligibility, requirement, and duration</w:t>
      </w:r>
      <w:bookmarkEnd w:id="257"/>
      <w:r w:rsidRPr="00435469" w:rsidDel="001B0AC6">
        <w:rPr>
          <w:sz w:val="20"/>
          <w:szCs w:val="20"/>
        </w:rPr>
        <w:t xml:space="preserve"> </w:t>
      </w:r>
      <w:bookmarkEnd w:id="259"/>
    </w:p>
    <w:tbl>
      <w:tblPr>
        <w:tblStyle w:val="TableGrid"/>
        <w:tblW w:w="100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677"/>
        <w:gridCol w:w="3119"/>
        <w:gridCol w:w="1276"/>
      </w:tblGrid>
      <w:tr w:rsidR="00304411" w:rsidRPr="00435469" w14:paraId="154A3F81" w14:textId="77777777" w:rsidTr="00F45149">
        <w:trPr>
          <w:trHeight w:val="316"/>
        </w:trPr>
        <w:tc>
          <w:tcPr>
            <w:tcW w:w="993" w:type="dxa"/>
            <w:tcBorders>
              <w:top w:val="single" w:sz="4" w:space="0" w:color="auto"/>
              <w:bottom w:val="single" w:sz="4" w:space="0" w:color="auto"/>
            </w:tcBorders>
          </w:tcPr>
          <w:p w14:paraId="529BAD20" w14:textId="77777777" w:rsidR="00E256E8" w:rsidRPr="00435469" w:rsidRDefault="00E256E8" w:rsidP="00955FFB">
            <w:pPr>
              <w:pStyle w:val="NoSpacing"/>
              <w:rPr>
                <w:rFonts w:cs="Times New Roman"/>
                <w:b/>
                <w:bCs/>
                <w:sz w:val="16"/>
                <w:szCs w:val="16"/>
              </w:rPr>
            </w:pPr>
            <w:r w:rsidRPr="00435469">
              <w:rPr>
                <w:rFonts w:cs="Times New Roman"/>
                <w:b/>
                <w:bCs/>
                <w:sz w:val="16"/>
                <w:szCs w:val="16"/>
              </w:rPr>
              <w:t>Year</w:t>
            </w:r>
          </w:p>
        </w:tc>
        <w:tc>
          <w:tcPr>
            <w:tcW w:w="4677" w:type="dxa"/>
            <w:tcBorders>
              <w:top w:val="single" w:sz="4" w:space="0" w:color="auto"/>
              <w:bottom w:val="single" w:sz="4" w:space="0" w:color="auto"/>
            </w:tcBorders>
          </w:tcPr>
          <w:p w14:paraId="394D917F" w14:textId="77777777" w:rsidR="00E256E8" w:rsidRPr="00435469" w:rsidRDefault="00E256E8" w:rsidP="00955FFB">
            <w:pPr>
              <w:pStyle w:val="NoSpacing"/>
              <w:rPr>
                <w:rFonts w:cs="Times New Roman"/>
                <w:b/>
                <w:bCs/>
                <w:sz w:val="16"/>
                <w:szCs w:val="16"/>
              </w:rPr>
            </w:pPr>
            <w:r w:rsidRPr="00435469">
              <w:rPr>
                <w:rFonts w:cs="Times New Roman"/>
                <w:b/>
                <w:bCs/>
                <w:sz w:val="16"/>
                <w:szCs w:val="16"/>
              </w:rPr>
              <w:t>Isoniazid Preventative Therapy</w:t>
            </w:r>
            <w:bookmarkStart w:id="260" w:name="_Hlk63295958"/>
            <w:r w:rsidRPr="00435469">
              <w:rPr>
                <w:rFonts w:cs="Times New Roman"/>
                <w:b/>
                <w:bCs/>
                <w:sz w:val="16"/>
                <w:szCs w:val="16"/>
              </w:rPr>
              <w:t xml:space="preserve"> eligibility, requirement, and duration</w:t>
            </w:r>
            <w:bookmarkEnd w:id="260"/>
          </w:p>
        </w:tc>
        <w:tc>
          <w:tcPr>
            <w:tcW w:w="3119" w:type="dxa"/>
            <w:tcBorders>
              <w:top w:val="single" w:sz="4" w:space="0" w:color="auto"/>
              <w:bottom w:val="single" w:sz="4" w:space="0" w:color="auto"/>
            </w:tcBorders>
          </w:tcPr>
          <w:p w14:paraId="6FD38C0D" w14:textId="77777777" w:rsidR="00E256E8" w:rsidRPr="00435469" w:rsidRDefault="00E256E8" w:rsidP="00955FFB">
            <w:pPr>
              <w:pStyle w:val="NoSpacing"/>
              <w:jc w:val="center"/>
              <w:rPr>
                <w:rFonts w:cs="Times New Roman"/>
                <w:b/>
                <w:bCs/>
                <w:sz w:val="16"/>
                <w:szCs w:val="16"/>
              </w:rPr>
            </w:pPr>
            <w:r w:rsidRPr="00435469">
              <w:rPr>
                <w:rFonts w:cs="Times New Roman"/>
                <w:b/>
                <w:bCs/>
                <w:sz w:val="16"/>
                <w:szCs w:val="16"/>
              </w:rPr>
              <w:t xml:space="preserve">Model assumption </w:t>
            </w:r>
          </w:p>
        </w:tc>
        <w:tc>
          <w:tcPr>
            <w:tcW w:w="1276" w:type="dxa"/>
            <w:tcBorders>
              <w:top w:val="single" w:sz="4" w:space="0" w:color="auto"/>
              <w:bottom w:val="single" w:sz="4" w:space="0" w:color="auto"/>
            </w:tcBorders>
          </w:tcPr>
          <w:p w14:paraId="21B0C38A" w14:textId="77777777" w:rsidR="00E256E8" w:rsidRPr="00435469" w:rsidRDefault="00E256E8" w:rsidP="00955FFB">
            <w:pPr>
              <w:pStyle w:val="NoSpacing"/>
              <w:rPr>
                <w:rFonts w:cs="Times New Roman"/>
                <w:b/>
                <w:bCs/>
                <w:sz w:val="16"/>
                <w:szCs w:val="16"/>
              </w:rPr>
            </w:pPr>
            <w:r w:rsidRPr="00435469">
              <w:rPr>
                <w:rFonts w:cs="Times New Roman"/>
                <w:b/>
                <w:bCs/>
                <w:sz w:val="16"/>
                <w:szCs w:val="16"/>
              </w:rPr>
              <w:t xml:space="preserve">Guideline </w:t>
            </w:r>
          </w:p>
        </w:tc>
      </w:tr>
      <w:tr w:rsidR="00304411" w:rsidRPr="00435469" w14:paraId="44211B21" w14:textId="77777777" w:rsidTr="00F45149">
        <w:trPr>
          <w:trHeight w:val="1270"/>
        </w:trPr>
        <w:tc>
          <w:tcPr>
            <w:tcW w:w="993" w:type="dxa"/>
            <w:tcBorders>
              <w:top w:val="single" w:sz="4" w:space="0" w:color="auto"/>
              <w:bottom w:val="single" w:sz="4" w:space="0" w:color="auto"/>
            </w:tcBorders>
          </w:tcPr>
          <w:p w14:paraId="5C72FE72" w14:textId="77777777" w:rsidR="00E256E8" w:rsidRPr="00435469" w:rsidRDefault="00E256E8" w:rsidP="00955FFB">
            <w:pPr>
              <w:pStyle w:val="NoSpacing"/>
              <w:rPr>
                <w:rFonts w:cs="Times New Roman"/>
                <w:sz w:val="16"/>
                <w:szCs w:val="16"/>
              </w:rPr>
            </w:pPr>
            <w:r w:rsidRPr="00435469">
              <w:rPr>
                <w:rFonts w:cs="Times New Roman"/>
                <w:sz w:val="16"/>
                <w:szCs w:val="16"/>
              </w:rPr>
              <w:t>2010 – 2012</w:t>
            </w:r>
          </w:p>
        </w:tc>
        <w:tc>
          <w:tcPr>
            <w:tcW w:w="4677" w:type="dxa"/>
            <w:tcBorders>
              <w:top w:val="single" w:sz="4" w:space="0" w:color="auto"/>
              <w:bottom w:val="single" w:sz="4" w:space="0" w:color="auto"/>
            </w:tcBorders>
          </w:tcPr>
          <w:p w14:paraId="4298394D" w14:textId="77777777" w:rsidR="00E256E8" w:rsidRPr="00435469" w:rsidRDefault="00E256E8" w:rsidP="00955FFB">
            <w:pPr>
              <w:pStyle w:val="NoSpacing"/>
              <w:rPr>
                <w:rFonts w:cs="Times New Roman"/>
                <w:sz w:val="16"/>
                <w:szCs w:val="16"/>
                <w:lang w:val="en-ZA"/>
              </w:rPr>
            </w:pPr>
            <w:r w:rsidRPr="00435469">
              <w:rPr>
                <w:rFonts w:cs="Times New Roman"/>
                <w:sz w:val="16"/>
                <w:szCs w:val="16"/>
                <w:lang w:val="en-ZA"/>
              </w:rPr>
              <w:t>Eligibility: all HIV-infected individuals with no signs or symptoms suggestive of active TB</w:t>
            </w:r>
          </w:p>
          <w:p w14:paraId="64DB094D" w14:textId="77777777" w:rsidR="00E256E8" w:rsidRPr="00435469" w:rsidRDefault="00E256E8" w:rsidP="00955FFB">
            <w:pPr>
              <w:pStyle w:val="NoSpacing"/>
              <w:rPr>
                <w:rFonts w:cs="Times New Roman"/>
                <w:sz w:val="16"/>
                <w:szCs w:val="16"/>
                <w:lang w:val="en-ZA"/>
              </w:rPr>
            </w:pPr>
            <w:r w:rsidRPr="00435469">
              <w:rPr>
                <w:rFonts w:cs="Times New Roman"/>
                <w:sz w:val="16"/>
                <w:szCs w:val="16"/>
                <w:lang w:val="en-ZA"/>
              </w:rPr>
              <w:t>TST requirement: TST no longer essential prior to IPT, IPT can be started at the first visit if the patient is asymptomatic.</w:t>
            </w:r>
          </w:p>
          <w:p w14:paraId="4200B001" w14:textId="77777777" w:rsidR="00E256E8" w:rsidRPr="00435469" w:rsidRDefault="00E256E8" w:rsidP="00955FFB">
            <w:pPr>
              <w:pStyle w:val="NoSpacing"/>
              <w:rPr>
                <w:rFonts w:cs="Times New Roman"/>
                <w:sz w:val="16"/>
                <w:szCs w:val="16"/>
                <w:lang w:val="en-ZA"/>
              </w:rPr>
            </w:pPr>
            <w:r w:rsidRPr="00435469">
              <w:rPr>
                <w:rFonts w:cs="Times New Roman"/>
                <w:sz w:val="16"/>
                <w:szCs w:val="16"/>
                <w:lang w:val="en-ZA"/>
              </w:rPr>
              <w:t>IPT duration: 6 months of continuous treatment (can be completed over 9 months).</w:t>
            </w:r>
          </w:p>
        </w:tc>
        <w:tc>
          <w:tcPr>
            <w:tcW w:w="3119" w:type="dxa"/>
            <w:tcBorders>
              <w:top w:val="single" w:sz="4" w:space="0" w:color="auto"/>
              <w:bottom w:val="single" w:sz="4" w:space="0" w:color="auto"/>
            </w:tcBorders>
          </w:tcPr>
          <w:p w14:paraId="2F6CF8D2" w14:textId="77777777" w:rsidR="00E256E8" w:rsidRPr="00435469" w:rsidRDefault="00E256E8" w:rsidP="00955FFB">
            <w:pPr>
              <w:pStyle w:val="NoSpacing"/>
              <w:jc w:val="center"/>
              <w:rPr>
                <w:rFonts w:cs="Times New Roman"/>
                <w:sz w:val="16"/>
                <w:szCs w:val="16"/>
              </w:rPr>
            </w:pPr>
            <w:r w:rsidRPr="00435469">
              <w:rPr>
                <w:rFonts w:cs="Times New Roman"/>
                <w:sz w:val="16"/>
                <w:szCs w:val="16"/>
              </w:rPr>
              <w:t xml:space="preserve">Duration: 6 months (0.5 years), the average IPT treatment completion rate = 1/0.5 years = 2 per year. </w:t>
            </w:r>
          </w:p>
        </w:tc>
        <w:tc>
          <w:tcPr>
            <w:tcW w:w="1276" w:type="dxa"/>
            <w:tcBorders>
              <w:top w:val="single" w:sz="4" w:space="0" w:color="auto"/>
              <w:bottom w:val="single" w:sz="4" w:space="0" w:color="auto"/>
            </w:tcBorders>
          </w:tcPr>
          <w:p w14:paraId="02925DB2" w14:textId="4FD3392F" w:rsidR="00E256E8" w:rsidRPr="00435469" w:rsidRDefault="00E256E8" w:rsidP="00955FFB">
            <w:pPr>
              <w:pStyle w:val="NoSpacing"/>
              <w:rPr>
                <w:rFonts w:cs="Times New Roman"/>
                <w:sz w:val="16"/>
                <w:szCs w:val="16"/>
              </w:rPr>
            </w:pPr>
            <w:r w:rsidRPr="00435469">
              <w:rPr>
                <w:rFonts w:cs="Times New Roman"/>
                <w:sz w:val="16"/>
                <w:szCs w:val="16"/>
              </w:rPr>
              <w:t xml:space="preserve">2010, </w:t>
            </w:r>
            <w:r w:rsidRPr="00435469">
              <w:rPr>
                <w:rFonts w:cs="Times New Roman"/>
                <w:sz w:val="16"/>
                <w:szCs w:val="16"/>
              </w:rPr>
              <w:fldChar w:fldCharType="begin" w:fldLock="1"/>
            </w:r>
            <w:r w:rsidR="00A142FF" w:rsidRPr="00435469">
              <w:rPr>
                <w:rFonts w:cs="Times New Roman"/>
                <w:sz w:val="16"/>
                <w:szCs w:val="16"/>
              </w:rPr>
              <w:instrText>ADDIN CSL_CITATION {"citationItems":[{"id":"ITEM-1","itemData":{"author":[{"dropping-particle":"","family":"National Department of Health","given":"","non-dropping-particle":"","parse-names":false,"suffix":""}],"id":"ITEM-1","issued":{"date-parts":[["2010"]]},"number-of-pages":"1-10","title":"Guidelines for Tuberculosis Preventive Therapy among HIV Infected Individuals in South Africa","type":"report"},"uris":["http://www.mendeley.com/documents/?uuid=acf76a4a-cb61-4a0b-ac37-bfd1bf0033ab"]}],"mendeley":{"formattedCitation":"(105)","plainTextFormattedCitation":"(105)","previouslyFormattedCitation":"(105)"},"properties":{"noteIndex":0},"schema":"https://github.com/citation-style-language/schema/raw/master/csl-citation.json"}</w:instrText>
            </w:r>
            <w:r w:rsidRPr="00435469">
              <w:rPr>
                <w:rFonts w:cs="Times New Roman"/>
                <w:sz w:val="16"/>
                <w:szCs w:val="16"/>
              </w:rPr>
              <w:fldChar w:fldCharType="separate"/>
            </w:r>
            <w:r w:rsidR="0016391D" w:rsidRPr="00435469">
              <w:rPr>
                <w:rFonts w:cs="Times New Roman"/>
                <w:noProof/>
                <w:sz w:val="16"/>
                <w:szCs w:val="16"/>
              </w:rPr>
              <w:t>(105)</w:t>
            </w:r>
            <w:r w:rsidRPr="00435469">
              <w:rPr>
                <w:rFonts w:cs="Times New Roman"/>
                <w:sz w:val="16"/>
                <w:szCs w:val="16"/>
              </w:rPr>
              <w:fldChar w:fldCharType="end"/>
            </w:r>
          </w:p>
        </w:tc>
      </w:tr>
      <w:tr w:rsidR="0020030B" w:rsidRPr="00435469" w14:paraId="09DC420F" w14:textId="77777777" w:rsidTr="00F45149">
        <w:trPr>
          <w:trHeight w:val="1812"/>
        </w:trPr>
        <w:tc>
          <w:tcPr>
            <w:tcW w:w="993" w:type="dxa"/>
            <w:tcBorders>
              <w:top w:val="single" w:sz="4" w:space="0" w:color="auto"/>
            </w:tcBorders>
          </w:tcPr>
          <w:p w14:paraId="451A93F0" w14:textId="77777777" w:rsidR="00E256E8" w:rsidRPr="00435469" w:rsidRDefault="00E256E8" w:rsidP="00955FFB">
            <w:pPr>
              <w:pStyle w:val="NoSpacing"/>
              <w:rPr>
                <w:rFonts w:cs="Times New Roman"/>
                <w:sz w:val="16"/>
                <w:szCs w:val="16"/>
              </w:rPr>
            </w:pPr>
            <w:r w:rsidRPr="00435469">
              <w:rPr>
                <w:rFonts w:cs="Times New Roman"/>
                <w:sz w:val="16"/>
                <w:szCs w:val="16"/>
              </w:rPr>
              <w:t xml:space="preserve">2013 – present </w:t>
            </w:r>
          </w:p>
        </w:tc>
        <w:tc>
          <w:tcPr>
            <w:tcW w:w="4677" w:type="dxa"/>
            <w:tcBorders>
              <w:top w:val="single" w:sz="4" w:space="0" w:color="auto"/>
            </w:tcBorders>
          </w:tcPr>
          <w:p w14:paraId="27AA2B97" w14:textId="77777777" w:rsidR="00E256E8" w:rsidRPr="00435469" w:rsidRDefault="00E256E8" w:rsidP="00955FFB">
            <w:pPr>
              <w:pStyle w:val="NoSpacing"/>
              <w:rPr>
                <w:rFonts w:cs="Times New Roman"/>
                <w:sz w:val="16"/>
                <w:szCs w:val="16"/>
                <w:lang w:val="en-ZA"/>
              </w:rPr>
            </w:pPr>
            <w:r w:rsidRPr="00435469">
              <w:rPr>
                <w:rFonts w:cs="Times New Roman"/>
                <w:sz w:val="16"/>
                <w:szCs w:val="16"/>
                <w:lang w:val="en-ZA"/>
              </w:rPr>
              <w:t>Eligibility: All people living with HIV with negative symptom-based TB screening.</w:t>
            </w:r>
          </w:p>
          <w:p w14:paraId="46570BAF" w14:textId="77777777" w:rsidR="00E256E8" w:rsidRPr="00435469" w:rsidRDefault="00E256E8" w:rsidP="00955FFB">
            <w:pPr>
              <w:pStyle w:val="NoSpacing"/>
              <w:rPr>
                <w:rFonts w:cs="Times New Roman"/>
                <w:sz w:val="16"/>
                <w:szCs w:val="16"/>
                <w:lang w:val="en-ZA"/>
              </w:rPr>
            </w:pPr>
            <w:r w:rsidRPr="00435469">
              <w:rPr>
                <w:rFonts w:cs="Times New Roman"/>
                <w:sz w:val="16"/>
                <w:szCs w:val="16"/>
                <w:lang w:val="en-ZA"/>
              </w:rPr>
              <w:t>TST requirement: Use TST if available</w:t>
            </w:r>
          </w:p>
          <w:p w14:paraId="14680B86" w14:textId="77777777" w:rsidR="00E256E8" w:rsidRPr="00435469" w:rsidRDefault="00E256E8" w:rsidP="00955FFB">
            <w:pPr>
              <w:pStyle w:val="NoSpacing"/>
              <w:rPr>
                <w:rFonts w:cs="Times New Roman"/>
                <w:sz w:val="16"/>
                <w:szCs w:val="16"/>
                <w:lang w:val="en-ZA"/>
              </w:rPr>
            </w:pPr>
            <w:r w:rsidRPr="00435469">
              <w:rPr>
                <w:rFonts w:cs="Times New Roman"/>
                <w:sz w:val="16"/>
                <w:szCs w:val="16"/>
                <w:lang w:val="en-ZA"/>
              </w:rPr>
              <w:t xml:space="preserve">IPT duration </w:t>
            </w:r>
          </w:p>
          <w:p w14:paraId="768ECA13" w14:textId="77777777" w:rsidR="00E256E8" w:rsidRPr="00435469" w:rsidRDefault="00E256E8" w:rsidP="00955FFB">
            <w:pPr>
              <w:pStyle w:val="NoSpacing"/>
              <w:numPr>
                <w:ilvl w:val="0"/>
                <w:numId w:val="12"/>
              </w:numPr>
              <w:rPr>
                <w:rFonts w:cs="Times New Roman"/>
                <w:sz w:val="16"/>
                <w:szCs w:val="16"/>
                <w:lang w:val="en-ZA"/>
              </w:rPr>
            </w:pPr>
            <w:r w:rsidRPr="00435469">
              <w:rPr>
                <w:rFonts w:cs="Times New Roman"/>
                <w:sz w:val="16"/>
                <w:szCs w:val="16"/>
                <w:lang w:val="en-ZA"/>
              </w:rPr>
              <w:t>TST positive: 36 months (if pre-ART (CD4&gt;350) / on ART)</w:t>
            </w:r>
          </w:p>
          <w:p w14:paraId="5EEB3628" w14:textId="77777777" w:rsidR="00E256E8" w:rsidRPr="00435469" w:rsidRDefault="00E256E8" w:rsidP="00955FFB">
            <w:pPr>
              <w:pStyle w:val="NoSpacing"/>
              <w:numPr>
                <w:ilvl w:val="0"/>
                <w:numId w:val="12"/>
              </w:numPr>
              <w:rPr>
                <w:rFonts w:cs="Times New Roman"/>
                <w:sz w:val="16"/>
                <w:szCs w:val="16"/>
                <w:lang w:val="en-ZA"/>
              </w:rPr>
            </w:pPr>
            <w:r w:rsidRPr="00435469">
              <w:rPr>
                <w:rFonts w:cs="Times New Roman"/>
                <w:sz w:val="16"/>
                <w:szCs w:val="16"/>
                <w:lang w:val="en-ZA"/>
              </w:rPr>
              <w:t>TST negative: 6 months (if pre-ART) and 12 months (if on ART)</w:t>
            </w:r>
          </w:p>
          <w:p w14:paraId="00899518" w14:textId="77777777" w:rsidR="00E256E8" w:rsidRPr="00435469" w:rsidRDefault="00E256E8" w:rsidP="00955FFB">
            <w:pPr>
              <w:pStyle w:val="NoSpacing"/>
              <w:numPr>
                <w:ilvl w:val="0"/>
                <w:numId w:val="12"/>
              </w:numPr>
              <w:rPr>
                <w:rFonts w:cs="Times New Roman"/>
                <w:sz w:val="16"/>
                <w:szCs w:val="16"/>
                <w:lang w:val="en-ZA"/>
              </w:rPr>
            </w:pPr>
            <w:r w:rsidRPr="00435469">
              <w:rPr>
                <w:rFonts w:cs="Times New Roman"/>
                <w:sz w:val="16"/>
                <w:szCs w:val="16"/>
                <w:lang w:val="en-ZA"/>
              </w:rPr>
              <w:t>No TST: 6 months (if pre-ART / on ART)</w:t>
            </w:r>
          </w:p>
        </w:tc>
        <w:tc>
          <w:tcPr>
            <w:tcW w:w="3119" w:type="dxa"/>
            <w:tcBorders>
              <w:top w:val="single" w:sz="4" w:space="0" w:color="auto"/>
            </w:tcBorders>
          </w:tcPr>
          <w:p w14:paraId="39297729" w14:textId="6C45F3BA" w:rsidR="00E256E8" w:rsidRPr="00435469" w:rsidRDefault="00E256E8" w:rsidP="00955FFB">
            <w:pPr>
              <w:pStyle w:val="NoSpacing"/>
              <w:jc w:val="center"/>
              <w:rPr>
                <w:rFonts w:cs="Times New Roman"/>
                <w:sz w:val="16"/>
                <w:szCs w:val="16"/>
              </w:rPr>
            </w:pPr>
            <w:r w:rsidRPr="00435469">
              <w:rPr>
                <w:rFonts w:cs="Times New Roman"/>
                <w:sz w:val="16"/>
                <w:szCs w:val="16"/>
              </w:rPr>
              <w:t>Duration: 36 months (3 years), the average IPT treatment completion rate = 1/3 years = 0.33 per year.</w:t>
            </w:r>
          </w:p>
        </w:tc>
        <w:tc>
          <w:tcPr>
            <w:tcW w:w="1276" w:type="dxa"/>
            <w:tcBorders>
              <w:top w:val="single" w:sz="4" w:space="0" w:color="auto"/>
            </w:tcBorders>
          </w:tcPr>
          <w:p w14:paraId="06CD37A4" w14:textId="4F79153E" w:rsidR="00E256E8" w:rsidRPr="00435469" w:rsidRDefault="00E256E8" w:rsidP="00955FFB">
            <w:pPr>
              <w:pStyle w:val="NoSpacing"/>
              <w:rPr>
                <w:rFonts w:cs="Times New Roman"/>
                <w:sz w:val="16"/>
                <w:szCs w:val="16"/>
              </w:rPr>
            </w:pPr>
            <w:r w:rsidRPr="00435469">
              <w:rPr>
                <w:rFonts w:cs="Times New Roman"/>
                <w:sz w:val="16"/>
                <w:szCs w:val="16"/>
              </w:rPr>
              <w:t xml:space="preserve">2013, </w:t>
            </w:r>
            <w:r w:rsidRPr="00435469">
              <w:rPr>
                <w:rFonts w:cs="Times New Roman"/>
                <w:sz w:val="16"/>
                <w:szCs w:val="16"/>
              </w:rPr>
              <w:fldChar w:fldCharType="begin" w:fldLock="1"/>
            </w:r>
            <w:r w:rsidR="00A142FF" w:rsidRPr="00435469">
              <w:rPr>
                <w:rFonts w:cs="Times New Roman"/>
                <w:sz w:val="16"/>
                <w:szCs w:val="16"/>
              </w:rPr>
              <w:instrText>ADDIN CSL_CITATION {"citationItems":[{"id":"ITEM-1","itemData":{"author":[{"dropping-particle":"","family":"Department of Health","given":"","non-dropping-particle":"","parse-names":false,"suffix":""}],"id":"ITEM-1","issued":{"date-parts":[["2013"]]},"title":"The South African Antiretroviral Treatment Guidelines 2013","type":"article-journal"},"uris":["http://www.mendeley.com/documents/?uuid=383e2563-dcf3-4117-af6a-389f49ffdf4a"]}],"mendeley":{"formattedCitation":"(106)","plainTextFormattedCitation":"(106)","previouslyFormattedCitation":"(106)"},"properties":{"noteIndex":0},"schema":"https://github.com/citation-style-language/schema/raw/master/csl-citation.json"}</w:instrText>
            </w:r>
            <w:r w:rsidRPr="00435469">
              <w:rPr>
                <w:rFonts w:cs="Times New Roman"/>
                <w:sz w:val="16"/>
                <w:szCs w:val="16"/>
              </w:rPr>
              <w:fldChar w:fldCharType="separate"/>
            </w:r>
            <w:r w:rsidR="0016391D" w:rsidRPr="00435469">
              <w:rPr>
                <w:rFonts w:cs="Times New Roman"/>
                <w:noProof/>
                <w:sz w:val="16"/>
                <w:szCs w:val="16"/>
              </w:rPr>
              <w:t>(106)</w:t>
            </w:r>
            <w:r w:rsidRPr="00435469">
              <w:rPr>
                <w:rFonts w:cs="Times New Roman"/>
                <w:sz w:val="16"/>
                <w:szCs w:val="16"/>
              </w:rPr>
              <w:fldChar w:fldCharType="end"/>
            </w:r>
          </w:p>
        </w:tc>
      </w:tr>
    </w:tbl>
    <w:p w14:paraId="1E2B7919" w14:textId="77777777" w:rsidR="00F45149" w:rsidRPr="00435469" w:rsidRDefault="00F45149" w:rsidP="00FC0A7B">
      <w:pPr>
        <w:pStyle w:val="1Para"/>
      </w:pPr>
      <w:bookmarkStart w:id="261" w:name="_Toc80352152"/>
      <w:bookmarkStart w:id="262" w:name="_Toc87863346"/>
      <w:bookmarkStart w:id="263" w:name="_Toc88488577"/>
      <w:bookmarkStart w:id="264" w:name="_Toc89683407"/>
      <w:bookmarkEnd w:id="258"/>
    </w:p>
    <w:p w14:paraId="3EFABFDE" w14:textId="0A41ECF0" w:rsidR="00E256E8" w:rsidRPr="00435469" w:rsidRDefault="00E256E8" w:rsidP="00955FFB">
      <w:pPr>
        <w:pStyle w:val="Heading3"/>
        <w:rPr>
          <w:rFonts w:cs="Times New Roman"/>
          <w:color w:val="auto"/>
          <w:sz w:val="20"/>
          <w:szCs w:val="20"/>
        </w:rPr>
      </w:pPr>
      <w:bookmarkStart w:id="265" w:name="_Toc103252945"/>
      <w:r w:rsidRPr="00435469">
        <w:rPr>
          <w:rFonts w:cs="Times New Roman"/>
          <w:color w:val="auto"/>
          <w:sz w:val="20"/>
          <w:szCs w:val="20"/>
        </w:rPr>
        <w:lastRenderedPageBreak/>
        <w:t>Isoniazid preventative therapy</w:t>
      </w:r>
      <w:r w:rsidRPr="00435469">
        <w:rPr>
          <w:rFonts w:cs="Times New Roman"/>
          <w:bCs/>
          <w:color w:val="auto"/>
          <w:sz w:val="20"/>
          <w:szCs w:val="20"/>
        </w:rPr>
        <w:t xml:space="preserve"> initiation by LTBI/TST status</w:t>
      </w:r>
      <w:bookmarkEnd w:id="261"/>
      <w:bookmarkEnd w:id="262"/>
      <w:bookmarkEnd w:id="263"/>
      <w:bookmarkEnd w:id="264"/>
      <w:bookmarkEnd w:id="265"/>
    </w:p>
    <w:p w14:paraId="349F75E0" w14:textId="4D3EA8D9" w:rsidR="00E256E8" w:rsidRPr="00435469" w:rsidRDefault="00E256E8" w:rsidP="00955FFB">
      <w:pPr>
        <w:pStyle w:val="NoSpacing"/>
        <w:rPr>
          <w:rFonts w:cs="Times New Roman"/>
          <w:sz w:val="20"/>
          <w:szCs w:val="20"/>
        </w:rPr>
      </w:pPr>
      <w:r w:rsidRPr="00435469">
        <w:rPr>
          <w:rFonts w:cs="Times New Roman"/>
          <w:sz w:val="20"/>
          <w:szCs w:val="20"/>
        </w:rPr>
        <w:t xml:space="preserve">There are limited studies that show the rates of initiation of IPT by TST status among those eligible. </w:t>
      </w:r>
      <w:r w:rsidRPr="00435469">
        <w:rPr>
          <w:rFonts w:cs="Times New Roman"/>
          <w:sz w:val="20"/>
          <w:szCs w:val="20"/>
          <w:lang w:val="en-ZA"/>
        </w:rPr>
        <w:t xml:space="preserve">Van </w:t>
      </w:r>
      <w:proofErr w:type="spellStart"/>
      <w:r w:rsidRPr="00435469">
        <w:rPr>
          <w:rFonts w:cs="Times New Roman"/>
          <w:sz w:val="20"/>
          <w:szCs w:val="20"/>
          <w:lang w:val="en-ZA"/>
        </w:rPr>
        <w:t>Ginderdeuren</w:t>
      </w:r>
      <w:proofErr w:type="spellEnd"/>
      <w:r w:rsidRPr="00435469">
        <w:rPr>
          <w:rFonts w:cs="Times New Roman"/>
          <w:sz w:val="20"/>
          <w:szCs w:val="20"/>
          <w:lang w:val="en-ZA"/>
        </w:rPr>
        <w:t xml:space="preserve"> </w:t>
      </w:r>
      <w:r w:rsidRPr="00435469">
        <w:rPr>
          <w:rFonts w:cs="Times New Roman"/>
          <w:i/>
          <w:iCs/>
          <w:sz w:val="20"/>
          <w:szCs w:val="20"/>
          <w:lang w:val="en-ZA"/>
        </w:rPr>
        <w:t>et al</w:t>
      </w:r>
      <w:r w:rsidRPr="00435469">
        <w:rPr>
          <w:rFonts w:cs="Times New Roman"/>
          <w:sz w:val="20"/>
          <w:szCs w:val="20"/>
        </w:rPr>
        <w:t xml:space="preserve">. reported low rate of TST testing ranging between 0 – 5% at various health facilities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{"citationItems":[{"id":"ITEM-1","itemData":{"DOI":"10.1371/journal.pone.0212035","ISBN":"1111111111","ISSN":"19326203","abstract":"Background Isoniazid preventive therapy (IPT) is a key component of TB/HIV control, but few countries achieve high IPT coverage. Methods Using a behavioural COM-B design approach, the intervention consisted of a training on IPT guidelines and tuberculin skin testing (TST), identification of the optimal IPT implementation strategy by the health care workers (HCWs) of 3 primary care clinics, and a 2-month mentoring period. Using routine register data, TST and IPT uptake was determined 3 months before and 5 months after the intervention. Records were reviewed to identify factors associated with IPT initiation and HCW fidelity to the guidelines. A survey among HCWs was conducted to determine barriers to IPT. Results Two clinics implemented TST-guided IPT for all clients receiving HIV care, one clinic decided against use of TST. According to routine register data, the proportion of clients initiating IPT increased substantially at the clinic not opting for TST (6% vs 36%), but minimally (34% vs 37% and 0.7% vs 3%) in the two other clinics. TST uptake did not increase (0 vs 0% and 0.5%). In addition to poor IPT uptake, HCW fidelity to investigation for TB and timing of IPT initiation was poor, with only 68% of symptomatic patients investigated and IPT initiation delayed to a median of 374 days post-ART initiation. In multivariate analysis, pregnancy (aOR 18.62, 95% CI 6.99–53.46), recent HIV diagnosis (aOR 3.65, 95% CI 1.73–7.41), being on ART (aOR 9.44, 95% CI 3.05–36.17), and CD4 &lt;500 cells/mm 3 (aOR 2.19, 95% CI 1.22–4.18) were associated with IPT initiation. Time needed to perform a TST, motivating patients to return for TST reading, and low IPT patient awareness were the main barriers to IPT implementation. Conclusion Despite using a behavioural intervention framework including training and participatory development of the clinic IPT strategy, HCW fidelity to the guidelines was poor, resulting in low TST coverage and low IPT uptake under primary care conditions. To achieve the benefits of IPT, health system level approaches including TST-free guidelines and sensitization are needed.","author":[{"dropping-particle":"","family":"Ginderdeuren","given":"Eva","non-dropping-particle":"Van","parse-names":false,"suffix":""},{"dropping-particle":"","family":"Bassett","given":"Jean","non-dropping-particle":"","parse-names":false,"suffix":""},{"dropping-particle":"","family":"Hanrahan","given":"Colleen","non-dropping-particle":"","parse-names":false,"suffix":""},{"dropping-particle":"","family":"Mutunga","given":"Lillian","non-dropping-particle":"","parse-names":false,"suffix":""},{"dropping-particle":"","family":"Rie","given":"Annelies","non-dropping-particle":"Van","parse-names":false,"suffix":""}],"container-title":"PLoS ONE","id":"ITEM-1","issue":"2","issued":{"date-parts":[["2019"]]},"page":"1-12","title":"Health system barriers to implementation of TB preventive strategies in South African primary care facilities","type":"article-journal","volume":"14"},"uris":["http://www.mendeley.com/documents/?uuid=2ff2a5d7-a048-4e83-b0c9-00295ac93828"]}],"mendeley":{"formattedCitation":"(107)","plainTextFormattedCitation":"(107)","previouslyFormattedCitation":"(107)"},"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(107)</w:t>
      </w:r>
      <w:r w:rsidRPr="00435469">
        <w:rPr>
          <w:rFonts w:cs="Times New Roman"/>
          <w:sz w:val="20"/>
          <w:szCs w:val="20"/>
        </w:rPr>
        <w:fldChar w:fldCharType="end"/>
      </w:r>
      <w:r w:rsidRPr="00435469">
        <w:rPr>
          <w:rFonts w:cs="Times New Roman"/>
          <w:sz w:val="20"/>
          <w:szCs w:val="20"/>
        </w:rPr>
        <w:t xml:space="preserve">. The relative rate of IPT initiation in uninfected individuals is highly uncertain. As a start, we set </w:t>
      </w:r>
      <m:oMath>
        <m:r>
          <w:rPr>
            <w:rFonts w:ascii="Cambria Math" w:hAnsi="Cambria Math" w:cs="Times New Roman"/>
            <w:sz w:val="20"/>
            <w:szCs w:val="20"/>
          </w:rPr>
          <m:t>R</m:t>
        </m:r>
        <m:d>
          <m:dPr>
            <m:ctrlPr>
              <w:rPr>
                <w:rFonts w:ascii="Cambria Math" w:hAnsi="Cambria Math" w:cs="Times New Roman"/>
                <w:i/>
                <w:iCs/>
                <w:sz w:val="20"/>
                <w:szCs w:val="20"/>
              </w:rPr>
            </m:ctrlPr>
          </m:dPr>
          <m:e>
            <m:r>
              <w:rPr>
                <w:rFonts w:ascii="Cambria Math" w:hAnsi="Cambria Math" w:cs="Times New Roman"/>
                <w:sz w:val="20"/>
                <w:szCs w:val="20"/>
              </w:rPr>
              <m:t>0</m:t>
            </m:r>
          </m:e>
        </m:d>
        <m:r>
          <w:rPr>
            <w:rFonts w:ascii="Cambria Math" w:hAnsi="Cambria Math" w:cs="Times New Roman"/>
            <w:sz w:val="20"/>
            <w:szCs w:val="20"/>
          </w:rPr>
          <m:t>=0.5</m:t>
        </m:r>
      </m:oMath>
      <w:r w:rsidRPr="00435469">
        <w:rPr>
          <w:rFonts w:cs="Times New Roman"/>
          <w:sz w:val="20"/>
          <w:szCs w:val="20"/>
        </w:rPr>
        <w:t xml:space="preserve">. We set this assumption as a compromise between the highly optimistic assumption of </w:t>
      </w:r>
      <m:oMath>
        <m:r>
          <w:rPr>
            <w:rFonts w:ascii="Cambria Math" w:hAnsi="Cambria Math" w:cs="Times New Roman"/>
            <w:sz w:val="20"/>
            <w:szCs w:val="20"/>
          </w:rPr>
          <m:t>R</m:t>
        </m:r>
        <m:d>
          <m:dPr>
            <m:ctrlPr>
              <w:rPr>
                <w:rFonts w:ascii="Cambria Math" w:hAnsi="Cambria Math" w:cs="Times New Roman"/>
                <w:i/>
                <w:iCs/>
                <w:sz w:val="20"/>
                <w:szCs w:val="20"/>
              </w:rPr>
            </m:ctrlPr>
          </m:dPr>
          <m:e>
            <m:r>
              <w:rPr>
                <w:rFonts w:ascii="Cambria Math" w:hAnsi="Cambria Math" w:cs="Times New Roman"/>
                <w:sz w:val="20"/>
                <w:szCs w:val="20"/>
              </w:rPr>
              <m:t>0</m:t>
            </m:r>
          </m:e>
        </m:d>
        <m:r>
          <w:rPr>
            <w:rFonts w:ascii="Cambria Math" w:hAnsi="Cambria Math" w:cs="Times New Roman"/>
            <w:sz w:val="20"/>
            <w:szCs w:val="20"/>
          </w:rPr>
          <m:t xml:space="preserve">= </m:t>
        </m:r>
      </m:oMath>
      <w:r w:rsidRPr="00435469">
        <w:rPr>
          <w:rFonts w:cs="Times New Roman"/>
          <w:sz w:val="20"/>
          <w:szCs w:val="20"/>
        </w:rPr>
        <w:t xml:space="preserve">0 (perfect screening, which accurately distinguishes between LTBI and no LTBI) and the highly pessimistic assumption of </w:t>
      </w:r>
      <m:oMath>
        <m:r>
          <w:rPr>
            <w:rFonts w:ascii="Cambria Math" w:hAnsi="Cambria Math" w:cs="Times New Roman"/>
            <w:sz w:val="20"/>
            <w:szCs w:val="20"/>
          </w:rPr>
          <m:t>R</m:t>
        </m:r>
        <m:d>
          <m:dPr>
            <m:ctrlPr>
              <w:rPr>
                <w:rFonts w:ascii="Cambria Math" w:hAnsi="Cambria Math" w:cs="Times New Roman"/>
                <w:i/>
                <w:iCs/>
                <w:sz w:val="20"/>
                <w:szCs w:val="20"/>
              </w:rPr>
            </m:ctrlPr>
          </m:dPr>
          <m:e>
            <m:r>
              <w:rPr>
                <w:rFonts w:ascii="Cambria Math" w:hAnsi="Cambria Math" w:cs="Times New Roman"/>
                <w:sz w:val="20"/>
                <w:szCs w:val="20"/>
              </w:rPr>
              <m:t>0</m:t>
            </m:r>
          </m:e>
        </m:d>
        <m:r>
          <w:rPr>
            <w:rFonts w:ascii="Cambria Math" w:hAnsi="Cambria Math" w:cs="Times New Roman"/>
            <w:sz w:val="20"/>
            <w:szCs w:val="20"/>
          </w:rPr>
          <m:t xml:space="preserve">= </m:t>
        </m:r>
      </m:oMath>
      <w:r w:rsidRPr="00435469">
        <w:rPr>
          <w:rFonts w:cs="Times New Roman"/>
          <w:sz w:val="20"/>
          <w:szCs w:val="20"/>
        </w:rPr>
        <w:t>1 (no screening or TST produces high rates of false positivity</w:t>
      </w:r>
      <w:r w:rsidR="0003024A" w:rsidRPr="00435469">
        <w:rPr>
          <w:rFonts w:cs="Times New Roman"/>
          <w:sz w:val="20"/>
          <w:szCs w:val="20"/>
        </w:rPr>
        <w:t xml:space="preserve"> due to BCG exposure</w:t>
      </w:r>
      <w:r w:rsidRPr="00435469">
        <w:rPr>
          <w:rFonts w:cs="Times New Roman"/>
          <w:sz w:val="20"/>
          <w:szCs w:val="20"/>
        </w:rPr>
        <w:t>). For simplicity, we assume rates of IPT initiation are the same in individuals who have never been treated for TB and those who have previously been treated (i.e</w:t>
      </w:r>
      <w:r w:rsidRPr="00435469">
        <w:rPr>
          <w:rFonts w:cs="Times New Roman"/>
          <w:i/>
          <w:iCs/>
          <w:sz w:val="20"/>
          <w:szCs w:val="20"/>
        </w:rPr>
        <w:t xml:space="preserve">., </w:t>
      </w:r>
      <m:oMath>
        <m:r>
          <w:rPr>
            <w:rFonts w:ascii="Cambria Math" w:hAnsi="Cambria Math" w:cs="Times New Roman"/>
            <w:sz w:val="20"/>
            <w:szCs w:val="20"/>
          </w:rPr>
          <m:t>R</m:t>
        </m:r>
        <m:d>
          <m:dPr>
            <m:ctrlPr>
              <w:rPr>
                <w:rFonts w:ascii="Cambria Math" w:hAnsi="Cambria Math" w:cs="Times New Roman"/>
                <w:i/>
                <w:iCs/>
                <w:sz w:val="20"/>
                <w:szCs w:val="20"/>
              </w:rPr>
            </m:ctrlPr>
          </m:dPr>
          <m:e>
            <m:r>
              <w:rPr>
                <w:rFonts w:ascii="Cambria Math" w:hAnsi="Cambria Math" w:cs="Times New Roman"/>
                <w:sz w:val="20"/>
                <w:szCs w:val="20"/>
              </w:rPr>
              <m:t>1</m:t>
            </m:r>
          </m:e>
        </m:d>
        <m:r>
          <w:rPr>
            <w:rFonts w:ascii="Cambria Math" w:hAnsi="Cambria Math" w:cs="Times New Roman"/>
            <w:sz w:val="20"/>
            <w:szCs w:val="20"/>
          </w:rPr>
          <m:t xml:space="preserve"> </m:t>
        </m:r>
      </m:oMath>
      <w:r w:rsidRPr="00435469">
        <w:rPr>
          <w:rFonts w:cs="Times New Roman"/>
          <w:i/>
          <w:iCs/>
          <w:sz w:val="20"/>
          <w:szCs w:val="20"/>
        </w:rPr>
        <w:t xml:space="preserve">= </w:t>
      </w:r>
      <m:oMath>
        <m:r>
          <w:rPr>
            <w:rFonts w:ascii="Cambria Math" w:hAnsi="Cambria Math" w:cs="Times New Roman"/>
            <w:sz w:val="20"/>
            <w:szCs w:val="20"/>
          </w:rPr>
          <m:t>R</m:t>
        </m:r>
        <m:d>
          <m:dPr>
            <m:ctrlPr>
              <w:rPr>
                <w:rFonts w:ascii="Cambria Math" w:hAnsi="Cambria Math" w:cs="Times New Roman"/>
                <w:i/>
                <w:iCs/>
                <w:sz w:val="20"/>
                <w:szCs w:val="20"/>
              </w:rPr>
            </m:ctrlPr>
          </m:dPr>
          <m:e>
            <m:r>
              <w:rPr>
                <w:rFonts w:ascii="Cambria Math" w:hAnsi="Cambria Math" w:cs="Times New Roman"/>
                <w:sz w:val="20"/>
                <w:szCs w:val="20"/>
              </w:rPr>
              <m:t>2</m:t>
            </m:r>
          </m:e>
        </m:d>
        <m:r>
          <w:rPr>
            <w:rFonts w:ascii="Cambria Math" w:hAnsi="Cambria Math" w:cs="Times New Roman"/>
            <w:sz w:val="20"/>
            <w:szCs w:val="20"/>
          </w:rPr>
          <m:t xml:space="preserve">=1). </m:t>
        </m:r>
      </m:oMath>
      <w:r w:rsidRPr="00435469">
        <w:rPr>
          <w:rFonts w:cs="Times New Roman"/>
          <w:sz w:val="20"/>
          <w:szCs w:val="20"/>
        </w:rPr>
        <w:t xml:space="preserve">We also assume that there is no IPT initiation in individuals on TB treatment and individuals with active TB. </w:t>
      </w:r>
    </w:p>
    <w:p w14:paraId="6479DE20" w14:textId="77777777" w:rsidR="00E256E8" w:rsidRPr="00435469" w:rsidRDefault="00E256E8" w:rsidP="00955FFB">
      <w:pPr>
        <w:pStyle w:val="Heading3"/>
        <w:rPr>
          <w:rFonts w:cs="Times New Roman"/>
          <w:color w:val="auto"/>
          <w:sz w:val="20"/>
          <w:szCs w:val="20"/>
        </w:rPr>
      </w:pPr>
      <w:bookmarkStart w:id="266" w:name="_Toc80352153"/>
      <w:bookmarkStart w:id="267" w:name="_Toc87863347"/>
      <w:bookmarkStart w:id="268" w:name="_Toc88488578"/>
      <w:bookmarkStart w:id="269" w:name="_Toc89683408"/>
      <w:bookmarkStart w:id="270" w:name="_Toc103252946"/>
      <w:r w:rsidRPr="00435469">
        <w:rPr>
          <w:rFonts w:cs="Times New Roman"/>
          <w:color w:val="auto"/>
          <w:sz w:val="20"/>
          <w:szCs w:val="20"/>
        </w:rPr>
        <w:t>Isoniazid preventative therapy initiation by CD4 count</w:t>
      </w:r>
      <w:bookmarkEnd w:id="266"/>
      <w:bookmarkEnd w:id="267"/>
      <w:bookmarkEnd w:id="268"/>
      <w:bookmarkEnd w:id="269"/>
      <w:bookmarkEnd w:id="270"/>
    </w:p>
    <w:p w14:paraId="324B63F7" w14:textId="556900C4" w:rsidR="00E256E8" w:rsidRPr="00435469" w:rsidRDefault="00E256E8" w:rsidP="00955FFB">
      <w:pPr>
        <w:pStyle w:val="NoSpacing"/>
        <w:rPr>
          <w:rFonts w:cs="Times New Roman"/>
          <w:sz w:val="20"/>
          <w:szCs w:val="20"/>
        </w:rPr>
      </w:pPr>
      <w:r w:rsidRPr="00435469">
        <w:rPr>
          <w:rFonts w:cs="Times New Roman"/>
          <w:sz w:val="20"/>
          <w:szCs w:val="20"/>
        </w:rPr>
        <w:t xml:space="preserve">The second parameter we define is </w:t>
      </w:r>
      <m:oMath>
        <m:r>
          <w:rPr>
            <w:rFonts w:ascii="Cambria Math" w:hAnsi="Cambria Math" w:cs="Times New Roman"/>
            <w:sz w:val="20"/>
            <w:szCs w:val="20"/>
          </w:rPr>
          <m:t xml:space="preserve">H(s), </m:t>
        </m:r>
      </m:oMath>
      <w:r w:rsidRPr="00435469">
        <w:rPr>
          <w:rFonts w:cs="Times New Roman"/>
          <w:sz w:val="20"/>
          <w:szCs w:val="20"/>
        </w:rPr>
        <w:t xml:space="preserve">the relative rate of IPT initiation in CD4 category </w:t>
      </w:r>
      <w:r w:rsidRPr="00435469">
        <w:rPr>
          <w:rFonts w:cs="Times New Roman"/>
          <w:i/>
          <w:iCs/>
          <w:sz w:val="20"/>
          <w:szCs w:val="20"/>
        </w:rPr>
        <w:t>s</w:t>
      </w:r>
      <w:r w:rsidRPr="00435469">
        <w:rPr>
          <w:rFonts w:cs="Times New Roman"/>
          <w:sz w:val="20"/>
          <w:szCs w:val="20"/>
        </w:rPr>
        <w:t>, relative to that at CD4 counts &lt;200 cells/</w:t>
      </w:r>
      <w:proofErr w:type="spellStart"/>
      <w:r w:rsidRPr="00435469">
        <w:rPr>
          <w:rFonts w:cs="Times New Roman"/>
          <w:sz w:val="20"/>
          <w:szCs w:val="20"/>
        </w:rPr>
        <w:t>μl</w:t>
      </w:r>
      <w:proofErr w:type="spellEnd"/>
      <w:r w:rsidRPr="00435469">
        <w:rPr>
          <w:rFonts w:cs="Times New Roman"/>
          <w:sz w:val="20"/>
          <w:szCs w:val="20"/>
        </w:rPr>
        <w:t>. A study conducted in Gauteng found that rates of IPT initiation at CD4 counts ≥500 cells/</w:t>
      </w:r>
      <w:proofErr w:type="spellStart"/>
      <w:r w:rsidRPr="00435469">
        <w:rPr>
          <w:rFonts w:cs="Times New Roman"/>
          <w:sz w:val="20"/>
          <w:szCs w:val="20"/>
        </w:rPr>
        <w:t>μl</w:t>
      </w:r>
      <w:proofErr w:type="spellEnd"/>
      <w:r w:rsidRPr="00435469">
        <w:rPr>
          <w:rFonts w:cs="Times New Roman"/>
          <w:sz w:val="20"/>
          <w:szCs w:val="20"/>
        </w:rPr>
        <w:t xml:space="preserve"> were significantly lower than those at CD4 counts &lt;500 cells (adjusted OR 0.46, 95% CI: 0.24-0.82)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{"citationItems":[{"id":"ITEM-1","itemData":{"DOI":"10.1371/journal.pone.0212035","ISBN":"1111111111","ISSN":"19326203","abstract":"Background Isoniazid preventive therapy (IPT) is a key component of TB/HIV control, but few countries achieve high IPT coverage. Methods Using a behavioural COM-B design approach, the intervention consisted of a training on IPT guidelines and tuberculin skin testing (TST), identification of the optimal IPT implementation strategy by the health care workers (HCWs) of 3 primary care clinics, and a 2-month mentoring period. Using routine register data, TST and IPT uptake was determined 3 months before and 5 months after the intervention. Records were reviewed to identify factors associated with IPT initiation and HCW fidelity to the guidelines. A survey among HCWs was conducted to determine barriers to IPT. Results Two clinics implemented TST-guided IPT for all clients receiving HIV care, one clinic decided against use of TST. According to routine register data, the proportion of clients initiating IPT increased substantially at the clinic not opting for TST (6% vs 36%), but minimally (34% vs 37% and 0.7% vs 3%) in the two other clinics. TST uptake did not increase (0 vs 0% and 0.5%). In addition to poor IPT uptake, HCW fidelity to investigation for TB and timing of IPT initiation was poor, with only 68% of symptomatic patients investigated and IPT initiation delayed to a median of 374 days post-ART initiation. In multivariate analysis, pregnancy (aOR 18.62, 95% CI 6.99–53.46), recent HIV diagnosis (aOR 3.65, 95% CI 1.73–7.41), being on ART (aOR 9.44, 95% CI 3.05–36.17), and CD4 &lt;500 cells/mm 3 (aOR 2.19, 95% CI 1.22–4.18) were associated with IPT initiation. Time needed to perform a TST, motivating patients to return for TST reading, and low IPT patient awareness were the main barriers to IPT implementation. Conclusion Despite using a behavioural intervention framework including training and participatory development of the clinic IPT strategy, HCW fidelity to the guidelines was poor, resulting in low TST coverage and low IPT uptake under primary care conditions. To achieve the benefits of IPT, health system level approaches including TST-free guidelines and sensitization are needed.","author":[{"dropping-particle":"","family":"Ginderdeuren","given":"Eva","non-dropping-particle":"Van","parse-names":false,"suffix":""},{"dropping-particle":"","family":"Bassett","given":"Jean","non-dropping-particle":"","parse-names":false,"suffix":""},{"dropping-particle":"","family":"Hanrahan","given":"Colleen","non-dropping-particle":"","parse-names":false,"suffix":""},{"dropping-particle":"","family":"Mutunga","given":"Lillian","non-dropping-particle":"","parse-names":false,"suffix":""},{"dropping-particle":"","family":"Rie","given":"Annelies","non-dropping-particle":"Van","parse-names":false,"suffix":""}],"container-title":"PLoS ONE","id":"ITEM-1","issue":"2","issued":{"date-parts":[["2019"]]},"page":"1-12","title":"Health system barriers to implementation of TB preventive strategies in South African primary care facilities","type":"article-journal","volume":"14"},"uris":["http://www.mendeley.com/documents/?uuid=2ff2a5d7-a048-4e83-b0c9-00295ac93828"]}],"mendeley":{"formattedCitation":"(107)","plainTextFormattedCitation":"(107)","previouslyFormattedCitation":"(107)"},"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(107)</w:t>
      </w:r>
      <w:r w:rsidRPr="00435469">
        <w:rPr>
          <w:rFonts w:cs="Times New Roman"/>
          <w:sz w:val="20"/>
          <w:szCs w:val="20"/>
        </w:rPr>
        <w:fldChar w:fldCharType="end"/>
      </w:r>
      <w:r w:rsidRPr="00435469">
        <w:rPr>
          <w:rFonts w:cs="Times New Roman"/>
          <w:sz w:val="20"/>
          <w:szCs w:val="20"/>
        </w:rPr>
        <w:t xml:space="preserve">. Therefore, to be consistent with this study and the </w:t>
      </w:r>
      <w:proofErr w:type="spellStart"/>
      <w:r w:rsidRPr="00435469">
        <w:rPr>
          <w:rFonts w:cs="Times New Roman"/>
          <w:sz w:val="20"/>
          <w:szCs w:val="20"/>
        </w:rPr>
        <w:t>Thembisa</w:t>
      </w:r>
      <w:proofErr w:type="spellEnd"/>
      <w:r w:rsidRPr="00435469">
        <w:rPr>
          <w:rFonts w:cs="Times New Roman"/>
          <w:sz w:val="20"/>
          <w:szCs w:val="20"/>
        </w:rPr>
        <w:t xml:space="preserve"> HIV model assumptions on relative rates of ART initiation in different CD4 categories </w:t>
      </w:r>
      <w:r w:rsidRPr="00435469">
        <w:rPr>
          <w:rFonts w:cs="Times New Roman"/>
          <w:sz w:val="20"/>
          <w:szCs w:val="20"/>
        </w:rPr>
        <w:fldChar w:fldCharType="begin" w:fldLock="1"/>
      </w:r>
      <w:r w:rsidRPr="00435469">
        <w:rPr>
          <w:rFonts w:cs="Times New Roman"/>
          <w:sz w:val="20"/>
          <w:szCs w:val="20"/>
        </w:rPr>
        <w:instrText>ADDIN CSL_CITATION {"citationItems":[{"id":"ITEM-1","itemData":{"author":[{"dropping-particle":"","family":"Johnson","given":"L","non-dropping-particle":"","parse-names":false,"suffix":""},{"dropping-particle":"","family":"Dorrington","given":"R","non-dropping-particle":"","parse-names":false,"suffix":""}],"id":"ITEM-1","issued":{"date-parts":[["2018"]]},"number-of-pages":"1-164","title":"Thembisa version 4.1: A model for evaluating the impact of HIV/AIDS in South Africa","type":"report"},"uris":["http://www.mendeley.com/documents/?uuid=fdc110ae-19dd-44a8-aef9-35f206152ed7"]}],"mendeley":{"formattedCitation":"(4)","plainTextFormattedCitation":"(4)","previouslyFormattedCitation":"(4)"},"properties":{"noteIndex":0},"schema":"https://github.com/citation-style-language/schema/raw/master/csl-citation.json"}</w:instrText>
      </w:r>
      <w:r w:rsidRPr="00435469">
        <w:rPr>
          <w:rFonts w:cs="Times New Roman"/>
          <w:sz w:val="20"/>
          <w:szCs w:val="20"/>
        </w:rPr>
        <w:fldChar w:fldCharType="separate"/>
      </w:r>
      <w:r w:rsidRPr="00435469">
        <w:rPr>
          <w:rFonts w:cs="Times New Roman"/>
          <w:noProof/>
          <w:sz w:val="20"/>
          <w:szCs w:val="20"/>
        </w:rPr>
        <w:t>(4)</w:t>
      </w:r>
      <w:r w:rsidRPr="00435469">
        <w:rPr>
          <w:rFonts w:cs="Times New Roman"/>
          <w:sz w:val="20"/>
          <w:szCs w:val="20"/>
        </w:rPr>
        <w:fldChar w:fldCharType="end"/>
      </w:r>
      <w:r w:rsidRPr="00435469">
        <w:rPr>
          <w:rFonts w:cs="Times New Roman"/>
          <w:sz w:val="20"/>
          <w:szCs w:val="20"/>
        </w:rPr>
        <w:t>, we set the relative rates of IPT initiation to be 0.4 at CD4 counts ≥500, 0.5 at CD4 counts 350-499 and 0.7 at CD4 counts 200-349 (in all cases, relative to CD4 &lt;200 cells/</w:t>
      </w:r>
      <w:proofErr w:type="spellStart"/>
      <w:r w:rsidRPr="00435469">
        <w:rPr>
          <w:rFonts w:cs="Times New Roman"/>
          <w:sz w:val="20"/>
          <w:szCs w:val="20"/>
        </w:rPr>
        <w:t>μl</w:t>
      </w:r>
      <w:proofErr w:type="spellEnd"/>
      <w:r w:rsidRPr="00435469">
        <w:rPr>
          <w:rFonts w:cs="Times New Roman"/>
          <w:sz w:val="20"/>
          <w:szCs w:val="20"/>
        </w:rPr>
        <w:t xml:space="preserve">). </w:t>
      </w:r>
    </w:p>
    <w:p w14:paraId="1146DB9E" w14:textId="77777777" w:rsidR="00E256E8" w:rsidRPr="00435469" w:rsidRDefault="00E256E8" w:rsidP="00955FFB">
      <w:pPr>
        <w:pStyle w:val="Heading3"/>
        <w:rPr>
          <w:rFonts w:cs="Times New Roman"/>
          <w:color w:val="auto"/>
          <w:sz w:val="20"/>
          <w:szCs w:val="20"/>
        </w:rPr>
      </w:pPr>
      <w:bookmarkStart w:id="271" w:name="_Toc80352154"/>
      <w:bookmarkStart w:id="272" w:name="_Toc87863348"/>
      <w:bookmarkStart w:id="273" w:name="_Toc88488579"/>
      <w:bookmarkStart w:id="274" w:name="_Toc89683409"/>
      <w:bookmarkStart w:id="275" w:name="_Toc103252947"/>
      <w:r w:rsidRPr="00435469">
        <w:rPr>
          <w:rFonts w:cs="Times New Roman"/>
          <w:color w:val="auto"/>
          <w:sz w:val="20"/>
          <w:szCs w:val="20"/>
        </w:rPr>
        <w:t>Isoniazid preventative therapy initiation by ART status</w:t>
      </w:r>
      <w:bookmarkEnd w:id="271"/>
      <w:bookmarkEnd w:id="272"/>
      <w:bookmarkEnd w:id="273"/>
      <w:bookmarkEnd w:id="274"/>
      <w:bookmarkEnd w:id="275"/>
    </w:p>
    <w:p w14:paraId="6663EA8D" w14:textId="227DC96E" w:rsidR="00E256E8" w:rsidRPr="00435469" w:rsidRDefault="00E256E8" w:rsidP="00955FFB">
      <w:pPr>
        <w:pStyle w:val="NoSpacing"/>
        <w:rPr>
          <w:rFonts w:cs="Times New Roman"/>
          <w:sz w:val="20"/>
          <w:szCs w:val="20"/>
        </w:rPr>
      </w:pPr>
      <w:r w:rsidRPr="00435469">
        <w:rPr>
          <w:rFonts w:cs="Times New Roman"/>
          <w:sz w:val="20"/>
          <w:szCs w:val="20"/>
        </w:rPr>
        <w:t xml:space="preserve">The third parameter that we define is </w:t>
      </w:r>
      <m:oMath>
        <m:r>
          <w:rPr>
            <w:rFonts w:ascii="Cambria Math" w:hAnsi="Cambria Math" w:cs="Times New Roman"/>
            <w:sz w:val="20"/>
            <w:szCs w:val="20"/>
          </w:rPr>
          <m:t xml:space="preserve">P(d), </m:t>
        </m:r>
      </m:oMath>
      <w:r w:rsidRPr="00435469">
        <w:rPr>
          <w:rFonts w:cs="Times New Roman"/>
          <w:sz w:val="20"/>
          <w:szCs w:val="20"/>
        </w:rPr>
        <w:t xml:space="preserve">the relative rate of IPT initiation at ART duration </w:t>
      </w:r>
      <w:r w:rsidRPr="00435469">
        <w:rPr>
          <w:rFonts w:cs="Times New Roman"/>
          <w:i/>
          <w:iCs/>
          <w:sz w:val="20"/>
          <w:szCs w:val="20"/>
        </w:rPr>
        <w:t xml:space="preserve">d </w:t>
      </w:r>
      <w:r w:rsidRPr="00435469">
        <w:rPr>
          <w:rFonts w:cs="Times New Roman"/>
          <w:sz w:val="20"/>
          <w:szCs w:val="20"/>
        </w:rPr>
        <w:t>when compared to ART-naïve individuals (by definition,</w:t>
      </w:r>
      <m:oMath>
        <m:r>
          <w:rPr>
            <w:rFonts w:ascii="Cambria Math" w:hAnsi="Cambria Math" w:cs="Times New Roman"/>
            <w:sz w:val="20"/>
            <w:szCs w:val="20"/>
          </w:rPr>
          <m:t xml:space="preserve"> P(0)=1)</m:t>
        </m:r>
      </m:oMath>
      <w:r w:rsidRPr="00435469">
        <w:rPr>
          <w:rFonts w:cs="Times New Roman"/>
          <w:sz w:val="20"/>
          <w:szCs w:val="20"/>
        </w:rPr>
        <w:t xml:space="preserve">. The Gauteng study cited previously found that individuals on ART had a higher rate of IPT initiation (OR 2.03, 95% CI: 0.88-5.87) and that approximately half of all IPT initiations after ART initiation occurred in the first year of ART (the median time between ART initiation and IPT initiation was 374 days)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{"citationItems":[{"id":"ITEM-1","itemData":{"DOI":"10.1371/journal.pone.0212035","ISBN":"1111111111","ISSN":"19326203","abstract":"Background Isoniazid preventive therapy (IPT) is a key component of TB/HIV control, but few countries achieve high IPT coverage. Methods Using a behavioural COM-B design approach, the intervention consisted of a training on IPT guidelines and tuberculin skin testing (TST), identification of the optimal IPT implementation strategy by the health care workers (HCWs) of 3 primary care clinics, and a 2-month mentoring period. Using routine register data, TST and IPT uptake was determined 3 months before and 5 months after the intervention. Records were reviewed to identify factors associated with IPT initiation and HCW fidelity to the guidelines. A survey among HCWs was conducted to determine barriers to IPT. Results Two clinics implemented TST-guided IPT for all clients receiving HIV care, one clinic decided against use of TST. According to routine register data, the proportion of clients initiating IPT increased substantially at the clinic not opting for TST (6% vs 36%), but minimally (34% vs 37% and 0.7% vs 3%) in the two other clinics. TST uptake did not increase (0 vs 0% and 0.5%). In addition to poor IPT uptake, HCW fidelity to investigation for TB and timing of IPT initiation was poor, with only 68% of symptomatic patients investigated and IPT initiation delayed to a median of 374 days post-ART initiation. In multivariate analysis, pregnancy (aOR 18.62, 95% CI 6.99–53.46), recent HIV diagnosis (aOR 3.65, 95% CI 1.73–7.41), being on ART (aOR 9.44, 95% CI 3.05–36.17), and CD4 &lt;500 cells/mm 3 (aOR 2.19, 95% CI 1.22–4.18) were associated with IPT initiation. Time needed to perform a TST, motivating patients to return for TST reading, and low IPT patient awareness were the main barriers to IPT implementation. Conclusion Despite using a behavioural intervention framework including training and participatory development of the clinic IPT strategy, HCW fidelity to the guidelines was poor, resulting in low TST coverage and low IPT uptake under primary care conditions. To achieve the benefits of IPT, health system level approaches including TST-free guidelines and sensitization are needed.","author":[{"dropping-particle":"","family":"Ginderdeuren","given":"Eva","non-dropping-particle":"Van","parse-names":false,"suffix":""},{"dropping-particle":"","family":"Bassett","given":"Jean","non-dropping-particle":"","parse-names":false,"suffix":""},{"dropping-particle":"","family":"Hanrahan","given":"Colleen","non-dropping-particle":"","parse-names":false,"suffix":""},{"dropping-particle":"","family":"Mutunga","given":"Lillian","non-dropping-particle":"","parse-names":false,"suffix":""},{"dropping-particle":"","family":"Rie","given":"Annelies","non-dropping-particle":"Van","parse-names":false,"suffix":""}],"container-title":"PLoS ONE","id":"ITEM-1","issue":"2","issued":{"date-parts":[["2019"]]},"page":"1-12","title":"Health system barriers to implementation of TB preventive strategies in South African primary care facilities","type":"article-journal","volume":"14"},"uris":["http://www.mendeley.com/documents/?uuid=2ff2a5d7-a048-4e83-b0c9-00295ac93828"]}],"mendeley":{"formattedCitation":"(107)","plainTextFormattedCitation":"(107)","previouslyFormattedCitation":"(107)"},"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(107)</w:t>
      </w:r>
      <w:r w:rsidRPr="00435469">
        <w:rPr>
          <w:rFonts w:cs="Times New Roman"/>
          <w:sz w:val="20"/>
          <w:szCs w:val="20"/>
        </w:rPr>
        <w:fldChar w:fldCharType="end"/>
      </w:r>
      <w:r w:rsidRPr="00435469">
        <w:rPr>
          <w:rFonts w:cs="Times New Roman"/>
          <w:sz w:val="20"/>
          <w:szCs w:val="20"/>
        </w:rPr>
        <w:t xml:space="preserve">. The </w:t>
      </w:r>
      <w:proofErr w:type="spellStart"/>
      <w:r w:rsidRPr="00435469">
        <w:rPr>
          <w:rFonts w:cs="Times New Roman"/>
          <w:sz w:val="20"/>
          <w:szCs w:val="20"/>
        </w:rPr>
        <w:t>Thembisa</w:t>
      </w:r>
      <w:proofErr w:type="spellEnd"/>
      <w:r w:rsidRPr="00435469">
        <w:rPr>
          <w:rFonts w:cs="Times New Roman"/>
          <w:sz w:val="20"/>
          <w:szCs w:val="20"/>
        </w:rPr>
        <w:t xml:space="preserve"> model for Gauteng estimates that over the 2015-16 period (the period when the study was conducted), approximately 14% of adult ART patients had started ART in the last year. The finding that 50% of IPT in ART patients was initiated in the first year of ART thus implies that </w:t>
      </w:r>
      <m:oMath>
        <m:r>
          <w:rPr>
            <w:rFonts w:ascii="Cambria Math" w:hAnsi="Cambria Math" w:cs="Times New Roman"/>
            <w:sz w:val="20"/>
            <w:szCs w:val="20"/>
          </w:rPr>
          <m:t>0.5=</m:t>
        </m:r>
        <m:r>
          <m:rPr>
            <m:sty m:val="p"/>
          </m:rPr>
          <w:rPr>
            <w:rFonts w:ascii="Cambria Math" w:hAnsi="Cambria Math" w:cs="Times New Roman"/>
            <w:sz w:val="20"/>
            <w:szCs w:val="20"/>
          </w:rPr>
          <m:t>0.14 × P(1) / [0.14 × P(1)+0.86 × P(2)]</m:t>
        </m:r>
        <m:r>
          <w:rPr>
            <w:rFonts w:ascii="Cambria Math" w:hAnsi="Cambria Math" w:cs="Times New Roman"/>
            <w:sz w:val="20"/>
            <w:szCs w:val="20"/>
          </w:rPr>
          <m:t xml:space="preserve">. </m:t>
        </m:r>
      </m:oMath>
      <w:r w:rsidRPr="00435469">
        <w:rPr>
          <w:rFonts w:cs="Times New Roman"/>
          <w:sz w:val="20"/>
          <w:szCs w:val="20"/>
        </w:rPr>
        <w:t xml:space="preserve">Solving this equation, we get a </w:t>
      </w:r>
      <m:oMath>
        <m:r>
          <m:rPr>
            <m:sty m:val="p"/>
          </m:rPr>
          <w:rPr>
            <w:rFonts w:ascii="Cambria Math" w:hAnsi="Cambria Math" w:cs="Times New Roman"/>
            <w:sz w:val="20"/>
            <w:szCs w:val="20"/>
          </w:rPr>
          <m:t>P(1)/P(2)</m:t>
        </m:r>
      </m:oMath>
      <w:r w:rsidRPr="00435469">
        <w:rPr>
          <w:rFonts w:cs="Times New Roman"/>
          <w:sz w:val="20"/>
          <w:szCs w:val="20"/>
        </w:rPr>
        <w:t xml:space="preserve"> ratio of 0.16. The finding of an OR of 2.03, in turn, implies that </w:t>
      </w:r>
      <m:oMath>
        <m:r>
          <m:rPr>
            <m:sty m:val="p"/>
          </m:rPr>
          <w:rPr>
            <w:rFonts w:ascii="Cambria Math" w:hAnsi="Cambria Math" w:cs="Times New Roman"/>
            <w:sz w:val="20"/>
            <w:szCs w:val="20"/>
          </w:rPr>
          <m:t>2.03≈0.14×P(1)+0.86×P(2)</m:t>
        </m:r>
      </m:oMath>
      <w:r w:rsidRPr="00435469">
        <w:rPr>
          <w:rFonts w:cs="Times New Roman"/>
          <w:sz w:val="20"/>
          <w:szCs w:val="20"/>
        </w:rPr>
        <w:t xml:space="preserve">. Substituting the </w:t>
      </w:r>
      <m:oMath>
        <m:r>
          <w:rPr>
            <w:rFonts w:ascii="Cambria Math" w:hAnsi="Cambria Math" w:cs="Times New Roman"/>
            <w:sz w:val="20"/>
            <w:szCs w:val="20"/>
          </w:rPr>
          <m:t xml:space="preserve">P(2)/P(1) </m:t>
        </m:r>
      </m:oMath>
      <w:r w:rsidRPr="00435469">
        <w:rPr>
          <w:rFonts w:cs="Times New Roman"/>
          <w:sz w:val="20"/>
          <w:szCs w:val="20"/>
        </w:rPr>
        <w:t xml:space="preserve"> ratio into this equation, we get </w:t>
      </w:r>
      <m:oMath>
        <m:r>
          <w:rPr>
            <w:rFonts w:ascii="Cambria Math" w:hAnsi="Cambria Math" w:cs="Times New Roman"/>
            <w:sz w:val="20"/>
            <w:szCs w:val="20"/>
          </w:rPr>
          <m:t>P(1)=7.3</m:t>
        </m:r>
      </m:oMath>
      <w:r w:rsidRPr="00435469">
        <w:rPr>
          <w:rFonts w:eastAsiaTheme="minorEastAsia" w:cs="Times New Roman"/>
          <w:sz w:val="20"/>
          <w:szCs w:val="20"/>
        </w:rPr>
        <w:t xml:space="preserve"> </w:t>
      </w:r>
      <w:r w:rsidRPr="00435469">
        <w:rPr>
          <w:rFonts w:cs="Times New Roman"/>
          <w:sz w:val="20"/>
          <w:szCs w:val="20"/>
        </w:rPr>
        <w:t xml:space="preserve">and </w:t>
      </w:r>
      <m:oMath>
        <m:r>
          <w:rPr>
            <w:rFonts w:ascii="Cambria Math" w:hAnsi="Cambria Math" w:cs="Times New Roman"/>
            <w:sz w:val="20"/>
            <w:szCs w:val="20"/>
          </w:rPr>
          <m:t>P(2)=</m:t>
        </m:r>
        <m:r>
          <m:rPr>
            <m:sty m:val="p"/>
          </m:rPr>
          <w:rPr>
            <w:rFonts w:ascii="Cambria Math" w:hAnsi="Cambria Math" w:cs="Times New Roman"/>
            <w:sz w:val="20"/>
            <w:szCs w:val="20"/>
          </w:rPr>
          <m:t>1.2</m:t>
        </m:r>
      </m:oMath>
      <w:r w:rsidRPr="00435469">
        <w:rPr>
          <w:rFonts w:eastAsiaTheme="minorEastAsia" w:cs="Times New Roman"/>
          <w:sz w:val="20"/>
          <w:szCs w:val="20"/>
        </w:rPr>
        <w:t>.</w:t>
      </w:r>
      <w:r w:rsidRPr="00435469">
        <w:rPr>
          <w:rFonts w:cs="Times New Roman"/>
          <w:sz w:val="20"/>
          <w:szCs w:val="20"/>
        </w:rPr>
        <w:t xml:space="preserve"> </w:t>
      </w:r>
    </w:p>
    <w:p w14:paraId="222A1F3B" w14:textId="77777777" w:rsidR="00E256E8" w:rsidRPr="00435469" w:rsidRDefault="00E256E8" w:rsidP="00955FFB">
      <w:pPr>
        <w:pStyle w:val="NoSpacing"/>
        <w:rPr>
          <w:rFonts w:cs="Times New Roman"/>
          <w:sz w:val="20"/>
          <w:szCs w:val="20"/>
        </w:rPr>
      </w:pPr>
    </w:p>
    <w:p w14:paraId="44FCE583" w14:textId="77777777" w:rsidR="00E256E8" w:rsidRPr="00435469" w:rsidRDefault="00E256E8" w:rsidP="00955FFB">
      <w:pPr>
        <w:pStyle w:val="NoSpacing"/>
        <w:spacing w:after="240"/>
        <w:rPr>
          <w:rFonts w:cs="Times New Roman"/>
          <w:sz w:val="20"/>
          <w:szCs w:val="20"/>
        </w:rPr>
      </w:pPr>
      <w:r w:rsidRPr="00435469">
        <w:rPr>
          <w:rFonts w:cs="Times New Roman"/>
          <w:sz w:val="20"/>
          <w:szCs w:val="20"/>
        </w:rPr>
        <w:t>Having defined the intermediate variables, we calculate</w:t>
      </w:r>
    </w:p>
    <w:p w14:paraId="34FDAC94" w14:textId="77777777" w:rsidR="00E256E8" w:rsidRPr="00435469" w:rsidRDefault="00E256E8" w:rsidP="00955FFB">
      <w:pPr>
        <w:pStyle w:val="NoSpacing"/>
        <w:jc w:val="center"/>
        <w:rPr>
          <w:rFonts w:cs="Times New Roman"/>
          <w:i/>
          <w:iCs/>
          <w:sz w:val="20"/>
          <w:szCs w:val="20"/>
        </w:rPr>
      </w:pPr>
      <m:oMath>
        <m:r>
          <w:rPr>
            <w:rFonts w:ascii="Cambria Math" w:hAnsi="Cambria Math" w:cs="Times New Roman"/>
            <w:sz w:val="20"/>
            <w:szCs w:val="20"/>
          </w:rPr>
          <m:t>λ(t,s,d,k) = λ(t) H(s) P(d) R(k)</m:t>
        </m:r>
      </m:oMath>
      <w:r w:rsidRPr="00435469">
        <w:rPr>
          <w:rFonts w:eastAsiaTheme="minorEastAsia" w:cs="Times New Roman"/>
          <w:i/>
          <w:sz w:val="20"/>
          <w:szCs w:val="20"/>
        </w:rPr>
        <w:t>,</w:t>
      </w:r>
    </w:p>
    <w:p w14:paraId="02D28961" w14:textId="77777777" w:rsidR="00E256E8" w:rsidRPr="00435469" w:rsidRDefault="00E256E8" w:rsidP="00955FFB">
      <w:pPr>
        <w:pStyle w:val="NoSpacing"/>
        <w:spacing w:before="240" w:after="240"/>
        <w:rPr>
          <w:rFonts w:cs="Times New Roman"/>
          <w:sz w:val="20"/>
          <w:szCs w:val="20"/>
        </w:rPr>
      </w:pPr>
      <w:r w:rsidRPr="00435469">
        <w:rPr>
          <w:rFonts w:cs="Times New Roman"/>
          <w:sz w:val="20"/>
          <w:szCs w:val="20"/>
        </w:rPr>
        <w:t xml:space="preserve">where </w:t>
      </w:r>
      <m:oMath>
        <m:r>
          <w:rPr>
            <w:rFonts w:ascii="Cambria Math" w:hAnsi="Cambria Math" w:cs="Times New Roman"/>
            <w:sz w:val="20"/>
            <w:szCs w:val="20"/>
          </w:rPr>
          <m:t>λ(t)</m:t>
        </m:r>
        <m:r>
          <m:rPr>
            <m:sty m:val="p"/>
          </m:rPr>
          <w:rPr>
            <w:rFonts w:ascii="Cambria Math" w:hAnsi="Cambria Math" w:cs="Times New Roman"/>
            <w:sz w:val="20"/>
            <w:szCs w:val="20"/>
          </w:rPr>
          <m:t xml:space="preserve"> </m:t>
        </m:r>
      </m:oMath>
      <w:r w:rsidRPr="00435469">
        <w:rPr>
          <w:rFonts w:cs="Times New Roman"/>
          <w:sz w:val="20"/>
          <w:szCs w:val="20"/>
        </w:rPr>
        <w:t xml:space="preserve">is the rate of IPT initiation in year </w:t>
      </w:r>
      <w:r w:rsidRPr="00435469">
        <w:rPr>
          <w:rFonts w:cs="Times New Roman"/>
          <w:i/>
          <w:iCs/>
          <w:sz w:val="20"/>
          <w:szCs w:val="20"/>
        </w:rPr>
        <w:t>t</w:t>
      </w:r>
      <w:r w:rsidRPr="00435469">
        <w:rPr>
          <w:rFonts w:cs="Times New Roman"/>
          <w:sz w:val="20"/>
          <w:szCs w:val="20"/>
        </w:rPr>
        <w:t xml:space="preserve"> in the ‘base’ category (i.e. ART-naïve, HIV diagnosed adults with latent </w:t>
      </w:r>
      <w:proofErr w:type="gramStart"/>
      <w:r w:rsidRPr="00435469">
        <w:rPr>
          <w:rFonts w:cs="Times New Roman"/>
          <w:sz w:val="20"/>
          <w:szCs w:val="20"/>
        </w:rPr>
        <w:t>TB infection).</w:t>
      </w:r>
      <w:proofErr w:type="gramEnd"/>
      <w:r w:rsidRPr="00435469">
        <w:rPr>
          <w:rFonts w:cs="Times New Roman"/>
          <w:sz w:val="20"/>
          <w:szCs w:val="20"/>
        </w:rPr>
        <w:t xml:space="preserve"> We estimate this base rate from the reported numbers of IPT initiations in year </w:t>
      </w:r>
      <w:r w:rsidRPr="00435469">
        <w:rPr>
          <w:rFonts w:cs="Times New Roman"/>
          <w:i/>
          <w:iCs/>
          <w:sz w:val="20"/>
          <w:szCs w:val="20"/>
        </w:rPr>
        <w:t>t</w:t>
      </w:r>
      <w:r w:rsidRPr="00435469">
        <w:rPr>
          <w:rFonts w:cs="Times New Roman"/>
          <w:sz w:val="20"/>
          <w:szCs w:val="20"/>
        </w:rPr>
        <w:t xml:space="preserve">, </w:t>
      </w:r>
      <m:oMath>
        <m:r>
          <w:rPr>
            <w:rFonts w:ascii="Cambria Math" w:hAnsi="Cambria Math" w:cs="Times New Roman"/>
            <w:sz w:val="20"/>
            <w:szCs w:val="20"/>
          </w:rPr>
          <m:t>T(t)</m:t>
        </m:r>
      </m:oMath>
      <w:r w:rsidRPr="00435469">
        <w:rPr>
          <w:rFonts w:cs="Times New Roman"/>
          <w:sz w:val="20"/>
          <w:szCs w:val="20"/>
        </w:rPr>
        <w:t xml:space="preserve">. If </w:t>
      </w:r>
      <m:oMath>
        <m:r>
          <w:rPr>
            <w:rFonts w:ascii="Cambria Math" w:hAnsi="Cambria Math" w:cs="Times New Roman"/>
            <w:sz w:val="20"/>
            <w:szCs w:val="20"/>
          </w:rPr>
          <m:t>N(t,s,d,k</m:t>
        </m:r>
        <m:r>
          <m:rPr>
            <m:sty m:val="p"/>
          </m:rPr>
          <w:rPr>
            <w:rFonts w:ascii="Cambria Math" w:hAnsi="Cambria Math" w:cs="Times New Roman"/>
            <w:sz w:val="20"/>
            <w:szCs w:val="20"/>
          </w:rPr>
          <m:t>)</m:t>
        </m:r>
      </m:oMath>
      <w:r w:rsidRPr="00435469">
        <w:rPr>
          <w:rFonts w:cs="Times New Roman"/>
          <w:sz w:val="20"/>
          <w:szCs w:val="20"/>
        </w:rPr>
        <w:t xml:space="preserve"> is the model estimates of the number of HIV-diagnosed adults at the start of year </w:t>
      </w:r>
      <w:r w:rsidRPr="00435469">
        <w:rPr>
          <w:rFonts w:cs="Times New Roman"/>
          <w:i/>
          <w:iCs/>
          <w:sz w:val="20"/>
          <w:szCs w:val="20"/>
        </w:rPr>
        <w:t>t</w:t>
      </w:r>
      <w:r w:rsidRPr="00435469">
        <w:rPr>
          <w:rFonts w:cs="Times New Roman"/>
          <w:sz w:val="20"/>
          <w:szCs w:val="20"/>
        </w:rPr>
        <w:t>, in CD4 category</w:t>
      </w:r>
      <w:r w:rsidRPr="00435469">
        <w:rPr>
          <w:rFonts w:cs="Times New Roman"/>
          <w:i/>
          <w:iCs/>
          <w:sz w:val="20"/>
          <w:szCs w:val="20"/>
        </w:rPr>
        <w:t xml:space="preserve"> s</w:t>
      </w:r>
      <w:r w:rsidRPr="00435469">
        <w:rPr>
          <w:rFonts w:cs="Times New Roman"/>
          <w:sz w:val="20"/>
          <w:szCs w:val="20"/>
        </w:rPr>
        <w:t xml:space="preserve">, with ART duration </w:t>
      </w:r>
      <w:r w:rsidRPr="00435469">
        <w:rPr>
          <w:rFonts w:cs="Times New Roman"/>
          <w:i/>
          <w:iCs/>
          <w:sz w:val="20"/>
          <w:szCs w:val="20"/>
        </w:rPr>
        <w:t>d</w:t>
      </w:r>
      <w:r w:rsidRPr="00435469">
        <w:rPr>
          <w:rFonts w:cs="Times New Roman"/>
          <w:sz w:val="20"/>
          <w:szCs w:val="20"/>
        </w:rPr>
        <w:t>, in TB state</w:t>
      </w:r>
      <w:r w:rsidRPr="00435469">
        <w:rPr>
          <w:rFonts w:cs="Times New Roman"/>
          <w:i/>
          <w:iCs/>
          <w:sz w:val="20"/>
          <w:szCs w:val="20"/>
        </w:rPr>
        <w:t xml:space="preserve"> k</w:t>
      </w:r>
      <w:r w:rsidRPr="00435469">
        <w:rPr>
          <w:rFonts w:cs="Times New Roman"/>
          <w:sz w:val="20"/>
          <w:szCs w:val="20"/>
        </w:rPr>
        <w:t xml:space="preserve"> (excluding individuals with active TB and treated for TB, and excluding individuals who are already on IPT), then</w:t>
      </w:r>
    </w:p>
    <w:p w14:paraId="61ECF905" w14:textId="77777777" w:rsidR="00E256E8" w:rsidRPr="00435469" w:rsidRDefault="00E256E8" w:rsidP="00955FFB">
      <w:pPr>
        <w:pStyle w:val="NoSpacing"/>
        <w:spacing w:after="240"/>
        <w:jc w:val="center"/>
        <w:rPr>
          <w:rFonts w:eastAsiaTheme="minorEastAsia" w:cs="Times New Roman"/>
          <w:iCs/>
          <w:sz w:val="20"/>
          <w:szCs w:val="20"/>
        </w:rPr>
      </w:pPr>
      <m:oMathPara>
        <m:oMath>
          <m:r>
            <w:rPr>
              <w:rFonts w:ascii="Cambria Math" w:hAnsi="Cambria Math" w:cs="Times New Roman"/>
              <w:sz w:val="20"/>
              <w:szCs w:val="20"/>
            </w:rPr>
            <m:t>T</m:t>
          </m:r>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=λ</m:t>
          </m:r>
          <m:d>
            <m:dPr>
              <m:ctrlPr>
                <w:rPr>
                  <w:rFonts w:ascii="Cambria Math" w:hAnsi="Cambria Math" w:cs="Times New Roman"/>
                  <w:i/>
                  <w:sz w:val="20"/>
                  <w:szCs w:val="20"/>
                </w:rPr>
              </m:ctrlPr>
            </m:dPr>
            <m:e>
              <m:r>
                <w:rPr>
                  <w:rFonts w:ascii="Cambria Math" w:hAnsi="Cambria Math" w:cs="Times New Roman"/>
                  <w:sz w:val="20"/>
                  <w:szCs w:val="20"/>
                </w:rPr>
                <m:t>t</m:t>
              </m:r>
            </m:e>
          </m:d>
          <m:nary>
            <m:naryPr>
              <m:chr m:val="∑"/>
              <m:limLoc m:val="undOvr"/>
              <m:supHide m:val="1"/>
              <m:ctrlPr>
                <w:rPr>
                  <w:rFonts w:ascii="Cambria Math" w:hAnsi="Cambria Math" w:cs="Times New Roman"/>
                  <w:i/>
                  <w:iCs/>
                  <w:sz w:val="20"/>
                  <w:szCs w:val="20"/>
                </w:rPr>
              </m:ctrlPr>
            </m:naryPr>
            <m:sub>
              <m:r>
                <w:rPr>
                  <w:rFonts w:ascii="Cambria Math" w:hAnsi="Cambria Math" w:cs="Times New Roman"/>
                  <w:sz w:val="20"/>
                  <w:szCs w:val="20"/>
                </w:rPr>
                <m:t>s</m:t>
              </m:r>
            </m:sub>
            <m:sup/>
            <m:e>
              <m:nary>
                <m:naryPr>
                  <m:chr m:val="∑"/>
                  <m:limLoc m:val="undOvr"/>
                  <m:supHide m:val="1"/>
                  <m:ctrlPr>
                    <w:rPr>
                      <w:rFonts w:ascii="Cambria Math" w:hAnsi="Cambria Math" w:cs="Times New Roman"/>
                      <w:i/>
                      <w:iCs/>
                      <w:sz w:val="20"/>
                      <w:szCs w:val="20"/>
                    </w:rPr>
                  </m:ctrlPr>
                </m:naryPr>
                <m:sub>
                  <m:r>
                    <w:rPr>
                      <w:rFonts w:ascii="Cambria Math" w:hAnsi="Cambria Math" w:cs="Times New Roman"/>
                      <w:sz w:val="20"/>
                      <w:szCs w:val="20"/>
                    </w:rPr>
                    <m:t>d</m:t>
                  </m:r>
                </m:sub>
                <m:sup/>
                <m:e>
                  <m:nary>
                    <m:naryPr>
                      <m:chr m:val="∑"/>
                      <m:limLoc m:val="undOvr"/>
                      <m:supHide m:val="1"/>
                      <m:ctrlPr>
                        <w:rPr>
                          <w:rFonts w:ascii="Cambria Math" w:hAnsi="Cambria Math" w:cs="Times New Roman"/>
                          <w:i/>
                          <w:iCs/>
                          <w:sz w:val="20"/>
                          <w:szCs w:val="20"/>
                        </w:rPr>
                      </m:ctrlPr>
                    </m:naryPr>
                    <m:sub>
                      <m:r>
                        <w:rPr>
                          <w:rFonts w:ascii="Cambria Math" w:hAnsi="Cambria Math" w:cs="Times New Roman"/>
                          <w:sz w:val="20"/>
                          <w:szCs w:val="20"/>
                        </w:rPr>
                        <m:t>k</m:t>
                      </m:r>
                    </m:sub>
                    <m:sup/>
                    <m:e>
                      <m:r>
                        <w:rPr>
                          <w:rFonts w:ascii="Cambria Math" w:hAnsi="Cambria Math" w:cs="Times New Roman"/>
                          <w:sz w:val="20"/>
                          <w:szCs w:val="20"/>
                        </w:rPr>
                        <m:t>N</m:t>
                      </m:r>
                      <m:d>
                        <m:dPr>
                          <m:ctrlPr>
                            <w:rPr>
                              <w:rFonts w:ascii="Cambria Math" w:hAnsi="Cambria Math" w:cs="Times New Roman"/>
                              <w:i/>
                              <w:sz w:val="20"/>
                              <w:szCs w:val="20"/>
                            </w:rPr>
                          </m:ctrlPr>
                        </m:dPr>
                        <m:e>
                          <m:r>
                            <w:rPr>
                              <w:rFonts w:ascii="Cambria Math" w:hAnsi="Cambria Math" w:cs="Times New Roman"/>
                              <w:sz w:val="20"/>
                              <w:szCs w:val="20"/>
                            </w:rPr>
                            <m:t>t,s,d,k</m:t>
                          </m:r>
                        </m:e>
                      </m:d>
                      <m:r>
                        <w:rPr>
                          <w:rFonts w:ascii="Cambria Math" w:hAnsi="Cambria Math" w:cs="Times New Roman"/>
                          <w:sz w:val="20"/>
                          <w:szCs w:val="20"/>
                        </w:rPr>
                        <m:t>H</m:t>
                      </m:r>
                      <m:d>
                        <m:dPr>
                          <m:ctrlPr>
                            <w:rPr>
                              <w:rFonts w:ascii="Cambria Math" w:hAnsi="Cambria Math" w:cs="Times New Roman"/>
                              <w:i/>
                              <w:sz w:val="20"/>
                              <w:szCs w:val="20"/>
                            </w:rPr>
                          </m:ctrlPr>
                        </m:dPr>
                        <m:e>
                          <m:r>
                            <w:rPr>
                              <w:rFonts w:ascii="Cambria Math" w:hAnsi="Cambria Math" w:cs="Times New Roman"/>
                              <w:sz w:val="20"/>
                              <w:szCs w:val="20"/>
                            </w:rPr>
                            <m:t>s</m:t>
                          </m:r>
                        </m:e>
                      </m:d>
                      <m:r>
                        <w:rPr>
                          <w:rFonts w:ascii="Cambria Math" w:hAnsi="Cambria Math" w:cs="Times New Roman"/>
                          <w:sz w:val="20"/>
                          <w:szCs w:val="20"/>
                        </w:rPr>
                        <m:t>P</m:t>
                      </m:r>
                      <m:d>
                        <m:dPr>
                          <m:ctrlPr>
                            <w:rPr>
                              <w:rFonts w:ascii="Cambria Math" w:hAnsi="Cambria Math" w:cs="Times New Roman"/>
                              <w:i/>
                              <w:sz w:val="20"/>
                              <w:szCs w:val="20"/>
                            </w:rPr>
                          </m:ctrlPr>
                        </m:dPr>
                        <m:e>
                          <m:r>
                            <w:rPr>
                              <w:rFonts w:ascii="Cambria Math" w:hAnsi="Cambria Math" w:cs="Times New Roman"/>
                              <w:sz w:val="20"/>
                              <w:szCs w:val="20"/>
                            </w:rPr>
                            <m:t>d</m:t>
                          </m:r>
                        </m:e>
                      </m:d>
                      <m:r>
                        <w:rPr>
                          <w:rFonts w:ascii="Cambria Math" w:hAnsi="Cambria Math" w:cs="Times New Roman"/>
                          <w:sz w:val="20"/>
                          <w:szCs w:val="20"/>
                        </w:rPr>
                        <m:t>R</m:t>
                      </m:r>
                      <m:d>
                        <m:dPr>
                          <m:ctrlPr>
                            <w:rPr>
                              <w:rFonts w:ascii="Cambria Math" w:hAnsi="Cambria Math" w:cs="Times New Roman"/>
                              <w:i/>
                              <w:sz w:val="20"/>
                              <w:szCs w:val="20"/>
                            </w:rPr>
                          </m:ctrlPr>
                        </m:dPr>
                        <m:e>
                          <m:r>
                            <w:rPr>
                              <w:rFonts w:ascii="Cambria Math" w:hAnsi="Cambria Math" w:cs="Times New Roman"/>
                              <w:sz w:val="20"/>
                              <w:szCs w:val="20"/>
                            </w:rPr>
                            <m:t>k</m:t>
                          </m:r>
                        </m:e>
                      </m:d>
                    </m:e>
                  </m:nary>
                </m:e>
              </m:nary>
            </m:e>
          </m:nary>
        </m:oMath>
      </m:oMathPara>
    </w:p>
    <w:p w14:paraId="7771EEA4" w14:textId="0CE5AE2E" w:rsidR="008857FA" w:rsidRPr="00435469" w:rsidRDefault="00E256E8" w:rsidP="00FC0A7B">
      <w:pPr>
        <w:pStyle w:val="1Para"/>
        <w:spacing w:line="240" w:lineRule="auto"/>
        <w:ind w:firstLine="0"/>
        <w:rPr>
          <w:rFonts w:ascii="Consolas" w:hAnsi="Consolas" w:cs="Consolas"/>
          <w:sz w:val="20"/>
          <w:szCs w:val="20"/>
          <w:lang w:val="en-ZA"/>
        </w:rPr>
      </w:pPr>
      <m:oMath>
        <m:r>
          <w:rPr>
            <w:rFonts w:ascii="Cambria Math" w:hAnsi="Cambria Math" w:cs="Times New Roman"/>
            <w:sz w:val="20"/>
            <w:szCs w:val="20"/>
          </w:rPr>
          <m:t>λ(t)</m:t>
        </m:r>
        <m:r>
          <m:rPr>
            <m:sty m:val="p"/>
          </m:rPr>
          <w:rPr>
            <w:rFonts w:ascii="Cambria Math" w:hAnsi="Cambria Math" w:cs="Times New Roman"/>
            <w:sz w:val="20"/>
            <w:szCs w:val="20"/>
          </w:rPr>
          <m:t xml:space="preserve"> </m:t>
        </m:r>
      </m:oMath>
      <w:r w:rsidRPr="00435469">
        <w:rPr>
          <w:rFonts w:eastAsiaTheme="minorEastAsia" w:cs="Times New Roman"/>
          <w:sz w:val="20"/>
          <w:szCs w:val="20"/>
        </w:rPr>
        <w:t xml:space="preserve">is solved for, </w:t>
      </w:r>
      <w:r w:rsidRPr="00435469">
        <w:rPr>
          <w:rFonts w:cs="Times New Roman"/>
          <w:sz w:val="20"/>
          <w:szCs w:val="20"/>
        </w:rPr>
        <w:t xml:space="preserve">by rearranging the terms in this equation above. </w:t>
      </w:r>
      <m:oMath>
        <m:r>
          <w:rPr>
            <w:rFonts w:ascii="Cambria Math" w:hAnsi="Cambria Math" w:cs="Times New Roman"/>
            <w:sz w:val="20"/>
            <w:szCs w:val="20"/>
          </w:rPr>
          <m:t>T(t)</m:t>
        </m:r>
        <m:r>
          <m:rPr>
            <m:sty m:val="p"/>
          </m:rPr>
          <w:rPr>
            <w:rFonts w:ascii="Cambria Math" w:hAnsi="Cambria Math" w:cs="Times New Roman"/>
            <w:sz w:val="20"/>
            <w:szCs w:val="20"/>
          </w:rPr>
          <m:t xml:space="preserve"> </m:t>
        </m:r>
      </m:oMath>
      <w:r w:rsidRPr="00435469">
        <w:rPr>
          <w:rFonts w:cs="Times New Roman"/>
          <w:sz w:val="20"/>
          <w:szCs w:val="20"/>
        </w:rPr>
        <w:t xml:space="preserve">values are taken from the District Health Information System </w:t>
      </w:r>
      <w:r w:rsidRPr="00435469">
        <w:rPr>
          <w:rFonts w:cs="Times New Roman"/>
          <w:bCs/>
          <w:sz w:val="20"/>
          <w:szCs w:val="20"/>
        </w:rPr>
        <w:t>(DHIS)</w:t>
      </w:r>
      <w:r w:rsidR="00FC0A7B" w:rsidRPr="00435469">
        <w:rPr>
          <w:rFonts w:cs="Times New Roman"/>
          <w:bCs/>
          <w:sz w:val="20"/>
          <w:szCs w:val="20"/>
        </w:rPr>
        <w:t xml:space="preserve"> (</w:t>
      </w:r>
      <w:r w:rsidR="00FC0A7B" w:rsidRPr="00435469">
        <w:rPr>
          <w:rFonts w:cs="Times New Roman"/>
          <w:bCs/>
          <w:sz w:val="20"/>
          <w:szCs w:val="20"/>
        </w:rPr>
        <w:fldChar w:fldCharType="begin"/>
      </w:r>
      <w:r w:rsidR="00FC0A7B" w:rsidRPr="00435469">
        <w:rPr>
          <w:rFonts w:cs="Times New Roman"/>
          <w:bCs/>
          <w:sz w:val="20"/>
          <w:szCs w:val="20"/>
        </w:rPr>
        <w:instrText xml:space="preserve"> REF _Ref102647289 \h  \* MERGEFORMAT </w:instrText>
      </w:r>
      <w:r w:rsidR="00FC0A7B" w:rsidRPr="00435469">
        <w:rPr>
          <w:rFonts w:cs="Times New Roman"/>
          <w:bCs/>
          <w:sz w:val="20"/>
          <w:szCs w:val="20"/>
        </w:rPr>
      </w:r>
      <w:r w:rsidR="00FC0A7B" w:rsidRPr="00435469">
        <w:rPr>
          <w:rFonts w:cs="Times New Roman"/>
          <w:bCs/>
          <w:sz w:val="20"/>
          <w:szCs w:val="20"/>
        </w:rPr>
        <w:fldChar w:fldCharType="separate"/>
      </w:r>
      <w:r w:rsidR="00186C2F" w:rsidRPr="00435469">
        <w:rPr>
          <w:sz w:val="20"/>
          <w:szCs w:val="20"/>
        </w:rPr>
        <w:t xml:space="preserve">Table </w:t>
      </w:r>
      <w:r w:rsidR="00186C2F" w:rsidRPr="00435469">
        <w:rPr>
          <w:noProof/>
          <w:sz w:val="20"/>
          <w:szCs w:val="20"/>
        </w:rPr>
        <w:t>17</w:t>
      </w:r>
      <w:r w:rsidR="00FC0A7B" w:rsidRPr="00435469">
        <w:rPr>
          <w:rFonts w:cs="Times New Roman"/>
          <w:bCs/>
          <w:sz w:val="20"/>
          <w:szCs w:val="20"/>
        </w:rPr>
        <w:fldChar w:fldCharType="end"/>
      </w:r>
      <w:r w:rsidRPr="00435469">
        <w:rPr>
          <w:rFonts w:cs="Times New Roman"/>
          <w:bCs/>
          <w:sz w:val="20"/>
          <w:szCs w:val="20"/>
        </w:rPr>
        <w:t>)</w:t>
      </w:r>
      <w:r w:rsidRPr="00435469">
        <w:rPr>
          <w:rFonts w:cs="Times New Roman"/>
          <w:sz w:val="20"/>
          <w:szCs w:val="20"/>
        </w:rPr>
        <w:t xml:space="preserve">. </w:t>
      </w:r>
      <w:r w:rsidRPr="00435469">
        <w:rPr>
          <w:rFonts w:cs="Times New Roman"/>
          <w:bCs/>
          <w:sz w:val="20"/>
          <w:szCs w:val="20"/>
        </w:rPr>
        <w:t xml:space="preserve">Due to the frequent changes in guidelines and barriers to implementation of IPT policies at health care facilities, data on IPT uptake has been limited, and the quality </w:t>
      </w:r>
      <w:r w:rsidRPr="00435469">
        <w:rPr>
          <w:rFonts w:cs="Times New Roman"/>
          <w:bCs/>
          <w:sz w:val="20"/>
          <w:szCs w:val="20"/>
        </w:rPr>
        <w:lastRenderedPageBreak/>
        <w:t xml:space="preserve">may be affected as well, particularly in the earlier years (before 2010). A significant shift in the guidelines was made in 2010 where the strict requirement for a positive TST to be eligible to initiate IPT was removed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{"citationItems":[{"id":"ITEM-1","itemData":{"DOI":"10.7196/SAMJ.7968","ISSN":"02569574","abstract":"Worldwide, South Africa (SA) has the worst tuberculosis (TB) epidemic. In SA, there are &gt;6.1 million people living with HIV (PLWH) and the country now has the largest antiretroviral treatment programme with &gt;2 million people receiving combination therapy. While there has been a marked recent decline in HIV-associated deaths, &gt;50% of TB cases still continue to be diagnosed in PWLH. The current TB control strategy based on passive case finding, chemotherapy of childhood TB contacts and directly observed therapy has clearly failed to control endemic TB in SA. Two recent meta-analyses have shown a &gt;60% reduction in TB in HIV-infected adults after isoniazid preventive therapy (IPT). SA has implemented the World Health Organization policy and IPT is now recommended for HIV-positive people for up to 36 months. Originally, there was only one SA study included in the evidence base supporting this policy, but subsequently four randomised controlled trials have been conducted in SA populations. These studies, together with local observational studies, are the subject of this local, evidence-based review.","author":[{"dropping-particle":"","family":"Wood","given":"Robin","non-dropping-particle":"","parse-names":false,"suffix":""},{"dropping-particle":"","family":"Bekker","given":"Linda Gail","non-dropping-particle":"","parse-names":false,"suffix":""}],"container-title":"South African Medical Journal","id":"ITEM-1","issue":"3","issued":{"date-parts":[["2014"]]},"page":"174-177","title":"Isoniazid preventive therapy for tuberculosis in South Africa: An assessment of the local evidence base","type":"article-journal","volume":"104"},"uris":["http://www.mendeley.com/documents/?uuid=408811be-e210-4e29-b132-97e8eb1d0930"]}],"mendeley":{"formattedCitation":"(108)","plainTextFormattedCitation":"(108)","previouslyFormattedCitation":"(108)"},"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(108)</w:t>
      </w:r>
      <w:r w:rsidRPr="00435469">
        <w:rPr>
          <w:rFonts w:cs="Times New Roman"/>
          <w:sz w:val="20"/>
          <w:szCs w:val="20"/>
        </w:rPr>
        <w:fldChar w:fldCharType="end"/>
      </w:r>
      <w:r w:rsidRPr="00435469">
        <w:rPr>
          <w:rFonts w:cs="Times New Roman"/>
          <w:sz w:val="20"/>
          <w:szCs w:val="20"/>
        </w:rPr>
        <w:t xml:space="preserve">. </w:t>
      </w:r>
      <w:r w:rsidR="00FB5A4D" w:rsidRPr="00435469">
        <w:rPr>
          <w:rFonts w:cs="Times New Roman"/>
          <w:bCs/>
          <w:sz w:val="20"/>
          <w:szCs w:val="20"/>
        </w:rPr>
        <w:t xml:space="preserve">We assume zero IPT uptake before 2010, as the DHIS data suggest minimal IPT before 2010; these data </w:t>
      </w:r>
      <w:r w:rsidR="0003024A" w:rsidRPr="00435469">
        <w:rPr>
          <w:rFonts w:cs="Times New Roman"/>
          <w:bCs/>
          <w:sz w:val="20"/>
          <w:szCs w:val="20"/>
        </w:rPr>
        <w:t xml:space="preserve">were </w:t>
      </w:r>
      <w:r w:rsidR="00FB5A4D" w:rsidRPr="00435469">
        <w:rPr>
          <w:rFonts w:cs="Times New Roman"/>
          <w:bCs/>
          <w:sz w:val="20"/>
          <w:szCs w:val="20"/>
        </w:rPr>
        <w:t>available until 20</w:t>
      </w:r>
      <w:r w:rsidR="00842012" w:rsidRPr="00435469">
        <w:rPr>
          <w:rFonts w:cs="Times New Roman"/>
          <w:bCs/>
          <w:sz w:val="20"/>
          <w:szCs w:val="20"/>
        </w:rPr>
        <w:t>16-</w:t>
      </w:r>
      <w:r w:rsidR="00FB5A4D" w:rsidRPr="00435469">
        <w:rPr>
          <w:rFonts w:cs="Times New Roman"/>
          <w:bCs/>
          <w:sz w:val="20"/>
          <w:szCs w:val="20"/>
        </w:rPr>
        <w:t xml:space="preserve">17. For years </w:t>
      </w:r>
      <w:r w:rsidR="00842012" w:rsidRPr="00435469">
        <w:rPr>
          <w:rFonts w:cs="Times New Roman"/>
          <w:bCs/>
          <w:sz w:val="20"/>
          <w:szCs w:val="20"/>
        </w:rPr>
        <w:t xml:space="preserve">2017 </w:t>
      </w:r>
      <w:r w:rsidR="00FB5A4D" w:rsidRPr="00435469">
        <w:rPr>
          <w:rFonts w:cs="Times New Roman"/>
          <w:bCs/>
          <w:sz w:val="20"/>
          <w:szCs w:val="20"/>
        </w:rPr>
        <w:t>and beyond, IPT uptake</w:t>
      </w:r>
      <w:r w:rsidR="00842012" w:rsidRPr="00435469">
        <w:rPr>
          <w:rFonts w:cs="Times New Roman"/>
          <w:bCs/>
          <w:sz w:val="20"/>
          <w:szCs w:val="20"/>
        </w:rPr>
        <w:t xml:space="preserve"> in the baseline category (</w:t>
      </w:r>
      <m:oMath>
        <m:r>
          <w:rPr>
            <w:rFonts w:ascii="Cambria Math" w:hAnsi="Cambria Math" w:cs="Times New Roman"/>
            <w:sz w:val="20"/>
            <w:szCs w:val="20"/>
          </w:rPr>
          <m:t>λ(t)</m:t>
        </m:r>
      </m:oMath>
      <w:r w:rsidR="00842012" w:rsidRPr="00435469">
        <w:rPr>
          <w:rFonts w:cs="Times New Roman"/>
          <w:bCs/>
          <w:sz w:val="20"/>
          <w:szCs w:val="20"/>
        </w:rPr>
        <w:t>)</w:t>
      </w:r>
      <w:r w:rsidR="00FB5A4D" w:rsidRPr="00435469">
        <w:rPr>
          <w:rFonts w:cs="Times New Roman"/>
          <w:bCs/>
          <w:sz w:val="20"/>
          <w:szCs w:val="20"/>
        </w:rPr>
        <w:t xml:space="preserve"> was linearly interpolated </w:t>
      </w:r>
      <w:r w:rsidR="00842012" w:rsidRPr="00435469">
        <w:rPr>
          <w:rFonts w:cs="Times New Roman"/>
          <w:bCs/>
          <w:sz w:val="20"/>
          <w:szCs w:val="20"/>
        </w:rPr>
        <w:t xml:space="preserve">between the </w:t>
      </w:r>
      <w:r w:rsidR="00FB5A4D" w:rsidRPr="00435469">
        <w:rPr>
          <w:rFonts w:cs="Times New Roman"/>
          <w:bCs/>
          <w:sz w:val="20"/>
          <w:szCs w:val="20"/>
        </w:rPr>
        <w:t>201</w:t>
      </w:r>
      <w:r w:rsidR="00842012" w:rsidRPr="00435469">
        <w:rPr>
          <w:rFonts w:cs="Times New Roman"/>
          <w:bCs/>
          <w:sz w:val="20"/>
          <w:szCs w:val="20"/>
        </w:rPr>
        <w:t>6-1</w:t>
      </w:r>
      <w:r w:rsidR="00FB5A4D" w:rsidRPr="00435469">
        <w:rPr>
          <w:rFonts w:cs="Times New Roman"/>
          <w:bCs/>
          <w:sz w:val="20"/>
          <w:szCs w:val="20"/>
        </w:rPr>
        <w:t xml:space="preserve">7 </w:t>
      </w:r>
      <w:r w:rsidR="00842012" w:rsidRPr="00435469">
        <w:rPr>
          <w:rFonts w:cs="Times New Roman"/>
          <w:bCs/>
          <w:sz w:val="20"/>
          <w:szCs w:val="20"/>
        </w:rPr>
        <w:t>rate and a</w:t>
      </w:r>
      <w:r w:rsidR="007D5B69" w:rsidRPr="00435469">
        <w:rPr>
          <w:rFonts w:cs="Times New Roman"/>
          <w:bCs/>
          <w:sz w:val="20"/>
          <w:szCs w:val="20"/>
        </w:rPr>
        <w:t>n annual</w:t>
      </w:r>
      <w:r w:rsidR="00842012" w:rsidRPr="00435469">
        <w:rPr>
          <w:rFonts w:cs="Times New Roman"/>
          <w:bCs/>
          <w:sz w:val="20"/>
          <w:szCs w:val="20"/>
        </w:rPr>
        <w:t xml:space="preserve"> rate of 1.2% in 2021</w:t>
      </w:r>
      <w:r w:rsidR="00FB5A4D" w:rsidRPr="00435469">
        <w:rPr>
          <w:rFonts w:cs="Times New Roman"/>
          <w:bCs/>
          <w:sz w:val="20"/>
          <w:szCs w:val="20"/>
        </w:rPr>
        <w:t>.</w:t>
      </w:r>
      <w:bookmarkStart w:id="276" w:name="_Ref89600254"/>
    </w:p>
    <w:p w14:paraId="34D881B7" w14:textId="474BFF79" w:rsidR="0088476C" w:rsidRPr="00793AD1" w:rsidRDefault="00E256E8" w:rsidP="00AD6E54">
      <w:pPr>
        <w:pStyle w:val="3TableHead"/>
        <w:rPr>
          <w:sz w:val="20"/>
          <w:szCs w:val="20"/>
        </w:rPr>
      </w:pPr>
      <w:bookmarkStart w:id="277" w:name="_Ref102647289"/>
      <w:bookmarkStart w:id="278" w:name="_Toc103253670"/>
      <w:r w:rsidRPr="00793AD1">
        <w:rPr>
          <w:sz w:val="20"/>
          <w:szCs w:val="20"/>
        </w:rPr>
        <w:t xml:space="preserve">Table </w:t>
      </w:r>
      <w:r w:rsidR="00AB530B" w:rsidRPr="00793AD1">
        <w:rPr>
          <w:sz w:val="20"/>
          <w:szCs w:val="20"/>
        </w:rPr>
        <w:fldChar w:fldCharType="begin"/>
      </w:r>
      <w:r w:rsidR="00AB530B" w:rsidRPr="00793AD1">
        <w:rPr>
          <w:sz w:val="20"/>
          <w:szCs w:val="20"/>
        </w:rPr>
        <w:instrText xml:space="preserve"> SEQ Table \* ARABIC </w:instrText>
      </w:r>
      <w:r w:rsidR="00AB530B" w:rsidRPr="00793AD1">
        <w:rPr>
          <w:sz w:val="20"/>
          <w:szCs w:val="20"/>
        </w:rPr>
        <w:fldChar w:fldCharType="separate"/>
      </w:r>
      <w:r w:rsidR="00186C2F" w:rsidRPr="00793AD1">
        <w:rPr>
          <w:noProof/>
          <w:sz w:val="20"/>
          <w:szCs w:val="20"/>
        </w:rPr>
        <w:t>17</w:t>
      </w:r>
      <w:r w:rsidR="00AB530B" w:rsidRPr="00793AD1">
        <w:rPr>
          <w:noProof/>
          <w:sz w:val="20"/>
          <w:szCs w:val="20"/>
        </w:rPr>
        <w:fldChar w:fldCharType="end"/>
      </w:r>
      <w:bookmarkEnd w:id="276"/>
      <w:bookmarkEnd w:id="277"/>
      <w:r w:rsidRPr="00793AD1">
        <w:rPr>
          <w:sz w:val="20"/>
          <w:szCs w:val="20"/>
        </w:rPr>
        <w:t>: Number of HIV-infected new eligible individuals initiated on isoniazid preventative therapy by province</w:t>
      </w:r>
      <w:bookmarkEnd w:id="278"/>
      <w:r w:rsidRPr="00793AD1">
        <w:rPr>
          <w:sz w:val="20"/>
          <w:szCs w:val="20"/>
        </w:rPr>
        <w:t xml:space="preserve"> </w:t>
      </w:r>
    </w:p>
    <w:tbl>
      <w:tblPr>
        <w:tblW w:w="6165" w:type="dxa"/>
        <w:tblInd w:w="-142" w:type="dxa"/>
        <w:tblLook w:val="04A0" w:firstRow="1" w:lastRow="0" w:firstColumn="1" w:lastColumn="0" w:noHBand="0" w:noVBand="1"/>
      </w:tblPr>
      <w:tblGrid>
        <w:gridCol w:w="2694"/>
        <w:gridCol w:w="3471"/>
      </w:tblGrid>
      <w:tr w:rsidR="00BA7D40" w:rsidRPr="00793AD1" w14:paraId="3B3FB721" w14:textId="77777777" w:rsidTr="00044749">
        <w:trPr>
          <w:trHeight w:val="183"/>
        </w:trPr>
        <w:tc>
          <w:tcPr>
            <w:tcW w:w="2694" w:type="dxa"/>
            <w:tcBorders>
              <w:top w:val="single" w:sz="4" w:space="0" w:color="auto"/>
              <w:bottom w:val="single" w:sz="4" w:space="0" w:color="auto"/>
            </w:tcBorders>
            <w:shd w:val="clear" w:color="auto" w:fill="auto"/>
            <w:noWrap/>
            <w:vAlign w:val="bottom"/>
            <w:hideMark/>
          </w:tcPr>
          <w:p w14:paraId="67B0C178" w14:textId="097C121D" w:rsidR="00BA7D40" w:rsidRPr="00793AD1" w:rsidRDefault="00BA7D40" w:rsidP="00044749">
            <w:pPr>
              <w:spacing w:after="0" w:line="240" w:lineRule="auto"/>
              <w:jc w:val="center"/>
              <w:rPr>
                <w:rFonts w:eastAsia="Times New Roman" w:cs="Times New Roman"/>
                <w:b/>
                <w:bCs/>
                <w:sz w:val="16"/>
                <w:szCs w:val="16"/>
                <w:lang w:val="en-ZA" w:eastAsia="en-ZA"/>
              </w:rPr>
            </w:pPr>
            <w:r w:rsidRPr="00793AD1">
              <w:rPr>
                <w:rFonts w:eastAsia="Times New Roman" w:cs="Times New Roman"/>
                <w:b/>
                <w:bCs/>
                <w:sz w:val="16"/>
                <w:szCs w:val="16"/>
                <w:lang w:val="en-ZA" w:eastAsia="en-ZA"/>
              </w:rPr>
              <w:t>Year</w:t>
            </w:r>
          </w:p>
          <w:p w14:paraId="5CDB5D51" w14:textId="77777777" w:rsidR="008B5AE7" w:rsidRPr="00793AD1" w:rsidRDefault="008B5AE7" w:rsidP="00044749">
            <w:pPr>
              <w:spacing w:after="0" w:line="240" w:lineRule="auto"/>
              <w:jc w:val="center"/>
              <w:rPr>
                <w:rFonts w:eastAsia="Times New Roman" w:cs="Times New Roman"/>
                <w:b/>
                <w:bCs/>
                <w:sz w:val="16"/>
                <w:szCs w:val="16"/>
                <w:lang w:val="en-ZA" w:eastAsia="en-ZA"/>
              </w:rPr>
            </w:pPr>
          </w:p>
          <w:p w14:paraId="39BEE923" w14:textId="5B6FB648" w:rsidR="00BA7D40" w:rsidRPr="00793AD1" w:rsidRDefault="00BA7D40" w:rsidP="00044749">
            <w:pPr>
              <w:spacing w:after="0" w:line="240" w:lineRule="auto"/>
              <w:jc w:val="center"/>
              <w:rPr>
                <w:rFonts w:eastAsia="Times New Roman" w:cs="Times New Roman"/>
                <w:b/>
                <w:bCs/>
                <w:sz w:val="16"/>
                <w:szCs w:val="16"/>
                <w:lang w:val="en-ZA" w:eastAsia="en-ZA"/>
              </w:rPr>
            </w:pPr>
          </w:p>
        </w:tc>
        <w:tc>
          <w:tcPr>
            <w:tcW w:w="3471" w:type="dxa"/>
            <w:tcBorders>
              <w:top w:val="single" w:sz="4" w:space="0" w:color="auto"/>
              <w:bottom w:val="single" w:sz="4" w:space="0" w:color="auto"/>
            </w:tcBorders>
            <w:shd w:val="clear" w:color="auto" w:fill="auto"/>
          </w:tcPr>
          <w:p w14:paraId="3B1F7D63" w14:textId="77CFA871" w:rsidR="00BA7D40" w:rsidRPr="00793AD1" w:rsidRDefault="00BA7D40" w:rsidP="00044749">
            <w:pPr>
              <w:spacing w:after="0" w:line="240" w:lineRule="auto"/>
              <w:jc w:val="center"/>
              <w:rPr>
                <w:rFonts w:eastAsia="Times New Roman" w:cs="Times New Roman"/>
                <w:b/>
                <w:bCs/>
                <w:sz w:val="16"/>
                <w:szCs w:val="16"/>
                <w:lang w:val="en-ZA" w:eastAsia="en-ZA"/>
              </w:rPr>
            </w:pPr>
            <w:r w:rsidRPr="00793AD1">
              <w:rPr>
                <w:rFonts w:eastAsia="Times New Roman" w:cs="Times New Roman"/>
                <w:b/>
                <w:bCs/>
                <w:sz w:val="16"/>
                <w:szCs w:val="16"/>
                <w:lang w:val="en-ZA" w:eastAsia="en-ZA"/>
              </w:rPr>
              <w:t>Number of patients initiating IPT</w:t>
            </w:r>
          </w:p>
          <w:p w14:paraId="40218147" w14:textId="7D6C344E" w:rsidR="00BA7D40" w:rsidRPr="00793AD1" w:rsidRDefault="00BA7D40" w:rsidP="00044749">
            <w:pPr>
              <w:spacing w:after="0" w:line="240" w:lineRule="auto"/>
              <w:jc w:val="center"/>
              <w:rPr>
                <w:rFonts w:eastAsia="Times New Roman" w:cs="Times New Roman"/>
                <w:b/>
                <w:bCs/>
                <w:sz w:val="16"/>
                <w:szCs w:val="16"/>
                <w:lang w:val="en-ZA" w:eastAsia="en-ZA"/>
              </w:rPr>
            </w:pPr>
          </w:p>
        </w:tc>
      </w:tr>
      <w:tr w:rsidR="00BA7D40" w:rsidRPr="00793AD1" w14:paraId="4775BE41" w14:textId="77777777" w:rsidTr="00044749">
        <w:trPr>
          <w:trHeight w:val="330"/>
        </w:trPr>
        <w:tc>
          <w:tcPr>
            <w:tcW w:w="2694" w:type="dxa"/>
            <w:tcBorders>
              <w:top w:val="single" w:sz="4" w:space="0" w:color="auto"/>
            </w:tcBorders>
            <w:shd w:val="clear" w:color="auto" w:fill="auto"/>
            <w:noWrap/>
            <w:vAlign w:val="bottom"/>
            <w:hideMark/>
          </w:tcPr>
          <w:p w14:paraId="1661311A" w14:textId="747DE2F2"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2010-11</w:t>
            </w:r>
          </w:p>
        </w:tc>
        <w:tc>
          <w:tcPr>
            <w:tcW w:w="3471" w:type="dxa"/>
            <w:tcBorders>
              <w:top w:val="single" w:sz="4" w:space="0" w:color="auto"/>
            </w:tcBorders>
            <w:shd w:val="clear" w:color="auto" w:fill="auto"/>
          </w:tcPr>
          <w:p w14:paraId="5822B31D" w14:textId="77777777" w:rsidR="00BA7D40" w:rsidRPr="00793AD1" w:rsidRDefault="00BA7D40" w:rsidP="00044749">
            <w:pPr>
              <w:spacing w:after="0" w:line="240" w:lineRule="auto"/>
              <w:jc w:val="center"/>
              <w:rPr>
                <w:rFonts w:eastAsia="Times New Roman" w:cs="Times New Roman"/>
                <w:sz w:val="16"/>
                <w:szCs w:val="16"/>
                <w:lang w:val="en-ZA" w:eastAsia="en-ZA"/>
              </w:rPr>
            </w:pPr>
          </w:p>
          <w:p w14:paraId="567D18E0" w14:textId="5902B691"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244888</w:t>
            </w:r>
          </w:p>
        </w:tc>
      </w:tr>
      <w:tr w:rsidR="00BA7D40" w:rsidRPr="00793AD1" w14:paraId="66366E75" w14:textId="77777777" w:rsidTr="00044749">
        <w:trPr>
          <w:trHeight w:val="330"/>
        </w:trPr>
        <w:tc>
          <w:tcPr>
            <w:tcW w:w="2694" w:type="dxa"/>
            <w:shd w:val="clear" w:color="auto" w:fill="auto"/>
            <w:noWrap/>
            <w:vAlign w:val="bottom"/>
          </w:tcPr>
          <w:p w14:paraId="151E3120" w14:textId="3110EDBF"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2011-12</w:t>
            </w:r>
          </w:p>
        </w:tc>
        <w:tc>
          <w:tcPr>
            <w:tcW w:w="3471" w:type="dxa"/>
            <w:shd w:val="clear" w:color="auto" w:fill="auto"/>
          </w:tcPr>
          <w:p w14:paraId="51EC56AD" w14:textId="77777777" w:rsidR="00BA7D40" w:rsidRPr="00793AD1" w:rsidRDefault="00BA7D40" w:rsidP="00044749">
            <w:pPr>
              <w:spacing w:after="0" w:line="240" w:lineRule="auto"/>
              <w:jc w:val="center"/>
              <w:rPr>
                <w:rFonts w:eastAsia="Times New Roman" w:cs="Times New Roman"/>
                <w:sz w:val="16"/>
                <w:szCs w:val="16"/>
                <w:lang w:val="en-ZA" w:eastAsia="en-ZA"/>
              </w:rPr>
            </w:pPr>
          </w:p>
          <w:p w14:paraId="424F4655" w14:textId="30FFD467"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379063</w:t>
            </w:r>
          </w:p>
        </w:tc>
      </w:tr>
      <w:tr w:rsidR="00BA7D40" w:rsidRPr="00793AD1" w14:paraId="4D818656" w14:textId="77777777" w:rsidTr="00044749">
        <w:trPr>
          <w:trHeight w:val="330"/>
        </w:trPr>
        <w:tc>
          <w:tcPr>
            <w:tcW w:w="2694" w:type="dxa"/>
            <w:shd w:val="clear" w:color="auto" w:fill="auto"/>
            <w:noWrap/>
            <w:vAlign w:val="bottom"/>
          </w:tcPr>
          <w:p w14:paraId="7FBA7C8D" w14:textId="718ABFC8"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2012-13</w:t>
            </w:r>
          </w:p>
        </w:tc>
        <w:tc>
          <w:tcPr>
            <w:tcW w:w="3471" w:type="dxa"/>
            <w:shd w:val="clear" w:color="auto" w:fill="auto"/>
          </w:tcPr>
          <w:p w14:paraId="23364589" w14:textId="77777777" w:rsidR="00BA7D40" w:rsidRPr="00793AD1" w:rsidRDefault="00BA7D40" w:rsidP="00044749">
            <w:pPr>
              <w:spacing w:after="0" w:line="240" w:lineRule="auto"/>
              <w:jc w:val="center"/>
              <w:rPr>
                <w:rFonts w:eastAsia="Times New Roman" w:cs="Times New Roman"/>
                <w:sz w:val="16"/>
                <w:szCs w:val="16"/>
                <w:lang w:val="en-ZA" w:eastAsia="en-ZA"/>
              </w:rPr>
            </w:pPr>
          </w:p>
          <w:p w14:paraId="30492782" w14:textId="5D29AF48"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385338</w:t>
            </w:r>
          </w:p>
        </w:tc>
      </w:tr>
      <w:tr w:rsidR="00BA7D40" w:rsidRPr="00793AD1" w14:paraId="64EB1D91" w14:textId="77777777" w:rsidTr="00044749">
        <w:trPr>
          <w:trHeight w:val="330"/>
        </w:trPr>
        <w:tc>
          <w:tcPr>
            <w:tcW w:w="2694" w:type="dxa"/>
            <w:shd w:val="clear" w:color="auto" w:fill="auto"/>
            <w:noWrap/>
            <w:vAlign w:val="bottom"/>
          </w:tcPr>
          <w:p w14:paraId="0E5E2883" w14:textId="44BE60C2"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2013-14</w:t>
            </w:r>
          </w:p>
        </w:tc>
        <w:tc>
          <w:tcPr>
            <w:tcW w:w="3471" w:type="dxa"/>
            <w:shd w:val="clear" w:color="auto" w:fill="auto"/>
          </w:tcPr>
          <w:p w14:paraId="18DC33AC" w14:textId="77777777" w:rsidR="00BA7D40" w:rsidRPr="00793AD1" w:rsidRDefault="00BA7D40" w:rsidP="00044749">
            <w:pPr>
              <w:spacing w:after="0" w:line="240" w:lineRule="auto"/>
              <w:jc w:val="center"/>
              <w:rPr>
                <w:rFonts w:eastAsia="Times New Roman" w:cs="Times New Roman"/>
                <w:sz w:val="16"/>
                <w:szCs w:val="16"/>
                <w:lang w:val="en-ZA" w:eastAsia="en-ZA"/>
              </w:rPr>
            </w:pPr>
          </w:p>
          <w:p w14:paraId="4D44D679" w14:textId="26C619E5"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427336</w:t>
            </w:r>
          </w:p>
        </w:tc>
      </w:tr>
      <w:tr w:rsidR="00BA7D40" w:rsidRPr="00793AD1" w14:paraId="45A86556" w14:textId="77777777" w:rsidTr="00044749">
        <w:trPr>
          <w:trHeight w:val="330"/>
        </w:trPr>
        <w:tc>
          <w:tcPr>
            <w:tcW w:w="2694" w:type="dxa"/>
            <w:shd w:val="clear" w:color="auto" w:fill="auto"/>
            <w:noWrap/>
            <w:vAlign w:val="bottom"/>
          </w:tcPr>
          <w:p w14:paraId="3CCBB94F" w14:textId="4DD1E5BA"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2014-15</w:t>
            </w:r>
          </w:p>
        </w:tc>
        <w:tc>
          <w:tcPr>
            <w:tcW w:w="3471" w:type="dxa"/>
            <w:shd w:val="clear" w:color="auto" w:fill="auto"/>
          </w:tcPr>
          <w:p w14:paraId="076925DB" w14:textId="77777777" w:rsidR="00BA7D40" w:rsidRPr="00793AD1" w:rsidRDefault="00BA7D40" w:rsidP="00044749">
            <w:pPr>
              <w:spacing w:after="0" w:line="240" w:lineRule="auto"/>
              <w:jc w:val="center"/>
              <w:rPr>
                <w:rFonts w:eastAsia="Times New Roman" w:cs="Times New Roman"/>
                <w:sz w:val="16"/>
                <w:szCs w:val="16"/>
                <w:lang w:val="en-ZA" w:eastAsia="en-ZA"/>
              </w:rPr>
            </w:pPr>
          </w:p>
          <w:p w14:paraId="6E90DE31" w14:textId="673C17C7"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422541</w:t>
            </w:r>
          </w:p>
        </w:tc>
      </w:tr>
      <w:tr w:rsidR="00BA7D40" w:rsidRPr="00793AD1" w14:paraId="02FFEECF" w14:textId="77777777" w:rsidTr="00044749">
        <w:trPr>
          <w:trHeight w:val="330"/>
        </w:trPr>
        <w:tc>
          <w:tcPr>
            <w:tcW w:w="2694" w:type="dxa"/>
            <w:shd w:val="clear" w:color="auto" w:fill="auto"/>
            <w:noWrap/>
            <w:vAlign w:val="bottom"/>
          </w:tcPr>
          <w:p w14:paraId="3A43F633" w14:textId="759F50DA"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2015-16</w:t>
            </w:r>
          </w:p>
        </w:tc>
        <w:tc>
          <w:tcPr>
            <w:tcW w:w="3471" w:type="dxa"/>
            <w:shd w:val="clear" w:color="auto" w:fill="auto"/>
          </w:tcPr>
          <w:p w14:paraId="34CFD275" w14:textId="77777777" w:rsidR="00BA7D40" w:rsidRPr="00793AD1" w:rsidRDefault="00BA7D40" w:rsidP="00044749">
            <w:pPr>
              <w:spacing w:after="0" w:line="240" w:lineRule="auto"/>
              <w:jc w:val="center"/>
              <w:rPr>
                <w:rFonts w:eastAsia="Times New Roman" w:cs="Times New Roman"/>
                <w:sz w:val="16"/>
                <w:szCs w:val="16"/>
                <w:lang w:val="en-ZA" w:eastAsia="en-ZA"/>
              </w:rPr>
            </w:pPr>
          </w:p>
          <w:p w14:paraId="5C48D3E6" w14:textId="479EDEA2"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385007</w:t>
            </w:r>
          </w:p>
        </w:tc>
      </w:tr>
      <w:tr w:rsidR="00BA7D40" w:rsidRPr="00793AD1" w14:paraId="0586FC07" w14:textId="77777777" w:rsidTr="00044749">
        <w:trPr>
          <w:trHeight w:val="330"/>
        </w:trPr>
        <w:tc>
          <w:tcPr>
            <w:tcW w:w="2694" w:type="dxa"/>
            <w:tcBorders>
              <w:bottom w:val="single" w:sz="4" w:space="0" w:color="auto"/>
            </w:tcBorders>
            <w:shd w:val="clear" w:color="auto" w:fill="auto"/>
            <w:noWrap/>
            <w:vAlign w:val="bottom"/>
          </w:tcPr>
          <w:p w14:paraId="7F1C0014" w14:textId="3964DFE8"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2016-17</w:t>
            </w:r>
          </w:p>
        </w:tc>
        <w:tc>
          <w:tcPr>
            <w:tcW w:w="3471" w:type="dxa"/>
            <w:tcBorders>
              <w:bottom w:val="single" w:sz="4" w:space="0" w:color="auto"/>
            </w:tcBorders>
            <w:shd w:val="clear" w:color="auto" w:fill="auto"/>
          </w:tcPr>
          <w:p w14:paraId="620A4045" w14:textId="77777777" w:rsidR="00BA7D40" w:rsidRPr="00793AD1" w:rsidRDefault="00BA7D40" w:rsidP="00044749">
            <w:pPr>
              <w:spacing w:after="0" w:line="240" w:lineRule="auto"/>
              <w:jc w:val="center"/>
              <w:rPr>
                <w:rFonts w:eastAsia="Times New Roman" w:cs="Times New Roman"/>
                <w:sz w:val="16"/>
                <w:szCs w:val="16"/>
                <w:lang w:val="en-ZA" w:eastAsia="en-ZA"/>
              </w:rPr>
            </w:pPr>
          </w:p>
          <w:p w14:paraId="703C004A" w14:textId="043E3880" w:rsidR="00BA7D40" w:rsidRPr="00793AD1" w:rsidRDefault="00BA7D40" w:rsidP="00044749">
            <w:pPr>
              <w:spacing w:after="0" w:line="240" w:lineRule="auto"/>
              <w:jc w:val="center"/>
              <w:rPr>
                <w:rFonts w:eastAsia="Times New Roman" w:cs="Times New Roman"/>
                <w:sz w:val="16"/>
                <w:szCs w:val="16"/>
                <w:lang w:val="en-ZA" w:eastAsia="en-ZA"/>
              </w:rPr>
            </w:pPr>
            <w:r w:rsidRPr="00793AD1">
              <w:rPr>
                <w:rFonts w:eastAsia="Times New Roman" w:cs="Times New Roman"/>
                <w:sz w:val="16"/>
                <w:szCs w:val="16"/>
                <w:lang w:val="en-ZA" w:eastAsia="en-ZA"/>
              </w:rPr>
              <w:t>396915</w:t>
            </w:r>
          </w:p>
        </w:tc>
      </w:tr>
    </w:tbl>
    <w:p w14:paraId="21E3AB1A" w14:textId="64652D93" w:rsidR="00283E74" w:rsidRPr="00793AD1" w:rsidRDefault="00283E74" w:rsidP="00955FFB">
      <w:pPr>
        <w:pStyle w:val="NoSpacing"/>
        <w:spacing w:after="240"/>
        <w:rPr>
          <w:sz w:val="20"/>
          <w:szCs w:val="20"/>
        </w:rPr>
      </w:pPr>
      <w:r w:rsidRPr="00793AD1">
        <w:rPr>
          <w:sz w:val="20"/>
          <w:szCs w:val="20"/>
        </w:rPr>
        <w:t>Source: District Health Information System</w:t>
      </w:r>
    </w:p>
    <w:p w14:paraId="5FF17593" w14:textId="77777777" w:rsidR="00E256E8" w:rsidRPr="00435469" w:rsidRDefault="00E256E8" w:rsidP="00955FFB">
      <w:pPr>
        <w:pStyle w:val="Heading3"/>
        <w:rPr>
          <w:rFonts w:cs="Times New Roman"/>
          <w:iCs/>
          <w:color w:val="auto"/>
          <w:sz w:val="20"/>
          <w:szCs w:val="20"/>
        </w:rPr>
      </w:pPr>
      <w:bookmarkStart w:id="279" w:name="_Toc80352155"/>
      <w:bookmarkStart w:id="280" w:name="_Toc87863349"/>
      <w:bookmarkStart w:id="281" w:name="_Toc88488580"/>
      <w:bookmarkStart w:id="282" w:name="_Toc89683410"/>
      <w:bookmarkStart w:id="283" w:name="_Toc103252948"/>
      <w:r w:rsidRPr="00435469">
        <w:rPr>
          <w:rFonts w:cs="Times New Roman"/>
          <w:color w:val="auto"/>
          <w:sz w:val="20"/>
          <w:szCs w:val="20"/>
        </w:rPr>
        <w:t>Isoniazid preventative therapy completion/drop-out</w:t>
      </w:r>
      <w:bookmarkEnd w:id="279"/>
      <w:bookmarkEnd w:id="280"/>
      <w:bookmarkEnd w:id="281"/>
      <w:bookmarkEnd w:id="282"/>
      <w:bookmarkEnd w:id="283"/>
    </w:p>
    <w:p w14:paraId="4D3878F2" w14:textId="036539B7" w:rsidR="00E256E8" w:rsidRPr="00435469" w:rsidRDefault="00E256E8" w:rsidP="00955FFB">
      <w:pPr>
        <w:spacing w:before="100" w:beforeAutospacing="1" w:after="100" w:afterAutospacing="1" w:line="240" w:lineRule="auto"/>
        <w:rPr>
          <w:rFonts w:cs="Times New Roman"/>
          <w:sz w:val="20"/>
          <w:szCs w:val="20"/>
        </w:rPr>
      </w:pPr>
      <w:r w:rsidRPr="00435469">
        <w:rPr>
          <w:rFonts w:cs="Times New Roman"/>
          <w:sz w:val="20"/>
          <w:szCs w:val="20"/>
        </w:rPr>
        <w:t xml:space="preserve">Based on the Southern African studies assessing completion over six months of treatment and the reported completion proportions, IPT drop-out ranged between 6% - 37%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{"citationItems":[{"id":"ITEM-1","itemData":{"DOI":"10.5588/ijtld.16.0775","ISSN":"18157920","abstract":"SETTING: Urban clinical research site in Durban, South Africa. OBJECTIVE : To describe outcomes associated with the implementation of isoniazid preventive therapy (IPT) in a cohort of tuberculosis (TB) treatment-experienced human immunodeficiency virus (HIV) infected patients on antiretroviral therapy (ART). DESIGN: We conducted a secondary analysis of data collected between October 2009 and October 2013 from patients enrolled in a prospective cohort study conducted in Durban, South Africa. RESULTS : Of the 402 patients enrolled in the parent study, 344 (85.6%) were eligible for IPT, 212 of whom (61.6%) initiated IPT. Of those who initiated IPT, 184 (86.8%) completed the 6-month course, while 24 (11.3%) permanently discontinued IPT, 3.8% of whom due to side effects. More women than men initiated IPT (n=130, 61.3% vs. n=82, 38.7%, P=0.001). Overall median adherence to IPTwas 97.6% (interquartile range 94.2-99.4). There were 22 cases of incident TB in this cohort: 13 occurred before IPT and 9 after (incidence rate ratio 0.67, 95%CI 0.29-1.58, P = 0.362). CONCLUSIONS : IPT implementation among ART and TB treatment-experienced patients was well tolerated, with good completion rates and fewer TB cases diagnosed after IPT.","author":[{"dropping-particle":"","family":"Maharaj","given":"B.","non-dropping-particle":"","parse-names":false,"suffix":""},{"dropping-particle":"","family":"Gengiah","given":"T. N.","non-dropping-particle":"","parse-names":false,"suffix":""},{"dropping-particle":"","family":"Yende-Zuma","given":"N.","non-dropping-particle":"","parse-names":false,"suffix":""},{"dropping-particle":"","family":"Gengiah","given":"S.","non-dropping-particle":"","parse-names":false,"suffix":""},{"dropping-particle":"","family":"Naidoo","given":"A.","non-dropping-particle":"","parse-names":false,"suffix":""},{"dropping-particle":"","family":"Naidoo","given":"K.","non-dropping-particle":"","parse-names":false,"suffix":""}],"container-title":"International Journal of Tuberculosis and Lung Disease","id":"ITEM-1","issue":"5","issued":{"date-parts":[["2017"]]},"page":"537-543","title":"Implementing isoniazid preventive therapy in a tuberculosis treatment-experienced cohort on ART","type":"article-journal","volume":"21"},"uris":["http://www.mendeley.com/documents/?uuid=1bb21292-4495-49fc-b931-2690fbe4c5a5","http://www.mendeley.com/documents/?uuid=e095781e-99ce-4201-9a4a-c5bce56c5a6b"]},{"id":"ITEM-2","itemData":{"ISSN":"03782255","author":[{"dropping-particle":"","family":"Takarinda","given":"K. C.","non-dropping-particle":"","parse-names":false,"suffix":""},{"dropping-particle":"","family":"Choto","given":"R. C.","non-dropping-particle":"","parse-names":false,"suffix":""},{"dropping-particle":"","family":"Harries","given":"A. D.","non-dropping-particle":"","parse-names":false,"suffix":""},{"dropping-particle":"","family":"Mutasa-Apollo","given":"T.","non-dropping-particle":"","parse-names":false,"suffix":""},{"dropping-particle":"","family":"Chakanyuka-Musanhu","given":"","non-dropping-particle":"","parse-names":false,"suffix":""}],"container-title":"Public health Action","id":"ITEM-2","issue":"1","issued":{"date-parts":[["2017"]]},"page":"55–60","title":"Routine implementation of isoniazid preventive therapy in HIV-infected patients in seven pilot sites in Zimbabwe","type":"article-journal","volume":"7"},"uris":["http://www.mendeley.com/documents/?uuid=02d9a5ea-4ac2-4ef7-b31b-52639b1ec305","http://www.mendeley.com/documents/?uuid=78ee7f17-f82a-4782-a9d8-b0d170cd4b26"]},{"id":"ITEM-3","itemData":{"DOI":"10.1371/journal.pone.0223076","ISBN":"1111111111","ISSN":"19326203","abstract":"Setting Four primary health care clinics providing tuberculosis (TB) and Human Immunodeficiency Virus care services in Bulawayo, Zimbabwe. Objectives To assess isoniazid preventive therapy (IPT) initiation and completion, factors associated with IPT uptake and incidence of TB, and TB and antiretroviral treatment (ART) outcomes among people living with HIV (PLHIV). Design This was a cohort study using routine data in the records for PLHIV initiated on ART from October 2013 to March 2014 with 31 December 2017 as the end of the follow-up period. Results A total of 408 PLHIV were eligible for IPT, 214 (52%) were initiated on IPT and 201 (94%) completed IPT. No person in the IPT-initiated group developed Tuberculosis (TB). Six persons with TB were reported among the non-IPT-initiated group leading to an incidence of 9 cases/1,000 person-years of follow-up. About 70% of those who developed and were treated for TB had a successful TB treatment outcome. The survival on ART at four years of follow-up was 88% among the IPT-initiated PLHIV that was significantly higher than the 75% survival in the group not- initiated on IPT. Conclusion The study revealed low IPT initiation among eligible PLHIV who, if started on IPT, completed the six month regimen. TB was reported only among the PLHIV not-initiated on IPT and the four year ART survival was higher in the IPT-initiated group than in the non-initiated group. These findings reinforce the need to strengthen IPT uptake among PLHIV in Bulawayo.","author":[{"dropping-particle":"","family":"Nyathi","given":"Saziso","non-dropping-particle":"","parse-names":false,"suffix":""},{"dropping-particle":"","family":"Dlodlo","given":"Riitta A.","non-dropping-particle":"","parse-names":false,"suffix":""},{"dropping-particle":"","family":"Satyanarayana","given":"Srinath","non-dropping-particle":"","parse-names":false,"suffix":""},{"dropping-particle":"","family":"Takarinda","given":"Kudakwashe C.","non-dropping-particle":"","parse-names":false,"suffix":""},{"dropping-particle":"","family":"Tweya","given":"Hannock","non-dropping-particle":"","parse-names":false,"suffix":""},{"dropping-particle":"","family":"Hove","given":"Sithokozile","non-dropping-particle":"","parse-names":false,"suffix":""},{"dropping-particle":"","family":"Matambo","given":"Ronnie","non-dropping-particle":"","parse-names":false,"suffix":""},{"dropping-particle":"","family":"Mandewo","given":"Winnie","non-dropping-particle":"","parse-names":false,"suffix":""},{"dropping-particle":"","family":"Nyathi","given":"Khulamuzi","non-dropping-particle":"","parse-names":false,"suffix":""},{"dropping-particle":"","family":"Sibanda","given":"Edwin","non-dropping-particle":"","parse-names":false,"suffix":""},{"dropping-particle":"","family":"Harries","given":"Anthony D.","non-dropping-particle":"","parse-names":false,"suffix":""}],"container-title":"PLoS ONE","id":"ITEM-3","issue":"10","issued":{"date-parts":[["2019"]]},"page":"1-12","title":"Isoniazid preventive therapy: Uptake, incidence of tuberculosis and survival among people living with HIV in Bulawayo, Zimbabwe","type":"article-journal","volume":"14"},"uris":["http://www.mendeley.com/documents/?uuid=1403c54a-190e-4650-830f-74aed8766a00","http://www.mendeley.com/documents/?uuid=cd646560-6ab8-4cba-81fa-5845b3692a0c"]},{"id":"ITEM-4","itemData":{"DOI":"10.7196/SAMJ.2016.v106i11.10741","ISSN":"20785135","abstract":"Background. The researchers identified infection with HIV as the strongest risk factor in the reactivation of latent tuberculosis (TB) infection or progression to active disease. Isoniazid preventive therapy (IPT) is one of the interventions recommended by the World Health Organization and the South African (SA) National Department of Health to prevent progression to active TB disease in people living with HIV. Adherence to IPT is therefore the responsibility of healthcare clients and clinicians. Objectives. To describe the incidence of TB among clients who received IPT, rates of completing and not completing IPT among those who started it, and the reasons for non-completion. Methods. A quantitative, non-experimental, descriptive retrospective cohort study was undertaken. The clinic records of 104 HIV-positive adults receiving care at a clinic in SA who started IPT between 1 July 2010 and 30 November 2011 were analysed. Results. Sixty-six of 104 study respondents (63.5%) completed the IPT course. None of the respondents who completed IPT was diagnosed with TB, and 86.8% of the respondents who did not complete the programme did so because of the poor quality of healthcare they received, and not by their own choice. Conclusion. The study results strengthened the findings of similar local and international studies that IPT is advantageous in the prevention of TB. The finding that so many patients did not complete the programme as a result of drug dispensing or prescription problems is alarming, and revealed a major shortcoming in the healthcare system.","author":[{"dropping-particle":"","family":"Okoli","given":"E. I.","non-dropping-particle":"","parse-names":false,"suffix":""},{"dropping-particle":"","family":"Roets","given":"L.","non-dropping-particle":"","parse-names":false,"suffix":""}],"container-title":"South African Medical Journal","id":"ITEM-4","issue":"11","issued":{"date-parts":[["2016"]]},"page":"1079-1081","title":"Health system challenges: An obstacle to the success of isoniazid preventive therapy","type":"article-journal","volume":"106"},"uris":["http://www.mendeley.com/documents/?uuid=40274a71-88ad-4e4a-a504-b2ac17546955","http://www.mendeley.com/documents/?uuid=0a3f943b-22a3-44f7-832f-6b68bede00b6"]},{"id":"ITEM-5","itemData":{"DOI":"10.1136/bmjopen-2019-029058","ISSN":"20446055","abstract":"Objectives Isoniazid preventive therapy (IPT), for people living with HIV (PLHIV) is the proven and recommended intervention to avert tuberculosis (TB). In 2015, Nepal implemented 6 months of IPT for all PLHIV registered for HIV care in antiretroviral therapy (ART) centres. After programmatic implementation, there has been no systematic assessment of IPT initiation and completion rates among PLHIV. We aimed to assess IPT initiation and completion rates in the Far-Western Region (FWR) of Nepal. Design We conducted a retrospective cohort study using secondary data extracted from registers maintained at ART centres. Setting All 11 ART centres in the FWR of Nepal. Participants All PLHIV registered for care between January 2016 and December 2017 in 11 ART centres. Primary outcome measures IPT initiation and completion rates were summarised as percentages with 95% CI. Independent association between patient characteristics and non-initiation of IPT was assessed using cluster-Adjusted generalised linear model (log binomial regression) and adjusted relative risk (RR) with 95% CI was calculated. Result Of the 492 PLHIV included, 477 (97.0%) did not have active TB at registration. Among 477 without active TB, 141 (29.8%, 95% CI 25.7% to 34.1%) had been initiated on IPT and 85 (17.8%) were initiated within 3 months of registration. Of 141 initiated on IPT, 133 (94.3%, 95% CI 89.1% to 97.5%) had completed 6 months of IPT. Being more than 60 years of age (RR-1.3, 95% CI 1.1 to 1.7), migrant worker (RR-1.3, 95% CI 1.1 to 1.4) and not being initiated on ART (RR-1.4, 95% CI 1.1 to 1.8) were significantly associated with IPT initiation. Conclusions In FWR of Nepal, three out of 10 eligible PLHIV had received IPT. Among those who have received IPT, the completion rate was good. The HIV care programme needs to explore the potential reasons for this low coverage and take context specific corrective action to fix this gap.","author":[{"dropping-particle":"","family":"Dhungana","given":"Govinda Prasad","non-dropping-particle":"","parse-names":false,"suffix":""},{"dropping-particle":"","family":"Thekkur","given":"Pruthu","non-dropping-particle":"","parse-names":false,"suffix":""},{"dropping-particle":"","family":"Chinnakali","given":"Palanivel","non-dropping-particle":"","parse-names":false,"suffix":""},{"dropping-particle":"","family":"Bhatta","given":"Usha","non-dropping-particle":"","parse-names":false,"suffix":""},{"dropping-particle":"","family":"Pandey","given":"Basudev","non-dropping-particle":"","parse-names":false,"suffix":""},{"dropping-particle":"","family":"Zhang","given":"Wei Hong","non-dropping-particle":"","parse-names":false,"suffix":""}],"container-title":"BMJ Open","id":"ITEM-5","issue":"5","issued":{"date-parts":[["2019"]]},"page":"1-9","title":"Initiation and completion rates of isoniazid preventive therapy among people living with HIV in Far-Western Region of Nepal: A retrospective cohort study","type":"article-journal","volume":"9"},"uris":["http://www.mendeley.com/documents/?uuid=da4f9e45-eadf-459a-af87-429831aa7194","http://www.mendeley.com/documents/?uuid=d11c5b32-5ccb-4eb7-81d2-4df62bdfc9fa"]}],"mendeley":{"formattedCitation":"(109–113)","plainTextFormattedCitation":"(109–113)","previouslyFormattedCitation":"(109–113)"},"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(109–113)</w:t>
      </w:r>
      <w:r w:rsidRPr="00435469">
        <w:rPr>
          <w:rFonts w:cs="Times New Roman"/>
          <w:sz w:val="20"/>
          <w:szCs w:val="20"/>
        </w:rPr>
        <w:fldChar w:fldCharType="end"/>
      </w:r>
      <w:r w:rsidRPr="00435469">
        <w:rPr>
          <w:rFonts w:cs="Times New Roman"/>
          <w:sz w:val="20"/>
          <w:szCs w:val="20"/>
        </w:rPr>
        <w:t xml:space="preserve">.  By taking the median of the five studies, 13.2%, the drop-out rate over six months is roughly ~0.024 per month. </w:t>
      </w:r>
      <w:r w:rsidRPr="00435469">
        <w:rPr>
          <w:rFonts w:cs="Times New Roman"/>
          <w:iCs/>
          <w:sz w:val="20"/>
          <w:szCs w:val="20"/>
        </w:rPr>
        <w:t>The recommendations for IPT eligibility have changed over time. For the years between 2010 and 2012, we assume six months; from 2013, we assume 36 months.</w:t>
      </w:r>
      <w:r w:rsidRPr="00435469">
        <w:rPr>
          <w:rFonts w:cs="Times New Roman"/>
          <w:sz w:val="20"/>
          <w:szCs w:val="20"/>
        </w:rPr>
        <w:t xml:space="preserve"> Using the 0.024</w:t>
      </w:r>
      <w:r w:rsidR="00867B79" w:rsidRPr="00435469">
        <w:rPr>
          <w:rFonts w:cs="Times New Roman"/>
          <w:sz w:val="20"/>
          <w:szCs w:val="20"/>
        </w:rPr>
        <w:t xml:space="preserve"> dropout</w:t>
      </w:r>
      <w:r w:rsidRPr="00435469">
        <w:rPr>
          <w:rFonts w:cs="Times New Roman"/>
          <w:sz w:val="20"/>
          <w:szCs w:val="20"/>
        </w:rPr>
        <w:t xml:space="preserve"> rate per month, the average net time on IPT is then 5.2 months = </w:t>
      </w:r>
      <w:r w:rsidR="00FC2AFB" w:rsidRPr="00435469">
        <w:rPr>
          <w:rFonts w:cs="Times New Roman"/>
          <w:sz w:val="20"/>
          <w:szCs w:val="20"/>
        </w:rPr>
        <w:t>(</w:t>
      </w:r>
      <w:r w:rsidRPr="00435469">
        <w:rPr>
          <w:rFonts w:cs="Times New Roman"/>
          <w:sz w:val="20"/>
          <w:szCs w:val="20"/>
        </w:rPr>
        <w:t>1</w:t>
      </w:r>
      <w:proofErr w:type="gramStart"/>
      <w:r w:rsidRPr="00435469">
        <w:rPr>
          <w:rFonts w:cs="Times New Roman"/>
          <w:sz w:val="20"/>
          <w:szCs w:val="20"/>
        </w:rPr>
        <w:t>/(</w:t>
      </w:r>
      <w:proofErr w:type="gramEnd"/>
      <w:r w:rsidRPr="00435469">
        <w:rPr>
          <w:rFonts w:cs="Times New Roman"/>
          <w:sz w:val="20"/>
          <w:szCs w:val="20"/>
        </w:rPr>
        <w:t>0.024  + 1/6)</w:t>
      </w:r>
      <w:r w:rsidR="00FC2AFB" w:rsidRPr="00435469">
        <w:rPr>
          <w:rFonts w:cs="Times New Roman"/>
          <w:sz w:val="20"/>
          <w:szCs w:val="20"/>
        </w:rPr>
        <w:t>)</w:t>
      </w:r>
      <w:r w:rsidR="00867B79" w:rsidRPr="00435469">
        <w:rPr>
          <w:rFonts w:cs="Times New Roman"/>
          <w:sz w:val="20"/>
          <w:szCs w:val="20"/>
        </w:rPr>
        <w:t xml:space="preserve"> in the period up to 2012</w:t>
      </w:r>
      <w:r w:rsidRPr="00435469">
        <w:rPr>
          <w:rFonts w:cs="Times New Roman"/>
          <w:sz w:val="20"/>
          <w:szCs w:val="20"/>
        </w:rPr>
        <w:t>.</w:t>
      </w:r>
      <w:r w:rsidRPr="00435469">
        <w:rPr>
          <w:rFonts w:cs="Times New Roman"/>
          <w:iCs/>
          <w:sz w:val="20"/>
          <w:szCs w:val="20"/>
        </w:rPr>
        <w:t xml:space="preserve"> Similarly, after 2012 we assume the average time on IPT is 19.3 months </w:t>
      </w:r>
      <w:r w:rsidR="00FC2AFB" w:rsidRPr="00435469">
        <w:rPr>
          <w:rFonts w:cs="Times New Roman"/>
          <w:iCs/>
          <w:sz w:val="20"/>
          <w:szCs w:val="20"/>
        </w:rPr>
        <w:t>(</w:t>
      </w:r>
      <w:r w:rsidRPr="00435469">
        <w:rPr>
          <w:rFonts w:cs="Times New Roman"/>
          <w:iCs/>
          <w:sz w:val="20"/>
          <w:szCs w:val="20"/>
        </w:rPr>
        <w:t>1</w:t>
      </w:r>
      <w:proofErr w:type="gramStart"/>
      <w:r w:rsidRPr="00435469">
        <w:rPr>
          <w:rFonts w:cs="Times New Roman"/>
          <w:iCs/>
          <w:sz w:val="20"/>
          <w:szCs w:val="20"/>
        </w:rPr>
        <w:t>/(</w:t>
      </w:r>
      <w:proofErr w:type="gramEnd"/>
      <w:r w:rsidRPr="00435469">
        <w:rPr>
          <w:rFonts w:cs="Times New Roman"/>
          <w:iCs/>
          <w:sz w:val="20"/>
          <w:szCs w:val="20"/>
        </w:rPr>
        <w:t>0.024 + 1/36)</w:t>
      </w:r>
      <w:r w:rsidR="00FC2AFB" w:rsidRPr="00435469">
        <w:rPr>
          <w:rFonts w:cs="Times New Roman"/>
          <w:iCs/>
          <w:sz w:val="20"/>
          <w:szCs w:val="20"/>
        </w:rPr>
        <w:t>)</w:t>
      </w:r>
      <w:r w:rsidRPr="00435469">
        <w:rPr>
          <w:rFonts w:cs="Times New Roman"/>
          <w:iCs/>
          <w:sz w:val="20"/>
          <w:szCs w:val="20"/>
        </w:rPr>
        <w:t>.</w:t>
      </w:r>
      <w:bookmarkStart w:id="284" w:name="_Ref62084104"/>
      <w:r w:rsidR="00654694" w:rsidRPr="00435469">
        <w:rPr>
          <w:rFonts w:cs="Times New Roman"/>
          <w:iCs/>
          <w:sz w:val="20"/>
          <w:szCs w:val="20"/>
        </w:rPr>
        <w:t xml:space="preserve"> </w:t>
      </w:r>
    </w:p>
    <w:p w14:paraId="0A84AF03" w14:textId="77777777" w:rsidR="00E256E8" w:rsidRPr="00435469" w:rsidRDefault="00E256E8" w:rsidP="00955FFB">
      <w:pPr>
        <w:pStyle w:val="Heading3"/>
        <w:rPr>
          <w:rFonts w:cs="Times New Roman"/>
          <w:iCs/>
          <w:color w:val="auto"/>
          <w:sz w:val="20"/>
          <w:szCs w:val="20"/>
        </w:rPr>
      </w:pPr>
      <w:bookmarkStart w:id="285" w:name="_Toc80352156"/>
      <w:bookmarkStart w:id="286" w:name="_Toc87863350"/>
      <w:bookmarkStart w:id="287" w:name="_Toc88488581"/>
      <w:bookmarkStart w:id="288" w:name="_Toc89683411"/>
      <w:bookmarkStart w:id="289" w:name="_Toc103252949"/>
      <w:bookmarkEnd w:id="284"/>
      <w:r w:rsidRPr="00435469">
        <w:rPr>
          <w:rFonts w:cs="Times New Roman"/>
          <w:iCs/>
          <w:color w:val="auto"/>
          <w:sz w:val="20"/>
          <w:szCs w:val="20"/>
        </w:rPr>
        <w:t>Effectiveness of i</w:t>
      </w:r>
      <w:r w:rsidRPr="00435469">
        <w:rPr>
          <w:rFonts w:cs="Times New Roman"/>
          <w:color w:val="auto"/>
          <w:sz w:val="20"/>
          <w:szCs w:val="20"/>
        </w:rPr>
        <w:t>soniazid preventative therapy</w:t>
      </w:r>
      <w:bookmarkEnd w:id="285"/>
      <w:bookmarkEnd w:id="286"/>
      <w:bookmarkEnd w:id="287"/>
      <w:bookmarkEnd w:id="288"/>
      <w:bookmarkEnd w:id="289"/>
    </w:p>
    <w:p w14:paraId="4C55FF22" w14:textId="391A0FCF" w:rsidR="00EE5D9B" w:rsidRPr="00435469" w:rsidRDefault="00E256E8" w:rsidP="00955FFB">
      <w:pPr>
        <w:pStyle w:val="1Para"/>
        <w:spacing w:line="240" w:lineRule="auto"/>
        <w:ind w:firstLine="0"/>
        <w:rPr>
          <w:sz w:val="20"/>
          <w:szCs w:val="20"/>
        </w:rPr>
      </w:pPr>
      <w:r w:rsidRPr="00435469">
        <w:rPr>
          <w:sz w:val="20"/>
          <w:szCs w:val="20"/>
        </w:rPr>
        <w:t xml:space="preserve">We set the effectiveness of IPT at 52%, based on the estimated RR of 0.48 (95% CI 0.29 – 0.82) among LTBI individuals (those with a positive TST) in the meta-analysis by </w:t>
      </w:r>
      <w:proofErr w:type="spellStart"/>
      <w:r w:rsidRPr="00435469">
        <w:rPr>
          <w:sz w:val="20"/>
          <w:szCs w:val="20"/>
        </w:rPr>
        <w:t>Ayele</w:t>
      </w:r>
      <w:proofErr w:type="spellEnd"/>
      <w:r w:rsidRPr="00435469">
        <w:rPr>
          <w:sz w:val="20"/>
          <w:szCs w:val="20"/>
        </w:rPr>
        <w:t xml:space="preserve"> </w:t>
      </w:r>
      <w:r w:rsidRPr="00435469">
        <w:rPr>
          <w:i/>
          <w:sz w:val="20"/>
          <w:szCs w:val="20"/>
        </w:rPr>
        <w:t>et al.</w:t>
      </w:r>
      <w:r w:rsidRPr="00435469">
        <w:rPr>
          <w:sz w:val="20"/>
          <w:szCs w:val="20"/>
        </w:rPr>
        <w:t xml:space="preserve"> </w:t>
      </w:r>
      <w:r w:rsidRPr="00435469">
        <w:rPr>
          <w:sz w:val="20"/>
          <w:szCs w:val="20"/>
        </w:rPr>
        <w:fldChar w:fldCharType="begin" w:fldLock="1"/>
      </w:r>
      <w:r w:rsidR="00A142FF" w:rsidRPr="00435469">
        <w:rPr>
          <w:sz w:val="20"/>
          <w:szCs w:val="20"/>
        </w:rPr>
        <w:instrText>ADDIN CSL_CITATION {"citationItems":[{"id":"ITEM-1","itemData":{"DOI":"10.1371/journal.pone.0142290","ISSN":"19326203","PMID":"26551023","abstract":"Background Infection with Human Immunodeficiency virus (HIV) is an important risk factor for Tuberculosis (TB). Anti-Retroviral Therapy (ART) has improved the prognosis of HIV and reduced the risk of TB infected patients. Isoniazid Preventive Therapy (IPT) aims to reduce the development of active TB in patients with latent TB. Objective Systematically review and synthesize effect estimates of IPT for TB prevention in adult HIV patients. Secondary objectives were to assess the effect of IPT on HIV disease progression, all-cause mortality and adverse drug reaction (ADR). Search Strategy Electronic databases were searched to identify relevant articles in English available by September 11th 2015. Selection Criteria Research articles comparing IPT to placebo or no treatment in HIV infected adults using randomized clinical trials. Data Analysis A qualitative review included study-level information on randomization and treatment allocation. Effect estimates were pooled using random-effects models to account for betweenstudy heterogeneity. Main Results This review assessed ten randomized clinical trials that assigned 7619 HIV patients to IPT or placebo. An overall 35% of TB risk reduction (RR = 0.65, 95% CI (0.51, 0.84)) was found in all participants, however, larger benefit of IPT was observed in Tuberculin Skin Test (TST) positive participants, with pooled relative risk reduction of 52% [RR = 0.48; 95% CI (0.29, 0.82)] and with a prediction interval ranging from 0.13 to 1.81. There was no statistically significant effect of IPT on TB occurrence in TST negative or unknown participants. IPT also reduced the risk of HIV disease progression in all participants (RR = 0.69; 95% CI (0.48, 0.99)) despite no benefits observed in TST strata. All-cause mortality was not affected by IPT although participants who had 12 months of IPT tend to have a reduced risk (RR = 0.65; 95% CI(0.47, 0.90)). IPT had an elevated, yet statistically non-significant, risk of adverse drug reaction [RR = 1.20; 95% CI (1.20, 1.71)]. Only a single study assessed the effect of IPT in combination with ART in preventing TB and occurrence of multi-drug resistant tuberculosis. Conclusions IPT use substantially contributes in preventing TB in persons with HIV in general and in TST positive individuals in particular. More evidence is needed to explain discrepancies in the protective effect of IPT in these individuals.","author":[{"dropping-particle":"","family":"Ayele","given":"Henok Tadesse","non-dropping-particle":"","parse-names":false,"suffix":""},{"dropping-particle":"","family":"Mourik","given":"Maaike S.M.","non-dropping-particle":"Van","parse-names":false,"suffix":""},{"dropping-particle":"","family":"Debray","given":"Thomas P.A.","non-dropping-particle":"","parse-names":false,"suffix":""},{"dropping-particle":"","family":"Bonten","given":"Marc J.M.","non-dropping-particle":"","parse-names":false,"suffix":""}],"container-title":"PLoS ONE","id":"ITEM-1","issue":"11","issued":{"date-parts":[["2015"]]},"page":"1-16","title":"Isoniazid prophylactic therapy for the prevention of tuberculosis in HIV infected adults: A systematic review and meta-analysis of randomized trials","type":"article-journal","volume":"10"},"uris":["http://www.mendeley.com/documents/?uuid=fa55f64c-123a-47e7-98bc-bc3f7bb5c05e"]}],"mendeley":{"formattedCitation":"(114)","plainTextFormattedCitation":"(114)","previouslyFormattedCitation":"(114)"},"properties":{"noteIndex":0},"schema":"https://github.com/citation-style-language/schema/raw/master/csl-citation.json"}</w:instrText>
      </w:r>
      <w:r w:rsidRPr="00435469">
        <w:rPr>
          <w:sz w:val="20"/>
          <w:szCs w:val="20"/>
        </w:rPr>
        <w:fldChar w:fldCharType="separate"/>
      </w:r>
      <w:r w:rsidR="0016391D" w:rsidRPr="00435469">
        <w:rPr>
          <w:noProof/>
          <w:sz w:val="20"/>
          <w:szCs w:val="20"/>
        </w:rPr>
        <w:t>(114)</w:t>
      </w:r>
      <w:r w:rsidRPr="00435469">
        <w:rPr>
          <w:sz w:val="20"/>
          <w:szCs w:val="20"/>
        </w:rPr>
        <w:fldChar w:fldCharType="end"/>
      </w:r>
      <w:r w:rsidRPr="00435469">
        <w:rPr>
          <w:sz w:val="20"/>
          <w:szCs w:val="20"/>
        </w:rPr>
        <w:t xml:space="preserve">. However, among individuals with no LTBI (negative TST), the effect of IPT was inconclusive (RR 0.79 [95% CI 0.58 – 1.08]) </w:t>
      </w:r>
      <w:r w:rsidRPr="00435469">
        <w:rPr>
          <w:sz w:val="20"/>
          <w:szCs w:val="20"/>
        </w:rPr>
        <w:fldChar w:fldCharType="begin" w:fldLock="1"/>
      </w:r>
      <w:r w:rsidR="00A142FF" w:rsidRPr="00435469">
        <w:rPr>
          <w:sz w:val="20"/>
          <w:szCs w:val="20"/>
        </w:rPr>
        <w:instrText>ADDIN CSL_CITATION {"citationItems":[{"id":"ITEM-1","itemData":{"DOI":"10.1371/journal.pone.0142290","ISSN":"19326203","PMID":"26551023","abstract":"Background Infection with Human Immunodeficiency virus (HIV) is an important risk factor for Tuberculosis (TB). Anti-Retroviral Therapy (ART) has improved the prognosis of HIV and reduced the risk of TB infected patients. Isoniazid Preventive Therapy (IPT) aims to reduce the development of active TB in patients with latent TB. Objective Systematically review and synthesize effect estimates of IPT for TB prevention in adult HIV patients. Secondary objectives were to assess the effect of IPT on HIV disease progression, all-cause mortality and adverse drug reaction (ADR). Search Strategy Electronic databases were searched to identify relevant articles in English available by September 11th 2015. Selection Criteria Research articles comparing IPT to placebo or no treatment in HIV infected adults using randomized clinical trials. Data Analysis A qualitative review included study-level information on randomization and treatment allocation. Effect estimates were pooled using random-effects models to account for betweenstudy heterogeneity. Main Results This review assessed ten randomized clinical trials that assigned 7619 HIV patients to IPT or placebo. An overall 35% of TB risk reduction (RR = 0.65, 95% CI (0.51, 0.84)) was found in all participants, however, larger benefit of IPT was observed in Tuberculin Skin Test (TST) positive participants, with pooled relative risk reduction of 52% [RR = 0.48; 95% CI (0.29, 0.82)] and with a prediction interval ranging from 0.13 to 1.81. There was no statistically significant effect of IPT on TB occurrence in TST negative or unknown participants. IPT also reduced the risk of HIV disease progression in all participants (RR = 0.69; 95% CI (0.48, 0.99)) despite no benefits observed in TST strata. All-cause mortality was not affected by IPT although participants who had 12 months of IPT tend to have a reduced risk (RR = 0.65; 95% CI(0.47, 0.90)). IPT had an elevated, yet statistically non-significant, risk of adverse drug reaction [RR = 1.20; 95% CI (1.20, 1.71)]. Only a single study assessed the effect of IPT in combination with ART in preventing TB and occurrence of multi-drug resistant tuberculosis. Conclusions IPT use substantially contributes in preventing TB in persons with HIV in general and in TST positive individuals in particular. More evidence is needed to explain discrepancies in the protective effect of IPT in these individuals.","author":[{"dropping-particle":"","family":"Ayele","given":"Henok Tadesse","non-dropping-particle":"","parse-names":false,"suffix":""},{"dropping-particle":"","family":"Mourik","given":"Maaike S.M.","non-dropping-particle":"Van","parse-names":false,"suffix":""},{"dropping-particle":"","family":"Debray","given":"Thomas P.A.","non-dropping-particle":"","parse-names":false,"suffix":""},{"dropping-particle":"","family":"Bonten","given":"Marc J.M.","non-dropping-particle":"","parse-names":false,"suffix":""}],"container-title":"PLoS ONE","id":"ITEM-1","issue":"11","issued":{"date-parts":[["2015"]]},"page":"1-16","title":"Isoniazid prophylactic therapy for the prevention of tuberculosis in HIV infected adults: A systematic review and meta-analysis of randomized trials","type":"article-journal","volume":"10"},"uris":["http://www.mendeley.com/documents/?uuid=fa55f64c-123a-47e7-98bc-bc3f7bb5c05e"]}],"mendeley":{"formattedCitation":"(114)","plainTextFormattedCitation":"(114)","previouslyFormattedCitation":"(114)"},"properties":{"noteIndex":0},"schema":"https://github.com/citation-style-language/schema/raw/master/csl-citation.json"}</w:instrText>
      </w:r>
      <w:r w:rsidRPr="00435469">
        <w:rPr>
          <w:sz w:val="20"/>
          <w:szCs w:val="20"/>
        </w:rPr>
        <w:fldChar w:fldCharType="separate"/>
      </w:r>
      <w:r w:rsidR="0016391D" w:rsidRPr="00435469">
        <w:rPr>
          <w:noProof/>
          <w:sz w:val="20"/>
          <w:szCs w:val="20"/>
        </w:rPr>
        <w:t>(114)</w:t>
      </w:r>
      <w:r w:rsidRPr="00435469">
        <w:rPr>
          <w:sz w:val="20"/>
          <w:szCs w:val="20"/>
        </w:rPr>
        <w:fldChar w:fldCharType="end"/>
      </w:r>
      <w:r w:rsidRPr="00435469">
        <w:rPr>
          <w:sz w:val="20"/>
          <w:szCs w:val="20"/>
        </w:rPr>
        <w:t xml:space="preserve">; as such, we assume 0% effectiveness for this group. In addition, we assume that when an individual stops taking IPT, there will be no effect of IPT, as shown by Churchyard </w:t>
      </w:r>
      <w:r w:rsidRPr="00435469">
        <w:rPr>
          <w:i/>
          <w:sz w:val="20"/>
          <w:szCs w:val="20"/>
        </w:rPr>
        <w:t>et al.</w:t>
      </w:r>
      <w:r w:rsidRPr="00435469">
        <w:rPr>
          <w:sz w:val="20"/>
          <w:szCs w:val="20"/>
        </w:rPr>
        <w:t xml:space="preserve"> </w:t>
      </w:r>
      <w:r w:rsidRPr="00435469">
        <w:rPr>
          <w:sz w:val="20"/>
          <w:szCs w:val="20"/>
        </w:rPr>
        <w:fldChar w:fldCharType="begin" w:fldLock="1"/>
      </w:r>
      <w:r w:rsidR="00A142FF" w:rsidRPr="00435469">
        <w:rPr>
          <w:sz w:val="20"/>
          <w:szCs w:val="20"/>
        </w:rPr>
        <w:instrText>ADDIN CSL_CITATION {"citationItems":[{"id":"ITEM-1","itemData":{"DOI":"10.1056/NEJMoa1214289","ISBN":"1533-4406 (Electronic)\\r0028-4793 (Linking)","ISSN":"1533-4406 (Electronic) 0028-4793 (Linking)","PMID":"24450889","abstract":"BACKGROUND: Tuberculosis is epidemic among workers in South African gold mines. We evaluated an intervention to interrupt tuberculosis transmission by means of mass screening that was linked to treatment for active disease or latent infection. METHODS: In a cluster-randomized study, we designated 15 clusters with 78,744 miners as either intervention clusters (40,981 miners in 8 clusters) or control clusters (37,763 miners in 7 clusters). In the intervention clusters, all miners were offered tuberculosis screening. If active tuberculosis was diagnosed, they were referred for treatment; if not, they were offered 9 months of isoniazid preventive therapy. The primary outcome was the cluster-level incidence of tuberculosis during the 12 months after the intervention ended. Secondary outcomes included tuberculosis prevalence at study completion. RESULTS: In the intervention clusters, 27,126 miners (66.2%) underwent screening. Of these miners, 23,659 (87.2%) started taking isoniazid, and isoniazid was dispensed for 6 months or more to 35 to 79% of miners, depending on the cluster. The intervention did not reduce the incidence of tuberculosis, with rates of 3.02 per 100 person-years in the intervention clusters and 2.95 per 100 person-years in the control clusters (rate ratio in the intervention clusters, 1.00; 95% confidence interval [CI], 0.75 to 1.34; P=0.98; adjusted rate ratio, 0.96; 95% CI, 0.76 to 1.21; P=0.71), or the prevalence of tuberculosis (2.35% vs. 2.14%; adjusted prevalence ratio, 0.98; 95% CI, 0.65 to 1.48; P=0.90). Analysis of the direct effect of isoniazid in 10,909 miners showed a reduced incidence of tuberculosis during treatment (1.10 cases per 100 person-years among miners receiving isoniazid vs. 2.91 cases per 100 person-years among controls; adjusted rate ratio, 0.42; 95% CI, 0.20 to 0.88; P=0.03), but there was a subsequent rapid loss of protection. CONCLUSIONS: Mass screening and treatment for latent tuberculosis had no significant effect on tuberculosis control in South African gold mines, despite the successful use of isoniazid in preventing tuberculosis during treatment. (Funded by the Consortium to Respond Effectively to the AIDS TB Epidemic and others; Thibela TB Current Controlled Trials number, ISRCTN63327174.).","author":[{"dropping-particle":"","family":"Churchyard","given":"G J","non-dropping-particle":"","parse-names":false,"suffix":""},{"dropping-particle":"","family":"Fielding","given":"K L","non-dropping-particle":"","parse-names":false,"suffix":""},{"dropping-particle":"","family":"Lewis","given":"J J","non-dropping-particle":"","parse-names":false,"suffix":""},{"dropping-particle":"","family":"Coetzee","given":"L","non-dropping-particle":"","parse-names":false,"suffix":""},{"dropping-particle":"","family":"Corbett","given":"E L","non-dropping-particle":"","parse-names":false,"suffix":""},{"dropping-particle":"","family":"Godfrey-Faussett","given":"P","non-dropping-particle":"","parse-names":false,"suffix":""},{"dropping-particle":"","family":"Hayes","given":"R J","non-dropping-particle":"","parse-names":false,"suffix":""},{"dropping-particle":"","family":"Chaisson","given":"R E","non-dropping-particle":"","parse-names":false,"suffix":""},{"dropping-particle":"","family":"Grant","given":"A D","non-dropping-particle":"","parse-names":false,"suffix":""},{"dropping-particle":"","family":"Thibela","given":"T B Study Team","non-dropping-particle":"","parse-names":false,"suffix":""}],"container-title":"N Engl J Med","id":"ITEM-1","issue":"4","issued":{"date-parts":[["2014"]]},"page":"301-310","title":"A trial of mass isoniazid preventive therapy for tuberculosis control","type":"article-journal","volume":"370"},"uris":["http://www.mendeley.com/documents/?uuid=f47a2486-1290-4ab3-84e6-3d686af03d33"]}],"mendeley":{"formattedCitation":"(115)","plainTextFormattedCitation":"(115)","previouslyFormattedCitation":"(115)"},"properties":{"noteIndex":0},"schema":"https://github.com/citation-style-language/schema/raw/master/csl-citation.json"}</w:instrText>
      </w:r>
      <w:r w:rsidRPr="00435469">
        <w:rPr>
          <w:sz w:val="20"/>
          <w:szCs w:val="20"/>
        </w:rPr>
        <w:fldChar w:fldCharType="separate"/>
      </w:r>
      <w:r w:rsidR="0016391D" w:rsidRPr="00435469">
        <w:rPr>
          <w:noProof/>
          <w:sz w:val="20"/>
          <w:szCs w:val="20"/>
        </w:rPr>
        <w:t>(115)</w:t>
      </w:r>
      <w:r w:rsidRPr="00435469">
        <w:rPr>
          <w:sz w:val="20"/>
          <w:szCs w:val="20"/>
        </w:rPr>
        <w:fldChar w:fldCharType="end"/>
      </w:r>
      <w:r w:rsidR="00715249" w:rsidRPr="00435469">
        <w:rPr>
          <w:sz w:val="20"/>
          <w:szCs w:val="20"/>
        </w:rPr>
        <w:t>.</w:t>
      </w:r>
      <w:r w:rsidR="003E14EA" w:rsidRPr="00435469">
        <w:rPr>
          <w:sz w:val="20"/>
          <w:szCs w:val="20"/>
        </w:rPr>
        <w:t xml:space="preserve"> </w:t>
      </w:r>
    </w:p>
    <w:p w14:paraId="052B61E2" w14:textId="0C843BBF" w:rsidR="00F6580B" w:rsidRPr="00435469" w:rsidRDefault="00D857FE" w:rsidP="00955FFB">
      <w:pPr>
        <w:pStyle w:val="Heading2"/>
        <w:rPr>
          <w:rFonts w:cs="Times New Roman"/>
          <w:color w:val="auto"/>
          <w:sz w:val="20"/>
          <w:szCs w:val="20"/>
        </w:rPr>
      </w:pPr>
      <w:bookmarkStart w:id="290" w:name="_Toc103252950"/>
      <w:bookmarkEnd w:id="249"/>
      <w:bookmarkEnd w:id="250"/>
      <w:bookmarkEnd w:id="251"/>
      <w:bookmarkEnd w:id="252"/>
      <w:bookmarkEnd w:id="253"/>
      <w:bookmarkEnd w:id="254"/>
      <w:bookmarkEnd w:id="255"/>
      <w:r w:rsidRPr="00435469">
        <w:rPr>
          <w:rFonts w:cs="Times New Roman"/>
          <w:color w:val="auto"/>
          <w:sz w:val="20"/>
          <w:szCs w:val="20"/>
        </w:rPr>
        <w:t>Modelling the effect of tuberculosis risk factors on tuberculosis incidence</w:t>
      </w:r>
      <w:bookmarkEnd w:id="290"/>
    </w:p>
    <w:p w14:paraId="72FDC070" w14:textId="66B23CD4" w:rsidR="0022193C" w:rsidRDefault="0022193C" w:rsidP="00955FFB">
      <w:pPr>
        <w:spacing w:line="240" w:lineRule="auto"/>
        <w:rPr>
          <w:rFonts w:cs="Times New Roman"/>
          <w:sz w:val="20"/>
          <w:szCs w:val="20"/>
        </w:rPr>
      </w:pPr>
      <w:r w:rsidRPr="00435469">
        <w:rPr>
          <w:rFonts w:cs="Times New Roman"/>
          <w:sz w:val="20"/>
          <w:szCs w:val="20"/>
        </w:rPr>
        <w:t>To explore factors that could be important in explaining age and sex differences in TB incidence, we considered the following risk factors: poorly controlled diabetes, undernutrition/</w:t>
      </w:r>
      <w:r w:rsidRPr="00435469">
        <w:rPr>
          <w:sz w:val="20"/>
          <w:szCs w:val="20"/>
        </w:rPr>
        <w:t>underweight</w:t>
      </w:r>
      <w:r w:rsidRPr="00435469">
        <w:rPr>
          <w:rFonts w:cs="Times New Roman"/>
          <w:sz w:val="20"/>
          <w:szCs w:val="20"/>
        </w:rPr>
        <w:t xml:space="preserve">, tobacco smoking and alcohol </w:t>
      </w:r>
      <w:r w:rsidR="00C03B1C" w:rsidRPr="00435469">
        <w:rPr>
          <w:rFonts w:cs="Times New Roman"/>
          <w:sz w:val="20"/>
          <w:szCs w:val="20"/>
        </w:rPr>
        <w:t>abuse</w:t>
      </w:r>
      <w:r w:rsidRPr="00435469">
        <w:rPr>
          <w:rFonts w:cs="Times New Roman"/>
          <w:sz w:val="20"/>
          <w:szCs w:val="20"/>
        </w:rPr>
        <w:t>. These risk factors are selected based on their established effect of increasing the risk of developing TB disease and their relatively high prevalence in the South African population (</w:t>
      </w:r>
      <w:r w:rsidR="00A055B4" w:rsidRPr="00435469">
        <w:rPr>
          <w:rFonts w:cs="Times New Roman"/>
          <w:sz w:val="20"/>
          <w:szCs w:val="20"/>
        </w:rPr>
        <w:fldChar w:fldCharType="begin"/>
      </w:r>
      <w:r w:rsidR="00A055B4" w:rsidRPr="00435469">
        <w:rPr>
          <w:rFonts w:cs="Times New Roman"/>
          <w:sz w:val="20"/>
          <w:szCs w:val="20"/>
        </w:rPr>
        <w:instrText xml:space="preserve"> REF _Ref91500418 \h </w:instrText>
      </w:r>
      <w:r w:rsidR="00F334C7" w:rsidRPr="00435469">
        <w:rPr>
          <w:rFonts w:cs="Times New Roman"/>
          <w:sz w:val="20"/>
          <w:szCs w:val="20"/>
        </w:rPr>
        <w:instrText xml:space="preserve"> \* MERGEFORMAT </w:instrText>
      </w:r>
      <w:r w:rsidR="00A055B4" w:rsidRPr="00435469">
        <w:rPr>
          <w:rFonts w:cs="Times New Roman"/>
          <w:sz w:val="20"/>
          <w:szCs w:val="20"/>
        </w:rPr>
      </w:r>
      <w:r w:rsidR="00A055B4"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18</w:t>
      </w:r>
      <w:r w:rsidR="00A055B4" w:rsidRPr="00435469">
        <w:rPr>
          <w:rFonts w:cs="Times New Roman"/>
          <w:sz w:val="20"/>
          <w:szCs w:val="20"/>
        </w:rPr>
        <w:fldChar w:fldCharType="end"/>
      </w:r>
      <w:r w:rsidRPr="00435469">
        <w:rPr>
          <w:rFonts w:cs="Times New Roman"/>
          <w:sz w:val="20"/>
          <w:szCs w:val="20"/>
        </w:rPr>
        <w:t>). In computing the cumulative effect of these risk factors, we assume the effects are independent.</w:t>
      </w:r>
      <w:r w:rsidR="00FE1F5F" w:rsidRPr="00435469">
        <w:rPr>
          <w:rFonts w:cs="Times New Roman"/>
          <w:sz w:val="20"/>
          <w:szCs w:val="20"/>
        </w:rPr>
        <w:t xml:space="preserve"> </w:t>
      </w:r>
    </w:p>
    <w:p w14:paraId="0584F8FE" w14:textId="77777777" w:rsidR="00A83225" w:rsidRPr="00435469" w:rsidRDefault="00A83225" w:rsidP="00955FFB">
      <w:pPr>
        <w:spacing w:line="240" w:lineRule="auto"/>
        <w:rPr>
          <w:rFonts w:cs="Times New Roman"/>
          <w:sz w:val="20"/>
          <w:szCs w:val="20"/>
        </w:rPr>
      </w:pPr>
    </w:p>
    <w:p w14:paraId="549F7DD2" w14:textId="77777777" w:rsidR="00A83225" w:rsidRDefault="00A83225" w:rsidP="00AD6E54">
      <w:pPr>
        <w:pStyle w:val="3TableHead"/>
        <w:rPr>
          <w:sz w:val="18"/>
          <w:szCs w:val="16"/>
        </w:rPr>
      </w:pPr>
      <w:bookmarkStart w:id="291" w:name="_Ref91500418"/>
      <w:bookmarkStart w:id="292" w:name="_Toc103253671"/>
    </w:p>
    <w:p w14:paraId="40DFBE36" w14:textId="4E9C135C" w:rsidR="005E1F70" w:rsidRPr="00A83225" w:rsidRDefault="005E1F70" w:rsidP="00AD6E54">
      <w:pPr>
        <w:pStyle w:val="3TableHead"/>
        <w:rPr>
          <w:rFonts w:cs="Times New Roman"/>
          <w:sz w:val="18"/>
          <w:szCs w:val="16"/>
        </w:rPr>
      </w:pPr>
      <w:r w:rsidRPr="00A83225">
        <w:rPr>
          <w:sz w:val="18"/>
          <w:szCs w:val="16"/>
        </w:rPr>
        <w:lastRenderedPageBreak/>
        <w:t xml:space="preserve">Table </w:t>
      </w:r>
      <w:r w:rsidR="00AB530B" w:rsidRPr="00A83225">
        <w:rPr>
          <w:sz w:val="18"/>
          <w:szCs w:val="16"/>
        </w:rPr>
        <w:fldChar w:fldCharType="begin"/>
      </w:r>
      <w:r w:rsidR="00AB530B" w:rsidRPr="00A83225">
        <w:rPr>
          <w:sz w:val="18"/>
          <w:szCs w:val="16"/>
        </w:rPr>
        <w:instrText xml:space="preserve"> SEQ Table \* ARABIC </w:instrText>
      </w:r>
      <w:r w:rsidR="00AB530B" w:rsidRPr="00A83225">
        <w:rPr>
          <w:sz w:val="18"/>
          <w:szCs w:val="16"/>
        </w:rPr>
        <w:fldChar w:fldCharType="separate"/>
      </w:r>
      <w:r w:rsidR="00186C2F" w:rsidRPr="00A83225">
        <w:rPr>
          <w:noProof/>
          <w:sz w:val="18"/>
          <w:szCs w:val="16"/>
        </w:rPr>
        <w:t>18</w:t>
      </w:r>
      <w:r w:rsidR="00AB530B" w:rsidRPr="00A83225">
        <w:rPr>
          <w:noProof/>
          <w:sz w:val="18"/>
          <w:szCs w:val="16"/>
        </w:rPr>
        <w:fldChar w:fldCharType="end"/>
      </w:r>
      <w:bookmarkEnd w:id="291"/>
      <w:r w:rsidRPr="00A83225">
        <w:rPr>
          <w:sz w:val="18"/>
          <w:szCs w:val="16"/>
        </w:rPr>
        <w:t>: Age</w:t>
      </w:r>
      <w:r w:rsidR="00506BF6" w:rsidRPr="00A83225">
        <w:rPr>
          <w:sz w:val="18"/>
          <w:szCs w:val="16"/>
        </w:rPr>
        <w:t>- and</w:t>
      </w:r>
      <w:r w:rsidRPr="00A83225">
        <w:rPr>
          <w:sz w:val="18"/>
          <w:szCs w:val="16"/>
        </w:rPr>
        <w:t xml:space="preserve"> </w:t>
      </w:r>
      <w:r w:rsidR="00506BF6" w:rsidRPr="00A83225">
        <w:rPr>
          <w:sz w:val="18"/>
          <w:szCs w:val="16"/>
        </w:rPr>
        <w:t>sex-</w:t>
      </w:r>
      <w:r w:rsidRPr="00A83225">
        <w:rPr>
          <w:sz w:val="18"/>
          <w:szCs w:val="16"/>
        </w:rPr>
        <w:t xml:space="preserve">specific prevalence (%) of risk factors: HbA1c &gt; 6.5%, underweight, alcohol </w:t>
      </w:r>
      <w:r w:rsidR="00C03B1C" w:rsidRPr="00A83225">
        <w:rPr>
          <w:sz w:val="18"/>
          <w:szCs w:val="16"/>
        </w:rPr>
        <w:t>abuse</w:t>
      </w:r>
      <w:r w:rsidRPr="00A83225">
        <w:rPr>
          <w:sz w:val="18"/>
          <w:szCs w:val="16"/>
        </w:rPr>
        <w:t xml:space="preserve"> and tobacco smoking</w:t>
      </w:r>
      <w:bookmarkEnd w:id="292"/>
      <w:r w:rsidRPr="00A83225">
        <w:rPr>
          <w:sz w:val="18"/>
          <w:szCs w:val="16"/>
        </w:rPr>
        <w:t xml:space="preserve"> </w:t>
      </w:r>
    </w:p>
    <w:tbl>
      <w:tblPr>
        <w:tblW w:w="9382" w:type="dxa"/>
        <w:tblLook w:val="04A0" w:firstRow="1" w:lastRow="0" w:firstColumn="1" w:lastColumn="0" w:noHBand="0" w:noVBand="1"/>
      </w:tblPr>
      <w:tblGrid>
        <w:gridCol w:w="1133"/>
        <w:gridCol w:w="872"/>
        <w:gridCol w:w="1129"/>
        <w:gridCol w:w="1350"/>
        <w:gridCol w:w="1470"/>
        <w:gridCol w:w="891"/>
        <w:gridCol w:w="1179"/>
        <w:gridCol w:w="608"/>
        <w:gridCol w:w="750"/>
      </w:tblGrid>
      <w:tr w:rsidR="00304411" w:rsidRPr="00435469" w14:paraId="2801333E" w14:textId="77777777" w:rsidTr="00AD6E54">
        <w:trPr>
          <w:trHeight w:val="265"/>
        </w:trPr>
        <w:tc>
          <w:tcPr>
            <w:tcW w:w="1133" w:type="dxa"/>
            <w:tcBorders>
              <w:top w:val="single" w:sz="4" w:space="0" w:color="auto"/>
            </w:tcBorders>
            <w:shd w:val="clear" w:color="auto" w:fill="auto"/>
            <w:noWrap/>
            <w:vAlign w:val="bottom"/>
            <w:hideMark/>
          </w:tcPr>
          <w:p w14:paraId="62910371" w14:textId="77777777" w:rsidR="005E1F70" w:rsidRPr="00435469" w:rsidRDefault="005E1F70" w:rsidP="00AD6E54">
            <w:pPr>
              <w:pStyle w:val="3TableData"/>
            </w:pPr>
            <w:r w:rsidRPr="00435469">
              <w:t> </w:t>
            </w:r>
          </w:p>
        </w:tc>
        <w:tc>
          <w:tcPr>
            <w:tcW w:w="2001" w:type="dxa"/>
            <w:gridSpan w:val="2"/>
            <w:tcBorders>
              <w:top w:val="single" w:sz="4" w:space="0" w:color="auto"/>
              <w:bottom w:val="single" w:sz="4" w:space="0" w:color="auto"/>
            </w:tcBorders>
            <w:shd w:val="clear" w:color="auto" w:fill="auto"/>
            <w:noWrap/>
            <w:vAlign w:val="bottom"/>
            <w:hideMark/>
          </w:tcPr>
          <w:p w14:paraId="703E007B" w14:textId="77777777" w:rsidR="005E1F70" w:rsidRPr="00435469" w:rsidRDefault="005E1F70" w:rsidP="00AD6E54">
            <w:pPr>
              <w:pStyle w:val="3TableData"/>
            </w:pPr>
            <w:r w:rsidRPr="00435469">
              <w:t>HbA1c &gt; 6.5%</w:t>
            </w:r>
          </w:p>
        </w:tc>
        <w:tc>
          <w:tcPr>
            <w:tcW w:w="2820" w:type="dxa"/>
            <w:gridSpan w:val="2"/>
            <w:tcBorders>
              <w:top w:val="single" w:sz="4" w:space="0" w:color="auto"/>
              <w:bottom w:val="single" w:sz="4" w:space="0" w:color="auto"/>
            </w:tcBorders>
            <w:shd w:val="clear" w:color="auto" w:fill="auto"/>
            <w:noWrap/>
            <w:vAlign w:val="bottom"/>
            <w:hideMark/>
          </w:tcPr>
          <w:p w14:paraId="15A5673F" w14:textId="7CB6E8A6" w:rsidR="005E1F70" w:rsidRPr="00435469" w:rsidRDefault="00E23195" w:rsidP="00AD6E54">
            <w:pPr>
              <w:pStyle w:val="3TableData"/>
            </w:pPr>
            <w:r w:rsidRPr="00435469">
              <w:t xml:space="preserve"> Underweight (BMI &lt; 18.5</w:t>
            </w:r>
            <w:r w:rsidR="00200EA7" w:rsidRPr="00435469">
              <w:rPr>
                <w:rFonts w:cs="Times New Roman"/>
                <w:lang w:val="en-ZA"/>
              </w:rPr>
              <w:t xml:space="preserve"> </w:t>
            </w:r>
            <w:r w:rsidR="00200EA7" w:rsidRPr="00435469">
              <w:rPr>
                <w:lang w:val="en-ZA"/>
              </w:rPr>
              <w:t>kg/m²)</w:t>
            </w:r>
            <w:r w:rsidRPr="00435469">
              <w:t>)</w:t>
            </w:r>
          </w:p>
        </w:tc>
        <w:tc>
          <w:tcPr>
            <w:tcW w:w="2070" w:type="dxa"/>
            <w:gridSpan w:val="2"/>
            <w:tcBorders>
              <w:top w:val="single" w:sz="4" w:space="0" w:color="auto"/>
              <w:bottom w:val="single" w:sz="4" w:space="0" w:color="auto"/>
            </w:tcBorders>
            <w:shd w:val="clear" w:color="auto" w:fill="auto"/>
            <w:noWrap/>
            <w:vAlign w:val="bottom"/>
            <w:hideMark/>
          </w:tcPr>
          <w:p w14:paraId="05769968" w14:textId="33A08F23" w:rsidR="005E1F70" w:rsidRPr="00435469" w:rsidRDefault="005E1F70" w:rsidP="00AD6E54">
            <w:pPr>
              <w:pStyle w:val="3TableData"/>
            </w:pPr>
            <w:r w:rsidRPr="00435469">
              <w:t xml:space="preserve">Alcohol </w:t>
            </w:r>
            <w:r w:rsidR="00C03B1C" w:rsidRPr="00435469">
              <w:t>ab</w:t>
            </w:r>
            <w:r w:rsidRPr="00435469">
              <w:t>use</w:t>
            </w:r>
          </w:p>
        </w:tc>
        <w:tc>
          <w:tcPr>
            <w:tcW w:w="1358" w:type="dxa"/>
            <w:gridSpan w:val="2"/>
            <w:tcBorders>
              <w:top w:val="single" w:sz="4" w:space="0" w:color="auto"/>
              <w:bottom w:val="single" w:sz="4" w:space="0" w:color="auto"/>
            </w:tcBorders>
          </w:tcPr>
          <w:p w14:paraId="31E7E321" w14:textId="25428C67" w:rsidR="005E1F70" w:rsidRPr="00435469" w:rsidRDefault="00722A6E" w:rsidP="00AD6E54">
            <w:pPr>
              <w:pStyle w:val="3TableData"/>
            </w:pPr>
            <w:r w:rsidRPr="00435469">
              <w:t>Current s</w:t>
            </w:r>
            <w:r w:rsidR="005E1F70" w:rsidRPr="00435469">
              <w:t>moking</w:t>
            </w:r>
          </w:p>
        </w:tc>
      </w:tr>
      <w:tr w:rsidR="00304411" w:rsidRPr="00435469" w14:paraId="2024E16C" w14:textId="77777777" w:rsidTr="00AD6E54">
        <w:trPr>
          <w:trHeight w:val="275"/>
        </w:trPr>
        <w:tc>
          <w:tcPr>
            <w:tcW w:w="1133" w:type="dxa"/>
            <w:tcBorders>
              <w:bottom w:val="single" w:sz="4" w:space="0" w:color="auto"/>
            </w:tcBorders>
            <w:shd w:val="clear" w:color="auto" w:fill="auto"/>
            <w:noWrap/>
            <w:vAlign w:val="bottom"/>
            <w:hideMark/>
          </w:tcPr>
          <w:p w14:paraId="5117AB96" w14:textId="77777777" w:rsidR="005E1F70" w:rsidRPr="00435469" w:rsidRDefault="005E1F70" w:rsidP="00AD6E54">
            <w:pPr>
              <w:pStyle w:val="3TableData"/>
            </w:pPr>
            <w:r w:rsidRPr="00435469">
              <w:t>Age</w:t>
            </w:r>
          </w:p>
        </w:tc>
        <w:tc>
          <w:tcPr>
            <w:tcW w:w="872" w:type="dxa"/>
            <w:tcBorders>
              <w:top w:val="single" w:sz="4" w:space="0" w:color="auto"/>
              <w:bottom w:val="single" w:sz="4" w:space="0" w:color="auto"/>
            </w:tcBorders>
            <w:shd w:val="clear" w:color="auto" w:fill="auto"/>
            <w:noWrap/>
            <w:vAlign w:val="bottom"/>
            <w:hideMark/>
          </w:tcPr>
          <w:p w14:paraId="141E8012" w14:textId="77777777" w:rsidR="005E1F70" w:rsidRPr="00435469" w:rsidRDefault="005E1F70" w:rsidP="00AD6E54">
            <w:pPr>
              <w:pStyle w:val="3TableData"/>
            </w:pPr>
            <w:r w:rsidRPr="00435469">
              <w:t>Males</w:t>
            </w:r>
          </w:p>
        </w:tc>
        <w:tc>
          <w:tcPr>
            <w:tcW w:w="1129" w:type="dxa"/>
            <w:tcBorders>
              <w:top w:val="single" w:sz="4" w:space="0" w:color="auto"/>
              <w:bottom w:val="single" w:sz="4" w:space="0" w:color="auto"/>
            </w:tcBorders>
            <w:shd w:val="clear" w:color="auto" w:fill="auto"/>
            <w:noWrap/>
            <w:vAlign w:val="bottom"/>
            <w:hideMark/>
          </w:tcPr>
          <w:p w14:paraId="7123FF90" w14:textId="77777777" w:rsidR="005E1F70" w:rsidRPr="00435469" w:rsidRDefault="005E1F70" w:rsidP="00AD6E54">
            <w:pPr>
              <w:pStyle w:val="3TableData"/>
            </w:pPr>
            <w:r w:rsidRPr="00435469">
              <w:t>Females</w:t>
            </w:r>
          </w:p>
        </w:tc>
        <w:tc>
          <w:tcPr>
            <w:tcW w:w="1350" w:type="dxa"/>
            <w:tcBorders>
              <w:top w:val="single" w:sz="4" w:space="0" w:color="auto"/>
              <w:bottom w:val="single" w:sz="4" w:space="0" w:color="auto"/>
            </w:tcBorders>
            <w:shd w:val="clear" w:color="auto" w:fill="auto"/>
            <w:noWrap/>
            <w:vAlign w:val="bottom"/>
            <w:hideMark/>
          </w:tcPr>
          <w:p w14:paraId="0D102D07" w14:textId="77777777" w:rsidR="005E1F70" w:rsidRPr="00435469" w:rsidRDefault="005E1F70" w:rsidP="00AD6E54">
            <w:pPr>
              <w:pStyle w:val="3TableData"/>
            </w:pPr>
            <w:r w:rsidRPr="00435469">
              <w:t>Males</w:t>
            </w:r>
          </w:p>
        </w:tc>
        <w:tc>
          <w:tcPr>
            <w:tcW w:w="1470" w:type="dxa"/>
            <w:tcBorders>
              <w:top w:val="single" w:sz="4" w:space="0" w:color="auto"/>
              <w:bottom w:val="single" w:sz="4" w:space="0" w:color="auto"/>
            </w:tcBorders>
            <w:shd w:val="clear" w:color="auto" w:fill="auto"/>
            <w:noWrap/>
            <w:vAlign w:val="bottom"/>
            <w:hideMark/>
          </w:tcPr>
          <w:p w14:paraId="409C26CE" w14:textId="77777777" w:rsidR="005E1F70" w:rsidRPr="00435469" w:rsidRDefault="005E1F70" w:rsidP="00AD6E54">
            <w:pPr>
              <w:pStyle w:val="3TableData"/>
            </w:pPr>
            <w:r w:rsidRPr="00435469">
              <w:t>Females</w:t>
            </w:r>
          </w:p>
        </w:tc>
        <w:tc>
          <w:tcPr>
            <w:tcW w:w="891" w:type="dxa"/>
            <w:tcBorders>
              <w:top w:val="single" w:sz="4" w:space="0" w:color="auto"/>
              <w:bottom w:val="single" w:sz="4" w:space="0" w:color="auto"/>
            </w:tcBorders>
            <w:shd w:val="clear" w:color="auto" w:fill="auto"/>
            <w:noWrap/>
            <w:vAlign w:val="bottom"/>
            <w:hideMark/>
          </w:tcPr>
          <w:p w14:paraId="41898EB1" w14:textId="77777777" w:rsidR="005E1F70" w:rsidRPr="00435469" w:rsidRDefault="005E1F70" w:rsidP="00AD6E54">
            <w:pPr>
              <w:pStyle w:val="3TableData"/>
            </w:pPr>
            <w:r w:rsidRPr="00435469">
              <w:t>Males</w:t>
            </w:r>
          </w:p>
        </w:tc>
        <w:tc>
          <w:tcPr>
            <w:tcW w:w="1179" w:type="dxa"/>
            <w:tcBorders>
              <w:top w:val="single" w:sz="4" w:space="0" w:color="auto"/>
              <w:bottom w:val="single" w:sz="4" w:space="0" w:color="auto"/>
            </w:tcBorders>
            <w:shd w:val="clear" w:color="auto" w:fill="auto"/>
            <w:noWrap/>
            <w:vAlign w:val="bottom"/>
            <w:hideMark/>
          </w:tcPr>
          <w:p w14:paraId="5533FEAE" w14:textId="77777777" w:rsidR="005E1F70" w:rsidRPr="00435469" w:rsidRDefault="005E1F70" w:rsidP="00AD6E54">
            <w:pPr>
              <w:pStyle w:val="3TableData"/>
            </w:pPr>
            <w:r w:rsidRPr="00435469">
              <w:t>Females</w:t>
            </w:r>
          </w:p>
        </w:tc>
        <w:tc>
          <w:tcPr>
            <w:tcW w:w="608" w:type="dxa"/>
            <w:tcBorders>
              <w:top w:val="single" w:sz="4" w:space="0" w:color="auto"/>
              <w:bottom w:val="single" w:sz="4" w:space="0" w:color="auto"/>
            </w:tcBorders>
            <w:vAlign w:val="bottom"/>
          </w:tcPr>
          <w:p w14:paraId="46BE4602" w14:textId="77777777" w:rsidR="005E1F70" w:rsidRPr="00435469" w:rsidRDefault="005E1F70" w:rsidP="00AD6E54">
            <w:pPr>
              <w:pStyle w:val="3TableData"/>
            </w:pPr>
            <w:r w:rsidRPr="00435469">
              <w:t>Males</w:t>
            </w:r>
          </w:p>
        </w:tc>
        <w:tc>
          <w:tcPr>
            <w:tcW w:w="750" w:type="dxa"/>
            <w:tcBorders>
              <w:top w:val="single" w:sz="4" w:space="0" w:color="auto"/>
              <w:bottom w:val="single" w:sz="4" w:space="0" w:color="auto"/>
            </w:tcBorders>
            <w:vAlign w:val="bottom"/>
          </w:tcPr>
          <w:p w14:paraId="0C908AAE" w14:textId="77777777" w:rsidR="005E1F70" w:rsidRPr="00435469" w:rsidRDefault="005E1F70" w:rsidP="00AD6E54">
            <w:pPr>
              <w:pStyle w:val="3TableData"/>
            </w:pPr>
            <w:r w:rsidRPr="00435469">
              <w:t>Females</w:t>
            </w:r>
          </w:p>
        </w:tc>
      </w:tr>
      <w:tr w:rsidR="00304411" w:rsidRPr="00435469" w14:paraId="32B6D12C" w14:textId="77777777" w:rsidTr="00AD6E54">
        <w:trPr>
          <w:trHeight w:val="265"/>
        </w:trPr>
        <w:tc>
          <w:tcPr>
            <w:tcW w:w="1133" w:type="dxa"/>
            <w:tcBorders>
              <w:top w:val="single" w:sz="4" w:space="0" w:color="auto"/>
            </w:tcBorders>
            <w:shd w:val="clear" w:color="auto" w:fill="auto"/>
            <w:noWrap/>
            <w:vAlign w:val="bottom"/>
            <w:hideMark/>
          </w:tcPr>
          <w:p w14:paraId="41E8A627" w14:textId="77777777" w:rsidR="005E1F70" w:rsidRPr="00435469" w:rsidRDefault="005E1F70" w:rsidP="00AD6E54">
            <w:pPr>
              <w:pStyle w:val="3TableData"/>
            </w:pPr>
            <w:r w:rsidRPr="00435469">
              <w:t>15-24</w:t>
            </w:r>
          </w:p>
        </w:tc>
        <w:tc>
          <w:tcPr>
            <w:tcW w:w="872" w:type="dxa"/>
            <w:tcBorders>
              <w:top w:val="single" w:sz="4" w:space="0" w:color="auto"/>
            </w:tcBorders>
            <w:shd w:val="clear" w:color="auto" w:fill="auto"/>
            <w:noWrap/>
          </w:tcPr>
          <w:p w14:paraId="153B0FAC" w14:textId="77777777" w:rsidR="005E1F70" w:rsidRPr="00435469" w:rsidRDefault="005E1F70" w:rsidP="00AD6E54">
            <w:pPr>
              <w:pStyle w:val="3TableData"/>
            </w:pPr>
            <w:r w:rsidRPr="00435469">
              <w:t>2.0</w:t>
            </w:r>
          </w:p>
        </w:tc>
        <w:tc>
          <w:tcPr>
            <w:tcW w:w="1129" w:type="dxa"/>
            <w:tcBorders>
              <w:top w:val="single" w:sz="4" w:space="0" w:color="auto"/>
            </w:tcBorders>
            <w:shd w:val="clear" w:color="auto" w:fill="auto"/>
            <w:noWrap/>
            <w:vAlign w:val="bottom"/>
          </w:tcPr>
          <w:p w14:paraId="15D4E35F" w14:textId="77777777" w:rsidR="005E1F70" w:rsidRPr="00435469" w:rsidRDefault="005E1F70" w:rsidP="00AD6E54">
            <w:pPr>
              <w:pStyle w:val="3TableData"/>
            </w:pPr>
            <w:r w:rsidRPr="00435469">
              <w:t>0.9</w:t>
            </w:r>
          </w:p>
        </w:tc>
        <w:tc>
          <w:tcPr>
            <w:tcW w:w="1350" w:type="dxa"/>
            <w:tcBorders>
              <w:top w:val="single" w:sz="4" w:space="0" w:color="auto"/>
            </w:tcBorders>
            <w:shd w:val="clear" w:color="auto" w:fill="auto"/>
            <w:noWrap/>
            <w:vAlign w:val="bottom"/>
          </w:tcPr>
          <w:p w14:paraId="23237B98" w14:textId="77777777" w:rsidR="005E1F70" w:rsidRPr="00435469" w:rsidRDefault="005E1F70" w:rsidP="00AD6E54">
            <w:pPr>
              <w:pStyle w:val="3TableData"/>
            </w:pPr>
            <w:r w:rsidRPr="00435469">
              <w:t>22.05</w:t>
            </w:r>
          </w:p>
        </w:tc>
        <w:tc>
          <w:tcPr>
            <w:tcW w:w="1470" w:type="dxa"/>
            <w:tcBorders>
              <w:top w:val="single" w:sz="4" w:space="0" w:color="auto"/>
            </w:tcBorders>
            <w:shd w:val="clear" w:color="auto" w:fill="auto"/>
            <w:noWrap/>
            <w:vAlign w:val="bottom"/>
          </w:tcPr>
          <w:p w14:paraId="23494605" w14:textId="77777777" w:rsidR="005E1F70" w:rsidRPr="00435469" w:rsidRDefault="005E1F70" w:rsidP="00AD6E54">
            <w:pPr>
              <w:pStyle w:val="3TableData"/>
            </w:pPr>
            <w:r w:rsidRPr="00435469">
              <w:t>9.7</w:t>
            </w:r>
          </w:p>
        </w:tc>
        <w:tc>
          <w:tcPr>
            <w:tcW w:w="891" w:type="dxa"/>
            <w:tcBorders>
              <w:top w:val="single" w:sz="4" w:space="0" w:color="auto"/>
            </w:tcBorders>
            <w:shd w:val="clear" w:color="auto" w:fill="auto"/>
            <w:noWrap/>
            <w:vAlign w:val="bottom"/>
          </w:tcPr>
          <w:p w14:paraId="4D0FF273" w14:textId="77777777" w:rsidR="005E1F70" w:rsidRPr="00435469" w:rsidRDefault="005E1F70" w:rsidP="00AD6E54">
            <w:pPr>
              <w:pStyle w:val="3TableData"/>
            </w:pPr>
            <w:r w:rsidRPr="00435469">
              <w:t>20.7</w:t>
            </w:r>
          </w:p>
        </w:tc>
        <w:tc>
          <w:tcPr>
            <w:tcW w:w="1179" w:type="dxa"/>
            <w:tcBorders>
              <w:top w:val="single" w:sz="4" w:space="0" w:color="auto"/>
            </w:tcBorders>
            <w:shd w:val="clear" w:color="auto" w:fill="auto"/>
            <w:noWrap/>
            <w:vAlign w:val="bottom"/>
          </w:tcPr>
          <w:p w14:paraId="77D50E4D" w14:textId="7819F7C9" w:rsidR="004E2E81" w:rsidRPr="00435469" w:rsidRDefault="005E1F70" w:rsidP="00AD6E54">
            <w:pPr>
              <w:pStyle w:val="3TableData"/>
            </w:pPr>
            <w:r w:rsidRPr="00435469">
              <w:t>5.1</w:t>
            </w:r>
          </w:p>
        </w:tc>
        <w:tc>
          <w:tcPr>
            <w:tcW w:w="608" w:type="dxa"/>
            <w:tcBorders>
              <w:top w:val="single" w:sz="4" w:space="0" w:color="auto"/>
            </w:tcBorders>
          </w:tcPr>
          <w:p w14:paraId="439288B9" w14:textId="1CCF5F4C" w:rsidR="005E1F70" w:rsidRPr="00435469" w:rsidRDefault="006E5805" w:rsidP="00AD6E54">
            <w:pPr>
              <w:pStyle w:val="3TableData"/>
            </w:pPr>
            <w:r w:rsidRPr="00435469">
              <w:t>29.5</w:t>
            </w:r>
          </w:p>
        </w:tc>
        <w:tc>
          <w:tcPr>
            <w:tcW w:w="750" w:type="dxa"/>
            <w:tcBorders>
              <w:top w:val="single" w:sz="4" w:space="0" w:color="auto"/>
            </w:tcBorders>
          </w:tcPr>
          <w:p w14:paraId="6793F8A5" w14:textId="71201C3C" w:rsidR="005E1F70" w:rsidRPr="00435469" w:rsidRDefault="0037256D" w:rsidP="00AD6E54">
            <w:pPr>
              <w:pStyle w:val="3TableData"/>
            </w:pPr>
            <w:r w:rsidRPr="00435469">
              <w:t>4.</w:t>
            </w:r>
            <w:r w:rsidR="00B14EEC" w:rsidRPr="00435469">
              <w:t>95</w:t>
            </w:r>
          </w:p>
        </w:tc>
      </w:tr>
      <w:tr w:rsidR="00304411" w:rsidRPr="00435469" w14:paraId="7F419BBE" w14:textId="77777777" w:rsidTr="00AD6E54">
        <w:trPr>
          <w:trHeight w:val="265"/>
        </w:trPr>
        <w:tc>
          <w:tcPr>
            <w:tcW w:w="1133" w:type="dxa"/>
            <w:shd w:val="clear" w:color="auto" w:fill="auto"/>
            <w:noWrap/>
            <w:vAlign w:val="bottom"/>
            <w:hideMark/>
          </w:tcPr>
          <w:p w14:paraId="2A8348CC" w14:textId="77777777" w:rsidR="005E1F70" w:rsidRPr="00435469" w:rsidRDefault="005E1F70" w:rsidP="00AD6E54">
            <w:pPr>
              <w:pStyle w:val="3TableData"/>
            </w:pPr>
            <w:r w:rsidRPr="00435469">
              <w:t>25-34</w:t>
            </w:r>
          </w:p>
        </w:tc>
        <w:tc>
          <w:tcPr>
            <w:tcW w:w="872" w:type="dxa"/>
            <w:shd w:val="clear" w:color="auto" w:fill="auto"/>
            <w:noWrap/>
          </w:tcPr>
          <w:p w14:paraId="098C7C5A" w14:textId="77777777" w:rsidR="005E1F70" w:rsidRPr="00435469" w:rsidRDefault="005E1F70" w:rsidP="00AD6E54">
            <w:pPr>
              <w:pStyle w:val="3TableData"/>
            </w:pPr>
            <w:r w:rsidRPr="00435469">
              <w:t>3.4</w:t>
            </w:r>
          </w:p>
        </w:tc>
        <w:tc>
          <w:tcPr>
            <w:tcW w:w="1129" w:type="dxa"/>
            <w:shd w:val="clear" w:color="auto" w:fill="auto"/>
            <w:noWrap/>
            <w:vAlign w:val="bottom"/>
          </w:tcPr>
          <w:p w14:paraId="6D8B2BAF" w14:textId="77777777" w:rsidR="005E1F70" w:rsidRPr="00435469" w:rsidRDefault="005E1F70" w:rsidP="00AD6E54">
            <w:pPr>
              <w:pStyle w:val="3TableData"/>
            </w:pPr>
            <w:r w:rsidRPr="00435469">
              <w:t>4.5</w:t>
            </w:r>
          </w:p>
        </w:tc>
        <w:tc>
          <w:tcPr>
            <w:tcW w:w="1350" w:type="dxa"/>
            <w:shd w:val="clear" w:color="auto" w:fill="auto"/>
            <w:noWrap/>
            <w:vAlign w:val="bottom"/>
          </w:tcPr>
          <w:p w14:paraId="0F17D21C" w14:textId="77777777" w:rsidR="005E1F70" w:rsidRPr="00435469" w:rsidRDefault="005E1F70" w:rsidP="00AD6E54">
            <w:pPr>
              <w:pStyle w:val="3TableData"/>
            </w:pPr>
            <w:r w:rsidRPr="00435469">
              <w:t>6.4</w:t>
            </w:r>
          </w:p>
        </w:tc>
        <w:tc>
          <w:tcPr>
            <w:tcW w:w="1470" w:type="dxa"/>
            <w:shd w:val="clear" w:color="auto" w:fill="auto"/>
            <w:noWrap/>
            <w:vAlign w:val="bottom"/>
          </w:tcPr>
          <w:p w14:paraId="1FE447A0" w14:textId="77777777" w:rsidR="005E1F70" w:rsidRPr="00435469" w:rsidRDefault="005E1F70" w:rsidP="00AD6E54">
            <w:pPr>
              <w:pStyle w:val="3TableData"/>
            </w:pPr>
            <w:r w:rsidRPr="00435469">
              <w:t>3.3</w:t>
            </w:r>
          </w:p>
        </w:tc>
        <w:tc>
          <w:tcPr>
            <w:tcW w:w="891" w:type="dxa"/>
            <w:shd w:val="clear" w:color="auto" w:fill="auto"/>
            <w:noWrap/>
          </w:tcPr>
          <w:p w14:paraId="139C9B98" w14:textId="77777777" w:rsidR="005E1F70" w:rsidRPr="00435469" w:rsidRDefault="005E1F70" w:rsidP="00AD6E54">
            <w:pPr>
              <w:pStyle w:val="3TableData"/>
            </w:pPr>
            <w:r w:rsidRPr="00435469">
              <w:t>36.1</w:t>
            </w:r>
          </w:p>
        </w:tc>
        <w:tc>
          <w:tcPr>
            <w:tcW w:w="1179" w:type="dxa"/>
            <w:shd w:val="clear" w:color="auto" w:fill="auto"/>
            <w:noWrap/>
          </w:tcPr>
          <w:p w14:paraId="7A09E138" w14:textId="77777777" w:rsidR="005E1F70" w:rsidRPr="00435469" w:rsidRDefault="005E1F70" w:rsidP="00AD6E54">
            <w:pPr>
              <w:pStyle w:val="3TableData"/>
            </w:pPr>
            <w:r w:rsidRPr="00435469">
              <w:t>6.1</w:t>
            </w:r>
          </w:p>
        </w:tc>
        <w:tc>
          <w:tcPr>
            <w:tcW w:w="608" w:type="dxa"/>
          </w:tcPr>
          <w:p w14:paraId="68121ABA" w14:textId="77777777" w:rsidR="005E1F70" w:rsidRPr="00435469" w:rsidRDefault="005E1F70" w:rsidP="00AD6E54">
            <w:pPr>
              <w:pStyle w:val="3TableData"/>
            </w:pPr>
            <w:r w:rsidRPr="00435469">
              <w:rPr>
                <w:lang w:val="en-ZA" w:eastAsia="en-ZA"/>
              </w:rPr>
              <w:t>43.50</w:t>
            </w:r>
          </w:p>
        </w:tc>
        <w:tc>
          <w:tcPr>
            <w:tcW w:w="750" w:type="dxa"/>
          </w:tcPr>
          <w:p w14:paraId="1998354D" w14:textId="77777777" w:rsidR="005E1F70" w:rsidRPr="00435469" w:rsidRDefault="005E1F70" w:rsidP="00AD6E54">
            <w:pPr>
              <w:pStyle w:val="3TableData"/>
            </w:pPr>
            <w:r w:rsidRPr="00435469">
              <w:rPr>
                <w:lang w:val="en-ZA" w:eastAsia="en-ZA"/>
              </w:rPr>
              <w:t>7.80</w:t>
            </w:r>
          </w:p>
        </w:tc>
      </w:tr>
      <w:tr w:rsidR="00304411" w:rsidRPr="00435469" w14:paraId="390A24A3" w14:textId="77777777" w:rsidTr="00AD6E54">
        <w:trPr>
          <w:trHeight w:val="265"/>
        </w:trPr>
        <w:tc>
          <w:tcPr>
            <w:tcW w:w="1133" w:type="dxa"/>
            <w:shd w:val="clear" w:color="auto" w:fill="auto"/>
            <w:noWrap/>
            <w:vAlign w:val="bottom"/>
            <w:hideMark/>
          </w:tcPr>
          <w:p w14:paraId="1300C0E3" w14:textId="77777777" w:rsidR="005E1F70" w:rsidRPr="00435469" w:rsidRDefault="005E1F70" w:rsidP="00AD6E54">
            <w:pPr>
              <w:pStyle w:val="3TableData"/>
            </w:pPr>
            <w:r w:rsidRPr="00435469">
              <w:t>35-44</w:t>
            </w:r>
          </w:p>
        </w:tc>
        <w:tc>
          <w:tcPr>
            <w:tcW w:w="872" w:type="dxa"/>
            <w:shd w:val="clear" w:color="auto" w:fill="auto"/>
            <w:noWrap/>
          </w:tcPr>
          <w:p w14:paraId="1EF4777E" w14:textId="77777777" w:rsidR="005E1F70" w:rsidRPr="00435469" w:rsidRDefault="005E1F70" w:rsidP="00AD6E54">
            <w:pPr>
              <w:pStyle w:val="3TableData"/>
            </w:pPr>
            <w:r w:rsidRPr="00435469">
              <w:t>6.6</w:t>
            </w:r>
          </w:p>
        </w:tc>
        <w:tc>
          <w:tcPr>
            <w:tcW w:w="1129" w:type="dxa"/>
            <w:shd w:val="clear" w:color="auto" w:fill="auto"/>
            <w:noWrap/>
            <w:vAlign w:val="bottom"/>
          </w:tcPr>
          <w:p w14:paraId="2398EB00" w14:textId="77777777" w:rsidR="005E1F70" w:rsidRPr="00435469" w:rsidRDefault="005E1F70" w:rsidP="00AD6E54">
            <w:pPr>
              <w:pStyle w:val="3TableData"/>
            </w:pPr>
            <w:r w:rsidRPr="00435469">
              <w:t>11.8</w:t>
            </w:r>
          </w:p>
        </w:tc>
        <w:tc>
          <w:tcPr>
            <w:tcW w:w="1350" w:type="dxa"/>
            <w:shd w:val="clear" w:color="auto" w:fill="auto"/>
            <w:noWrap/>
            <w:vAlign w:val="bottom"/>
          </w:tcPr>
          <w:p w14:paraId="3C7C2AC1" w14:textId="77777777" w:rsidR="005E1F70" w:rsidRPr="00435469" w:rsidRDefault="005E1F70" w:rsidP="00AD6E54">
            <w:pPr>
              <w:pStyle w:val="3TableData"/>
            </w:pPr>
            <w:r w:rsidRPr="00435469">
              <w:t>11.4</w:t>
            </w:r>
          </w:p>
        </w:tc>
        <w:tc>
          <w:tcPr>
            <w:tcW w:w="1470" w:type="dxa"/>
            <w:shd w:val="clear" w:color="auto" w:fill="auto"/>
            <w:noWrap/>
            <w:vAlign w:val="bottom"/>
          </w:tcPr>
          <w:p w14:paraId="0280FA18" w14:textId="77777777" w:rsidR="005E1F70" w:rsidRPr="00435469" w:rsidRDefault="005E1F70" w:rsidP="00AD6E54">
            <w:pPr>
              <w:pStyle w:val="3TableData"/>
            </w:pPr>
            <w:r w:rsidRPr="00435469">
              <w:t>2.8</w:t>
            </w:r>
          </w:p>
        </w:tc>
        <w:tc>
          <w:tcPr>
            <w:tcW w:w="891" w:type="dxa"/>
            <w:shd w:val="clear" w:color="auto" w:fill="auto"/>
            <w:noWrap/>
          </w:tcPr>
          <w:p w14:paraId="2907253D" w14:textId="77777777" w:rsidR="005E1F70" w:rsidRPr="00435469" w:rsidRDefault="005E1F70" w:rsidP="00AD6E54">
            <w:pPr>
              <w:pStyle w:val="3TableData"/>
            </w:pPr>
            <w:r w:rsidRPr="00435469">
              <w:t>31.8</w:t>
            </w:r>
          </w:p>
        </w:tc>
        <w:tc>
          <w:tcPr>
            <w:tcW w:w="1179" w:type="dxa"/>
            <w:shd w:val="clear" w:color="auto" w:fill="auto"/>
            <w:noWrap/>
          </w:tcPr>
          <w:p w14:paraId="122C69AF" w14:textId="77777777" w:rsidR="005E1F70" w:rsidRPr="00435469" w:rsidRDefault="005E1F70" w:rsidP="00AD6E54">
            <w:pPr>
              <w:pStyle w:val="3TableData"/>
            </w:pPr>
            <w:r w:rsidRPr="00435469">
              <w:t>6.0</w:t>
            </w:r>
          </w:p>
        </w:tc>
        <w:tc>
          <w:tcPr>
            <w:tcW w:w="608" w:type="dxa"/>
          </w:tcPr>
          <w:p w14:paraId="4CDF24DB" w14:textId="77777777" w:rsidR="005E1F70" w:rsidRPr="00435469" w:rsidRDefault="005E1F70" w:rsidP="00AD6E54">
            <w:pPr>
              <w:pStyle w:val="3TableData"/>
            </w:pPr>
            <w:r w:rsidRPr="00435469">
              <w:rPr>
                <w:lang w:val="en-ZA" w:eastAsia="en-ZA"/>
              </w:rPr>
              <w:t>43.90</w:t>
            </w:r>
          </w:p>
        </w:tc>
        <w:tc>
          <w:tcPr>
            <w:tcW w:w="750" w:type="dxa"/>
          </w:tcPr>
          <w:p w14:paraId="2795CDEF" w14:textId="77777777" w:rsidR="005E1F70" w:rsidRPr="00435469" w:rsidRDefault="005E1F70" w:rsidP="00AD6E54">
            <w:pPr>
              <w:pStyle w:val="3TableData"/>
            </w:pPr>
            <w:r w:rsidRPr="00435469">
              <w:rPr>
                <w:lang w:val="en-ZA" w:eastAsia="en-ZA"/>
              </w:rPr>
              <w:t>7.00</w:t>
            </w:r>
          </w:p>
        </w:tc>
      </w:tr>
      <w:tr w:rsidR="00304411" w:rsidRPr="00435469" w14:paraId="1231CEA5" w14:textId="77777777" w:rsidTr="00AD6E54">
        <w:trPr>
          <w:trHeight w:val="265"/>
        </w:trPr>
        <w:tc>
          <w:tcPr>
            <w:tcW w:w="1133" w:type="dxa"/>
            <w:shd w:val="clear" w:color="auto" w:fill="auto"/>
            <w:noWrap/>
            <w:vAlign w:val="bottom"/>
            <w:hideMark/>
          </w:tcPr>
          <w:p w14:paraId="552C60BF" w14:textId="77777777" w:rsidR="005E1F70" w:rsidRPr="00435469" w:rsidRDefault="005E1F70" w:rsidP="00AD6E54">
            <w:pPr>
              <w:pStyle w:val="3TableData"/>
            </w:pPr>
            <w:r w:rsidRPr="00435469">
              <w:t>45-54</w:t>
            </w:r>
          </w:p>
        </w:tc>
        <w:tc>
          <w:tcPr>
            <w:tcW w:w="872" w:type="dxa"/>
            <w:shd w:val="clear" w:color="auto" w:fill="auto"/>
            <w:noWrap/>
          </w:tcPr>
          <w:p w14:paraId="22886FEE" w14:textId="77777777" w:rsidR="005E1F70" w:rsidRPr="00435469" w:rsidRDefault="005E1F70" w:rsidP="00AD6E54">
            <w:pPr>
              <w:pStyle w:val="3TableData"/>
            </w:pPr>
            <w:r w:rsidRPr="00435469">
              <w:t>11.7</w:t>
            </w:r>
          </w:p>
        </w:tc>
        <w:tc>
          <w:tcPr>
            <w:tcW w:w="1129" w:type="dxa"/>
            <w:shd w:val="clear" w:color="auto" w:fill="auto"/>
            <w:noWrap/>
            <w:vAlign w:val="bottom"/>
          </w:tcPr>
          <w:p w14:paraId="673AD08E" w14:textId="77777777" w:rsidR="005E1F70" w:rsidRPr="00435469" w:rsidRDefault="005E1F70" w:rsidP="00AD6E54">
            <w:pPr>
              <w:pStyle w:val="3TableData"/>
            </w:pPr>
            <w:r w:rsidRPr="00435469">
              <w:t>20.8</w:t>
            </w:r>
          </w:p>
        </w:tc>
        <w:tc>
          <w:tcPr>
            <w:tcW w:w="1350" w:type="dxa"/>
            <w:shd w:val="clear" w:color="auto" w:fill="auto"/>
            <w:noWrap/>
            <w:vAlign w:val="bottom"/>
          </w:tcPr>
          <w:p w14:paraId="565FC248" w14:textId="77777777" w:rsidR="005E1F70" w:rsidRPr="00435469" w:rsidRDefault="005E1F70" w:rsidP="00AD6E54">
            <w:pPr>
              <w:pStyle w:val="3TableData"/>
            </w:pPr>
            <w:r w:rsidRPr="00435469">
              <w:t>8.2</w:t>
            </w:r>
          </w:p>
        </w:tc>
        <w:tc>
          <w:tcPr>
            <w:tcW w:w="1470" w:type="dxa"/>
            <w:shd w:val="clear" w:color="auto" w:fill="auto"/>
            <w:noWrap/>
            <w:vAlign w:val="bottom"/>
          </w:tcPr>
          <w:p w14:paraId="32AD372C" w14:textId="77777777" w:rsidR="005E1F70" w:rsidRPr="00435469" w:rsidRDefault="005E1F70" w:rsidP="00AD6E54">
            <w:pPr>
              <w:pStyle w:val="3TableData"/>
            </w:pPr>
            <w:r w:rsidRPr="00435469">
              <w:t>2.1</w:t>
            </w:r>
          </w:p>
        </w:tc>
        <w:tc>
          <w:tcPr>
            <w:tcW w:w="891" w:type="dxa"/>
            <w:shd w:val="clear" w:color="auto" w:fill="auto"/>
            <w:noWrap/>
          </w:tcPr>
          <w:p w14:paraId="3A2A65DB" w14:textId="77777777" w:rsidR="005E1F70" w:rsidRPr="00435469" w:rsidRDefault="005E1F70" w:rsidP="00AD6E54">
            <w:pPr>
              <w:pStyle w:val="3TableData"/>
            </w:pPr>
            <w:r w:rsidRPr="00435469">
              <w:t>27.8</w:t>
            </w:r>
          </w:p>
        </w:tc>
        <w:tc>
          <w:tcPr>
            <w:tcW w:w="1179" w:type="dxa"/>
            <w:shd w:val="clear" w:color="auto" w:fill="auto"/>
            <w:noWrap/>
          </w:tcPr>
          <w:p w14:paraId="0792585B" w14:textId="77777777" w:rsidR="005E1F70" w:rsidRPr="00435469" w:rsidRDefault="005E1F70" w:rsidP="00AD6E54">
            <w:pPr>
              <w:pStyle w:val="3TableData"/>
            </w:pPr>
            <w:r w:rsidRPr="00435469">
              <w:t>4.4</w:t>
            </w:r>
          </w:p>
        </w:tc>
        <w:tc>
          <w:tcPr>
            <w:tcW w:w="608" w:type="dxa"/>
          </w:tcPr>
          <w:p w14:paraId="14544DB7" w14:textId="77777777" w:rsidR="005E1F70" w:rsidRPr="00435469" w:rsidRDefault="005E1F70" w:rsidP="00AD6E54">
            <w:pPr>
              <w:pStyle w:val="3TableData"/>
            </w:pPr>
            <w:r w:rsidRPr="00435469">
              <w:rPr>
                <w:lang w:val="en-ZA" w:eastAsia="en-ZA"/>
              </w:rPr>
              <w:t>45.00</w:t>
            </w:r>
          </w:p>
        </w:tc>
        <w:tc>
          <w:tcPr>
            <w:tcW w:w="750" w:type="dxa"/>
          </w:tcPr>
          <w:p w14:paraId="013610DE" w14:textId="77777777" w:rsidR="005E1F70" w:rsidRPr="00435469" w:rsidRDefault="005E1F70" w:rsidP="00AD6E54">
            <w:pPr>
              <w:pStyle w:val="3TableData"/>
            </w:pPr>
            <w:r w:rsidRPr="00435469">
              <w:rPr>
                <w:lang w:val="en-ZA" w:eastAsia="en-ZA"/>
              </w:rPr>
              <w:t>11.0</w:t>
            </w:r>
          </w:p>
        </w:tc>
      </w:tr>
      <w:tr w:rsidR="00304411" w:rsidRPr="00435469" w14:paraId="795700E8" w14:textId="77777777" w:rsidTr="00AD6E54">
        <w:trPr>
          <w:trHeight w:val="265"/>
        </w:trPr>
        <w:tc>
          <w:tcPr>
            <w:tcW w:w="1133" w:type="dxa"/>
            <w:shd w:val="clear" w:color="auto" w:fill="auto"/>
            <w:noWrap/>
            <w:vAlign w:val="bottom"/>
            <w:hideMark/>
          </w:tcPr>
          <w:p w14:paraId="1BD15A0D" w14:textId="77777777" w:rsidR="005E1F70" w:rsidRPr="00435469" w:rsidRDefault="005E1F70" w:rsidP="00AD6E54">
            <w:pPr>
              <w:pStyle w:val="3TableData"/>
            </w:pPr>
            <w:r w:rsidRPr="00435469">
              <w:t>55-64</w:t>
            </w:r>
          </w:p>
        </w:tc>
        <w:tc>
          <w:tcPr>
            <w:tcW w:w="872" w:type="dxa"/>
            <w:shd w:val="clear" w:color="auto" w:fill="auto"/>
            <w:noWrap/>
          </w:tcPr>
          <w:p w14:paraId="497855FD" w14:textId="77777777" w:rsidR="005E1F70" w:rsidRPr="00435469" w:rsidRDefault="005E1F70" w:rsidP="00AD6E54">
            <w:pPr>
              <w:pStyle w:val="3TableData"/>
            </w:pPr>
            <w:r w:rsidRPr="00435469">
              <w:t>23.0</w:t>
            </w:r>
          </w:p>
        </w:tc>
        <w:tc>
          <w:tcPr>
            <w:tcW w:w="1129" w:type="dxa"/>
            <w:shd w:val="clear" w:color="auto" w:fill="auto"/>
            <w:noWrap/>
            <w:vAlign w:val="bottom"/>
          </w:tcPr>
          <w:p w14:paraId="2887A204" w14:textId="77777777" w:rsidR="005E1F70" w:rsidRPr="00435469" w:rsidRDefault="005E1F70" w:rsidP="00AD6E54">
            <w:pPr>
              <w:pStyle w:val="3TableData"/>
            </w:pPr>
            <w:r w:rsidRPr="00435469">
              <w:t>28.7</w:t>
            </w:r>
          </w:p>
        </w:tc>
        <w:tc>
          <w:tcPr>
            <w:tcW w:w="1350" w:type="dxa"/>
            <w:shd w:val="clear" w:color="auto" w:fill="auto"/>
            <w:noWrap/>
            <w:vAlign w:val="bottom"/>
          </w:tcPr>
          <w:p w14:paraId="765F402D" w14:textId="77777777" w:rsidR="005E1F70" w:rsidRPr="00435469" w:rsidRDefault="005E1F70" w:rsidP="00AD6E54">
            <w:pPr>
              <w:pStyle w:val="3TableData"/>
            </w:pPr>
            <w:r w:rsidRPr="00435469">
              <w:t>12.4</w:t>
            </w:r>
          </w:p>
        </w:tc>
        <w:tc>
          <w:tcPr>
            <w:tcW w:w="1470" w:type="dxa"/>
            <w:shd w:val="clear" w:color="auto" w:fill="auto"/>
            <w:noWrap/>
            <w:vAlign w:val="bottom"/>
          </w:tcPr>
          <w:p w14:paraId="3F2DFE8D" w14:textId="77777777" w:rsidR="005E1F70" w:rsidRPr="00435469" w:rsidRDefault="005E1F70" w:rsidP="00AD6E54">
            <w:pPr>
              <w:pStyle w:val="3TableData"/>
            </w:pPr>
            <w:r w:rsidRPr="00435469">
              <w:t>2.9</w:t>
            </w:r>
          </w:p>
        </w:tc>
        <w:tc>
          <w:tcPr>
            <w:tcW w:w="891" w:type="dxa"/>
            <w:shd w:val="clear" w:color="auto" w:fill="auto"/>
            <w:noWrap/>
          </w:tcPr>
          <w:p w14:paraId="628B38F8" w14:textId="77777777" w:rsidR="005E1F70" w:rsidRPr="00435469" w:rsidRDefault="005E1F70" w:rsidP="00AD6E54">
            <w:pPr>
              <w:pStyle w:val="3TableData"/>
            </w:pPr>
            <w:r w:rsidRPr="00435469">
              <w:t>25.7</w:t>
            </w:r>
          </w:p>
        </w:tc>
        <w:tc>
          <w:tcPr>
            <w:tcW w:w="1179" w:type="dxa"/>
            <w:shd w:val="clear" w:color="auto" w:fill="auto"/>
            <w:noWrap/>
          </w:tcPr>
          <w:p w14:paraId="12156274" w14:textId="77777777" w:rsidR="005E1F70" w:rsidRPr="00435469" w:rsidRDefault="005E1F70" w:rsidP="00AD6E54">
            <w:pPr>
              <w:pStyle w:val="3TableData"/>
            </w:pPr>
            <w:r w:rsidRPr="00435469">
              <w:t>3.7</w:t>
            </w:r>
          </w:p>
        </w:tc>
        <w:tc>
          <w:tcPr>
            <w:tcW w:w="608" w:type="dxa"/>
          </w:tcPr>
          <w:p w14:paraId="596EC63E" w14:textId="77777777" w:rsidR="005E1F70" w:rsidRPr="00435469" w:rsidRDefault="005E1F70" w:rsidP="00AD6E54">
            <w:pPr>
              <w:pStyle w:val="3TableData"/>
            </w:pPr>
            <w:r w:rsidRPr="00435469">
              <w:rPr>
                <w:lang w:val="en-ZA" w:eastAsia="en-ZA"/>
              </w:rPr>
              <w:t>37.80</w:t>
            </w:r>
          </w:p>
        </w:tc>
        <w:tc>
          <w:tcPr>
            <w:tcW w:w="750" w:type="dxa"/>
          </w:tcPr>
          <w:p w14:paraId="09B82B04" w14:textId="77777777" w:rsidR="005E1F70" w:rsidRPr="00435469" w:rsidRDefault="005E1F70" w:rsidP="00AD6E54">
            <w:pPr>
              <w:pStyle w:val="3TableData"/>
            </w:pPr>
            <w:r w:rsidRPr="00435469">
              <w:rPr>
                <w:lang w:val="en-ZA" w:eastAsia="en-ZA"/>
              </w:rPr>
              <w:t>11.3</w:t>
            </w:r>
          </w:p>
        </w:tc>
      </w:tr>
      <w:tr w:rsidR="00304411" w:rsidRPr="00435469" w14:paraId="6B701EC4" w14:textId="77777777" w:rsidTr="00AD6E54">
        <w:trPr>
          <w:trHeight w:val="265"/>
        </w:trPr>
        <w:tc>
          <w:tcPr>
            <w:tcW w:w="1133" w:type="dxa"/>
            <w:tcBorders>
              <w:bottom w:val="single" w:sz="4" w:space="0" w:color="auto"/>
            </w:tcBorders>
            <w:shd w:val="clear" w:color="auto" w:fill="auto"/>
            <w:noWrap/>
            <w:vAlign w:val="bottom"/>
            <w:hideMark/>
          </w:tcPr>
          <w:p w14:paraId="19CAB6ED" w14:textId="77777777" w:rsidR="005E1F70" w:rsidRPr="00435469" w:rsidRDefault="005E1F70" w:rsidP="00AD6E54">
            <w:pPr>
              <w:pStyle w:val="3TableData"/>
            </w:pPr>
            <w:r w:rsidRPr="00435469">
              <w:t>65-90</w:t>
            </w:r>
          </w:p>
        </w:tc>
        <w:tc>
          <w:tcPr>
            <w:tcW w:w="872" w:type="dxa"/>
            <w:tcBorders>
              <w:bottom w:val="single" w:sz="4" w:space="0" w:color="auto"/>
            </w:tcBorders>
            <w:shd w:val="clear" w:color="auto" w:fill="auto"/>
            <w:noWrap/>
          </w:tcPr>
          <w:p w14:paraId="10D85248" w14:textId="77777777" w:rsidR="005E1F70" w:rsidRPr="00435469" w:rsidRDefault="005E1F70" w:rsidP="00AD6E54">
            <w:pPr>
              <w:pStyle w:val="3TableData"/>
            </w:pPr>
            <w:r w:rsidRPr="00435469">
              <w:t>21.1</w:t>
            </w:r>
          </w:p>
        </w:tc>
        <w:tc>
          <w:tcPr>
            <w:tcW w:w="1129" w:type="dxa"/>
            <w:tcBorders>
              <w:bottom w:val="single" w:sz="4" w:space="0" w:color="auto"/>
            </w:tcBorders>
            <w:shd w:val="clear" w:color="auto" w:fill="auto"/>
            <w:noWrap/>
            <w:vAlign w:val="bottom"/>
          </w:tcPr>
          <w:p w14:paraId="55D93FC3" w14:textId="77777777" w:rsidR="005E1F70" w:rsidRPr="00435469" w:rsidRDefault="005E1F70" w:rsidP="00AD6E54">
            <w:pPr>
              <w:pStyle w:val="3TableData"/>
            </w:pPr>
            <w:r w:rsidRPr="00435469">
              <w:t>30.1</w:t>
            </w:r>
          </w:p>
        </w:tc>
        <w:tc>
          <w:tcPr>
            <w:tcW w:w="1350" w:type="dxa"/>
            <w:tcBorders>
              <w:bottom w:val="single" w:sz="4" w:space="0" w:color="auto"/>
            </w:tcBorders>
            <w:shd w:val="clear" w:color="auto" w:fill="auto"/>
            <w:noWrap/>
            <w:vAlign w:val="bottom"/>
          </w:tcPr>
          <w:p w14:paraId="0A70111B" w14:textId="77777777" w:rsidR="005E1F70" w:rsidRPr="00435469" w:rsidRDefault="005E1F70" w:rsidP="00AD6E54">
            <w:pPr>
              <w:pStyle w:val="3TableData"/>
            </w:pPr>
            <w:r w:rsidRPr="00435469">
              <w:t>6.0</w:t>
            </w:r>
          </w:p>
        </w:tc>
        <w:tc>
          <w:tcPr>
            <w:tcW w:w="1470" w:type="dxa"/>
            <w:tcBorders>
              <w:bottom w:val="single" w:sz="4" w:space="0" w:color="auto"/>
            </w:tcBorders>
            <w:shd w:val="clear" w:color="auto" w:fill="auto"/>
            <w:noWrap/>
            <w:vAlign w:val="bottom"/>
          </w:tcPr>
          <w:p w14:paraId="084CF68E" w14:textId="77777777" w:rsidR="005E1F70" w:rsidRPr="00435469" w:rsidRDefault="005E1F70" w:rsidP="00AD6E54">
            <w:pPr>
              <w:pStyle w:val="3TableData"/>
            </w:pPr>
            <w:r w:rsidRPr="00435469">
              <w:t>3.7</w:t>
            </w:r>
          </w:p>
        </w:tc>
        <w:tc>
          <w:tcPr>
            <w:tcW w:w="891" w:type="dxa"/>
            <w:tcBorders>
              <w:bottom w:val="single" w:sz="4" w:space="0" w:color="auto"/>
            </w:tcBorders>
            <w:shd w:val="clear" w:color="auto" w:fill="auto"/>
            <w:noWrap/>
          </w:tcPr>
          <w:p w14:paraId="0B9B4C7A" w14:textId="77777777" w:rsidR="005E1F70" w:rsidRPr="00435469" w:rsidRDefault="005E1F70" w:rsidP="00AD6E54">
            <w:pPr>
              <w:pStyle w:val="3TableData"/>
            </w:pPr>
            <w:r w:rsidRPr="00435469">
              <w:t>20.9</w:t>
            </w:r>
          </w:p>
        </w:tc>
        <w:tc>
          <w:tcPr>
            <w:tcW w:w="1179" w:type="dxa"/>
            <w:tcBorders>
              <w:bottom w:val="single" w:sz="4" w:space="0" w:color="auto"/>
            </w:tcBorders>
            <w:shd w:val="clear" w:color="auto" w:fill="auto"/>
            <w:noWrap/>
          </w:tcPr>
          <w:p w14:paraId="5FD1A236" w14:textId="77777777" w:rsidR="005E1F70" w:rsidRPr="00435469" w:rsidRDefault="005E1F70" w:rsidP="00AD6E54">
            <w:pPr>
              <w:pStyle w:val="3TableData"/>
            </w:pPr>
            <w:r w:rsidRPr="00435469">
              <w:t>2.0</w:t>
            </w:r>
          </w:p>
        </w:tc>
        <w:tc>
          <w:tcPr>
            <w:tcW w:w="608" w:type="dxa"/>
            <w:tcBorders>
              <w:bottom w:val="single" w:sz="4" w:space="0" w:color="auto"/>
            </w:tcBorders>
          </w:tcPr>
          <w:p w14:paraId="0848CCCF" w14:textId="77777777" w:rsidR="005E1F70" w:rsidRPr="00435469" w:rsidRDefault="005E1F70" w:rsidP="00AD6E54">
            <w:pPr>
              <w:pStyle w:val="3TableData"/>
            </w:pPr>
            <w:r w:rsidRPr="00435469">
              <w:rPr>
                <w:lang w:val="en-ZA" w:eastAsia="en-ZA"/>
              </w:rPr>
              <w:t>24.90</w:t>
            </w:r>
          </w:p>
        </w:tc>
        <w:tc>
          <w:tcPr>
            <w:tcW w:w="750" w:type="dxa"/>
            <w:tcBorders>
              <w:bottom w:val="single" w:sz="4" w:space="0" w:color="auto"/>
            </w:tcBorders>
          </w:tcPr>
          <w:p w14:paraId="6BE5D6D8" w14:textId="77777777" w:rsidR="005E1F70" w:rsidRPr="00435469" w:rsidRDefault="005E1F70" w:rsidP="00AD6E54">
            <w:pPr>
              <w:pStyle w:val="3TableData"/>
            </w:pPr>
            <w:r w:rsidRPr="00435469">
              <w:rPr>
                <w:lang w:val="en-ZA" w:eastAsia="en-ZA"/>
              </w:rPr>
              <w:t>7.80</w:t>
            </w:r>
          </w:p>
        </w:tc>
      </w:tr>
    </w:tbl>
    <w:p w14:paraId="4759409C" w14:textId="415BB44D" w:rsidR="005E1F70" w:rsidRPr="00435469" w:rsidRDefault="002B7820" w:rsidP="00955FFB">
      <w:pPr>
        <w:pStyle w:val="1Para"/>
        <w:spacing w:line="240" w:lineRule="auto"/>
        <w:ind w:firstLine="0"/>
        <w:rPr>
          <w:sz w:val="20"/>
          <w:szCs w:val="20"/>
        </w:rPr>
      </w:pPr>
      <w:r w:rsidRPr="00435469">
        <w:rPr>
          <w:noProof/>
          <w:sz w:val="20"/>
          <w:szCs w:val="20"/>
        </w:rPr>
        <w:t xml:space="preserve">BMI=body mass index. </w:t>
      </w:r>
      <w:r w:rsidRPr="00435469">
        <w:rPr>
          <w:noProof/>
          <w:sz w:val="20"/>
          <w:szCs w:val="20"/>
          <w:lang w:val="en-US"/>
        </w:rPr>
        <w:t xml:space="preserve">HbA1c= </w:t>
      </w:r>
      <w:r w:rsidR="00755452" w:rsidRPr="00435469">
        <w:rPr>
          <w:noProof/>
          <w:sz w:val="20"/>
          <w:szCs w:val="20"/>
          <w:lang w:val="en-US"/>
        </w:rPr>
        <w:t xml:space="preserve">Glycated hemoglobin. </w:t>
      </w:r>
      <w:r w:rsidRPr="00435469">
        <w:rPr>
          <w:noProof/>
          <w:sz w:val="20"/>
          <w:szCs w:val="20"/>
        </w:rPr>
        <w:t xml:space="preserve"> </w:t>
      </w:r>
      <w:r w:rsidR="00021DA3" w:rsidRPr="00435469">
        <w:rPr>
          <w:noProof/>
          <w:sz w:val="20"/>
          <w:szCs w:val="20"/>
        </w:rPr>
        <w:t>Data sources</w:t>
      </w:r>
      <w:r w:rsidR="00520CEF" w:rsidRPr="00435469">
        <w:rPr>
          <w:noProof/>
          <w:sz w:val="20"/>
          <w:szCs w:val="20"/>
        </w:rPr>
        <w:t xml:space="preserve">: </w:t>
      </w:r>
      <w:r w:rsidR="00C26E41" w:rsidRPr="00435469">
        <w:rPr>
          <w:noProof/>
          <w:sz w:val="20"/>
          <w:szCs w:val="20"/>
        </w:rPr>
        <w:t>For</w:t>
      </w:r>
      <w:r w:rsidR="00936624" w:rsidRPr="00435469">
        <w:rPr>
          <w:noProof/>
          <w:sz w:val="20"/>
          <w:szCs w:val="20"/>
        </w:rPr>
        <w:t xml:space="preserve"> </w:t>
      </w:r>
      <w:r w:rsidRPr="00435469">
        <w:rPr>
          <w:noProof/>
          <w:sz w:val="20"/>
          <w:szCs w:val="20"/>
          <w:lang w:val="en-US"/>
        </w:rPr>
        <w:t>u</w:t>
      </w:r>
      <w:r w:rsidR="00936624" w:rsidRPr="00435469">
        <w:rPr>
          <w:noProof/>
          <w:sz w:val="20"/>
          <w:szCs w:val="20"/>
          <w:lang w:val="en-US"/>
        </w:rPr>
        <w:t>nderweight (BMI &lt; 18.5)</w:t>
      </w:r>
      <w:r w:rsidR="00096723" w:rsidRPr="00435469">
        <w:rPr>
          <w:noProof/>
          <w:sz w:val="20"/>
          <w:szCs w:val="20"/>
        </w:rPr>
        <w:t xml:space="preserve"> </w:t>
      </w:r>
      <w:r w:rsidR="009413B5" w:rsidRPr="00435469">
        <w:rPr>
          <w:sz w:val="20"/>
          <w:szCs w:val="20"/>
        </w:rPr>
        <w:t xml:space="preserve">SANHANES-1 survey </w:t>
      </w:r>
      <w:r w:rsidR="009413B5" w:rsidRPr="00435469">
        <w:rPr>
          <w:sz w:val="20"/>
          <w:szCs w:val="20"/>
        </w:rPr>
        <w:fldChar w:fldCharType="begin" w:fldLock="1"/>
      </w:r>
      <w:r w:rsidR="00A142FF" w:rsidRPr="00435469">
        <w:rPr>
          <w:sz w:val="20"/>
          <w:szCs w:val="20"/>
        </w:rPr>
        <w:instrText>ADDIN CSL_CITATION {"citationItems":[{"id":"ITEM-1","itemData":{"ISBN":"9780796924469","author":[{"dropping-particle":"","family":"Shisana O, Labadarios D, Rehle T, Simbayi L, Zuma K, Dhansay A, Reddy P, Parker W, Hoosain E, Naidoo P, Hogoro C, Mchiza Z, Steyn NP, Dwane N, Makoae M, Maluleke T, Ramlagan S, Zungu N, Evans MG, Jacobs L","given":"Faber M","non-dropping-particle":"","parse-names":false,"suffix":""}],"id":"ITEM-1","issued":{"date-parts":[["2013"]]},"publisher-place":"Cape Town: HSRC Press","title":"The South African National health and Nutrition Examination Survey SANHANES-1","type":"report"},"uris":["http://www.mendeley.com/documents/?uuid=5d9de67f-dd27-4541-b6f2-bc642e6190a0"]}],"mendeley":{"formattedCitation":"(116)","plainTextFormattedCitation":"(116)","previouslyFormattedCitation":"(116)"},"properties":{"noteIndex":0},"schema":"https://github.com/citation-style-language/schema/raw/master/csl-citation.json"}</w:instrText>
      </w:r>
      <w:r w:rsidR="009413B5" w:rsidRPr="00435469">
        <w:rPr>
          <w:sz w:val="20"/>
          <w:szCs w:val="20"/>
        </w:rPr>
        <w:fldChar w:fldCharType="separate"/>
      </w:r>
      <w:r w:rsidR="0016391D" w:rsidRPr="00435469">
        <w:rPr>
          <w:noProof/>
          <w:sz w:val="20"/>
          <w:szCs w:val="20"/>
        </w:rPr>
        <w:t>(116)</w:t>
      </w:r>
      <w:r w:rsidR="009413B5" w:rsidRPr="00435469">
        <w:rPr>
          <w:sz w:val="20"/>
          <w:szCs w:val="20"/>
        </w:rPr>
        <w:fldChar w:fldCharType="end"/>
      </w:r>
      <w:r w:rsidR="009413B5" w:rsidRPr="00435469">
        <w:rPr>
          <w:sz w:val="20"/>
          <w:szCs w:val="20"/>
        </w:rPr>
        <w:t xml:space="preserve">; </w:t>
      </w:r>
      <w:r w:rsidR="001F7374" w:rsidRPr="00435469">
        <w:rPr>
          <w:sz w:val="20"/>
          <w:szCs w:val="20"/>
        </w:rPr>
        <w:t xml:space="preserve">For </w:t>
      </w:r>
      <w:r w:rsidR="001F7374" w:rsidRPr="00435469">
        <w:rPr>
          <w:noProof/>
          <w:sz w:val="20"/>
          <w:szCs w:val="20"/>
          <w:lang w:val="en-US"/>
        </w:rPr>
        <w:t>HbA1c &gt; 6.5%</w:t>
      </w:r>
      <w:r w:rsidR="001F7374" w:rsidRPr="00435469">
        <w:rPr>
          <w:noProof/>
          <w:sz w:val="20"/>
          <w:szCs w:val="20"/>
        </w:rPr>
        <w:t xml:space="preserve">, </w:t>
      </w:r>
      <w:r w:rsidR="00936624" w:rsidRPr="00435469">
        <w:rPr>
          <w:noProof/>
          <w:sz w:val="20"/>
          <w:szCs w:val="20"/>
          <w:lang w:val="en-US"/>
        </w:rPr>
        <w:t>a</w:t>
      </w:r>
      <w:r w:rsidR="001F7374" w:rsidRPr="00435469">
        <w:rPr>
          <w:noProof/>
          <w:sz w:val="20"/>
          <w:szCs w:val="20"/>
          <w:lang w:val="en-US"/>
        </w:rPr>
        <w:t>lcohol</w:t>
      </w:r>
      <w:r w:rsidR="00936624" w:rsidRPr="00435469">
        <w:rPr>
          <w:noProof/>
          <w:sz w:val="20"/>
          <w:szCs w:val="20"/>
          <w:lang w:val="en-US"/>
        </w:rPr>
        <w:t xml:space="preserve"> </w:t>
      </w:r>
      <w:r w:rsidR="00C03B1C" w:rsidRPr="00435469">
        <w:rPr>
          <w:noProof/>
          <w:sz w:val="20"/>
          <w:szCs w:val="20"/>
          <w:lang w:val="en-US"/>
        </w:rPr>
        <w:t>ab</w:t>
      </w:r>
      <w:r w:rsidR="00936624" w:rsidRPr="00435469">
        <w:rPr>
          <w:noProof/>
          <w:sz w:val="20"/>
          <w:szCs w:val="20"/>
          <w:lang w:val="en-US"/>
        </w:rPr>
        <w:t>use, and</w:t>
      </w:r>
      <w:r w:rsidR="001F7374" w:rsidRPr="00435469">
        <w:rPr>
          <w:noProof/>
          <w:sz w:val="20"/>
          <w:szCs w:val="20"/>
          <w:lang w:val="en-US"/>
        </w:rPr>
        <w:t xml:space="preserve"> </w:t>
      </w:r>
      <w:r w:rsidR="00936624" w:rsidRPr="00435469">
        <w:rPr>
          <w:noProof/>
          <w:sz w:val="20"/>
          <w:szCs w:val="20"/>
          <w:lang w:val="en-US"/>
        </w:rPr>
        <w:t>c</w:t>
      </w:r>
      <w:r w:rsidR="001F7374" w:rsidRPr="00435469">
        <w:rPr>
          <w:noProof/>
          <w:sz w:val="20"/>
          <w:szCs w:val="20"/>
          <w:lang w:val="en-US"/>
        </w:rPr>
        <w:t>urrent smoking</w:t>
      </w:r>
      <w:r w:rsidR="00936624" w:rsidRPr="00435469">
        <w:rPr>
          <w:noProof/>
          <w:sz w:val="20"/>
          <w:szCs w:val="20"/>
          <w:lang w:val="en-US"/>
        </w:rPr>
        <w:t>:</w:t>
      </w:r>
      <w:r w:rsidR="001F7374" w:rsidRPr="00435469">
        <w:rPr>
          <w:noProof/>
          <w:sz w:val="20"/>
          <w:szCs w:val="20"/>
          <w:lang w:val="en-US"/>
        </w:rPr>
        <w:t xml:space="preserve"> </w:t>
      </w:r>
      <w:r w:rsidR="009413B5" w:rsidRPr="00435469">
        <w:rPr>
          <w:sz w:val="20"/>
          <w:szCs w:val="20"/>
        </w:rPr>
        <w:t>2016 SADHS</w:t>
      </w:r>
      <w:r w:rsidR="006E4070" w:rsidRPr="00435469">
        <w:rPr>
          <w:sz w:val="20"/>
          <w:szCs w:val="20"/>
        </w:rPr>
        <w:t xml:space="preserve"> </w:t>
      </w:r>
      <w:r w:rsidR="006E4070" w:rsidRPr="00435469">
        <w:rPr>
          <w:sz w:val="20"/>
          <w:szCs w:val="20"/>
        </w:rPr>
        <w:fldChar w:fldCharType="begin" w:fldLock="1"/>
      </w:r>
      <w:r w:rsidR="00A142FF" w:rsidRPr="00435469">
        <w:rPr>
          <w:sz w:val="20"/>
          <w:szCs w:val="20"/>
        </w:rPr>
        <w:instrText>ADDIN CSL_CITATION {"citationItems":[{"id":"ITEM-1","itemData":{"id":"ITEM-1","issued":{"date-parts":[["2019"]]},"publisher-place":"Pretoria, South Africa","title":"South Africa Demographic and Health Survey 2016","type":"report"},"uris":["http://www.mendeley.com/documents/?uuid=3e9aa098-e335-44a4-8531-c465aac52a51"]}],"mendeley":{"formattedCitation":"(117)","plainTextFormattedCitation":"(117)","previouslyFormattedCitation":"(117)"},"properties":{"noteIndex":0},"schema":"https://github.com/citation-style-language/schema/raw/master/csl-citation.json"}</w:instrText>
      </w:r>
      <w:r w:rsidR="006E4070" w:rsidRPr="00435469">
        <w:rPr>
          <w:sz w:val="20"/>
          <w:szCs w:val="20"/>
        </w:rPr>
        <w:fldChar w:fldCharType="separate"/>
      </w:r>
      <w:r w:rsidR="0016391D" w:rsidRPr="00435469">
        <w:rPr>
          <w:noProof/>
          <w:sz w:val="20"/>
          <w:szCs w:val="20"/>
        </w:rPr>
        <w:t>(117)</w:t>
      </w:r>
      <w:r w:rsidR="006E4070" w:rsidRPr="00435469">
        <w:rPr>
          <w:sz w:val="20"/>
          <w:szCs w:val="20"/>
        </w:rPr>
        <w:fldChar w:fldCharType="end"/>
      </w:r>
      <w:r w:rsidR="00755452" w:rsidRPr="00435469">
        <w:rPr>
          <w:sz w:val="20"/>
          <w:szCs w:val="20"/>
        </w:rPr>
        <w:t>.</w:t>
      </w:r>
    </w:p>
    <w:p w14:paraId="3F75F28B" w14:textId="77777777" w:rsidR="0022193C" w:rsidRPr="00435469" w:rsidRDefault="0022193C" w:rsidP="00955FFB">
      <w:pPr>
        <w:pStyle w:val="Heading3"/>
        <w:rPr>
          <w:rFonts w:cs="Times New Roman"/>
          <w:color w:val="auto"/>
          <w:sz w:val="20"/>
          <w:szCs w:val="20"/>
        </w:rPr>
      </w:pPr>
      <w:bookmarkStart w:id="293" w:name="_Toc89683413"/>
      <w:bookmarkStart w:id="294" w:name="_Toc103252951"/>
      <w:r w:rsidRPr="00435469">
        <w:rPr>
          <w:rFonts w:cs="Times New Roman"/>
          <w:color w:val="auto"/>
          <w:sz w:val="20"/>
          <w:szCs w:val="20"/>
        </w:rPr>
        <w:t>Poorly controlled diabetes (HbA1c &gt; 6.5%)</w:t>
      </w:r>
      <w:bookmarkEnd w:id="293"/>
      <w:bookmarkEnd w:id="294"/>
    </w:p>
    <w:p w14:paraId="2AE68F92" w14:textId="5112BFB1" w:rsidR="0022193C" w:rsidRPr="00435469" w:rsidRDefault="0022193C" w:rsidP="00955FFB">
      <w:pPr>
        <w:spacing w:line="240" w:lineRule="auto"/>
        <w:rPr>
          <w:rFonts w:cs="Times New Roman"/>
          <w:sz w:val="20"/>
          <w:szCs w:val="20"/>
        </w:rPr>
      </w:pPr>
      <w:r w:rsidRPr="00435469">
        <w:rPr>
          <w:rFonts w:cs="Times New Roman"/>
          <w:sz w:val="20"/>
          <w:szCs w:val="20"/>
        </w:rPr>
        <w:t xml:space="preserve">Individuals with diabetes have a 3.59-fold increased risk of TB disease compared to those without diabetes, as estimated by Al-Rifai </w:t>
      </w:r>
      <w:r w:rsidRPr="00435469">
        <w:rPr>
          <w:rFonts w:cs="Times New Roman"/>
          <w:i/>
          <w:iCs/>
          <w:sz w:val="20"/>
          <w:szCs w:val="20"/>
        </w:rPr>
        <w:t>et al</w:t>
      </w:r>
      <w:r w:rsidRPr="00435469">
        <w:rPr>
          <w:rFonts w:cs="Times New Roman"/>
          <w:sz w:val="20"/>
          <w:szCs w:val="20"/>
        </w:rPr>
        <w:t xml:space="preserve">. in a meta-analysis and systematic review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{"citationItems":[{"id":"ITEM-1","itemData":{"DOI":"10.1371/journal.pone.0187967","ISBN":"1111111111","ISSN":"19326203","PMID":"29161276","abstract":"The burgeoning epidemic of diabetes mellitus (DM) is one of the major global health challenges. We systematically reviewed the published literature to provide a summary estimate of the association between DM and active tuberculosis (TB). We searched Medline and EMBASE databases for studies reporting adjusted estimates on the TB–DM association published before December 22, 2015, with no restrictions on region and language. In the meta-analysis, adjusted estimates were pooled using a DerSimonian-Laird random-effects model, according to study design. Risk of bias assessment and sensitivity analyses were conducted. 44 eligible studies were included, which consisted of 58,468,404 subjects from 16 countries. Compared with non-DM patients, DM patients had 3.59–fold (95% confidence interval (CI) 2.25–5.73), 1.55–fold (95% CI 1.39–1.72), and 2.09–fold (95% CI 1.71–2.55) increased risk of active TB in four prospective, 16 retrospective, and 17 case-control studies, respectively. Country income level (3.16–fold in low/middle–vs. 1.73–fold in high–income countries), background TB incidence (2.05–fold in countries with &gt;50 vs. 1.89–fold in countries with 50 TB cases per 100,000 person-year), and geographical region (2.44–fold in Asia vs. 1.71–fold in Europe and 1.73–fold in USA/Canada) affected appreciably the estimated association, but potential risk of bias, type of population (general versus clinical), and potential for duplicate data, did not. Microbiological ascertainment for TB (3.03–fold) and/or blood testing for DM (3.10–fold), as well as uncontrolled DM (3.30–fold), resulted in stronger estimated association. DM is associated with a two- to four-fold increased risk of active TB. The association was stronger when ascertainment was based on biological testing rather than medical records or self-report. The burgeoning DM epidemic could impact upon the achievements of the WHO “End TB Strategy” for reducing TB incidence.","author":[{"dropping-particle":"","family":"Al-Rifai","given":"Rami H.","non-dropping-particle":"","parse-names":false,"suffix":""},{"dropping-particle":"","family":"Pearson","given":"Fiona","non-dropping-particle":"","parse-names":false,"suffix":""},{"dropping-particle":"","family":"Critchley","given":"Julia A.","non-dropping-particle":"","parse-names":false,"suffix":""},{"dropping-particle":"","family":"Abu-Raddad","given":"Laith J.","non-dropping-particle":"","parse-names":false,"suffix":""}],"container-title":"PLoS ONE","id":"ITEM-1","issue":"11","issued":{"date-parts":[["2017"]]},"page":"1-26","title":"Association between diabetes mellitus and active tuberculosis: A systematic review and meta-analysis","type":"article-journal","volume":"12"},"uris":["http://www.mendeley.com/documents/?uuid=c6dd0996-025e-4830-895d-3959d49c4b42"]}],"mendeley":{"formattedCitation":"(118)","plainTextFormattedCitation":"(118)","previouslyFormattedCitation":"(118)"},"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(118)</w:t>
      </w:r>
      <w:r w:rsidRPr="00435469">
        <w:rPr>
          <w:rFonts w:cs="Times New Roman"/>
          <w:sz w:val="20"/>
          <w:szCs w:val="20"/>
        </w:rPr>
        <w:fldChar w:fldCharType="end"/>
      </w:r>
      <w:r w:rsidRPr="00435469">
        <w:rPr>
          <w:rFonts w:cs="Times New Roman"/>
          <w:sz w:val="20"/>
          <w:szCs w:val="20"/>
        </w:rPr>
        <w:t xml:space="preserve">. This estimate is based on studies which defined uncontrolled diabetes as HbA1c &gt; 6.5% or HbA1c &gt; 7.0% or Fasting Blood Glucose </w:t>
      </w:r>
      <w:r w:rsidR="001C3D58" w:rsidRPr="00435469">
        <w:rPr>
          <w:rFonts w:cs="Times New Roman"/>
          <w:sz w:val="20"/>
          <w:szCs w:val="20"/>
        </w:rPr>
        <w:t xml:space="preserve">&gt; </w:t>
      </w:r>
      <w:r w:rsidRPr="00435469">
        <w:rPr>
          <w:rFonts w:cs="Times New Roman"/>
          <w:sz w:val="20"/>
          <w:szCs w:val="20"/>
        </w:rPr>
        <w:t>120 mg/dl. We use the 2016 SADHS data for HbA1c &gt; 6.5% prevalence to be relatively consistent with these definitions</w:t>
      </w:r>
      <w:r w:rsidR="001F5C8E" w:rsidRPr="00435469">
        <w:rPr>
          <w:rFonts w:cs="Times New Roman"/>
          <w:sz w:val="20"/>
          <w:szCs w:val="20"/>
        </w:rPr>
        <w:t xml:space="preserve"> </w:t>
      </w:r>
      <w:r w:rsidR="001F5C8E" w:rsidRPr="00435469">
        <w:rPr>
          <w:sz w:val="20"/>
          <w:szCs w:val="20"/>
        </w:rPr>
        <w:fldChar w:fldCharType="begin" w:fldLock="1"/>
      </w:r>
      <w:r w:rsidR="00A142FF" w:rsidRPr="00435469">
        <w:rPr>
          <w:sz w:val="20"/>
          <w:szCs w:val="20"/>
        </w:rPr>
        <w:instrText>ADDIN CSL_CITATION {"citationItems":[{"id":"ITEM-1","itemData":{"id":"ITEM-1","issued":{"date-parts":[["2019"]]},"publisher-place":"Pretoria, South Africa","title":"South Africa Demographic and Health Survey 2016","type":"report"},"uris":["http://www.mendeley.com/documents/?uuid=3e9aa098-e335-44a4-8531-c465aac52a51"]}],"mendeley":{"formattedCitation":"(117)","plainTextFormattedCitation":"(117)","previouslyFormattedCitation":"(117)"},"properties":{"noteIndex":0},"schema":"https://github.com/citation-style-language/schema/raw/master/csl-citation.json"}</w:instrText>
      </w:r>
      <w:r w:rsidR="001F5C8E" w:rsidRPr="00435469">
        <w:rPr>
          <w:sz w:val="20"/>
          <w:szCs w:val="20"/>
        </w:rPr>
        <w:fldChar w:fldCharType="separate"/>
      </w:r>
      <w:r w:rsidR="0016391D" w:rsidRPr="00435469">
        <w:rPr>
          <w:noProof/>
          <w:sz w:val="20"/>
          <w:szCs w:val="20"/>
        </w:rPr>
        <w:t>(117)</w:t>
      </w:r>
      <w:r w:rsidR="001F5C8E" w:rsidRPr="00435469">
        <w:rPr>
          <w:sz w:val="20"/>
          <w:szCs w:val="20"/>
        </w:rPr>
        <w:fldChar w:fldCharType="end"/>
      </w:r>
      <w:r w:rsidRPr="00435469">
        <w:rPr>
          <w:rFonts w:cs="Times New Roman"/>
          <w:sz w:val="20"/>
          <w:szCs w:val="20"/>
        </w:rPr>
        <w:t xml:space="preserve">. In the model, we defined the effect of diabetes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1</m:t>
            </m:r>
          </m:sub>
        </m:sSub>
      </m:oMath>
      <w:r w:rsidR="007E4AD2" w:rsidRPr="00435469">
        <w:rPr>
          <w:rFonts w:eastAsiaTheme="minorEastAsia" w:cs="Times New Roman"/>
          <w:sz w:val="20"/>
          <w:szCs w:val="20"/>
        </w:rPr>
        <w:t xml:space="preserve">, </w:t>
      </w:r>
      <w:r w:rsidRPr="00435469">
        <w:rPr>
          <w:rFonts w:cs="Times New Roman"/>
          <w:sz w:val="20"/>
          <w:szCs w:val="20"/>
        </w:rPr>
        <w:t>as an increase in TB incidence due to having diabetes (HbA1c &gt; 6.5%)</w:t>
      </w:r>
      <w:r w:rsidR="007E4AD2" w:rsidRPr="00435469">
        <w:rPr>
          <w:rFonts w:cs="Times New Roman"/>
          <w:sz w:val="20"/>
          <w:szCs w:val="20"/>
        </w:rPr>
        <w:t xml:space="preserve">. </w:t>
      </w:r>
      <w:r w:rsidR="00F25F99" w:rsidRPr="00435469">
        <w:rPr>
          <w:rFonts w:cs="Times New Roman"/>
          <w:sz w:val="20"/>
          <w:szCs w:val="20"/>
        </w:rPr>
        <w:t>We assigned a Gamma</w:t>
      </w:r>
      <w:r w:rsidR="003442ED" w:rsidRPr="00435469">
        <w:rPr>
          <w:rFonts w:cs="Times New Roman"/>
          <w:sz w:val="20"/>
          <w:szCs w:val="20"/>
        </w:rPr>
        <w:t xml:space="preserve"> </w:t>
      </w:r>
      <w:r w:rsidR="00F25F99" w:rsidRPr="00435469">
        <w:rPr>
          <w:rFonts w:cs="Times New Roman"/>
          <w:sz w:val="20"/>
          <w:szCs w:val="20"/>
        </w:rPr>
        <w:t>(</w:t>
      </w:r>
      <w:r w:rsidR="009A4850" w:rsidRPr="00435469">
        <w:rPr>
          <w:rFonts w:cs="Times New Roman"/>
          <w:sz w:val="20"/>
          <w:szCs w:val="20"/>
        </w:rPr>
        <w:t>9.74</w:t>
      </w:r>
      <w:r w:rsidR="00BF24BC" w:rsidRPr="00435469">
        <w:rPr>
          <w:rFonts w:cs="Times New Roman"/>
          <w:sz w:val="20"/>
          <w:szCs w:val="20"/>
        </w:rPr>
        <w:t>; 3.76) prior distribution to represent the uncertainty around this parameter</w:t>
      </w:r>
      <w:r w:rsidR="002F0118" w:rsidRPr="00435469">
        <w:rPr>
          <w:rFonts w:cs="Times New Roman"/>
          <w:sz w:val="20"/>
          <w:szCs w:val="20"/>
        </w:rPr>
        <w:t xml:space="preserve">; </w:t>
      </w:r>
      <w:r w:rsidR="007E4AD2" w:rsidRPr="00435469">
        <w:rPr>
          <w:rFonts w:cs="Times New Roman"/>
          <w:sz w:val="20"/>
          <w:szCs w:val="20"/>
        </w:rPr>
        <w:t xml:space="preserve">based on Al-Rifai </w:t>
      </w:r>
      <w:r w:rsidR="007E4AD2" w:rsidRPr="00435469">
        <w:rPr>
          <w:rFonts w:cs="Times New Roman"/>
          <w:i/>
          <w:iCs/>
          <w:sz w:val="20"/>
          <w:szCs w:val="20"/>
        </w:rPr>
        <w:t>et al</w:t>
      </w:r>
      <w:r w:rsidR="007E4AD2" w:rsidRPr="00435469">
        <w:rPr>
          <w:rFonts w:cs="Times New Roman"/>
          <w:sz w:val="20"/>
          <w:szCs w:val="20"/>
        </w:rPr>
        <w:t>. we set the mean at</w:t>
      </w:r>
      <w:r w:rsidR="002F0118" w:rsidRPr="00435469">
        <w:rPr>
          <w:rFonts w:cs="Times New Roman"/>
          <w:sz w:val="20"/>
          <w:szCs w:val="20"/>
        </w:rPr>
        <w:t xml:space="preserve"> 2.</w:t>
      </w:r>
      <w:r w:rsidR="00222B4C" w:rsidRPr="00435469">
        <w:rPr>
          <w:rFonts w:cs="Times New Roman"/>
          <w:sz w:val="20"/>
          <w:szCs w:val="20"/>
        </w:rPr>
        <w:t xml:space="preserve">59 and the standard deviation </w:t>
      </w:r>
      <w:r w:rsidR="007E4AD2" w:rsidRPr="00435469">
        <w:rPr>
          <w:rFonts w:cs="Times New Roman"/>
          <w:sz w:val="20"/>
          <w:szCs w:val="20"/>
        </w:rPr>
        <w:t>at</w:t>
      </w:r>
      <w:r w:rsidR="00222B4C" w:rsidRPr="00435469">
        <w:rPr>
          <w:rFonts w:cs="Times New Roman"/>
          <w:sz w:val="20"/>
          <w:szCs w:val="20"/>
        </w:rPr>
        <w:t xml:space="preserve"> 0.83</w:t>
      </w:r>
      <w:r w:rsidR="00B23D01" w:rsidRPr="00435469">
        <w:rPr>
          <w:rFonts w:cs="Times New Roman"/>
          <w:sz w:val="20"/>
          <w:szCs w:val="20"/>
        </w:rPr>
        <w:t xml:space="preserve"> </w:t>
      </w:r>
      <w:r w:rsidR="00B23D01" w:rsidRPr="00435469">
        <w:rPr>
          <w:rFonts w:cs="Times New Roman"/>
          <w:sz w:val="20"/>
          <w:szCs w:val="20"/>
        </w:rPr>
        <w:fldChar w:fldCharType="begin" w:fldLock="1"/>
      </w:r>
      <w:r w:rsidR="00A142FF" w:rsidRPr="00435469">
        <w:rPr>
          <w:rFonts w:cs="Times New Roman"/>
          <w:sz w:val="20"/>
          <w:szCs w:val="20"/>
        </w:rPr>
        <w:instrText>ADDIN CSL_CITATION {"citationItems":[{"id":"ITEM-1","itemData":{"DOI":"10.1371/journal.pone.0187967","ISBN":"1111111111","ISSN":"19326203","PMID":"29161276","abstract":"The burgeoning epidemic of diabetes mellitus (DM) is one of the major global health challenges. We systematically reviewed the published literature to provide a summary estimate of the association between DM and active tuberculosis (TB). We searched Medline and EMBASE databases for studies reporting adjusted estimates on the TB–DM association published before December 22, 2015, with no restrictions on region and language. In the meta-analysis, adjusted estimates were pooled using a DerSimonian-Laird random-effects model, according to study design. Risk of bias assessment and sensitivity analyses were conducted. 44 eligible studies were included, which consisted of 58,468,404 subjects from 16 countries. Compared with non-DM patients, DM patients had 3.59–fold (95% confidence interval (CI) 2.25–5.73), 1.55–fold (95% CI 1.39–1.72), and 2.09–fold (95% CI 1.71–2.55) increased risk of active TB in four prospective, 16 retrospective, and 17 case-control studies, respectively. Country income level (3.16–fold in low/middle–vs. 1.73–fold in high–income countries), background TB incidence (2.05–fold in countries with &gt;50 vs. 1.89–fold in countries with 50 TB cases per 100,000 person-year), and geographical region (2.44–fold in Asia vs. 1.71–fold in Europe and 1.73–fold in USA/Canada) affected appreciably the estimated association, but potential risk of bias, type of population (general versus clinical), and potential for duplicate data, did not. Microbiological ascertainment for TB (3.03–fold) and/or blood testing for DM (3.10–fold), as well as uncontrolled DM (3.30–fold), resulted in stronger estimated association. DM is associated with a two- to four-fold increased risk of active TB. The association was stronger when ascertainment was based on biological testing rather than medical records or self-report. The burgeoning DM epidemic could impact upon the achievements of the WHO “End TB Strategy” for reducing TB incidence.","author":[{"dropping-particle":"","family":"Al-Rifai","given":"Rami H.","non-dropping-particle":"","parse-names":false,"suffix":""},{"dropping-particle":"","family":"Pearson","given":"Fiona","non-dropping-particle":"","parse-names":false,"suffix":""},{"dropping-particle":"","family":"Critchley","given":"Julia A.","non-dropping-particle":"","parse-names":false,"suffix":""},{"dropping-particle":"","family":"Abu-Raddad","given":"Laith J.","non-dropping-particle":"","parse-names":false,"suffix":""}],"container-title":"PLoS ONE","id":"ITEM-1","issue":"11","issued":{"date-parts":[["2017"]]},"page":"1-26","title":"Association between diabetes mellitus and active tuberculosis: A systematic review and meta-analysis","type":"article-journal","volume":"12"},"uris":["http://www.mendeley.com/documents/?uuid=c6dd0996-025e-4830-895d-3959d49c4b42"]}],"mendeley":{"formattedCitation":"(118)","plainTextFormattedCitation":"(118)","previouslyFormattedCitation":"(118)"},"properties":{"noteIndex":0},"schema":"https://github.com/citation-style-language/schema/raw/master/csl-citation.json"}</w:instrText>
      </w:r>
      <w:r w:rsidR="00B23D01" w:rsidRPr="00435469">
        <w:rPr>
          <w:rFonts w:cs="Times New Roman"/>
          <w:sz w:val="20"/>
          <w:szCs w:val="20"/>
        </w:rPr>
        <w:fldChar w:fldCharType="separate"/>
      </w:r>
      <w:r w:rsidR="0016391D" w:rsidRPr="00435469">
        <w:rPr>
          <w:rFonts w:cs="Times New Roman"/>
          <w:noProof/>
          <w:sz w:val="20"/>
          <w:szCs w:val="20"/>
        </w:rPr>
        <w:t>(118)</w:t>
      </w:r>
      <w:r w:rsidR="00B23D01" w:rsidRPr="00435469">
        <w:rPr>
          <w:rFonts w:cs="Times New Roman"/>
          <w:sz w:val="20"/>
          <w:szCs w:val="20"/>
        </w:rPr>
        <w:fldChar w:fldCharType="end"/>
      </w:r>
      <w:r w:rsidR="00BF24BC" w:rsidRPr="00435469">
        <w:rPr>
          <w:rFonts w:cs="Times New Roman"/>
          <w:sz w:val="20"/>
          <w:szCs w:val="20"/>
        </w:rPr>
        <w:t>.</w:t>
      </w:r>
      <w:r w:rsidRPr="00435469">
        <w:rPr>
          <w:rFonts w:cs="Times New Roman"/>
          <w:sz w:val="20"/>
          <w:szCs w:val="20"/>
        </w:rPr>
        <w:t xml:space="preserve"> Given the age- (</w:t>
      </w:r>
      <m:oMath>
        <m:r>
          <w:rPr>
            <w:rFonts w:ascii="Cambria Math" w:hAnsi="Cambria Math" w:cs="Times New Roman"/>
            <w:sz w:val="20"/>
            <w:szCs w:val="20"/>
          </w:rPr>
          <m:t>x</m:t>
        </m:r>
      </m:oMath>
      <w:r w:rsidRPr="00435469">
        <w:rPr>
          <w:rFonts w:cs="Times New Roman"/>
          <w:sz w:val="20"/>
          <w:szCs w:val="20"/>
        </w:rPr>
        <w:t>) and sex- (</w:t>
      </w:r>
      <m:oMath>
        <m:r>
          <w:rPr>
            <w:rFonts w:ascii="Cambria Math" w:hAnsi="Cambria Math" w:cs="Times New Roman"/>
            <w:sz w:val="20"/>
            <w:szCs w:val="20"/>
          </w:rPr>
          <m:t>g</m:t>
        </m:r>
      </m:oMath>
      <w:r w:rsidRPr="00435469">
        <w:rPr>
          <w:rFonts w:cs="Times New Roman"/>
          <w:sz w:val="20"/>
          <w:szCs w:val="20"/>
        </w:rPr>
        <w:t>) specific prevalence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1gx</m:t>
            </m:r>
          </m:sub>
        </m:sSub>
      </m:oMath>
      <w:r w:rsidRPr="00435469">
        <w:rPr>
          <w:rFonts w:cs="Times New Roman"/>
          <w:sz w:val="20"/>
          <w:szCs w:val="20"/>
        </w:rPr>
        <w:t>) of poorly controlled diabetes, the multiplicative increase in TB incidence due to diabetes</w:t>
      </w:r>
      <w:r w:rsidR="00506BF6" w:rsidRPr="00435469">
        <w:rPr>
          <w:rFonts w:cs="Times New Roman"/>
          <w:sz w:val="20"/>
          <w:szCs w:val="20"/>
        </w:rPr>
        <w:t xml:space="preserve"> in individuals of age x and sex g (relative to a hypothetical population in which there is no diabetes)</w:t>
      </w:r>
      <w:r w:rsidRPr="00435469">
        <w:rPr>
          <w:rFonts w:cs="Times New Roman"/>
          <w:sz w:val="20"/>
          <w:szCs w:val="20"/>
        </w:rPr>
        <w:t xml:space="preserve"> is calculated as:</w:t>
      </w:r>
    </w:p>
    <w:p w14:paraId="6A1E9C0B" w14:textId="77777777" w:rsidR="0022193C" w:rsidRPr="00435469" w:rsidRDefault="0022193C" w:rsidP="00955FFB">
      <w:pPr>
        <w:pStyle w:val="1Para"/>
        <w:spacing w:line="240" w:lineRule="auto"/>
        <w:ind w:firstLine="0"/>
        <w:jc w:val="center"/>
        <w:rPr>
          <w:rFonts w:eastAsiaTheme="minorEastAsia" w:cs="Times New Roman"/>
          <w:sz w:val="20"/>
          <w:szCs w:val="20"/>
        </w:rPr>
      </w:pPr>
      <m:oMath>
        <m:r>
          <w:rPr>
            <w:rFonts w:ascii="Cambria Math" w:eastAsiaTheme="minorEastAsia" w:hAnsi="Cambria Math" w:cs="Times New Roman"/>
            <w:sz w:val="20"/>
            <w:szCs w:val="20"/>
          </w:rPr>
          <m:t>R</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1gx</m:t>
            </m:r>
          </m:sub>
        </m:sSub>
        <m:r>
          <w:rPr>
            <w:rFonts w:ascii="Cambria Math" w:eastAsiaTheme="minorEastAsia" w:hAnsi="Cambria Math" w:cs="Times New Roman"/>
            <w:sz w:val="20"/>
            <w:szCs w:val="20"/>
          </w:rPr>
          <m:t>=1.0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1gx</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 xml:space="preserve"> </m:t>
        </m:r>
      </m:oMath>
      <w:r w:rsidRPr="00435469">
        <w:rPr>
          <w:rFonts w:eastAsiaTheme="minorEastAsia" w:cs="Times New Roman"/>
          <w:sz w:val="20"/>
          <w:szCs w:val="20"/>
        </w:rPr>
        <w:t>.</w:t>
      </w:r>
    </w:p>
    <w:p w14:paraId="33554131" w14:textId="77777777" w:rsidR="0022193C" w:rsidRPr="00435469" w:rsidRDefault="0022193C" w:rsidP="00955FFB">
      <w:pPr>
        <w:pStyle w:val="Heading3"/>
        <w:rPr>
          <w:rFonts w:cs="Times New Roman"/>
          <w:color w:val="auto"/>
          <w:sz w:val="20"/>
          <w:szCs w:val="20"/>
        </w:rPr>
      </w:pPr>
      <w:bookmarkStart w:id="295" w:name="_Toc89683414"/>
      <w:bookmarkStart w:id="296" w:name="_Toc103252952"/>
      <w:r w:rsidRPr="00435469">
        <w:rPr>
          <w:rFonts w:cs="Times New Roman"/>
          <w:color w:val="auto"/>
          <w:sz w:val="20"/>
          <w:szCs w:val="20"/>
        </w:rPr>
        <w:t>Underweight (</w:t>
      </w:r>
      <w:r w:rsidRPr="00435469">
        <w:rPr>
          <w:rFonts w:cs="Times New Roman"/>
          <w:color w:val="auto"/>
          <w:sz w:val="20"/>
          <w:szCs w:val="20"/>
          <w:lang w:val="en-ZA"/>
        </w:rPr>
        <w:t>BMI &lt;18.5 kg/m²)</w:t>
      </w:r>
      <w:bookmarkEnd w:id="295"/>
      <w:bookmarkEnd w:id="296"/>
    </w:p>
    <w:p w14:paraId="68B2BD8E" w14:textId="621CD223" w:rsidR="0022193C" w:rsidRPr="00435469" w:rsidRDefault="0022193C" w:rsidP="00955FFB">
      <w:pPr>
        <w:spacing w:line="240" w:lineRule="auto"/>
        <w:rPr>
          <w:rFonts w:cs="Times New Roman"/>
          <w:sz w:val="20"/>
          <w:szCs w:val="20"/>
          <w:lang w:val="en-ZA"/>
        </w:rPr>
      </w:pPr>
      <w:r w:rsidRPr="00435469">
        <w:rPr>
          <w:rFonts w:cs="Times New Roman"/>
          <w:sz w:val="20"/>
          <w:szCs w:val="20"/>
        </w:rPr>
        <w:t xml:space="preserve">The meta-analysis of </w:t>
      </w:r>
      <w:proofErr w:type="spellStart"/>
      <w:r w:rsidR="00631474" w:rsidRPr="00435469">
        <w:rPr>
          <w:rFonts w:cs="Times New Roman"/>
          <w:sz w:val="20"/>
          <w:szCs w:val="20"/>
        </w:rPr>
        <w:t>Lönnroth</w:t>
      </w:r>
      <w:proofErr w:type="spellEnd"/>
      <w:r w:rsidR="00631474" w:rsidRPr="00435469">
        <w:rPr>
          <w:rFonts w:cs="Times New Roman"/>
          <w:sz w:val="20"/>
          <w:szCs w:val="20"/>
        </w:rPr>
        <w:t xml:space="preserve"> </w:t>
      </w:r>
      <w:r w:rsidRPr="00435469">
        <w:rPr>
          <w:rFonts w:cs="Times New Roman"/>
          <w:i/>
          <w:iCs/>
          <w:sz w:val="20"/>
          <w:szCs w:val="20"/>
        </w:rPr>
        <w:t>et al</w:t>
      </w:r>
      <w:r w:rsidR="00631474" w:rsidRPr="00435469">
        <w:rPr>
          <w:rFonts w:cs="Times New Roman"/>
          <w:sz w:val="20"/>
          <w:szCs w:val="20"/>
        </w:rPr>
        <w:t xml:space="preserve">. </w:t>
      </w:r>
      <w:r w:rsidR="00631474" w:rsidRPr="00435469">
        <w:rPr>
          <w:rFonts w:cs="Times New Roman"/>
          <w:sz w:val="20"/>
          <w:szCs w:val="20"/>
        </w:rPr>
        <w:fldChar w:fldCharType="begin" w:fldLock="1"/>
      </w:r>
      <w:r w:rsidR="00A142FF" w:rsidRPr="00435469">
        <w:rPr>
          <w:rFonts w:cs="Times New Roman"/>
          <w:sz w:val="20"/>
          <w:szCs w:val="20"/>
        </w:rPr>
        <w:instrText>ADDIN CSL_CITATION {"citationItems":[{"id":"ITEM-1","itemData":{"DOI":"10.1093/ije/dyp308","ISBN":"1464-3685 (Electronic)\\r0300-5771 (Linking)","ISSN":"03005771","PMID":"19820104","abstract":"BACKGROUND: Low weight for height is an established risk factor for tuberculosis (TB), and recent studies suggest that overweight is a protective factor. No previous systematic review has been done to explore the consistency and establish the gradient of this apparent 'dose-response' relationship. METHODS: A systematic literature review was carried out to identify cohort studies that collected data on weight and height at baseline and that used a diagnosis of active TB as the study outcome. Weight-for-height measures used in the original studies were transformed into body mass index (BMI). Exponential trend lines were fitted to each data set. RESULTS: Six studies were included. In all of them, there was a log-linear inverse relationship between TB incidence and BMI, within the BMI range 18.5-30 kg/m(2). The average slope gave a reduction in TB incidence of 13.8% [95% confidence interval 13.4-14.2] per unit increase in BMI. The dose-response relationship was less certain at BMI &lt;18.5 and &gt;30 kg/m(2). CONCLUSION: There is a strong and consistent log-linear relationship between TB incidence and BMI across a variety of settings with different levels of TB burden. More research is required to test the relationship at very low and very high BMI levels, to establish the biological mechanism linking BMI with risk of TB and to establish the potential impact on the global TB epidemic of changing nutritional status of populations.","author":[{"dropping-particle":"","family":"Lönnroth","given":"Knut","non-dropping-particle":"","parse-names":false,"suffix":""},{"dropping-particle":"","family":"Williams","given":"Brian G.","non-dropping-particle":"","parse-names":false,"suffix":""},{"dropping-particle":"","family":"Cegielski","given":"Peter","non-dropping-particle":"","parse-names":false,"suffix":""},{"dropping-particle":"","family":"Dye","given":"Christopher","non-dropping-particle":"","parse-names":false,"suffix":""}],"container-title":"International Journal of Epidemiology","id":"ITEM-1","issue":"1","issued":{"date-parts":[["2010"]]},"page":"149-155","title":"A consistent log-linear relationship between tuberculosis incidence and body mass index","type":"article-journal","volume":"39"},"uris":["http://www.mendeley.com/documents/?uuid=4a25d902-c6d5-4b27-8490-7b25121e4f8e"]}],"mendeley":{"formattedCitation":"(119)","plainTextFormattedCitation":"(119)","previouslyFormattedCitation":"(119)"},"properties":{"noteIndex":0},"schema":"https://github.com/citation-style-language/schema/raw/master/csl-citation.json"}</w:instrText>
      </w:r>
      <w:r w:rsidR="00631474" w:rsidRPr="00435469">
        <w:rPr>
          <w:rFonts w:cs="Times New Roman"/>
          <w:sz w:val="20"/>
          <w:szCs w:val="20"/>
        </w:rPr>
        <w:fldChar w:fldCharType="separate"/>
      </w:r>
      <w:r w:rsidR="0016391D" w:rsidRPr="00435469">
        <w:rPr>
          <w:rFonts w:cs="Times New Roman"/>
          <w:noProof/>
          <w:sz w:val="20"/>
          <w:szCs w:val="20"/>
        </w:rPr>
        <w:t>(119)</w:t>
      </w:r>
      <w:r w:rsidR="00631474" w:rsidRPr="00435469">
        <w:rPr>
          <w:rFonts w:cs="Times New Roman"/>
          <w:sz w:val="20"/>
          <w:szCs w:val="20"/>
        </w:rPr>
        <w:fldChar w:fldCharType="end"/>
      </w:r>
      <w:r w:rsidRPr="00435469">
        <w:rPr>
          <w:rFonts w:cs="Times New Roman"/>
          <w:sz w:val="20"/>
          <w:szCs w:val="20"/>
        </w:rPr>
        <w:t xml:space="preserve"> suggests that TB incidence declines steadily as BMI increases. We set the effect of low BMI on the risk of developing TB disease based on </w:t>
      </w:r>
      <w:r w:rsidRPr="00435469">
        <w:rPr>
          <w:rFonts w:cs="Times New Roman"/>
          <w:sz w:val="20"/>
          <w:szCs w:val="20"/>
          <w:lang w:val="en-ZA"/>
        </w:rPr>
        <w:t xml:space="preserve">Leung </w:t>
      </w:r>
      <w:r w:rsidRPr="00435469">
        <w:rPr>
          <w:rFonts w:cs="Times New Roman"/>
          <w:i/>
          <w:iCs/>
          <w:sz w:val="20"/>
          <w:szCs w:val="20"/>
          <w:lang w:val="en-ZA"/>
        </w:rPr>
        <w:t>et al.</w:t>
      </w:r>
      <w:r w:rsidRPr="00435469">
        <w:rPr>
          <w:rFonts w:cs="Times New Roman"/>
          <w:sz w:val="20"/>
          <w:szCs w:val="20"/>
          <w:lang w:val="en-ZA"/>
        </w:rPr>
        <w:t xml:space="preserve">, which was a cohort study of 42 116 individuals who were 65 years or older enrolled in health centres across Hong Kong, China </w:t>
      </w:r>
      <w:r w:rsidRPr="00435469">
        <w:rPr>
          <w:rFonts w:cs="Times New Roman"/>
          <w:sz w:val="20"/>
          <w:szCs w:val="20"/>
          <w:lang w:val="en-ZA"/>
        </w:rPr>
        <w:fldChar w:fldCharType="begin" w:fldLock="1"/>
      </w:r>
      <w:r w:rsidR="00A142FF" w:rsidRPr="00435469">
        <w:rPr>
          <w:rFonts w:cs="Times New Roman"/>
          <w:sz w:val="20"/>
          <w:szCs w:val="20"/>
          <w:lang w:val="en-ZA"/>
        </w:rPr>
        <w:instrText>ADDIN CSL_CITATION {"citationItems":[{"id":"ITEM-1","itemData":{"DOI":"10.1001/archinte.167.12.1297","ISSN":"00039926","PMID":"17592104","abstract":"Background: Obesity is increasingly prevalent in both developed and developing areas. Although undernutrition is well associated with tuberculosis, few studies have systematically examined the association with obesity. Method: A cohort of 42 116 individuals 65 years or older enrolled at 18 health centers for elderly patients in Hong Kong, China (which has a tuberculosis incidence of approximately 90 per 100 000 population), in 2000 were followed up prospectively through the territory-wide tuberculosis registry for the development of active tuberculosis from 3 months after enrollment until December 31, 2005, using the identity card number as the unique identifier. The association with body mass index (BMI; calculated as weight in kilograms divided by the square of height in meters), as categorized by the Asian standards, was assessed with the control of other baseline characteristics. Results: Obese (BMI ≥30) and overweight (BMI, 25 to &lt;30) individuals were at significantly lower risks of developing active tuberculosis than normal-weight individuals (BMI, 18.5 to &lt;25), with hazard ratios (95% confidence intervals) of 0.36 (0.20-0.66) and 0.55 (0.44-0.70), respectively, after adjustment for baseline demographic, social, and clinical variables. An inverse linear association was observed predominantly for pulmonary but not extrapulmonary tuberculosis. This association persisted after controlling for potential confounders or excluding individuals with known tuberculosis risk factors. Conclusions: Obesity is associated with a lower risk of active pulmonary tuberculosis in the older population of Hong Kong. The presence of such a strong but selective association across the whole spectrum of BMI could have major biological, clinical, and/or epidemiological implications. Further studies are indicated to explore the underlying mechanisms, potential clinical utilities, and possible epidemiological consequences. ©2007 American Medical Association. All rights reserved.","author":[{"dropping-particle":"","family":"Leung","given":"Chi C.","non-dropping-particle":"","parse-names":false,"suffix":""},{"dropping-particle":"","family":"Lam","given":"Tai H.","non-dropping-particle":"","parse-names":false,"suffix":""},{"dropping-particle":"","family":"Chan","given":"Wai M.","non-dropping-particle":"","parse-names":false,"suffix":""},{"dropping-particle":"","family":"Yew","given":"Wing W.","non-dropping-particle":"","parse-names":false,"suffix":""},{"dropping-particle":"","family":"Ho","given":"Kin S.","non-dropping-particle":"","parse-names":false,"suffix":""},{"dropping-particle":"","family":"Leung","given":"Gabriel","non-dropping-particle":"","parse-names":false,"suffix":""},{"dropping-particle":"","family":"Law","given":"Wing S.","non-dropping-particle":"","parse-names":false,"suffix":""},{"dropping-particle":"","family":"Tam","given":"Cheuk M.","non-dropping-particle":"","parse-names":false,"suffix":""},{"dropping-particle":"","family":"Chan","given":"Chi K.","non-dropping-particle":"","parse-names":false,"suffix":""},{"dropping-particle":"","family":"Chang","given":"Kwok C.","non-dropping-particle":"","parse-names":false,"suffix":""}],"container-title":"Archives of Internal Medicine","id":"ITEM-1","issue":"12","issued":{"date-parts":[["2007"]]},"page":"1297-1304","title":"Lower risk of tuberculosis in obesity","type":"article-journal","volume":"167"},"uris":["http://www.mendeley.com/documents/?uuid=3031f6c9-1ef4-4c0c-a439-db8b04873a78"]}],"mendeley":{"formattedCitation":"(120)","plainTextFormattedCitation":"(120)","previouslyFormattedCitation":"(120)"},"properties":{"noteIndex":0},"schema":"https://github.com/citation-style-language/schema/raw/master/csl-citation.json"}</w:instrText>
      </w:r>
      <w:r w:rsidRPr="00435469">
        <w:rPr>
          <w:rFonts w:cs="Times New Roman"/>
          <w:sz w:val="20"/>
          <w:szCs w:val="20"/>
          <w:lang w:val="en-ZA"/>
        </w:rPr>
        <w:fldChar w:fldCharType="separate"/>
      </w:r>
      <w:r w:rsidR="0016391D" w:rsidRPr="00435469">
        <w:rPr>
          <w:rFonts w:cs="Times New Roman"/>
          <w:noProof/>
          <w:sz w:val="20"/>
          <w:szCs w:val="20"/>
          <w:lang w:val="en-ZA"/>
        </w:rPr>
        <w:t>(120)</w:t>
      </w:r>
      <w:r w:rsidRPr="00435469">
        <w:rPr>
          <w:rFonts w:cs="Times New Roman"/>
          <w:sz w:val="20"/>
          <w:szCs w:val="20"/>
          <w:lang w:val="en-ZA"/>
        </w:rPr>
        <w:fldChar w:fldCharType="end"/>
      </w:r>
      <w:r w:rsidRPr="00435469">
        <w:rPr>
          <w:rFonts w:cs="Times New Roman"/>
          <w:sz w:val="20"/>
          <w:szCs w:val="20"/>
          <w:lang w:val="en-ZA"/>
        </w:rPr>
        <w:t>. The relative risk for culture-confirmed TB was 2.21 when not excluding other potential TB risk factors (this is likely to be an upper bound on the true effect of low BMI, due to confounding with smoking and other factors); and 1.39 when excluding TB risk factors (probably a lower bound because baseline is defined as normal BMI, not all BMI &gt;18.5</w:t>
      </w:r>
      <w:r w:rsidR="00A647F9" w:rsidRPr="00435469">
        <w:rPr>
          <w:rFonts w:cs="Times New Roman"/>
          <w:sz w:val="20"/>
          <w:szCs w:val="20"/>
          <w:lang w:val="en-ZA"/>
        </w:rPr>
        <w:t xml:space="preserve"> kg/m²</w:t>
      </w:r>
      <w:r w:rsidRPr="00435469">
        <w:rPr>
          <w:rFonts w:cs="Times New Roman"/>
          <w:sz w:val="20"/>
          <w:szCs w:val="20"/>
          <w:lang w:val="en-ZA"/>
        </w:rPr>
        <w:t xml:space="preserve">); 1.8 is the midpoint between these two (105). Although this study may have been conducted in a relatively older population, they adjusted for most confounders, including smoking, alcohol, diabetes, </w:t>
      </w:r>
      <w:proofErr w:type="gramStart"/>
      <w:r w:rsidRPr="00435469">
        <w:rPr>
          <w:rFonts w:cs="Times New Roman"/>
          <w:sz w:val="20"/>
          <w:szCs w:val="20"/>
          <w:lang w:val="en-ZA"/>
        </w:rPr>
        <w:t>sex</w:t>
      </w:r>
      <w:proofErr w:type="gramEnd"/>
      <w:r w:rsidRPr="00435469">
        <w:rPr>
          <w:rFonts w:cs="Times New Roman"/>
          <w:sz w:val="20"/>
          <w:szCs w:val="20"/>
          <w:lang w:val="en-ZA"/>
        </w:rPr>
        <w:t xml:space="preserve"> and age (unlike the</w:t>
      </w:r>
      <w:r w:rsidR="00407733" w:rsidRPr="00435469">
        <w:rPr>
          <w:rFonts w:cs="Times New Roman"/>
          <w:sz w:val="20"/>
          <w:szCs w:val="20"/>
        </w:rPr>
        <w:t xml:space="preserve"> </w:t>
      </w:r>
      <w:proofErr w:type="spellStart"/>
      <w:r w:rsidR="00407733" w:rsidRPr="00435469">
        <w:rPr>
          <w:rFonts w:cs="Times New Roman"/>
          <w:sz w:val="20"/>
          <w:szCs w:val="20"/>
        </w:rPr>
        <w:t>Lönnroth</w:t>
      </w:r>
      <w:proofErr w:type="spellEnd"/>
      <w:r w:rsidR="00407733" w:rsidRPr="00435469">
        <w:rPr>
          <w:rFonts w:cs="Times New Roman"/>
          <w:sz w:val="20"/>
          <w:szCs w:val="20"/>
        </w:rPr>
        <w:t xml:space="preserve"> </w:t>
      </w:r>
      <w:r w:rsidR="00407733" w:rsidRPr="00435469">
        <w:rPr>
          <w:rFonts w:cs="Times New Roman"/>
          <w:i/>
          <w:iCs/>
          <w:sz w:val="20"/>
          <w:szCs w:val="20"/>
        </w:rPr>
        <w:t>et al.</w:t>
      </w:r>
      <w:r w:rsidR="00407733" w:rsidRPr="00435469">
        <w:rPr>
          <w:rFonts w:cs="Times New Roman"/>
          <w:sz w:val="20"/>
          <w:szCs w:val="20"/>
        </w:rPr>
        <w:t xml:space="preserve"> meta-analysis</w:t>
      </w:r>
      <w:r w:rsidRPr="00435469">
        <w:rPr>
          <w:rFonts w:cs="Times New Roman"/>
          <w:sz w:val="20"/>
          <w:szCs w:val="20"/>
          <w:lang w:val="en-ZA"/>
        </w:rPr>
        <w:t xml:space="preserve">). </w:t>
      </w:r>
    </w:p>
    <w:p w14:paraId="2C1ED8BD" w14:textId="1FEBEE3A" w:rsidR="0022193C" w:rsidRPr="00435469" w:rsidRDefault="004069BC" w:rsidP="00955FFB">
      <w:pPr>
        <w:spacing w:line="240" w:lineRule="auto"/>
        <w:rPr>
          <w:rFonts w:cs="Times New Roman"/>
          <w:sz w:val="20"/>
          <w:szCs w:val="20"/>
        </w:rPr>
      </w:pPr>
      <w:r w:rsidRPr="00435469">
        <w:rPr>
          <w:rFonts w:cs="Times New Roman"/>
          <w:sz w:val="20"/>
          <w:szCs w:val="20"/>
        </w:rPr>
        <w:t>We assigned a Gamma</w:t>
      </w:r>
      <w:r w:rsidR="00BC6A65" w:rsidRPr="00435469">
        <w:rPr>
          <w:rFonts w:cs="Times New Roman"/>
          <w:sz w:val="20"/>
          <w:szCs w:val="20"/>
        </w:rPr>
        <w:t xml:space="preserve"> </w:t>
      </w:r>
      <w:r w:rsidRPr="00435469">
        <w:rPr>
          <w:rFonts w:cs="Times New Roman"/>
          <w:sz w:val="20"/>
          <w:szCs w:val="20"/>
        </w:rPr>
        <w:t>prior distribution to represent the uncertainty around this parameter</w:t>
      </w:r>
      <w:r w:rsidR="00BC6A65" w:rsidRPr="00435469">
        <w:rPr>
          <w:rFonts w:cs="Times New Roman"/>
          <w:sz w:val="20"/>
          <w:szCs w:val="20"/>
        </w:rPr>
        <w:t xml:space="preserve">. Based on </w:t>
      </w:r>
      <w:r w:rsidR="00BC6A65" w:rsidRPr="00435469">
        <w:rPr>
          <w:rFonts w:cs="Times New Roman"/>
          <w:sz w:val="20"/>
          <w:szCs w:val="20"/>
          <w:lang w:val="en-ZA"/>
        </w:rPr>
        <w:t xml:space="preserve">Leung </w:t>
      </w:r>
      <w:r w:rsidR="00BC6A65" w:rsidRPr="00435469">
        <w:rPr>
          <w:rFonts w:cs="Times New Roman"/>
          <w:i/>
          <w:iCs/>
          <w:sz w:val="20"/>
          <w:szCs w:val="20"/>
          <w:lang w:val="en-ZA"/>
        </w:rPr>
        <w:t xml:space="preserve">et al </w:t>
      </w:r>
      <w:r w:rsidR="00BC6A65" w:rsidRPr="00435469">
        <w:rPr>
          <w:rFonts w:cs="Times New Roman"/>
          <w:sz w:val="20"/>
          <w:szCs w:val="20"/>
          <w:lang w:val="en-ZA"/>
        </w:rPr>
        <w:fldChar w:fldCharType="begin" w:fldLock="1"/>
      </w:r>
      <w:r w:rsidR="00A142FF" w:rsidRPr="00435469">
        <w:rPr>
          <w:rFonts w:cs="Times New Roman"/>
          <w:sz w:val="20"/>
          <w:szCs w:val="20"/>
          <w:lang w:val="en-ZA"/>
        </w:rPr>
        <w:instrText>ADDIN CSL_CITATION {"citationItems":[{"id":"ITEM-1","itemData":{"DOI":"10.1001/archinte.167.12.1297","ISSN":"00039926","PMID":"17592104","abstract":"Background: Obesity is increasingly prevalent in both developed and developing areas. Although undernutrition is well associated with tuberculosis, few studies have systematically examined the association with obesity. Method: A cohort of 42 116 individuals 65 years or older enrolled at 18 health centers for elderly patients in Hong Kong, China (which has a tuberculosis incidence of approximately 90 per 100 000 population), in 2000 were followed up prospectively through the territory-wide tuberculosis registry for the development of active tuberculosis from 3 months after enrollment until December 31, 2005, using the identity card number as the unique identifier. The association with body mass index (BMI; calculated as weight in kilograms divided by the square of height in meters), as categorized by the Asian standards, was assessed with the control of other baseline characteristics. Results: Obese (BMI ≥30) and overweight (BMI, 25 to &lt;30) individuals were at significantly lower risks of developing active tuberculosis than normal-weight individuals (BMI, 18.5 to &lt;25), with hazard ratios (95% confidence intervals) of 0.36 (0.20-0.66) and 0.55 (0.44-0.70), respectively, after adjustment for baseline demographic, social, and clinical variables. An inverse linear association was observed predominantly for pulmonary but not extrapulmonary tuberculosis. This association persisted after controlling for potential confounders or excluding individuals with known tuberculosis risk factors. Conclusions: Obesity is associated with a lower risk of active pulmonary tuberculosis in the older population of Hong Kong. The presence of such a strong but selective association across the whole spectrum of BMI could have major biological, clinical, and/or epidemiological implications. Further studies are indicated to explore the underlying mechanisms, potential clinical utilities, and possible epidemiological consequences. ©2007 American Medical Association. All rights reserved.","author":[{"dropping-particle":"","family":"Leung","given":"Chi C.","non-dropping-particle":"","parse-names":false,"suffix":""},{"dropping-particle":"","family":"Lam","given":"Tai H.","non-dropping-particle":"","parse-names":false,"suffix":""},{"dropping-particle":"","family":"Chan","given":"Wai M.","non-dropping-particle":"","parse-names":false,"suffix":""},{"dropping-particle":"","family":"Yew","given":"Wing W.","non-dropping-particle":"","parse-names":false,"suffix":""},{"dropping-particle":"","family":"Ho","given":"Kin S.","non-dropping-particle":"","parse-names":false,"suffix":""},{"dropping-particle":"","family":"Leung","given":"Gabriel","non-dropping-particle":"","parse-names":false,"suffix":""},{"dropping-particle":"","family":"Law","given":"Wing S.","non-dropping-particle":"","parse-names":false,"suffix":""},{"dropping-particle":"","family":"Tam","given":"Cheuk M.","non-dropping-particle":"","parse-names":false,"suffix":""},{"dropping-particle":"","family":"Chan","given":"Chi K.","non-dropping-particle":"","parse-names":false,"suffix":""},{"dropping-particle":"","family":"Chang","given":"Kwok C.","non-dropping-particle":"","parse-names":false,"suffix":""}],"container-title":"Archives of Internal Medicine","id":"ITEM-1","issue":"12","issued":{"date-parts":[["2007"]]},"page":"1297-1304","title":"Lower risk of tuberculosis in obesity","type":"article-journal","volume":"167"},"uris":["http://www.mendeley.com/documents/?uuid=3031f6c9-1ef4-4c0c-a439-db8b04873a78"]}],"mendeley":{"formattedCitation":"(120)","plainTextFormattedCitation":"(120)","previouslyFormattedCitation":"(120)"},"properties":{"noteIndex":0},"schema":"https://github.com/citation-style-language/schema/raw/master/csl-citation.json"}</w:instrText>
      </w:r>
      <w:r w:rsidR="00BC6A65" w:rsidRPr="00435469">
        <w:rPr>
          <w:rFonts w:cs="Times New Roman"/>
          <w:sz w:val="20"/>
          <w:szCs w:val="20"/>
          <w:lang w:val="en-ZA"/>
        </w:rPr>
        <w:fldChar w:fldCharType="separate"/>
      </w:r>
      <w:r w:rsidR="0016391D" w:rsidRPr="00435469">
        <w:rPr>
          <w:rFonts w:cs="Times New Roman"/>
          <w:noProof/>
          <w:sz w:val="20"/>
          <w:szCs w:val="20"/>
          <w:lang w:val="en-ZA"/>
        </w:rPr>
        <w:t>(120)</w:t>
      </w:r>
      <w:r w:rsidR="00BC6A65" w:rsidRPr="00435469">
        <w:rPr>
          <w:rFonts w:cs="Times New Roman"/>
          <w:sz w:val="20"/>
          <w:szCs w:val="20"/>
          <w:lang w:val="en-ZA"/>
        </w:rPr>
        <w:fldChar w:fldCharType="end"/>
      </w:r>
      <w:r w:rsidR="00BC6A65" w:rsidRPr="00435469">
        <w:rPr>
          <w:rFonts w:cs="Times New Roman"/>
          <w:sz w:val="20"/>
          <w:szCs w:val="20"/>
          <w:lang w:val="en-ZA"/>
        </w:rPr>
        <w:t xml:space="preserve">, we set the mean of this distribution at </w:t>
      </w:r>
      <w:r w:rsidR="00BC6A65" w:rsidRPr="00435469">
        <w:rPr>
          <w:rFonts w:cs="Times New Roman"/>
          <w:sz w:val="20"/>
          <w:szCs w:val="20"/>
        </w:rPr>
        <w:t xml:space="preserve">0.8 and the standard deviation </w:t>
      </w:r>
      <w:r w:rsidR="00346AA7" w:rsidRPr="00435469">
        <w:rPr>
          <w:rFonts w:cs="Times New Roman"/>
          <w:sz w:val="20"/>
          <w:szCs w:val="20"/>
        </w:rPr>
        <w:t>at</w:t>
      </w:r>
      <w:r w:rsidR="00BC6A65" w:rsidRPr="00435469">
        <w:rPr>
          <w:rFonts w:cs="Times New Roman"/>
          <w:sz w:val="20"/>
          <w:szCs w:val="20"/>
        </w:rPr>
        <w:t xml:space="preserve"> 0.25, Gamma(10.24;12.8)</w:t>
      </w:r>
      <w:r w:rsidR="00B26E78" w:rsidRPr="00435469">
        <w:rPr>
          <w:rFonts w:cs="Times New Roman"/>
          <w:sz w:val="20"/>
          <w:szCs w:val="20"/>
        </w:rPr>
        <w:t xml:space="preserve">. </w:t>
      </w:r>
      <w:r w:rsidR="0022193C" w:rsidRPr="00435469">
        <w:rPr>
          <w:rFonts w:cs="Times New Roman"/>
          <w:sz w:val="20"/>
          <w:szCs w:val="20"/>
        </w:rPr>
        <w:t>The age- (</w:t>
      </w:r>
      <m:oMath>
        <m:r>
          <w:rPr>
            <w:rFonts w:ascii="Cambria Math" w:hAnsi="Cambria Math" w:cs="Times New Roman"/>
            <w:sz w:val="20"/>
            <w:szCs w:val="20"/>
          </w:rPr>
          <m:t>x</m:t>
        </m:r>
      </m:oMath>
      <w:r w:rsidR="0022193C" w:rsidRPr="00435469">
        <w:rPr>
          <w:rFonts w:cs="Times New Roman"/>
          <w:sz w:val="20"/>
          <w:szCs w:val="20"/>
        </w:rPr>
        <w:t>) and sex- (</w:t>
      </w:r>
      <m:oMath>
        <m:r>
          <w:rPr>
            <w:rFonts w:ascii="Cambria Math" w:hAnsi="Cambria Math" w:cs="Times New Roman"/>
            <w:sz w:val="20"/>
            <w:szCs w:val="20"/>
          </w:rPr>
          <m:t>g</m:t>
        </m:r>
      </m:oMath>
      <w:r w:rsidR="0022193C" w:rsidRPr="00435469">
        <w:rPr>
          <w:rFonts w:cs="Times New Roman"/>
          <w:sz w:val="20"/>
          <w:szCs w:val="20"/>
        </w:rPr>
        <w:t xml:space="preserve">) specific prevalence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2gx</m:t>
            </m:r>
          </m:sub>
        </m:sSub>
        <m:r>
          <w:rPr>
            <w:rFonts w:ascii="Cambria Math" w:hAnsi="Cambria Math" w:cs="Times New Roman"/>
            <w:sz w:val="20"/>
            <w:szCs w:val="20"/>
          </w:rPr>
          <m:t>)</m:t>
        </m:r>
      </m:oMath>
      <w:r w:rsidR="0022193C" w:rsidRPr="00435469">
        <w:rPr>
          <w:rFonts w:eastAsiaTheme="minorEastAsia" w:cs="Times New Roman"/>
          <w:sz w:val="20"/>
          <w:szCs w:val="20"/>
        </w:rPr>
        <w:t xml:space="preserve"> </w:t>
      </w:r>
      <w:r w:rsidR="0022193C" w:rsidRPr="00435469">
        <w:rPr>
          <w:rFonts w:cs="Times New Roman"/>
          <w:sz w:val="20"/>
          <w:szCs w:val="20"/>
        </w:rPr>
        <w:t xml:space="preserve">for </w:t>
      </w:r>
      <w:r w:rsidR="0022193C" w:rsidRPr="00435469">
        <w:rPr>
          <w:rFonts w:eastAsiaTheme="minorEastAsia" w:cs="Times New Roman"/>
          <w:sz w:val="20"/>
          <w:szCs w:val="20"/>
        </w:rPr>
        <w:t>underweight</w:t>
      </w:r>
      <w:r w:rsidR="0022193C" w:rsidRPr="00435469">
        <w:rPr>
          <w:rFonts w:cs="Times New Roman"/>
          <w:sz w:val="20"/>
          <w:szCs w:val="20"/>
        </w:rPr>
        <w:t xml:space="preserve"> is </w:t>
      </w:r>
      <w:r w:rsidR="0022193C" w:rsidRPr="00435469">
        <w:rPr>
          <w:rFonts w:eastAsiaTheme="minorEastAsia" w:cs="Times New Roman"/>
          <w:sz w:val="20"/>
          <w:szCs w:val="20"/>
        </w:rPr>
        <w:t xml:space="preserve">based on the </w:t>
      </w:r>
      <w:r w:rsidR="0022193C" w:rsidRPr="00435469">
        <w:rPr>
          <w:rFonts w:cs="Times New Roman"/>
          <w:sz w:val="20"/>
          <w:szCs w:val="20"/>
        </w:rPr>
        <w:t>SANHANES-1 survey</w:t>
      </w:r>
      <w:r w:rsidR="00384937" w:rsidRPr="00435469">
        <w:rPr>
          <w:rFonts w:cs="Times New Roman"/>
          <w:sz w:val="20"/>
          <w:szCs w:val="20"/>
        </w:rPr>
        <w:t xml:space="preserve"> (</w:t>
      </w:r>
      <w:r w:rsidR="00384937" w:rsidRPr="00435469">
        <w:rPr>
          <w:rFonts w:cs="Times New Roman"/>
          <w:sz w:val="20"/>
          <w:szCs w:val="20"/>
        </w:rPr>
        <w:fldChar w:fldCharType="begin"/>
      </w:r>
      <w:r w:rsidR="00384937" w:rsidRPr="00435469">
        <w:rPr>
          <w:rFonts w:cs="Times New Roman"/>
          <w:sz w:val="20"/>
          <w:szCs w:val="20"/>
        </w:rPr>
        <w:instrText xml:space="preserve"> REF _Ref91500418 \h </w:instrText>
      </w:r>
      <w:r w:rsidR="00955FFB" w:rsidRPr="00435469">
        <w:rPr>
          <w:rFonts w:cs="Times New Roman"/>
          <w:sz w:val="20"/>
          <w:szCs w:val="20"/>
        </w:rPr>
        <w:instrText xml:space="preserve"> \* MERGEFORMAT </w:instrText>
      </w:r>
      <w:r w:rsidR="00384937" w:rsidRPr="00435469">
        <w:rPr>
          <w:rFonts w:cs="Times New Roman"/>
          <w:sz w:val="20"/>
          <w:szCs w:val="20"/>
        </w:rPr>
      </w:r>
      <w:r w:rsidR="00384937"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18</w:t>
      </w:r>
      <w:r w:rsidR="00384937" w:rsidRPr="00435469">
        <w:rPr>
          <w:rFonts w:cs="Times New Roman"/>
          <w:sz w:val="20"/>
          <w:szCs w:val="20"/>
        </w:rPr>
        <w:fldChar w:fldCharType="end"/>
      </w:r>
      <w:r w:rsidR="00384937" w:rsidRPr="00435469">
        <w:rPr>
          <w:rFonts w:cs="Times New Roman"/>
          <w:sz w:val="20"/>
          <w:szCs w:val="20"/>
        </w:rPr>
        <w:t>)</w:t>
      </w:r>
      <w:r w:rsidR="0022193C" w:rsidRPr="00435469">
        <w:rPr>
          <w:rFonts w:cs="Times New Roman"/>
          <w:sz w:val="20"/>
          <w:szCs w:val="20"/>
        </w:rPr>
        <w:t xml:space="preserve"> </w:t>
      </w:r>
      <w:r w:rsidR="0022193C" w:rsidRPr="00435469">
        <w:rPr>
          <w:rFonts w:cs="Times New Roman"/>
          <w:sz w:val="20"/>
          <w:szCs w:val="20"/>
        </w:rPr>
        <w:fldChar w:fldCharType="begin" w:fldLock="1"/>
      </w:r>
      <w:r w:rsidR="00A142FF" w:rsidRPr="00435469">
        <w:rPr>
          <w:rFonts w:cs="Times New Roman"/>
          <w:sz w:val="20"/>
          <w:szCs w:val="20"/>
        </w:rPr>
        <w:instrText>ADDIN CSL_CITATION {"citationItems":[{"id":"ITEM-1","itemData":{"ISBN":"9780796924469","author":[{"dropping-particle":"","family":"Shisana O, Labadarios D, Rehle T, Simbayi L, Zuma K, Dhansay A, Reddy P, Parker W, Hoosain E, Naidoo P, Hogoro C, Mchiza Z, Steyn NP, Dwane N, Makoae M, Maluleke T, Ramlagan S, Zungu N, Evans MG, Jacobs L","given":"Faber M","non-dropping-particle":"","parse-names":false,"suffix":""}],"id":"ITEM-1","issued":{"date-parts":[["2013"]]},"publisher-place":"Cape Town: HSRC Press","title":"The South African National health and Nutrition Examination Survey SANHANES-1","type":"report"},"uris":["http://www.mendeley.com/documents/?uuid=5d9de67f-dd27-4541-b6f2-bc642e6190a0"]}],"mendeley":{"formattedCitation":"(116)","plainTextFormattedCitation":"(116)","previouslyFormattedCitation":"(116)"},"properties":{"noteIndex":0},"schema":"https://github.com/citation-style-language/schema/raw/master/csl-citation.json"}</w:instrText>
      </w:r>
      <w:r w:rsidR="0022193C" w:rsidRPr="00435469">
        <w:rPr>
          <w:rFonts w:cs="Times New Roman"/>
          <w:sz w:val="20"/>
          <w:szCs w:val="20"/>
        </w:rPr>
        <w:fldChar w:fldCharType="separate"/>
      </w:r>
      <w:r w:rsidR="0016391D" w:rsidRPr="00435469">
        <w:rPr>
          <w:rFonts w:cs="Times New Roman"/>
          <w:noProof/>
          <w:sz w:val="20"/>
          <w:szCs w:val="20"/>
        </w:rPr>
        <w:t>(116)</w:t>
      </w:r>
      <w:r w:rsidR="0022193C" w:rsidRPr="00435469">
        <w:rPr>
          <w:rFonts w:cs="Times New Roman"/>
          <w:sz w:val="20"/>
          <w:szCs w:val="20"/>
        </w:rPr>
        <w:fldChar w:fldCharType="end"/>
      </w:r>
      <w:r w:rsidR="00233933" w:rsidRPr="00435469">
        <w:rPr>
          <w:rFonts w:cs="Times New Roman"/>
          <w:sz w:val="20"/>
          <w:szCs w:val="20"/>
        </w:rPr>
        <w:t xml:space="preserve">. </w:t>
      </w:r>
      <w:r w:rsidR="0022193C" w:rsidRPr="00435469">
        <w:rPr>
          <w:rFonts w:cs="Times New Roman"/>
          <w:sz w:val="20"/>
          <w:szCs w:val="20"/>
        </w:rPr>
        <w:t>In the model, the age- and sex-specific multiplicative increase in TB incidence due to underweight is calculated as</w:t>
      </w:r>
    </w:p>
    <w:p w14:paraId="1F57429D" w14:textId="4F97A52C" w:rsidR="007E4AD2" w:rsidRPr="00435469" w:rsidRDefault="0022193C" w:rsidP="00BC6A65">
      <w:pPr>
        <w:pStyle w:val="1Para"/>
        <w:spacing w:line="240" w:lineRule="auto"/>
        <w:ind w:firstLine="0"/>
        <w:jc w:val="center"/>
        <w:rPr>
          <w:rFonts w:eastAsiaTheme="minorEastAsia" w:cs="Times New Roman"/>
          <w:sz w:val="20"/>
          <w:szCs w:val="20"/>
        </w:rPr>
      </w:pPr>
      <m:oMath>
        <m:r>
          <w:rPr>
            <w:rFonts w:ascii="Cambria Math" w:eastAsiaTheme="minorEastAsia" w:hAnsi="Cambria Math" w:cs="Times New Roman"/>
            <w:sz w:val="20"/>
            <w:szCs w:val="20"/>
          </w:rPr>
          <m:t>R</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2gx</m:t>
            </m:r>
          </m:sub>
        </m:sSub>
        <m:r>
          <w:rPr>
            <w:rFonts w:ascii="Cambria Math" w:eastAsiaTheme="minorEastAsia" w:hAnsi="Cambria Math" w:cs="Times New Roman"/>
            <w:sz w:val="20"/>
            <w:szCs w:val="20"/>
          </w:rPr>
          <m:t>=1.0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2gx</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 xml:space="preserve"> </m:t>
        </m:r>
      </m:oMath>
      <w:r w:rsidR="00BC6A65" w:rsidRPr="00435469">
        <w:rPr>
          <w:rFonts w:eastAsiaTheme="minorEastAsia" w:cs="Times New Roman"/>
          <w:sz w:val="20"/>
          <w:szCs w:val="20"/>
        </w:rPr>
        <w:t>.</w:t>
      </w:r>
    </w:p>
    <w:p w14:paraId="244FF693" w14:textId="77777777" w:rsidR="0022193C" w:rsidRPr="00435469" w:rsidRDefault="0022193C" w:rsidP="00955FFB">
      <w:pPr>
        <w:pStyle w:val="Heading3"/>
        <w:rPr>
          <w:rFonts w:cs="Times New Roman"/>
          <w:color w:val="auto"/>
          <w:sz w:val="20"/>
          <w:szCs w:val="20"/>
        </w:rPr>
      </w:pPr>
      <w:bookmarkStart w:id="297" w:name="_Toc89683415"/>
      <w:bookmarkStart w:id="298" w:name="_Toc103252953"/>
      <w:r w:rsidRPr="00435469">
        <w:rPr>
          <w:rFonts w:cs="Times New Roman"/>
          <w:color w:val="auto"/>
          <w:sz w:val="20"/>
          <w:szCs w:val="20"/>
        </w:rPr>
        <w:lastRenderedPageBreak/>
        <w:t>Tobacco smoking</w:t>
      </w:r>
      <w:bookmarkEnd w:id="297"/>
      <w:bookmarkEnd w:id="298"/>
      <w:r w:rsidRPr="00435469">
        <w:rPr>
          <w:rFonts w:cs="Times New Roman"/>
          <w:color w:val="auto"/>
          <w:sz w:val="20"/>
          <w:szCs w:val="20"/>
        </w:rPr>
        <w:t xml:space="preserve"> </w:t>
      </w:r>
    </w:p>
    <w:p w14:paraId="2AB32E76" w14:textId="6B31DC2C" w:rsidR="0022193C" w:rsidRPr="00435469" w:rsidRDefault="0022193C" w:rsidP="00955FFB">
      <w:pPr>
        <w:spacing w:line="240" w:lineRule="auto"/>
        <w:rPr>
          <w:rFonts w:cs="Times New Roman"/>
          <w:sz w:val="20"/>
          <w:szCs w:val="20"/>
        </w:rPr>
      </w:pPr>
      <w:r w:rsidRPr="00435469">
        <w:rPr>
          <w:rFonts w:cs="Times New Roman"/>
          <w:sz w:val="20"/>
          <w:szCs w:val="20"/>
        </w:rPr>
        <w:t xml:space="preserve">Given that the effect of tobacco smoking on the risk of developing active TB depends on current exposure and duration of smoking, we incorporate both effects (current exposure and duration) in the model. The effects were estimated from a case-control study in India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ISSN":"00341193","PMID":"13690386","author":[{"dropping-particle":"","family":"Kolappan","given":"C","non-dropping-particle":"","parse-names":false,"suffix":""},{"dropping-particle":"","family":"Gopi","given":"PG","non-dropping-particle":"","parse-names":false,"suffix":""}],"container-title":"Thorax","id":"ITEM-1","issue":"57","issued":{"date-parts":[["2002"]]},"page":"964-966","title":"Tobacco smoking and pulmonary tuberculosis","type":"article-journal"},"uris":["http://www.mendeley.com/documents/?uuid=5ad6e021-cd65-454f-a2e4-07b34dce097e"]}],"mendeley":{"formattedCitation":"(121)","plainTextFormattedCitation":"(121)","previouslyFormattedCitation":"(121)"},"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(121)</w:t>
      </w:r>
      <w:r w:rsidRPr="00435469">
        <w:rPr>
          <w:rFonts w:cs="Times New Roman"/>
          <w:sz w:val="20"/>
          <w:szCs w:val="20"/>
        </w:rPr>
        <w:fldChar w:fldCharType="end"/>
      </w:r>
      <w:r w:rsidRPr="00435469">
        <w:rPr>
          <w:rFonts w:cs="Times New Roman"/>
          <w:sz w:val="20"/>
          <w:szCs w:val="20"/>
        </w:rPr>
        <w:t xml:space="preserve">. In the study, men aged 20-50 years with TB were randomly matched by age with non-TB controls. The estimated odds ratios of active TB for smokers with &lt;10 years, 11–20 years, and &gt;20 years of smoking were 1.72, 2.45, and 3.23, respectively, compared to non-smokers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ISSN":"00341193","PMID":"13690386","author":[{"dropping-particle":"","family":"Kolappan","given":"C","non-dropping-particle":"","parse-names":false,"suffix":""},{"dropping-particle":"","family":"Gopi","given":"PG","non-dropping-particle":"","parse-names":false,"suffix":""}],"container-title":"Thorax","id":"ITEM-1","issue":"57","issued":{"date-parts":[["2002"]]},"page":"964-966","title":"Tobacco smoking and pulmonary tuberculosis","type":"article-journal"},"uris":["http://www.mendeley.com/documents/?uuid=5ad6e021-cd65-454f-a2e4-07b34dce097e"]}],"mendeley":{"formattedCitation":"(121)","plainTextFormattedCitation":"(121)","previouslyFormattedCitation":"(121)"},"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(121)</w:t>
      </w:r>
      <w:r w:rsidRPr="00435469">
        <w:rPr>
          <w:rFonts w:cs="Times New Roman"/>
          <w:sz w:val="20"/>
          <w:szCs w:val="20"/>
        </w:rPr>
        <w:fldChar w:fldCharType="end"/>
      </w:r>
      <w:r w:rsidRPr="00435469">
        <w:rPr>
          <w:rFonts w:cs="Times New Roman"/>
          <w:sz w:val="20"/>
          <w:szCs w:val="20"/>
        </w:rPr>
        <w:t xml:space="preserve">. </w:t>
      </w:r>
    </w:p>
    <w:p w14:paraId="51B3237F" w14:textId="621845F3" w:rsidR="00A10689" w:rsidRPr="00435469" w:rsidRDefault="0022193C" w:rsidP="00955FFB">
      <w:pPr>
        <w:spacing w:line="240" w:lineRule="auto"/>
        <w:rPr>
          <w:rFonts w:cs="Times New Roman"/>
          <w:sz w:val="20"/>
          <w:szCs w:val="20"/>
        </w:rPr>
      </w:pPr>
      <w:r w:rsidRPr="00435469">
        <w:rPr>
          <w:rFonts w:cs="Times New Roman"/>
          <w:sz w:val="20"/>
          <w:szCs w:val="20"/>
        </w:rPr>
        <w:t xml:space="preserve">Using this study by </w:t>
      </w:r>
      <w:proofErr w:type="spellStart"/>
      <w:r w:rsidRPr="00435469">
        <w:rPr>
          <w:rFonts w:cs="Times New Roman"/>
          <w:sz w:val="20"/>
          <w:szCs w:val="20"/>
        </w:rPr>
        <w:t>Kolappan</w:t>
      </w:r>
      <w:proofErr w:type="spellEnd"/>
      <w:r w:rsidRPr="00435469">
        <w:rPr>
          <w:rFonts w:cs="Times New Roman"/>
          <w:sz w:val="20"/>
          <w:szCs w:val="20"/>
        </w:rPr>
        <w:t xml:space="preserve"> and Gopi, we estimate the effect of current exposure to smoking (risk factor </w:t>
      </w:r>
      <m:oMath>
        <m:r>
          <w:rPr>
            <w:rFonts w:ascii="Cambria Math" w:eastAsiaTheme="minorEastAsia" w:hAnsi="Cambria Math" w:cs="Times New Roman"/>
            <w:sz w:val="20"/>
            <w:szCs w:val="20"/>
          </w:rPr>
          <m:t>i=3</m:t>
        </m:r>
      </m:oMath>
      <w:r w:rsidRPr="00435469">
        <w:rPr>
          <w:rFonts w:cs="Times New Roman"/>
          <w:sz w:val="20"/>
          <w:szCs w:val="20"/>
        </w:rPr>
        <w:t xml:space="preserve">) is a 1.47-fold increase in TB risk, and </w:t>
      </w:r>
      <w:r w:rsidR="00520CEF" w:rsidRPr="00435469">
        <w:rPr>
          <w:rFonts w:cs="Times New Roman"/>
          <w:sz w:val="20"/>
          <w:szCs w:val="20"/>
        </w:rPr>
        <w:t xml:space="preserve">in addition </w:t>
      </w:r>
      <w:r w:rsidRPr="00435469">
        <w:rPr>
          <w:rFonts w:cs="Times New Roman"/>
          <w:sz w:val="20"/>
          <w:szCs w:val="20"/>
        </w:rPr>
        <w:t xml:space="preserve">the TB risk increases by a factor of 1.38 per ten years of smoking. </w:t>
      </w:r>
      <w:r w:rsidR="00346AA7" w:rsidRPr="00435469">
        <w:rPr>
          <w:rFonts w:cs="Times New Roman"/>
          <w:sz w:val="20"/>
          <w:szCs w:val="20"/>
        </w:rPr>
        <w:t xml:space="preserve">We let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3,1</m:t>
            </m:r>
          </m:sub>
        </m:sSub>
      </m:oMath>
      <w:r w:rsidR="00346AA7" w:rsidRPr="00435469">
        <w:rPr>
          <w:rFonts w:eastAsiaTheme="minorEastAsia" w:cs="Times New Roman"/>
          <w:sz w:val="20"/>
          <w:szCs w:val="20"/>
        </w:rPr>
        <w:t xml:space="preserve"> represent </w:t>
      </w:r>
      <w:r w:rsidR="00346AA7" w:rsidRPr="00435469">
        <w:rPr>
          <w:rFonts w:cs="Times New Roman"/>
          <w:sz w:val="20"/>
          <w:szCs w:val="20"/>
        </w:rPr>
        <w:t>the increase in TB risk if currently smoking</w:t>
      </w:r>
      <w:r w:rsidR="000C69B6" w:rsidRPr="00435469">
        <w:rPr>
          <w:rFonts w:cs="Times New Roman"/>
          <w:sz w:val="20"/>
          <w:szCs w:val="20"/>
        </w:rPr>
        <w:t xml:space="preserve">. We assigned a Gamma prior distribution to represent the uncertainty around this parameter. Based on </w:t>
      </w:r>
      <w:proofErr w:type="spellStart"/>
      <w:r w:rsidR="000C69B6" w:rsidRPr="00435469">
        <w:rPr>
          <w:rFonts w:cs="Times New Roman"/>
          <w:sz w:val="20"/>
          <w:szCs w:val="20"/>
        </w:rPr>
        <w:t>Kolappan</w:t>
      </w:r>
      <w:proofErr w:type="spellEnd"/>
      <w:r w:rsidR="000C69B6" w:rsidRPr="00435469">
        <w:rPr>
          <w:rFonts w:cs="Times New Roman"/>
          <w:sz w:val="20"/>
          <w:szCs w:val="20"/>
        </w:rPr>
        <w:t xml:space="preserve"> and Gopi  </w:t>
      </w:r>
      <w:r w:rsidR="000C69B6" w:rsidRPr="00435469">
        <w:rPr>
          <w:rFonts w:cs="Times New Roman"/>
          <w:sz w:val="20"/>
          <w:szCs w:val="20"/>
        </w:rPr>
        <w:fldChar w:fldCharType="begin" w:fldLock="1"/>
      </w:r>
      <w:r w:rsidR="00A142FF" w:rsidRPr="00435469">
        <w:rPr>
          <w:rFonts w:cs="Times New Roman"/>
          <w:sz w:val="20"/>
          <w:szCs w:val="20"/>
        </w:rPr>
        <w:instrText>ADDIN CSL_CITATION {"citationItems":[{"id":"ITEM-1","itemData":{"ISSN":"00341193","PMID":"13690386","author":[{"dropping-particle":"","family":"Kolappan","given":"C","non-dropping-particle":"","parse-names":false,"suffix":""},{"dropping-particle":"","family":"Gopi","given":"PG","non-dropping-particle":"","parse-names":false,"suffix":""}],"container-title":"Thorax","id":"ITEM-1","issue":"57","issued":{"date-parts":[["2002"]]},"page":"964-966","title":"Tobacco smoking and pulmonary tuberculosis","type":"article-journal"},"uris":["http://www.mendeley.com/documents/?uuid=5ad6e021-cd65-454f-a2e4-07b34dce097e"]}],"mendeley":{"formattedCitation":"(121)","plainTextFormattedCitation":"(121)","previouslyFormattedCitation":"(121)"},"properties":{"noteIndex":0},"schema":"https://github.com/citation-style-language/schema/raw/master/csl-citation.json"}</w:instrText>
      </w:r>
      <w:r w:rsidR="000C69B6" w:rsidRPr="00435469">
        <w:rPr>
          <w:rFonts w:cs="Times New Roman"/>
          <w:sz w:val="20"/>
          <w:szCs w:val="20"/>
        </w:rPr>
        <w:fldChar w:fldCharType="separate"/>
      </w:r>
      <w:r w:rsidR="0016391D" w:rsidRPr="00435469">
        <w:rPr>
          <w:rFonts w:cs="Times New Roman"/>
          <w:noProof/>
          <w:sz w:val="20"/>
          <w:szCs w:val="20"/>
        </w:rPr>
        <w:t>(121)</w:t>
      </w:r>
      <w:r w:rsidR="000C69B6" w:rsidRPr="00435469">
        <w:rPr>
          <w:rFonts w:cs="Times New Roman"/>
          <w:sz w:val="20"/>
          <w:szCs w:val="20"/>
        </w:rPr>
        <w:fldChar w:fldCharType="end"/>
      </w:r>
      <w:r w:rsidR="000C69B6" w:rsidRPr="00435469">
        <w:rPr>
          <w:rFonts w:cs="Times New Roman"/>
          <w:sz w:val="20"/>
          <w:szCs w:val="20"/>
        </w:rPr>
        <w:t xml:space="preserve">, we </w:t>
      </w:r>
      <w:r w:rsidR="000C69B6" w:rsidRPr="00435469">
        <w:rPr>
          <w:rFonts w:cs="Times New Roman"/>
          <w:sz w:val="20"/>
          <w:szCs w:val="20"/>
          <w:lang w:val="en-ZA"/>
        </w:rPr>
        <w:t xml:space="preserve">set the mean of this distribution at </w:t>
      </w:r>
      <w:r w:rsidR="000C69B6" w:rsidRPr="00435469">
        <w:rPr>
          <w:rFonts w:cs="Times New Roman"/>
          <w:sz w:val="20"/>
          <w:szCs w:val="20"/>
        </w:rPr>
        <w:t xml:space="preserve">0.47 and the standard deviation at </w:t>
      </w:r>
      <w:r w:rsidR="000C69B6" w:rsidRPr="00435469">
        <w:rPr>
          <w:rFonts w:eastAsiaTheme="minorEastAsia" w:cs="Times New Roman"/>
          <w:sz w:val="20"/>
          <w:szCs w:val="20"/>
        </w:rPr>
        <w:t>0.39</w:t>
      </w:r>
      <w:r w:rsidR="00B23D01" w:rsidRPr="00435469">
        <w:rPr>
          <w:rFonts w:eastAsiaTheme="minorEastAsia" w:cs="Times New Roman"/>
          <w:sz w:val="20"/>
          <w:szCs w:val="20"/>
        </w:rPr>
        <w:t xml:space="preserve">. </w:t>
      </w:r>
      <w:r w:rsidR="000C69B6" w:rsidRPr="00435469">
        <w:rPr>
          <w:rFonts w:cs="Times New Roman"/>
          <w:sz w:val="20"/>
          <w:szCs w:val="20"/>
        </w:rPr>
        <w:t xml:space="preserve">We let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3,2</m:t>
            </m:r>
          </m:sub>
        </m:sSub>
      </m:oMath>
      <w:r w:rsidR="000C69B6" w:rsidRPr="00435469">
        <w:rPr>
          <w:rFonts w:eastAsiaTheme="minorEastAsia" w:cs="Times New Roman"/>
          <w:sz w:val="20"/>
          <w:szCs w:val="20"/>
        </w:rPr>
        <w:t xml:space="preserve"> represent the </w:t>
      </w:r>
      <w:r w:rsidR="000C69B6" w:rsidRPr="00435469">
        <w:rPr>
          <w:rFonts w:cs="Times New Roman"/>
          <w:sz w:val="20"/>
          <w:szCs w:val="20"/>
        </w:rPr>
        <w:t xml:space="preserve">increase in TB risk per 10-year increase in the duration of smoking. We assigned a Gamma prior distribution to represent the uncertainty around this parameter. Based on </w:t>
      </w:r>
      <w:proofErr w:type="spellStart"/>
      <w:r w:rsidR="000C69B6" w:rsidRPr="00435469">
        <w:rPr>
          <w:rFonts w:cs="Times New Roman"/>
          <w:sz w:val="20"/>
          <w:szCs w:val="20"/>
        </w:rPr>
        <w:t>Kolappan</w:t>
      </w:r>
      <w:proofErr w:type="spellEnd"/>
      <w:r w:rsidR="000C69B6" w:rsidRPr="00435469">
        <w:rPr>
          <w:rFonts w:cs="Times New Roman"/>
          <w:sz w:val="20"/>
          <w:szCs w:val="20"/>
        </w:rPr>
        <w:t xml:space="preserve"> and Gopi </w:t>
      </w:r>
      <w:r w:rsidR="000C69B6" w:rsidRPr="00435469">
        <w:rPr>
          <w:rFonts w:cs="Times New Roman"/>
          <w:sz w:val="20"/>
          <w:szCs w:val="20"/>
        </w:rPr>
        <w:fldChar w:fldCharType="begin" w:fldLock="1"/>
      </w:r>
      <w:r w:rsidR="00A142FF" w:rsidRPr="00435469">
        <w:rPr>
          <w:rFonts w:cs="Times New Roman"/>
          <w:sz w:val="20"/>
          <w:szCs w:val="20"/>
        </w:rPr>
        <w:instrText>ADDIN CSL_CITATION {"citationItems":[{"id":"ITEM-1","itemData":{"ISSN":"00341193","PMID":"13690386","author":[{"dropping-particle":"","family":"Kolappan","given":"C","non-dropping-particle":"","parse-names":false,"suffix":""},{"dropping-particle":"","family":"Gopi","given":"PG","non-dropping-particle":"","parse-names":false,"suffix":""}],"container-title":"Thorax","id":"ITEM-1","issue":"57","issued":{"date-parts":[["2002"]]},"page":"964-966","title":"Tobacco smoking and pulmonary tuberculosis","type":"article-journal"},"uris":["http://www.mendeley.com/documents/?uuid=5ad6e021-cd65-454f-a2e4-07b34dce097e"]}],"mendeley":{"formattedCitation":"(121)","plainTextFormattedCitation":"(121)","previouslyFormattedCitation":"(121)"},"properties":{"noteIndex":0},"schema":"https://github.com/citation-style-language/schema/raw/master/csl-citation.json"}</w:instrText>
      </w:r>
      <w:r w:rsidR="000C69B6" w:rsidRPr="00435469">
        <w:rPr>
          <w:rFonts w:cs="Times New Roman"/>
          <w:sz w:val="20"/>
          <w:szCs w:val="20"/>
        </w:rPr>
        <w:fldChar w:fldCharType="separate"/>
      </w:r>
      <w:r w:rsidR="0016391D" w:rsidRPr="00435469">
        <w:rPr>
          <w:rFonts w:cs="Times New Roman"/>
          <w:noProof/>
          <w:sz w:val="20"/>
          <w:szCs w:val="20"/>
        </w:rPr>
        <w:t>(121)</w:t>
      </w:r>
      <w:r w:rsidR="000C69B6" w:rsidRPr="00435469">
        <w:rPr>
          <w:rFonts w:cs="Times New Roman"/>
          <w:sz w:val="20"/>
          <w:szCs w:val="20"/>
        </w:rPr>
        <w:fldChar w:fldCharType="end"/>
      </w:r>
      <w:r w:rsidR="000C69B6" w:rsidRPr="00435469">
        <w:rPr>
          <w:rFonts w:cs="Times New Roman"/>
          <w:sz w:val="20"/>
          <w:szCs w:val="20"/>
        </w:rPr>
        <w:t xml:space="preserve">, we </w:t>
      </w:r>
      <w:r w:rsidR="000C69B6" w:rsidRPr="00435469">
        <w:rPr>
          <w:rFonts w:cs="Times New Roman"/>
          <w:sz w:val="20"/>
          <w:szCs w:val="20"/>
          <w:lang w:val="en-ZA"/>
        </w:rPr>
        <w:t xml:space="preserve">set the mean of this distribution at </w:t>
      </w:r>
      <w:r w:rsidR="000C69B6" w:rsidRPr="00435469">
        <w:rPr>
          <w:rFonts w:cs="Times New Roman"/>
          <w:sz w:val="20"/>
          <w:szCs w:val="20"/>
        </w:rPr>
        <w:t>0.38 and the standard deviation at 0.12, Gamma(10.03;26.39)</w:t>
      </w:r>
      <w:r w:rsidR="002641BF" w:rsidRPr="00435469">
        <w:rPr>
          <w:rFonts w:cs="Times New Roman"/>
          <w:sz w:val="20"/>
          <w:szCs w:val="20"/>
        </w:rPr>
        <w:t xml:space="preserve">. </w:t>
      </w:r>
      <w:r w:rsidRPr="00435469">
        <w:rPr>
          <w:rFonts w:cs="Times New Roman"/>
          <w:sz w:val="20"/>
          <w:szCs w:val="20"/>
        </w:rPr>
        <w:t xml:space="preserve">The multiplicative increase in TB incidence due to smoking is calculated as follows: </w:t>
      </w:r>
    </w:p>
    <w:p w14:paraId="42A76D21" w14:textId="3F4A962B" w:rsidR="00A10689" w:rsidRPr="00435469" w:rsidRDefault="00A10689" w:rsidP="00955FFB">
      <w:pPr>
        <w:spacing w:line="240" w:lineRule="auto"/>
        <w:jc w:val="center"/>
        <w:rPr>
          <w:rFonts w:cs="Times New Roman"/>
          <w:b/>
          <w:bCs/>
          <w:sz w:val="20"/>
          <w:szCs w:val="20"/>
        </w:rPr>
      </w:pPr>
      <m:oMathPara>
        <m:oMath>
          <m:r>
            <w:rPr>
              <w:rFonts w:ascii="Cambria Math" w:eastAsiaTheme="minorEastAsia" w:hAnsi="Cambria Math" w:cs="Times New Roman"/>
              <w:sz w:val="20"/>
              <w:szCs w:val="20"/>
            </w:rPr>
            <m:t>R</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3gx</m:t>
              </m:r>
            </m:sub>
          </m:sSub>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1.0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3,1</m:t>
                  </m:r>
                </m:sub>
              </m:sSub>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3gx</m:t>
                  </m:r>
                </m:sub>
              </m:sSub>
            </m:e>
          </m:d>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1+</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3,2</m:t>
                      </m:r>
                    </m:sub>
                  </m:sSub>
                </m:e>
              </m:d>
            </m:e>
            <m:sup>
              <m:r>
                <w:rPr>
                  <w:rFonts w:ascii="Cambria Math" w:eastAsiaTheme="minorEastAsia" w:hAnsi="Cambria Math" w:cs="Times New Roman"/>
                  <w:sz w:val="20"/>
                  <w:szCs w:val="20"/>
                </w:rPr>
                <m:t>smd</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g,x</m:t>
                  </m:r>
                </m:e>
              </m:d>
              <m:r>
                <m:rPr>
                  <m:lit/>
                </m:rPr>
                <w:rPr>
                  <w:rFonts w:ascii="Cambria Math" w:eastAsiaTheme="minorEastAsia" w:hAnsi="Cambria Math" w:cs="Times New Roman"/>
                  <w:sz w:val="20"/>
                  <w:szCs w:val="20"/>
                </w:rPr>
                <m:t>/</m:t>
              </m:r>
              <m:r>
                <w:rPr>
                  <w:rFonts w:ascii="Cambria Math" w:eastAsiaTheme="minorEastAsia" w:hAnsi="Cambria Math" w:cs="Times New Roman"/>
                  <w:sz w:val="20"/>
                  <w:szCs w:val="20"/>
                </w:rPr>
                <m:t>10</m:t>
              </m:r>
            </m:sup>
          </m:sSup>
        </m:oMath>
      </m:oMathPara>
    </w:p>
    <w:p w14:paraId="0A7130B8" w14:textId="4AEC688C" w:rsidR="0022193C" w:rsidRPr="00435469" w:rsidRDefault="00000000" w:rsidP="00955FFB">
      <w:pPr>
        <w:pStyle w:val="p"/>
        <w:shd w:val="clear" w:color="auto" w:fill="FFFFFF"/>
        <w:spacing w:before="166" w:beforeAutospacing="0" w:after="166" w:afterAutospacing="0"/>
        <w:rPr>
          <w:sz w:val="20"/>
          <w:szCs w:val="20"/>
        </w:rPr>
      </w:pP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3gx</m:t>
            </m:r>
          </m:sub>
        </m:sSub>
      </m:oMath>
      <w:r w:rsidR="002A6017" w:rsidRPr="00435469">
        <w:rPr>
          <w:sz w:val="20"/>
          <w:szCs w:val="20"/>
        </w:rPr>
        <w:t xml:space="preserve"> is </w:t>
      </w:r>
      <w:r w:rsidR="000E66E5" w:rsidRPr="00435469">
        <w:rPr>
          <w:sz w:val="20"/>
          <w:szCs w:val="20"/>
        </w:rPr>
        <w:t xml:space="preserve">represents </w:t>
      </w:r>
      <w:r w:rsidR="002A6017" w:rsidRPr="00435469">
        <w:rPr>
          <w:sz w:val="20"/>
          <w:szCs w:val="20"/>
        </w:rPr>
        <w:t xml:space="preserve">the </w:t>
      </w:r>
      <w:r w:rsidR="00DC48AD" w:rsidRPr="00435469">
        <w:rPr>
          <w:sz w:val="20"/>
          <w:szCs w:val="20"/>
        </w:rPr>
        <w:t xml:space="preserve">current smoking prevalence </w:t>
      </w:r>
      <w:r w:rsidR="002A6017" w:rsidRPr="00435469">
        <w:rPr>
          <w:sz w:val="20"/>
          <w:szCs w:val="20"/>
        </w:rPr>
        <w:t xml:space="preserve">and </w:t>
      </w:r>
      <m:oMath>
        <m:r>
          <w:rPr>
            <w:rFonts w:ascii="Cambria Math" w:eastAsiaTheme="minorEastAsia" w:hAnsi="Cambria Math"/>
            <w:sz w:val="20"/>
            <w:szCs w:val="20"/>
          </w:rPr>
          <m:t>smd(g,x)</m:t>
        </m:r>
      </m:oMath>
      <w:r w:rsidR="0022193C" w:rsidRPr="00435469">
        <w:rPr>
          <w:rFonts w:eastAsiaTheme="minorEastAsia"/>
          <w:sz w:val="20"/>
          <w:szCs w:val="20"/>
        </w:rPr>
        <w:t xml:space="preserve"> is the average smoking duration calculated for each sex </w:t>
      </w:r>
      <m:oMath>
        <m:r>
          <w:rPr>
            <w:rFonts w:ascii="Cambria Math" w:eastAsiaTheme="minorEastAsia" w:hAnsi="Cambria Math"/>
            <w:sz w:val="20"/>
            <w:szCs w:val="20"/>
          </w:rPr>
          <m:t>(g</m:t>
        </m:r>
      </m:oMath>
      <w:r w:rsidR="0022193C" w:rsidRPr="00435469">
        <w:rPr>
          <w:rFonts w:eastAsiaTheme="minorEastAsia"/>
          <w:sz w:val="20"/>
          <w:szCs w:val="20"/>
        </w:rPr>
        <w:t>) and age</w:t>
      </w:r>
      <w:r w:rsidR="00BB5DF9" w:rsidRPr="00435469">
        <w:rPr>
          <w:rFonts w:eastAsiaTheme="minorEastAsia"/>
          <w:sz w:val="20"/>
          <w:szCs w:val="20"/>
        </w:rPr>
        <w:t xml:space="preserve"> </w:t>
      </w:r>
      <m:oMath>
        <m:r>
          <w:rPr>
            <w:rFonts w:ascii="Cambria Math" w:eastAsiaTheme="minorEastAsia" w:hAnsi="Cambria Math"/>
            <w:sz w:val="20"/>
            <w:szCs w:val="20"/>
          </w:rPr>
          <m:t>(x</m:t>
        </m:r>
      </m:oMath>
      <w:r w:rsidR="00BB5DF9" w:rsidRPr="00435469">
        <w:rPr>
          <w:rFonts w:eastAsiaTheme="minorEastAsia"/>
          <w:sz w:val="20"/>
          <w:szCs w:val="20"/>
        </w:rPr>
        <w:t>).</w:t>
      </w:r>
      <w:r w:rsidR="0022193C" w:rsidRPr="00435469">
        <w:rPr>
          <w:rFonts w:eastAsiaTheme="minorEastAsia"/>
          <w:sz w:val="20"/>
          <w:szCs w:val="20"/>
        </w:rPr>
        <w:t xml:space="preserve"> </w:t>
      </w:r>
      <w:r w:rsidR="00D76441" w:rsidRPr="00435469">
        <w:rPr>
          <w:sz w:val="20"/>
          <w:szCs w:val="20"/>
        </w:rPr>
        <w:t xml:space="preserve">We used the age-specific prevalence of current smoking to </w:t>
      </w:r>
      <w:r w:rsidR="00931A9B" w:rsidRPr="00435469">
        <w:rPr>
          <w:sz w:val="20"/>
          <w:szCs w:val="20"/>
        </w:rPr>
        <w:t xml:space="preserve">estimate </w:t>
      </w:r>
      <w:r w:rsidR="00D76441" w:rsidRPr="00435469">
        <w:rPr>
          <w:sz w:val="20"/>
          <w:szCs w:val="20"/>
        </w:rPr>
        <w:t xml:space="preserve">the duration of smoking. </w:t>
      </w:r>
      <w:r w:rsidR="005B2DAC" w:rsidRPr="00435469">
        <w:rPr>
          <w:sz w:val="20"/>
          <w:szCs w:val="20"/>
        </w:rPr>
        <w:t>We assumed there is no smoking before the age of 15 years.</w:t>
      </w:r>
      <w:r w:rsidR="00D76441" w:rsidRPr="00435469">
        <w:rPr>
          <w:sz w:val="20"/>
          <w:szCs w:val="20"/>
        </w:rPr>
        <w:t xml:space="preserve"> The </w:t>
      </w:r>
      <m:oMath>
        <m:r>
          <w:rPr>
            <w:rFonts w:ascii="Cambria Math" w:eastAsiaTheme="minorEastAsia" w:hAnsi="Cambria Math"/>
            <w:sz w:val="20"/>
            <w:szCs w:val="20"/>
          </w:rPr>
          <m:t>smd(g,x)</m:t>
        </m:r>
      </m:oMath>
      <w:r w:rsidR="0022193C" w:rsidRPr="00435469">
        <w:rPr>
          <w:rFonts w:eastAsiaTheme="minorEastAsia"/>
          <w:sz w:val="20"/>
          <w:szCs w:val="20"/>
        </w:rPr>
        <w:t xml:space="preserve"> was calculated as follows:</w:t>
      </w:r>
    </w:p>
    <w:p w14:paraId="3366C7B4" w14:textId="33258106" w:rsidR="0022193C" w:rsidRPr="00435469" w:rsidRDefault="0022193C" w:rsidP="00955FFB">
      <w:pPr>
        <w:pStyle w:val="p"/>
        <w:numPr>
          <w:ilvl w:val="0"/>
          <w:numId w:val="10"/>
        </w:numPr>
        <w:shd w:val="clear" w:color="auto" w:fill="FFFFFF"/>
        <w:spacing w:before="166" w:beforeAutospacing="0" w:after="166" w:afterAutospacing="0"/>
        <w:rPr>
          <w:sz w:val="20"/>
          <w:szCs w:val="20"/>
        </w:rPr>
      </w:pPr>
      <w:r w:rsidRPr="00435469">
        <w:rPr>
          <w:sz w:val="20"/>
          <w:szCs w:val="20"/>
        </w:rPr>
        <w:t>First, note that current smoking prevalence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3gx</m:t>
            </m:r>
          </m:sub>
        </m:sSub>
      </m:oMath>
      <w:r w:rsidRPr="00435469">
        <w:rPr>
          <w:sz w:val="20"/>
          <w:szCs w:val="20"/>
        </w:rPr>
        <w:t xml:space="preserve">) is given in age categories as obtained from the SADHS </w:t>
      </w:r>
      <w:r w:rsidR="005B0EDC" w:rsidRPr="00435469">
        <w:rPr>
          <w:sz w:val="20"/>
          <w:szCs w:val="20"/>
        </w:rPr>
        <w:t>(</w:t>
      </w:r>
      <w:r w:rsidR="005B0EDC" w:rsidRPr="00435469">
        <w:rPr>
          <w:sz w:val="20"/>
          <w:szCs w:val="20"/>
        </w:rPr>
        <w:fldChar w:fldCharType="begin"/>
      </w:r>
      <w:r w:rsidR="005B0EDC" w:rsidRPr="00435469">
        <w:rPr>
          <w:sz w:val="20"/>
          <w:szCs w:val="20"/>
        </w:rPr>
        <w:instrText xml:space="preserve"> REF _Ref91500418 \h </w:instrText>
      </w:r>
      <w:r w:rsidR="00F334C7" w:rsidRPr="00435469">
        <w:rPr>
          <w:sz w:val="20"/>
          <w:szCs w:val="20"/>
        </w:rPr>
        <w:instrText xml:space="preserve"> \* MERGEFORMAT </w:instrText>
      </w:r>
      <w:r w:rsidR="005B0EDC" w:rsidRPr="00435469">
        <w:rPr>
          <w:sz w:val="20"/>
          <w:szCs w:val="20"/>
        </w:rPr>
      </w:r>
      <w:r w:rsidR="005B0EDC" w:rsidRPr="00435469">
        <w:rPr>
          <w:sz w:val="20"/>
          <w:szCs w:val="20"/>
        </w:rPr>
        <w:fldChar w:fldCharType="separate"/>
      </w:r>
      <w:r w:rsidR="00186C2F" w:rsidRPr="00435469">
        <w:rPr>
          <w:sz w:val="20"/>
          <w:szCs w:val="20"/>
        </w:rPr>
        <w:t xml:space="preserve">Table </w:t>
      </w:r>
      <w:r w:rsidR="00186C2F" w:rsidRPr="00435469">
        <w:rPr>
          <w:noProof/>
          <w:sz w:val="20"/>
          <w:szCs w:val="20"/>
        </w:rPr>
        <w:t>18</w:t>
      </w:r>
      <w:r w:rsidR="005B0EDC" w:rsidRPr="00435469">
        <w:rPr>
          <w:sz w:val="20"/>
          <w:szCs w:val="20"/>
        </w:rPr>
        <w:fldChar w:fldCharType="end"/>
      </w:r>
      <w:r w:rsidR="005B0EDC" w:rsidRPr="00435469">
        <w:rPr>
          <w:sz w:val="20"/>
          <w:szCs w:val="20"/>
        </w:rPr>
        <w:t xml:space="preserve">) </w:t>
      </w:r>
      <w:r w:rsidRPr="00435469">
        <w:rPr>
          <w:sz w:val="20"/>
          <w:szCs w:val="20"/>
        </w:rPr>
        <w:fldChar w:fldCharType="begin" w:fldLock="1"/>
      </w:r>
      <w:r w:rsidR="00A142FF" w:rsidRPr="00435469">
        <w:rPr>
          <w:sz w:val="20"/>
          <w:szCs w:val="20"/>
        </w:rPr>
        <w:instrText>ADDIN CSL_CITATION {"citationItems":[{"id":"ITEM-1","itemData":{"id":"ITEM-1","issued":{"date-parts":[["2019"]]},"publisher-place":"Pretoria, South Africa","title":"South Africa Demographic and Health Survey 2016","type":"report"},"uris":["http://www.mendeley.com/documents/?uuid=3e9aa098-e335-44a4-8531-c465aac52a51"]}],"mendeley":{"formattedCitation":"(117)","plainTextFormattedCitation":"(117)","previouslyFormattedCitation":"(117)"},"properties":{"noteIndex":0},"schema":"https://github.com/citation-style-language/schema/raw/master/csl-citation.json"}</w:instrText>
      </w:r>
      <w:r w:rsidRPr="00435469">
        <w:rPr>
          <w:sz w:val="20"/>
          <w:szCs w:val="20"/>
        </w:rPr>
        <w:fldChar w:fldCharType="separate"/>
      </w:r>
      <w:r w:rsidR="0016391D" w:rsidRPr="00435469">
        <w:rPr>
          <w:noProof/>
          <w:sz w:val="20"/>
          <w:szCs w:val="20"/>
        </w:rPr>
        <w:t>(117)</w:t>
      </w:r>
      <w:r w:rsidRPr="00435469">
        <w:rPr>
          <w:sz w:val="20"/>
          <w:szCs w:val="20"/>
        </w:rPr>
        <w:fldChar w:fldCharType="end"/>
      </w:r>
      <w:r w:rsidRPr="00435469">
        <w:rPr>
          <w:sz w:val="20"/>
          <w:szCs w:val="20"/>
        </w:rPr>
        <w:t>.</w:t>
      </w:r>
    </w:p>
    <w:p w14:paraId="0D686C4C" w14:textId="77777777" w:rsidR="0022193C" w:rsidRPr="00435469" w:rsidRDefault="0022193C" w:rsidP="00955FFB">
      <w:pPr>
        <w:pStyle w:val="p"/>
        <w:numPr>
          <w:ilvl w:val="0"/>
          <w:numId w:val="10"/>
        </w:numPr>
        <w:shd w:val="clear" w:color="auto" w:fill="FFFFFF"/>
        <w:spacing w:before="166" w:beforeAutospacing="0" w:after="166" w:afterAutospacing="0"/>
        <w:rPr>
          <w:sz w:val="20"/>
          <w:szCs w:val="20"/>
        </w:rPr>
      </w:pPr>
      <w:r w:rsidRPr="00435469">
        <w:rPr>
          <w:sz w:val="20"/>
          <w:szCs w:val="20"/>
        </w:rPr>
        <w:t xml:space="preserve">We assume that the prevalence of current smoking represents the prevalence at the median age of each category. </w:t>
      </w:r>
    </w:p>
    <w:p w14:paraId="7A0F5AE0" w14:textId="402C62EA" w:rsidR="0022193C" w:rsidRPr="00435469" w:rsidRDefault="0022193C" w:rsidP="00955FFB">
      <w:pPr>
        <w:pStyle w:val="p"/>
        <w:numPr>
          <w:ilvl w:val="1"/>
          <w:numId w:val="10"/>
        </w:numPr>
        <w:shd w:val="clear" w:color="auto" w:fill="FFFFFF"/>
        <w:spacing w:before="166" w:beforeAutospacing="0" w:after="166" w:afterAutospacing="0"/>
        <w:rPr>
          <w:sz w:val="20"/>
          <w:szCs w:val="20"/>
        </w:rPr>
      </w:pPr>
      <w:r w:rsidRPr="00435469">
        <w:rPr>
          <w:sz w:val="20"/>
          <w:szCs w:val="20"/>
        </w:rPr>
        <w:t>e.g., for females aged 2</w:t>
      </w:r>
      <w:r w:rsidR="003766E1" w:rsidRPr="00435469">
        <w:rPr>
          <w:sz w:val="20"/>
          <w:szCs w:val="20"/>
        </w:rPr>
        <w:t>5</w:t>
      </w:r>
      <w:r w:rsidRPr="00435469">
        <w:rPr>
          <w:sz w:val="20"/>
          <w:szCs w:val="20"/>
        </w:rPr>
        <w:t>-</w:t>
      </w:r>
      <w:r w:rsidR="00131002" w:rsidRPr="00435469">
        <w:rPr>
          <w:sz w:val="20"/>
          <w:szCs w:val="20"/>
        </w:rPr>
        <w:t>3</w:t>
      </w:r>
      <w:r w:rsidRPr="00435469">
        <w:rPr>
          <w:sz w:val="20"/>
          <w:szCs w:val="20"/>
        </w:rPr>
        <w:t xml:space="preserve">4 years, the prevalence of </w:t>
      </w:r>
      <w:r w:rsidR="00340C0E" w:rsidRPr="00435469">
        <w:rPr>
          <w:sz w:val="20"/>
          <w:szCs w:val="20"/>
        </w:rPr>
        <w:t>7</w:t>
      </w:r>
      <w:r w:rsidRPr="00435469">
        <w:rPr>
          <w:sz w:val="20"/>
          <w:szCs w:val="20"/>
        </w:rPr>
        <w:t xml:space="preserve">.8% represents current smoking for females aged </w:t>
      </w:r>
      <w:r w:rsidR="002777EF" w:rsidRPr="00435469">
        <w:rPr>
          <w:sz w:val="20"/>
          <w:szCs w:val="20"/>
        </w:rPr>
        <w:t>30</w:t>
      </w:r>
      <w:r w:rsidRPr="00435469">
        <w:rPr>
          <w:sz w:val="20"/>
          <w:szCs w:val="20"/>
        </w:rPr>
        <w:t xml:space="preserve"> years. </w:t>
      </w:r>
    </w:p>
    <w:p w14:paraId="08A39246" w14:textId="77777777" w:rsidR="00DD466B" w:rsidRPr="00435469" w:rsidRDefault="0044270C" w:rsidP="00955FFB">
      <w:pPr>
        <w:pStyle w:val="p"/>
        <w:numPr>
          <w:ilvl w:val="0"/>
          <w:numId w:val="10"/>
        </w:numPr>
        <w:shd w:val="clear" w:color="auto" w:fill="FFFFFF"/>
        <w:spacing w:before="166" w:beforeAutospacing="0" w:after="166" w:afterAutospacing="0"/>
        <w:rPr>
          <w:sz w:val="20"/>
          <w:szCs w:val="20"/>
        </w:rPr>
      </w:pPr>
      <w:r w:rsidRPr="00435469">
        <w:rPr>
          <w:sz w:val="20"/>
          <w:szCs w:val="20"/>
        </w:rPr>
        <w:t>Then</w:t>
      </w:r>
      <w:r w:rsidR="00D608D2" w:rsidRPr="00435469">
        <w:rPr>
          <w:sz w:val="20"/>
          <w:szCs w:val="20"/>
        </w:rPr>
        <w:t xml:space="preserve"> we</w:t>
      </w:r>
      <w:r w:rsidRPr="00435469">
        <w:rPr>
          <w:sz w:val="20"/>
          <w:szCs w:val="20"/>
        </w:rPr>
        <w:t xml:space="preserve"> linear</w:t>
      </w:r>
      <w:r w:rsidR="00D608D2" w:rsidRPr="00435469">
        <w:rPr>
          <w:sz w:val="20"/>
          <w:szCs w:val="20"/>
        </w:rPr>
        <w:t>ly</w:t>
      </w:r>
      <w:r w:rsidRPr="00435469">
        <w:rPr>
          <w:sz w:val="20"/>
          <w:szCs w:val="20"/>
        </w:rPr>
        <w:t xml:space="preserve"> interpolat</w:t>
      </w:r>
      <w:r w:rsidR="00D608D2" w:rsidRPr="00435469">
        <w:rPr>
          <w:sz w:val="20"/>
          <w:szCs w:val="20"/>
        </w:rPr>
        <w:t>ed</w:t>
      </w:r>
      <w:r w:rsidRPr="00435469">
        <w:rPr>
          <w:sz w:val="20"/>
          <w:szCs w:val="20"/>
        </w:rPr>
        <w:t xml:space="preserve"> between the mid-points in each age category to get prevalence estimates </w:t>
      </w:r>
      <w:r w:rsidR="00D608D2" w:rsidRPr="00435469">
        <w:rPr>
          <w:sz w:val="20"/>
          <w:szCs w:val="20"/>
        </w:rPr>
        <w:t xml:space="preserve">for </w:t>
      </w:r>
      <w:r w:rsidR="007E01AD" w:rsidRPr="00435469">
        <w:rPr>
          <w:sz w:val="20"/>
          <w:szCs w:val="20"/>
        </w:rPr>
        <w:t xml:space="preserve">the </w:t>
      </w:r>
      <w:r w:rsidRPr="00435469">
        <w:rPr>
          <w:sz w:val="20"/>
          <w:szCs w:val="20"/>
        </w:rPr>
        <w:t>other ages</w:t>
      </w:r>
      <w:r w:rsidR="00A04E48" w:rsidRPr="00435469">
        <w:rPr>
          <w:sz w:val="20"/>
          <w:szCs w:val="20"/>
        </w:rPr>
        <w:t>.</w:t>
      </w:r>
    </w:p>
    <w:p w14:paraId="38008E07" w14:textId="6A738F6F" w:rsidR="0022193C" w:rsidRPr="00435469" w:rsidRDefault="00DD466B" w:rsidP="00955FFB">
      <w:pPr>
        <w:pStyle w:val="p"/>
        <w:numPr>
          <w:ilvl w:val="0"/>
          <w:numId w:val="10"/>
        </w:numPr>
        <w:shd w:val="clear" w:color="auto" w:fill="FFFFFF"/>
        <w:spacing w:before="166" w:beforeAutospacing="0" w:after="166" w:afterAutospacing="0"/>
        <w:rPr>
          <w:sz w:val="20"/>
          <w:szCs w:val="20"/>
        </w:rPr>
      </w:pPr>
      <w:r w:rsidRPr="00435469">
        <w:rPr>
          <w:sz w:val="20"/>
          <w:szCs w:val="20"/>
        </w:rPr>
        <w:t>T</w:t>
      </w:r>
      <w:r w:rsidR="0022193C" w:rsidRPr="00435469">
        <w:rPr>
          <w:sz w:val="20"/>
          <w:szCs w:val="20"/>
        </w:rPr>
        <w:t xml:space="preserve">he overall average smoking duration at each subsequent age is calculated as the cumulative smoking prevalence for all previous years </w:t>
      </w:r>
      <w:r w:rsidR="00931A9B" w:rsidRPr="00435469">
        <w:rPr>
          <w:sz w:val="20"/>
          <w:szCs w:val="20"/>
        </w:rPr>
        <w:t>from</w:t>
      </w:r>
      <w:r w:rsidR="0022193C" w:rsidRPr="00435469">
        <w:rPr>
          <w:sz w:val="20"/>
          <w:szCs w:val="20"/>
        </w:rPr>
        <w:t xml:space="preserve"> age 15</w:t>
      </w:r>
      <w:r w:rsidRPr="00435469">
        <w:rPr>
          <w:sz w:val="20"/>
          <w:szCs w:val="20"/>
        </w:rPr>
        <w:t>, e.g.</w:t>
      </w:r>
    </w:p>
    <w:p w14:paraId="0855708C" w14:textId="203FD75C" w:rsidR="0022193C" w:rsidRPr="00435469" w:rsidRDefault="0022193C" w:rsidP="00955FFB">
      <w:pPr>
        <w:pStyle w:val="p"/>
        <w:shd w:val="clear" w:color="auto" w:fill="FFFFFF"/>
        <w:spacing w:before="166" w:beforeAutospacing="0" w:after="166" w:afterAutospacing="0"/>
        <w:ind w:left="2160"/>
        <w:jc w:val="center"/>
        <w:rPr>
          <w:sz w:val="20"/>
          <w:szCs w:val="20"/>
        </w:rPr>
      </w:pPr>
      <m:oMathPara>
        <m:oMathParaPr>
          <m:jc m:val="center"/>
        </m:oMathParaPr>
        <m:oMath>
          <m:r>
            <w:rPr>
              <w:rFonts w:ascii="Cambria Math" w:eastAsiaTheme="minorEastAsia" w:hAnsi="Cambria Math"/>
              <w:sz w:val="20"/>
              <w:szCs w:val="20"/>
            </w:rPr>
            <m:t xml:space="preserve">smd(1,23) = </m:t>
          </m:r>
          <m:nary>
            <m:naryPr>
              <m:chr m:val="∑"/>
              <m:limLoc m:val="undOvr"/>
              <m:ctrlPr>
                <w:rPr>
                  <w:rFonts w:ascii="Cambria Math" w:eastAsiaTheme="minorEastAsia" w:hAnsi="Cambria Math"/>
                  <w:i/>
                  <w:sz w:val="20"/>
                  <w:szCs w:val="20"/>
                </w:rPr>
              </m:ctrlPr>
            </m:naryPr>
            <m:sub>
              <m:r>
                <w:rPr>
                  <w:rFonts w:ascii="Cambria Math" w:eastAsiaTheme="minorEastAsia" w:hAnsi="Cambria Math"/>
                  <w:sz w:val="20"/>
                  <w:szCs w:val="20"/>
                </w:rPr>
                <m:t>x=15</m:t>
              </m:r>
            </m:sub>
            <m:sup>
              <m:r>
                <w:rPr>
                  <w:rFonts w:ascii="Cambria Math" w:eastAsiaTheme="minorEastAsia" w:hAnsi="Cambria Math"/>
                  <w:sz w:val="20"/>
                  <w:szCs w:val="20"/>
                </w:rPr>
                <m:t>22</m:t>
              </m:r>
            </m:sup>
            <m:e>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3,1,x</m:t>
                  </m:r>
                </m:sub>
              </m:sSub>
            </m:e>
          </m:nary>
        </m:oMath>
      </m:oMathPara>
    </w:p>
    <w:p w14:paraId="50CB61B5" w14:textId="61C03116" w:rsidR="0022193C" w:rsidRPr="00435469" w:rsidRDefault="0022193C" w:rsidP="00955FFB">
      <w:pPr>
        <w:pStyle w:val="Heading3"/>
        <w:rPr>
          <w:rFonts w:cs="Times New Roman"/>
          <w:color w:val="auto"/>
          <w:sz w:val="20"/>
          <w:szCs w:val="20"/>
        </w:rPr>
      </w:pPr>
      <w:bookmarkStart w:id="299" w:name="_Toc89683416"/>
      <w:bookmarkStart w:id="300" w:name="_Toc103252954"/>
      <w:r w:rsidRPr="00435469">
        <w:rPr>
          <w:rFonts w:cs="Times New Roman"/>
          <w:color w:val="auto"/>
          <w:sz w:val="20"/>
          <w:szCs w:val="20"/>
        </w:rPr>
        <w:t xml:space="preserve">Alcohol </w:t>
      </w:r>
      <w:r w:rsidR="00C03B1C" w:rsidRPr="00435469">
        <w:rPr>
          <w:rFonts w:cs="Times New Roman"/>
          <w:color w:val="auto"/>
          <w:sz w:val="20"/>
          <w:szCs w:val="20"/>
        </w:rPr>
        <w:t>abuse</w:t>
      </w:r>
      <w:bookmarkEnd w:id="299"/>
      <w:bookmarkEnd w:id="300"/>
    </w:p>
    <w:p w14:paraId="7FE134F6" w14:textId="69FF4E45" w:rsidR="00597440" w:rsidRPr="00435469" w:rsidRDefault="0022193C" w:rsidP="00955FFB">
      <w:pPr>
        <w:spacing w:line="240" w:lineRule="auto"/>
        <w:rPr>
          <w:rFonts w:cs="Times New Roman"/>
          <w:sz w:val="20"/>
          <w:szCs w:val="20"/>
        </w:rPr>
      </w:pPr>
      <w:r w:rsidRPr="00435469">
        <w:rPr>
          <w:rFonts w:cs="Times New Roman"/>
          <w:sz w:val="20"/>
          <w:szCs w:val="20"/>
        </w:rPr>
        <w:t xml:space="preserve">The estimated relative effect of alcohol </w:t>
      </w:r>
      <w:r w:rsidR="00C03B1C" w:rsidRPr="00435469">
        <w:rPr>
          <w:rFonts w:cs="Times New Roman"/>
          <w:sz w:val="20"/>
          <w:szCs w:val="20"/>
        </w:rPr>
        <w:t>ab</w:t>
      </w:r>
      <w:r w:rsidRPr="00435469">
        <w:rPr>
          <w:rFonts w:cs="Times New Roman"/>
          <w:sz w:val="20"/>
          <w:szCs w:val="20"/>
        </w:rPr>
        <w:t xml:space="preserve">use on developing TB disease is almost 3-fold (relative risk </w:t>
      </w:r>
      <w:r w:rsidRPr="00435469">
        <w:rPr>
          <w:rFonts w:cs="Times New Roman"/>
          <w:sz w:val="20"/>
          <w:szCs w:val="20"/>
          <w:lang w:val="en-ZA"/>
        </w:rPr>
        <w:t xml:space="preserve">2.94, 95% CI: 1.89-4.59) </w:t>
      </w:r>
      <w:r w:rsidRPr="00435469">
        <w:rPr>
          <w:rFonts w:cs="Times New Roman"/>
          <w:sz w:val="20"/>
          <w:szCs w:val="20"/>
          <w:lang w:val="en-ZA"/>
        </w:rPr>
        <w:fldChar w:fldCharType="begin" w:fldLock="1"/>
      </w:r>
      <w:r w:rsidR="00A142FF" w:rsidRPr="00435469">
        <w:rPr>
          <w:rFonts w:cs="Times New Roman"/>
          <w:sz w:val="20"/>
          <w:szCs w:val="20"/>
          <w:lang w:val="en-ZA"/>
        </w:rPr>
        <w:instrText>ADDIN CSL_CITATION {"citationItems":[{"id":"ITEM-1","itemData":{"DOI":"10.1186/1471-2458-8-289","author":[{"dropping-particle":"","family":"Lönnroth","given":"Knut","non-dropping-particle":"","parse-names":false,"suffix":""},{"dropping-particle":"","family":"Williams","given":"Brian G","non-dropping-particle":"","parse-names":false,"suffix":""},{"dropping-particle":"","family":"Stadlin","given":"Stephanie","non-dropping-particle":"","parse-names":false,"suffix":""},{"dropping-particle":"","family":"Jaramillo","given":"Ernesto","non-dropping-particle":"","parse-names":false,"suffix":""},{"dropping-particle":"","family":"Dye","given":"Christopher","non-dropping-particle":"","parse-names":false,"suffix":""}],"container-title":"BMC Public Health","id":"ITEM-1","issue":"8","issued":{"date-parts":[["2008"]]},"page":"289","title":"Alcohol use as a risk factor for tuberculosis – a systematic review","type":"article-journal","volume":"8"},"uris":["http://www.mendeley.com/documents/?uuid=4774496a-4bc0-489f-bc86-d64917b13e0a"]}],"mendeley":{"formattedCitation":"(122)","plainTextFormattedCitation":"(122)","previouslyFormattedCitation":"(122)"},"properties":{"noteIndex":0},"schema":"https://github.com/citation-style-language/schema/raw/master/csl-citation.json"}</w:instrText>
      </w:r>
      <w:r w:rsidRPr="00435469">
        <w:rPr>
          <w:rFonts w:cs="Times New Roman"/>
          <w:sz w:val="20"/>
          <w:szCs w:val="20"/>
          <w:lang w:val="en-ZA"/>
        </w:rPr>
        <w:fldChar w:fldCharType="separate"/>
      </w:r>
      <w:r w:rsidR="0016391D" w:rsidRPr="00435469">
        <w:rPr>
          <w:rFonts w:cs="Times New Roman"/>
          <w:noProof/>
          <w:sz w:val="20"/>
          <w:szCs w:val="20"/>
          <w:lang w:val="en-ZA"/>
        </w:rPr>
        <w:t>(122)</w:t>
      </w:r>
      <w:r w:rsidRPr="00435469">
        <w:rPr>
          <w:rFonts w:cs="Times New Roman"/>
          <w:sz w:val="20"/>
          <w:szCs w:val="20"/>
          <w:lang w:val="en-ZA"/>
        </w:rPr>
        <w:fldChar w:fldCharType="end"/>
      </w:r>
      <w:r w:rsidRPr="00435469">
        <w:rPr>
          <w:rFonts w:cs="Times New Roman"/>
          <w:sz w:val="20"/>
          <w:szCs w:val="20"/>
          <w:lang w:val="en-ZA"/>
        </w:rPr>
        <w:t xml:space="preserve">. In this meta-analysis </w:t>
      </w:r>
      <w:r w:rsidRPr="00435469">
        <w:rPr>
          <w:rFonts w:cs="Times New Roman"/>
          <w:sz w:val="20"/>
          <w:szCs w:val="20"/>
          <w:lang w:val="en-ZA"/>
        </w:rPr>
        <w:fldChar w:fldCharType="begin" w:fldLock="1"/>
      </w:r>
      <w:r w:rsidR="00A142FF" w:rsidRPr="00435469">
        <w:rPr>
          <w:rFonts w:cs="Times New Roman"/>
          <w:sz w:val="20"/>
          <w:szCs w:val="20"/>
          <w:lang w:val="en-ZA"/>
        </w:rPr>
        <w:instrText>ADDIN CSL_CITATION {"citationItems":[{"id":"ITEM-1","itemData":{"DOI":"10.1186/1471-2458-8-289","author":[{"dropping-particle":"","family":"Lönnroth","given":"Knut","non-dropping-particle":"","parse-names":false,"suffix":""},{"dropping-particle":"","family":"Williams","given":"Brian G","non-dropping-particle":"","parse-names":false,"suffix":""},{"dropping-particle":"","family":"Stadlin","given":"Stephanie","non-dropping-particle":"","parse-names":false,"suffix":""},{"dropping-particle":"","family":"Jaramillo","given":"Ernesto","non-dropping-particle":"","parse-names":false,"suffix":""},{"dropping-particle":"","family":"Dye","given":"Christopher","non-dropping-particle":"","parse-names":false,"suffix":""}],"container-title":"BMC Public Health","id":"ITEM-1","issue":"8","issued":{"date-parts":[["2008"]]},"page":"289","title":"Alcohol use as a risk factor for tuberculosis – a systematic review","type":"article-journal","volume":"8"},"uris":["http://www.mendeley.com/documents/?uuid=4774496a-4bc0-489f-bc86-d64917b13e0a"]}],"mendeley":{"formattedCitation":"(122)","plainTextFormattedCitation":"(122)","previouslyFormattedCitation":"(122)"},"properties":{"noteIndex":0},"schema":"https://github.com/citation-style-language/schema/raw/master/csl-citation.json"}</w:instrText>
      </w:r>
      <w:r w:rsidRPr="00435469">
        <w:rPr>
          <w:rFonts w:cs="Times New Roman"/>
          <w:sz w:val="20"/>
          <w:szCs w:val="20"/>
          <w:lang w:val="en-ZA"/>
        </w:rPr>
        <w:fldChar w:fldCharType="separate"/>
      </w:r>
      <w:r w:rsidR="0016391D" w:rsidRPr="00435469">
        <w:rPr>
          <w:rFonts w:cs="Times New Roman"/>
          <w:noProof/>
          <w:sz w:val="20"/>
          <w:szCs w:val="20"/>
          <w:lang w:val="en-ZA"/>
        </w:rPr>
        <w:t>(122)</w:t>
      </w:r>
      <w:r w:rsidRPr="00435469">
        <w:rPr>
          <w:rFonts w:cs="Times New Roman"/>
          <w:sz w:val="20"/>
          <w:szCs w:val="20"/>
          <w:lang w:val="en-ZA"/>
        </w:rPr>
        <w:fldChar w:fldCharType="end"/>
      </w:r>
      <w:r w:rsidRPr="00435469">
        <w:rPr>
          <w:rFonts w:cs="Times New Roman"/>
          <w:sz w:val="20"/>
          <w:szCs w:val="20"/>
          <w:lang w:val="en-ZA"/>
        </w:rPr>
        <w:t xml:space="preserve">, </w:t>
      </w:r>
      <w:r w:rsidRPr="00435469">
        <w:rPr>
          <w:rFonts w:cs="Times New Roman"/>
          <w:sz w:val="20"/>
          <w:szCs w:val="20"/>
        </w:rPr>
        <w:t>alcohol use disorder/</w:t>
      </w:r>
      <w:r w:rsidR="00037E13" w:rsidRPr="00435469">
        <w:rPr>
          <w:rFonts w:cs="Times New Roman"/>
          <w:sz w:val="20"/>
          <w:szCs w:val="20"/>
        </w:rPr>
        <w:t>abu</w:t>
      </w:r>
      <w:r w:rsidRPr="00435469">
        <w:rPr>
          <w:rFonts w:cs="Times New Roman"/>
          <w:sz w:val="20"/>
          <w:szCs w:val="20"/>
        </w:rPr>
        <w:t xml:space="preserve">se was defined as drinking at least 40g alcohol per day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{"citationItems":[{"id":"ITEM-1","itemData":{"DOI":"10.1186/1471-2458-9-450","ISBN":"1471-2458 (Electronic)\r1471-2458 (Linking)","ISSN":"1471-2458","PMID":"19961618","abstract":"BACKGROUND: In 2004, tuberculosis (TB) was responsible for 2.5% of global mortality (among men 3.1%; among women 1.8%) and 2.2% of global burden of disease (men 2.7%; women 1.7%). The present work portrays accumulated evidence on the association between alcohol consumption and TB with the aim to clarify the nature of the relationship. METHODS: A systematic review of existing scientific data on the association between alcohol consumption and TB, and on studies relevant for clarification of causality was undertaken. RESULTS: There is a strong association between heavy alcohol use/alcohol use disorders (AUD) and TB. A meta-analysis on the risk of TB for these factors yielded a pooled relative risk of 2.94 (95% CI: 1.89-4.59). Numerous studies show pathogenic impact of alcohol on the immune system causing susceptibility to TB among heavy drinkers. In addition, there are potential social pathways linking AUD and TB. Heavy alcohol use strongly influences both the incidence and the outcome of the disease and was found to be linked to altered pharmacokinetics of medicines used in treatment of TB, social marginalization and drift, higher rate of re-infection, higher rate of treatment defaults and development of drug-resistant forms of TB. Based on the available data, about 10% of the TB cases globally were estimated to be attributable to alcohol. CONCLUSION: The epidemiological and other evidence presented indicates that heavy alcohol use/AUD constitute a risk factor for incidence and re-infection of TB. Consequences for prevention and clinical interventions are discussed.","author":[{"dropping-particle":"","family":"Rehm","given":"Jürgen","non-dropping-particle":"","parse-names":false,"suffix":""},{"dropping-particle":"V","family":"Samokhvalov","given":"Andriy","non-dropping-particle":"","parse-names":false,"suffix":""},{"dropping-particle":"","family":"Neuman","given":"Manuela G","non-dropping-particle":"","parse-names":false,"suffix":""},{"dropping-particle":"","family":"Room","given":"Robin","non-dropping-particle":"","parse-names":false,"suffix":""},{"dropping-particle":"","family":"Parry","given":"Charles","non-dropping-particle":"","parse-names":false,"suffix":""},{"dropping-particle":"","family":"Lönnroth","given":"Knut","non-dropping-particle":"","parse-names":false,"suffix":""},{"dropping-particle":"","family":"Patra","given":"Jayadeep","non-dropping-particle":"","parse-names":false,"suffix":""},{"dropping-particle":"","family":"Poznyak","given":"Vladimir","non-dropping-particle":"","parse-names":false,"suffix":""},{"dropping-particle":"","family":"Popova","given":"Svetlana","non-dropping-particle":"","parse-names":false,"suffix":""}],"container-title":"BMC public health","id":"ITEM-1","issued":{"date-parts":[["2009"]]},"page":"450","title":"The association between alcohol use, alcohol use disorders and tuberculosis (TB). A systematic review.","type":"article-journal","volume":"9"},"uris":["http://www.mendeley.com/documents/?uuid=234aa058-32d6-4ac8-b6c1-2bdcefaaae63"]}],"mendeley":{"formattedCitation":"(123)","plainTextFormattedCitation":"(123)","previouslyFormattedCitation":"(123)"},"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(123)</w:t>
      </w:r>
      <w:r w:rsidRPr="00435469">
        <w:rPr>
          <w:rFonts w:cs="Times New Roman"/>
          <w:sz w:val="20"/>
          <w:szCs w:val="20"/>
        </w:rPr>
        <w:fldChar w:fldCharType="end"/>
      </w:r>
      <w:r w:rsidRPr="00435469">
        <w:rPr>
          <w:rFonts w:cs="Times New Roman"/>
          <w:sz w:val="20"/>
          <w:szCs w:val="20"/>
        </w:rPr>
        <w:t xml:space="preserve">, equivalent to four drinks. The 2016 South African DHS defined risky alcohol consumption as consuming at least five drinks on one occasion in the past 30 days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{"citationItems":[{"id":"ITEM-1","itemData":{"id":"ITEM-1","issued":{"date-parts":[["2019"]]},"publisher-place":"Pretoria, South Africa","title":"South Africa Demographic and Health Survey 2016","type":"report"},"uris":["http://www.mendeley.com/documents/?uuid=3e9aa098-e335-44a4-8531-c465aac52a51"]}],"mendeley":{"formattedCitation":"(117)","plainTextFormattedCitation":"(117)","previouslyFormattedCitation":"(117)"},"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(117)</w:t>
      </w:r>
      <w:r w:rsidRPr="00435469">
        <w:rPr>
          <w:rFonts w:cs="Times New Roman"/>
          <w:sz w:val="20"/>
          <w:szCs w:val="20"/>
        </w:rPr>
        <w:fldChar w:fldCharType="end"/>
      </w:r>
      <w:r w:rsidRPr="00435469">
        <w:rPr>
          <w:rFonts w:cs="Times New Roman"/>
          <w:sz w:val="20"/>
          <w:szCs w:val="20"/>
        </w:rPr>
        <w:t xml:space="preserve">. In this survey, 28% males and 5% females reported risky drinking habits </w:t>
      </w:r>
      <w:r w:rsidR="00311A64" w:rsidRPr="00435469">
        <w:rPr>
          <w:sz w:val="20"/>
          <w:szCs w:val="20"/>
        </w:rPr>
        <w:t>(</w:t>
      </w:r>
      <w:r w:rsidR="00311A64" w:rsidRPr="00435469">
        <w:rPr>
          <w:sz w:val="20"/>
          <w:szCs w:val="20"/>
        </w:rPr>
        <w:fldChar w:fldCharType="begin"/>
      </w:r>
      <w:r w:rsidR="00311A64" w:rsidRPr="00435469">
        <w:rPr>
          <w:sz w:val="20"/>
          <w:szCs w:val="20"/>
        </w:rPr>
        <w:instrText xml:space="preserve"> REF _Ref91500418 \h  \* MERGEFORMAT </w:instrText>
      </w:r>
      <w:r w:rsidR="00311A64" w:rsidRPr="00435469">
        <w:rPr>
          <w:sz w:val="20"/>
          <w:szCs w:val="20"/>
        </w:rPr>
      </w:r>
      <w:r w:rsidR="00311A64" w:rsidRPr="00435469">
        <w:rPr>
          <w:sz w:val="20"/>
          <w:szCs w:val="20"/>
        </w:rPr>
        <w:fldChar w:fldCharType="separate"/>
      </w:r>
      <w:r w:rsidR="00186C2F" w:rsidRPr="00435469">
        <w:rPr>
          <w:sz w:val="20"/>
          <w:szCs w:val="20"/>
        </w:rPr>
        <w:t xml:space="preserve">Table </w:t>
      </w:r>
      <w:r w:rsidR="00186C2F" w:rsidRPr="00435469">
        <w:rPr>
          <w:noProof/>
          <w:sz w:val="20"/>
          <w:szCs w:val="20"/>
        </w:rPr>
        <w:t>18</w:t>
      </w:r>
      <w:r w:rsidR="00311A64" w:rsidRPr="00435469">
        <w:rPr>
          <w:sz w:val="20"/>
          <w:szCs w:val="20"/>
        </w:rPr>
        <w:fldChar w:fldCharType="end"/>
      </w:r>
      <w:r w:rsidR="00311A64" w:rsidRPr="00435469">
        <w:rPr>
          <w:sz w:val="20"/>
          <w:szCs w:val="20"/>
        </w:rPr>
        <w:t xml:space="preserve">)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{"citationItems":[{"id":"ITEM-1","itemData":{"id":"ITEM-1","issued":{"date-parts":[["2019"]]},"publisher-place":"Pretoria, South Africa","title":"South Africa Demographic and Health Survey 2016","type":"report"},"uris":["http://www.mendeley.com/documents/?uuid=3e9aa098-e335-44a4-8531-c465aac52a51"]}],"mendeley":{"formattedCitation":"(117)","plainTextFormattedCitation":"(117)","previouslyFormattedCitation":"(117)"},"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(117)</w:t>
      </w:r>
      <w:r w:rsidRPr="00435469">
        <w:rPr>
          <w:rFonts w:cs="Times New Roman"/>
          <w:sz w:val="20"/>
          <w:szCs w:val="20"/>
        </w:rPr>
        <w:fldChar w:fldCharType="end"/>
      </w:r>
      <w:r w:rsidRPr="00435469">
        <w:rPr>
          <w:rFonts w:cs="Times New Roman"/>
          <w:sz w:val="20"/>
          <w:szCs w:val="20"/>
        </w:rPr>
        <w:t>.</w:t>
      </w:r>
      <w:r w:rsidR="005201CE" w:rsidRPr="00435469">
        <w:rPr>
          <w:rFonts w:cs="Times New Roman"/>
          <w:sz w:val="20"/>
          <w:szCs w:val="20"/>
        </w:rPr>
        <w:t xml:space="preserve"> </w:t>
      </w:r>
    </w:p>
    <w:p w14:paraId="5CB1B97A" w14:textId="7AC04C91" w:rsidR="0022193C" w:rsidRPr="00435469" w:rsidRDefault="005201CE" w:rsidP="00346AA7">
      <w:pPr>
        <w:spacing w:line="240" w:lineRule="auto"/>
        <w:rPr>
          <w:rFonts w:eastAsiaTheme="minorEastAsia" w:cs="Times New Roman"/>
          <w:sz w:val="20"/>
          <w:szCs w:val="20"/>
        </w:rPr>
      </w:pPr>
      <w:r w:rsidRPr="00435469">
        <w:rPr>
          <w:rFonts w:cs="Times New Roman"/>
          <w:sz w:val="20"/>
          <w:szCs w:val="20"/>
        </w:rPr>
        <w:t xml:space="preserve">We </w:t>
      </w:r>
      <w:r w:rsidR="00A973E4" w:rsidRPr="00435469">
        <w:rPr>
          <w:rFonts w:cs="Times New Roman"/>
          <w:sz w:val="20"/>
          <w:szCs w:val="20"/>
        </w:rPr>
        <w:t>defined</w:t>
      </w:r>
      <w:r w:rsidR="00B44F1F" w:rsidRPr="00435469">
        <w:rPr>
          <w:rFonts w:cs="Times New Roman"/>
          <w:sz w:val="20"/>
          <w:szCs w:val="20"/>
        </w:rPr>
        <w:t xml:space="preser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4</m:t>
            </m:r>
          </m:sub>
        </m:sSub>
      </m:oMath>
      <w:r w:rsidR="00346AA7" w:rsidRPr="00435469">
        <w:rPr>
          <w:rFonts w:eastAsiaTheme="minorEastAsia" w:cs="Times New Roman"/>
          <w:sz w:val="20"/>
          <w:szCs w:val="20"/>
        </w:rPr>
        <w:t xml:space="preserve"> as </w:t>
      </w:r>
      <w:r w:rsidR="00B44F1F" w:rsidRPr="00435469">
        <w:rPr>
          <w:rFonts w:cs="Times New Roman"/>
          <w:sz w:val="20"/>
          <w:szCs w:val="20"/>
        </w:rPr>
        <w:t xml:space="preserve">the </w:t>
      </w:r>
      <w:r w:rsidR="00597440" w:rsidRPr="00435469">
        <w:rPr>
          <w:rFonts w:cs="Times New Roman"/>
          <w:sz w:val="20"/>
          <w:szCs w:val="20"/>
        </w:rPr>
        <w:t>effect of heavy alcohol consumption on TB incidence</w:t>
      </w:r>
      <w:r w:rsidR="00346AA7" w:rsidRPr="00435469">
        <w:rPr>
          <w:rFonts w:cs="Times New Roman"/>
          <w:sz w:val="20"/>
          <w:szCs w:val="20"/>
        </w:rPr>
        <w:t xml:space="preserve">. We assigned a Gamma prior distribution to represent the uncertainty around this parameter. Based on </w:t>
      </w:r>
      <w:proofErr w:type="spellStart"/>
      <w:r w:rsidR="00346AA7" w:rsidRPr="00435469">
        <w:rPr>
          <w:rFonts w:cs="Times New Roman"/>
          <w:sz w:val="20"/>
          <w:szCs w:val="20"/>
        </w:rPr>
        <w:t>Lonroth</w:t>
      </w:r>
      <w:proofErr w:type="spellEnd"/>
      <w:r w:rsidR="00346AA7" w:rsidRPr="00435469">
        <w:rPr>
          <w:rFonts w:cs="Times New Roman"/>
          <w:sz w:val="20"/>
          <w:szCs w:val="20"/>
        </w:rPr>
        <w:t xml:space="preserve"> </w:t>
      </w:r>
      <w:r w:rsidR="00346AA7" w:rsidRPr="00435469">
        <w:rPr>
          <w:rFonts w:cs="Times New Roman"/>
          <w:i/>
          <w:iCs/>
          <w:sz w:val="20"/>
          <w:szCs w:val="20"/>
        </w:rPr>
        <w:t>et al</w:t>
      </w:r>
      <w:r w:rsidR="00346AA7" w:rsidRPr="00435469">
        <w:rPr>
          <w:rFonts w:cs="Times New Roman"/>
          <w:sz w:val="20"/>
          <w:szCs w:val="20"/>
        </w:rPr>
        <w:t xml:space="preserve">.'s review </w:t>
      </w:r>
      <w:r w:rsidR="00346AA7" w:rsidRPr="00435469">
        <w:rPr>
          <w:rFonts w:cs="Times New Roman"/>
          <w:sz w:val="20"/>
          <w:szCs w:val="20"/>
          <w:lang w:val="en-ZA"/>
        </w:rPr>
        <w:fldChar w:fldCharType="begin" w:fldLock="1"/>
      </w:r>
      <w:r w:rsidR="00A142FF" w:rsidRPr="00435469">
        <w:rPr>
          <w:rFonts w:cs="Times New Roman"/>
          <w:sz w:val="20"/>
          <w:szCs w:val="20"/>
          <w:lang w:val="en-ZA"/>
        </w:rPr>
        <w:instrText>ADDIN CSL_CITATION {"citationItems":[{"id":"ITEM-1","itemData":{"DOI":"10.1186/1471-2458-8-289","author":[{"dropping-particle":"","family":"Lönnroth","given":"Knut","non-dropping-particle":"","parse-names":false,"suffix":""},{"dropping-particle":"","family":"Williams","given":"Brian G","non-dropping-particle":"","parse-names":false,"suffix":""},{"dropping-particle":"","family":"Stadlin","given":"Stephanie","non-dropping-particle":"","parse-names":false,"suffix":""},{"dropping-particle":"","family":"Jaramillo","given":"Ernesto","non-dropping-particle":"","parse-names":false,"suffix":""},{"dropping-particle":"","family":"Dye","given":"Christopher","non-dropping-particle":"","parse-names":false,"suffix":""}],"container-title":"BMC Public Health","id":"ITEM-1","issue":"8","issued":{"date-parts":[["2008"]]},"page":"289","title":"Alcohol use as a risk factor for tuberculosis – a systematic review","type":"article-journal","volume":"8"},"uris":["http://www.mendeley.com/documents/?uuid=4774496a-4bc0-489f-bc86-d64917b13e0a"]}],"mendeley":{"formattedCitation":"(122)","plainTextFormattedCitation":"(122)","previouslyFormattedCitation":"(122)"},"properties":{"noteIndex":0},"schema":"https://github.com/citation-style-language/schema/raw/master/csl-citation.json"}</w:instrText>
      </w:r>
      <w:r w:rsidR="00346AA7" w:rsidRPr="00435469">
        <w:rPr>
          <w:rFonts w:cs="Times New Roman"/>
          <w:sz w:val="20"/>
          <w:szCs w:val="20"/>
          <w:lang w:val="en-ZA"/>
        </w:rPr>
        <w:fldChar w:fldCharType="separate"/>
      </w:r>
      <w:r w:rsidR="0016391D" w:rsidRPr="00435469">
        <w:rPr>
          <w:rFonts w:cs="Times New Roman"/>
          <w:noProof/>
          <w:sz w:val="20"/>
          <w:szCs w:val="20"/>
          <w:lang w:val="en-ZA"/>
        </w:rPr>
        <w:t>(122)</w:t>
      </w:r>
      <w:r w:rsidR="00346AA7" w:rsidRPr="00435469">
        <w:rPr>
          <w:rFonts w:cs="Times New Roman"/>
          <w:sz w:val="20"/>
          <w:szCs w:val="20"/>
          <w:lang w:val="en-ZA"/>
        </w:rPr>
        <w:fldChar w:fldCharType="end"/>
      </w:r>
      <w:r w:rsidR="00346AA7" w:rsidRPr="00435469">
        <w:rPr>
          <w:rFonts w:cs="Times New Roman"/>
          <w:sz w:val="20"/>
          <w:szCs w:val="20"/>
          <w:lang w:val="en-ZA"/>
        </w:rPr>
        <w:t xml:space="preserve">, we </w:t>
      </w:r>
      <w:r w:rsidR="00346AA7" w:rsidRPr="00435469">
        <w:rPr>
          <w:rFonts w:cs="Times New Roman"/>
          <w:sz w:val="20"/>
          <w:szCs w:val="20"/>
          <w:lang w:val="en-ZA"/>
        </w:rPr>
        <w:lastRenderedPageBreak/>
        <w:t xml:space="preserve">set the mean of this distribution at </w:t>
      </w:r>
      <w:r w:rsidR="00346AA7" w:rsidRPr="00435469">
        <w:rPr>
          <w:rFonts w:cs="Times New Roman"/>
          <w:sz w:val="20"/>
          <w:szCs w:val="20"/>
        </w:rPr>
        <w:t>1.94 and the standard deviation at 0.65, Gamma(8.91;4.59)</w:t>
      </w:r>
      <w:r w:rsidR="00760F2F" w:rsidRPr="00435469">
        <w:rPr>
          <w:rFonts w:cs="Times New Roman"/>
          <w:sz w:val="20"/>
          <w:szCs w:val="20"/>
        </w:rPr>
        <w:t xml:space="preserve">. </w:t>
      </w:r>
      <w:r w:rsidR="0022193C" w:rsidRPr="00435469">
        <w:rPr>
          <w:rFonts w:cs="Times New Roman"/>
          <w:sz w:val="20"/>
          <w:szCs w:val="20"/>
        </w:rPr>
        <w:t>In addition, we assume the age- (</w:t>
      </w:r>
      <m:oMath>
        <m:r>
          <w:rPr>
            <w:rFonts w:ascii="Cambria Math" w:hAnsi="Cambria Math" w:cs="Times New Roman"/>
            <w:sz w:val="20"/>
            <w:szCs w:val="20"/>
          </w:rPr>
          <m:t>x</m:t>
        </m:r>
      </m:oMath>
      <w:r w:rsidR="0022193C" w:rsidRPr="00435469">
        <w:rPr>
          <w:rFonts w:cs="Times New Roman"/>
          <w:sz w:val="20"/>
          <w:szCs w:val="20"/>
        </w:rPr>
        <w:t>) and sex- (</w:t>
      </w:r>
      <m:oMath>
        <m:r>
          <w:rPr>
            <w:rFonts w:ascii="Cambria Math" w:hAnsi="Cambria Math" w:cs="Times New Roman"/>
            <w:sz w:val="20"/>
            <w:szCs w:val="20"/>
          </w:rPr>
          <m:t>g</m:t>
        </m:r>
      </m:oMath>
      <w:r w:rsidR="0022193C" w:rsidRPr="00435469">
        <w:rPr>
          <w:rFonts w:cs="Times New Roman"/>
          <w:sz w:val="20"/>
          <w:szCs w:val="20"/>
        </w:rPr>
        <w:t xml:space="preserve">) specific prevalence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4gx</m:t>
            </m:r>
          </m:sub>
        </m:sSub>
        <m:r>
          <w:rPr>
            <w:rFonts w:ascii="Cambria Math" w:hAnsi="Cambria Math" w:cs="Times New Roman"/>
            <w:sz w:val="20"/>
            <w:szCs w:val="20"/>
          </w:rPr>
          <m:t>)</m:t>
        </m:r>
      </m:oMath>
      <w:r w:rsidR="0022193C" w:rsidRPr="00435469">
        <w:rPr>
          <w:rFonts w:eastAsiaTheme="minorEastAsia" w:cs="Times New Roman"/>
          <w:sz w:val="20"/>
          <w:szCs w:val="20"/>
        </w:rPr>
        <w:t xml:space="preserve"> </w:t>
      </w:r>
      <w:r w:rsidR="0022193C" w:rsidRPr="00435469">
        <w:rPr>
          <w:rFonts w:cs="Times New Roman"/>
          <w:sz w:val="20"/>
          <w:szCs w:val="20"/>
        </w:rPr>
        <w:t xml:space="preserve">of alcohol </w:t>
      </w:r>
      <w:r w:rsidR="00037E13" w:rsidRPr="00435469">
        <w:rPr>
          <w:rFonts w:cs="Times New Roman"/>
          <w:sz w:val="20"/>
          <w:szCs w:val="20"/>
        </w:rPr>
        <w:t>ab</w:t>
      </w:r>
      <w:r w:rsidR="0022193C" w:rsidRPr="00435469">
        <w:rPr>
          <w:rFonts w:cs="Times New Roman"/>
          <w:sz w:val="20"/>
          <w:szCs w:val="20"/>
        </w:rPr>
        <w:t>use (binge drinking) as presented in the SADHS</w:t>
      </w:r>
      <w:r w:rsidR="00742C54" w:rsidRPr="00435469">
        <w:rPr>
          <w:rFonts w:cs="Times New Roman"/>
          <w:sz w:val="20"/>
          <w:szCs w:val="20"/>
        </w:rPr>
        <w:t xml:space="preserve"> </w:t>
      </w:r>
      <w:r w:rsidR="00F3436A" w:rsidRPr="00435469">
        <w:rPr>
          <w:rFonts w:cs="Times New Roman"/>
          <w:sz w:val="20"/>
          <w:szCs w:val="20"/>
        </w:rPr>
        <w:fldChar w:fldCharType="begin"/>
      </w:r>
      <w:r w:rsidR="00F3436A" w:rsidRPr="00435469">
        <w:rPr>
          <w:rFonts w:cs="Times New Roman"/>
          <w:sz w:val="20"/>
          <w:szCs w:val="20"/>
        </w:rPr>
        <w:instrText xml:space="preserve"> REF _Ref91500418 \h </w:instrText>
      </w:r>
      <w:r w:rsidR="00F334C7" w:rsidRPr="00435469">
        <w:rPr>
          <w:rFonts w:cs="Times New Roman"/>
          <w:sz w:val="20"/>
          <w:szCs w:val="20"/>
        </w:rPr>
        <w:instrText xml:space="preserve"> \* MERGEFORMAT </w:instrText>
      </w:r>
      <w:r w:rsidR="00F3436A" w:rsidRPr="00435469">
        <w:rPr>
          <w:rFonts w:cs="Times New Roman"/>
          <w:sz w:val="20"/>
          <w:szCs w:val="20"/>
        </w:rPr>
      </w:r>
      <w:r w:rsidR="00F3436A"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18</w:t>
      </w:r>
      <w:r w:rsidR="00F3436A" w:rsidRPr="00435469">
        <w:rPr>
          <w:rFonts w:cs="Times New Roman"/>
          <w:sz w:val="20"/>
          <w:szCs w:val="20"/>
        </w:rPr>
        <w:fldChar w:fldCharType="end"/>
      </w:r>
      <w:r w:rsidR="0022193C" w:rsidRPr="00435469">
        <w:rPr>
          <w:rFonts w:cs="Times New Roman"/>
          <w:sz w:val="20"/>
          <w:szCs w:val="20"/>
        </w:rPr>
        <w:t xml:space="preserve"> </w:t>
      </w:r>
      <w:r w:rsidR="0022193C" w:rsidRPr="00435469">
        <w:rPr>
          <w:rFonts w:cs="Times New Roman"/>
          <w:sz w:val="20"/>
          <w:szCs w:val="20"/>
        </w:rPr>
        <w:fldChar w:fldCharType="begin" w:fldLock="1"/>
      </w:r>
      <w:r w:rsidR="00A142FF" w:rsidRPr="00435469">
        <w:rPr>
          <w:rFonts w:cs="Times New Roman"/>
          <w:sz w:val="20"/>
          <w:szCs w:val="20"/>
        </w:rPr>
        <w:instrText>ADDIN CSL_CITATION {"citationItems":[{"id":"ITEM-1","itemData":{"id":"ITEM-1","issued":{"date-parts":[["2019"]]},"publisher-place":"Pretoria, South Africa","title":"South Africa Demographic and Health Survey 2016","type":"report"},"uris":["http://www.mendeley.com/documents/?uuid=3e9aa098-e335-44a4-8531-c465aac52a51"]}],"mendeley":{"formattedCitation":"(117)","plainTextFormattedCitation":"(117)","previouslyFormattedCitation":"(117)"},"properties":{"noteIndex":0},"schema":"https://github.com/citation-style-language/schema/raw/master/csl-citation.json"}</w:instrText>
      </w:r>
      <w:r w:rsidR="0022193C" w:rsidRPr="00435469">
        <w:rPr>
          <w:rFonts w:cs="Times New Roman"/>
          <w:sz w:val="20"/>
          <w:szCs w:val="20"/>
        </w:rPr>
        <w:fldChar w:fldCharType="separate"/>
      </w:r>
      <w:r w:rsidR="0016391D" w:rsidRPr="00435469">
        <w:rPr>
          <w:rFonts w:cs="Times New Roman"/>
          <w:noProof/>
          <w:sz w:val="20"/>
          <w:szCs w:val="20"/>
        </w:rPr>
        <w:t>(117)</w:t>
      </w:r>
      <w:r w:rsidR="0022193C" w:rsidRPr="00435469">
        <w:rPr>
          <w:rFonts w:cs="Times New Roman"/>
          <w:sz w:val="20"/>
          <w:szCs w:val="20"/>
        </w:rPr>
        <w:fldChar w:fldCharType="end"/>
      </w:r>
      <w:r w:rsidR="0022193C" w:rsidRPr="00435469">
        <w:rPr>
          <w:rFonts w:cs="Times New Roman"/>
          <w:sz w:val="20"/>
          <w:szCs w:val="20"/>
        </w:rPr>
        <w:t xml:space="preserve">. The age- and sex-specific multiplicative increase in TB incidence due to alcohol </w:t>
      </w:r>
      <w:r w:rsidR="00037E13" w:rsidRPr="00435469">
        <w:rPr>
          <w:rFonts w:cs="Times New Roman"/>
          <w:sz w:val="20"/>
          <w:szCs w:val="20"/>
        </w:rPr>
        <w:t>ab</w:t>
      </w:r>
      <w:r w:rsidR="0022193C" w:rsidRPr="00435469">
        <w:rPr>
          <w:rFonts w:cs="Times New Roman"/>
          <w:sz w:val="20"/>
          <w:szCs w:val="20"/>
        </w:rPr>
        <w:t>use is calculated as:</w:t>
      </w:r>
    </w:p>
    <w:p w14:paraId="6272D0BB" w14:textId="370904D6" w:rsidR="002F7AFF" w:rsidRPr="00435469" w:rsidRDefault="0022193C" w:rsidP="00955FFB">
      <w:pPr>
        <w:pStyle w:val="1Para"/>
        <w:spacing w:line="240" w:lineRule="auto"/>
        <w:ind w:firstLine="0"/>
        <w:jc w:val="center"/>
        <w:rPr>
          <w:rFonts w:eastAsiaTheme="minorEastAsia" w:cs="Times New Roman"/>
          <w:sz w:val="20"/>
          <w:szCs w:val="20"/>
        </w:rPr>
      </w:pPr>
      <m:oMathPara>
        <m:oMath>
          <m:r>
            <w:rPr>
              <w:rFonts w:ascii="Cambria Math" w:eastAsiaTheme="minorEastAsia" w:hAnsi="Cambria Math" w:cs="Times New Roman"/>
              <w:sz w:val="20"/>
              <w:szCs w:val="20"/>
            </w:rPr>
            <m:t>R</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4gx</m:t>
              </m:r>
            </m:sub>
          </m:sSub>
          <m:r>
            <w:rPr>
              <w:rFonts w:ascii="Cambria Math" w:eastAsiaTheme="minorEastAsia" w:hAnsi="Cambria Math" w:cs="Times New Roman"/>
              <w:sz w:val="20"/>
              <w:szCs w:val="20"/>
            </w:rPr>
            <m:t>=1.0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4gx</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4</m:t>
              </m:r>
            </m:sub>
          </m:sSub>
          <m:r>
            <w:rPr>
              <w:rFonts w:ascii="Cambria Math" w:eastAsiaTheme="minorEastAsia" w:hAnsi="Cambria Math" w:cs="Times New Roman"/>
              <w:sz w:val="20"/>
              <w:szCs w:val="20"/>
            </w:rPr>
            <m:t xml:space="preserve">. </m:t>
          </m:r>
        </m:oMath>
      </m:oMathPara>
    </w:p>
    <w:p w14:paraId="0EEBC4FD" w14:textId="77777777" w:rsidR="003440F2" w:rsidRPr="00435469" w:rsidRDefault="003440F2" w:rsidP="00955FFB">
      <w:pPr>
        <w:pStyle w:val="1Para"/>
        <w:spacing w:line="240" w:lineRule="auto"/>
        <w:ind w:firstLine="0"/>
        <w:jc w:val="center"/>
        <w:rPr>
          <w:rFonts w:eastAsiaTheme="minorEastAsia" w:cs="Times New Roman"/>
          <w:sz w:val="20"/>
          <w:szCs w:val="20"/>
        </w:rPr>
      </w:pPr>
    </w:p>
    <w:p w14:paraId="041D5D7D" w14:textId="550FC990" w:rsidR="009A130E" w:rsidRPr="00435469" w:rsidRDefault="009A130E" w:rsidP="00955FFB">
      <w:pPr>
        <w:pStyle w:val="Heading3"/>
        <w:rPr>
          <w:rFonts w:cs="Times New Roman"/>
          <w:color w:val="auto"/>
          <w:sz w:val="20"/>
          <w:szCs w:val="20"/>
        </w:rPr>
      </w:pPr>
      <w:bookmarkStart w:id="301" w:name="_Toc103252955"/>
      <w:r w:rsidRPr="00435469">
        <w:rPr>
          <w:color w:val="auto"/>
          <w:sz w:val="20"/>
          <w:szCs w:val="20"/>
        </w:rPr>
        <w:t>Combined effect of TB risk factors</w:t>
      </w:r>
      <w:bookmarkEnd w:id="301"/>
    </w:p>
    <w:p w14:paraId="1956C884" w14:textId="00D1AF5A" w:rsidR="0022193C" w:rsidRPr="00435469" w:rsidRDefault="0022193C" w:rsidP="00955FFB">
      <w:pPr>
        <w:spacing w:line="240" w:lineRule="auto"/>
        <w:rPr>
          <w:rFonts w:cs="Times New Roman"/>
          <w:sz w:val="20"/>
          <w:szCs w:val="20"/>
        </w:rPr>
      </w:pPr>
      <w:r w:rsidRPr="00435469">
        <w:rPr>
          <w:rFonts w:cs="Times New Roman"/>
          <w:sz w:val="20"/>
          <w:szCs w:val="20"/>
        </w:rPr>
        <w:t>The overall adjustment in the model</w:t>
      </w:r>
      <w:r w:rsidR="00571CE0" w:rsidRPr="00435469">
        <w:rPr>
          <w:rFonts w:cs="Times New Roman"/>
          <w:sz w:val="20"/>
          <w:szCs w:val="20"/>
        </w:rPr>
        <w:t xml:space="preserve"> (relative to a hypothetical population in which there are no TB risk factors)</w:t>
      </w:r>
      <w:r w:rsidRPr="00435469">
        <w:rPr>
          <w:rFonts w:cs="Times New Roman"/>
          <w:sz w:val="20"/>
          <w:szCs w:val="20"/>
        </w:rPr>
        <w:t xml:space="preserve"> is computed as the cumulative multiplicative effect of the risk factors (</w:t>
      </w:r>
      <m:oMath>
        <m:r>
          <w:rPr>
            <w:rFonts w:ascii="Cambria Math" w:eastAsiaTheme="minorEastAsia" w:hAnsi="Cambria Math" w:cs="Times New Roman"/>
            <w:sz w:val="20"/>
            <w:szCs w:val="20"/>
          </w:rPr>
          <m:t>i=1,…, 4</m:t>
        </m:r>
      </m:oMath>
      <w:r w:rsidRPr="00435469">
        <w:rPr>
          <w:rFonts w:cs="Times New Roman"/>
          <w:sz w:val="20"/>
          <w:szCs w:val="20"/>
        </w:rPr>
        <w:t>) described above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RR</m:t>
            </m:r>
          </m:e>
          <m:sub>
            <m:r>
              <w:rPr>
                <w:rFonts w:ascii="Cambria Math" w:eastAsiaTheme="minorEastAsia" w:hAnsi="Cambria Math" w:cs="Times New Roman"/>
                <w:sz w:val="20"/>
                <w:szCs w:val="20"/>
              </w:rPr>
              <m:t>igx</m:t>
            </m:r>
          </m:sub>
        </m:sSub>
      </m:oMath>
      <w:r w:rsidRPr="00435469">
        <w:rPr>
          <w:rFonts w:cs="Times New Roman"/>
          <w:sz w:val="20"/>
          <w:szCs w:val="20"/>
        </w:rPr>
        <w:t xml:space="preserve">):  </w:t>
      </w:r>
    </w:p>
    <w:p w14:paraId="3157356A" w14:textId="77777777" w:rsidR="0022193C" w:rsidRPr="00435469" w:rsidRDefault="00000000" w:rsidP="00955FFB">
      <w:pPr>
        <w:spacing w:line="240" w:lineRule="auto"/>
        <w:rPr>
          <w:rFonts w:eastAsiaTheme="minorEastAsia" w:cs="Times New Roman"/>
          <w:sz w:val="20"/>
          <w:szCs w:val="20"/>
        </w:rPr>
      </w:pPr>
      <m:oMathPara>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gx</m:t>
              </m:r>
            </m:sub>
          </m:sSub>
          <m:r>
            <w:rPr>
              <w:rFonts w:ascii="Cambria Math" w:eastAsiaTheme="minorEastAsia" w:hAnsi="Cambria Math" w:cs="Times New Roman"/>
              <w:sz w:val="20"/>
              <w:szCs w:val="20"/>
            </w:rPr>
            <m:t>=</m:t>
          </m:r>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i=1</m:t>
              </m:r>
            </m:sub>
            <m:sup>
              <m:r>
                <w:rPr>
                  <w:rFonts w:ascii="Cambria Math" w:eastAsiaTheme="minorEastAsia" w:hAnsi="Cambria Math" w:cs="Times New Roman"/>
                  <w:sz w:val="20"/>
                  <w:szCs w:val="20"/>
                </w:rPr>
                <m:t>4</m:t>
              </m:r>
            </m:sup>
            <m:e>
              <m:r>
                <w:rPr>
                  <w:rFonts w:ascii="Cambria Math" w:eastAsiaTheme="minorEastAsia" w:hAnsi="Cambria Math" w:cs="Times New Roman"/>
                  <w:sz w:val="20"/>
                  <w:szCs w:val="20"/>
                </w:rPr>
                <m:t>R</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igx</m:t>
                  </m:r>
                </m:sub>
              </m:sSub>
            </m:e>
          </m:nary>
        </m:oMath>
      </m:oMathPara>
    </w:p>
    <w:p w14:paraId="35F2634F" w14:textId="05C53512" w:rsidR="00B35CB9" w:rsidRDefault="00000000" w:rsidP="008000EB">
      <w:pPr>
        <w:spacing w:line="240" w:lineRule="auto"/>
        <w:rPr>
          <w:rFonts w:eastAsiaTheme="minorEastAsia"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gx</m:t>
            </m:r>
          </m:sub>
        </m:sSub>
      </m:oMath>
      <w:r w:rsidR="0022193C" w:rsidRPr="00435469">
        <w:rPr>
          <w:rFonts w:eastAsiaTheme="minorEastAsia" w:cs="Times New Roman"/>
          <w:sz w:val="20"/>
          <w:szCs w:val="20"/>
        </w:rPr>
        <w:t xml:space="preserve"> represents the relative risk of TB in people of sex </w:t>
      </w:r>
      <w:r w:rsidR="0022193C" w:rsidRPr="00435469">
        <w:rPr>
          <w:rFonts w:eastAsiaTheme="minorEastAsia" w:cs="Times New Roman"/>
          <w:i/>
          <w:iCs/>
          <w:sz w:val="20"/>
          <w:szCs w:val="20"/>
        </w:rPr>
        <w:t>g</w:t>
      </w:r>
      <w:r w:rsidR="0022193C" w:rsidRPr="00435469">
        <w:rPr>
          <w:rFonts w:eastAsiaTheme="minorEastAsia" w:cs="Times New Roman"/>
          <w:sz w:val="20"/>
          <w:szCs w:val="20"/>
        </w:rPr>
        <w:t xml:space="preserve"> and age </w:t>
      </w:r>
      <w:r w:rsidR="0022193C" w:rsidRPr="00435469">
        <w:rPr>
          <w:rFonts w:eastAsiaTheme="minorEastAsia" w:cs="Times New Roman"/>
          <w:i/>
          <w:iCs/>
          <w:sz w:val="20"/>
          <w:szCs w:val="20"/>
        </w:rPr>
        <w:t>x</w:t>
      </w:r>
      <w:r w:rsidR="0022193C" w:rsidRPr="00435469">
        <w:rPr>
          <w:rFonts w:eastAsiaTheme="minorEastAsia" w:cs="Times New Roman"/>
          <w:sz w:val="20"/>
          <w:szCs w:val="20"/>
        </w:rPr>
        <w:t xml:space="preserve"> due to diabetes, underweight, smoking, and alcohol </w:t>
      </w:r>
      <w:r w:rsidR="00C322AF" w:rsidRPr="00435469">
        <w:rPr>
          <w:rFonts w:eastAsiaTheme="minorEastAsia" w:cs="Times New Roman"/>
          <w:sz w:val="20"/>
          <w:szCs w:val="20"/>
        </w:rPr>
        <w:t xml:space="preserve">abuse </w:t>
      </w:r>
      <w:r w:rsidR="0022193C" w:rsidRPr="00435469">
        <w:rPr>
          <w:rFonts w:eastAsiaTheme="minorEastAsia" w:cs="Times New Roman"/>
          <w:sz w:val="20"/>
          <w:szCs w:val="20"/>
        </w:rPr>
        <w:t xml:space="preserve">compared to individuals of the same age and sex with none of these risk factors. These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gx</m:t>
            </m:r>
          </m:sub>
        </m:sSub>
      </m:oMath>
      <w:r w:rsidR="0022193C" w:rsidRPr="00435469">
        <w:rPr>
          <w:rFonts w:eastAsiaTheme="minorEastAsia" w:cs="Times New Roman"/>
          <w:sz w:val="20"/>
          <w:szCs w:val="20"/>
        </w:rPr>
        <w:t xml:space="preserve"> are applied to the rate of progression from infection to active TB disease in the model. </w:t>
      </w:r>
      <w:r w:rsidR="00EE0595" w:rsidRPr="00435469">
        <w:rPr>
          <w:rFonts w:eastAsiaTheme="minorEastAsia" w:cs="Times New Roman"/>
          <w:sz w:val="20"/>
          <w:szCs w:val="20"/>
        </w:rPr>
        <w:fldChar w:fldCharType="begin"/>
      </w:r>
      <w:r w:rsidR="00EE0595" w:rsidRPr="00435469">
        <w:rPr>
          <w:rFonts w:eastAsiaTheme="minorEastAsia" w:cs="Times New Roman"/>
          <w:sz w:val="20"/>
          <w:szCs w:val="20"/>
        </w:rPr>
        <w:instrText xml:space="preserve"> REF _Ref101933215 \h </w:instrText>
      </w:r>
      <w:r w:rsidR="00955FFB" w:rsidRPr="00435469">
        <w:rPr>
          <w:rFonts w:eastAsiaTheme="minorEastAsia" w:cs="Times New Roman"/>
          <w:sz w:val="20"/>
          <w:szCs w:val="20"/>
        </w:rPr>
        <w:instrText xml:space="preserve"> \* MERGEFORMAT </w:instrText>
      </w:r>
      <w:r w:rsidR="00EE0595" w:rsidRPr="00435469">
        <w:rPr>
          <w:rFonts w:eastAsiaTheme="minorEastAsia" w:cs="Times New Roman"/>
          <w:sz w:val="20"/>
          <w:szCs w:val="20"/>
        </w:rPr>
      </w:r>
      <w:r w:rsidR="00EE0595" w:rsidRPr="00435469">
        <w:rPr>
          <w:rFonts w:eastAsiaTheme="minorEastAsia" w:cs="Times New Roman"/>
          <w:sz w:val="20"/>
          <w:szCs w:val="20"/>
        </w:rPr>
        <w:fldChar w:fldCharType="separate"/>
      </w:r>
      <w:r w:rsidR="00186C2F" w:rsidRPr="00435469">
        <w:rPr>
          <w:sz w:val="20"/>
          <w:szCs w:val="20"/>
        </w:rPr>
        <w:t xml:space="preserve">Table </w:t>
      </w:r>
      <w:r w:rsidR="00186C2F" w:rsidRPr="00435469">
        <w:rPr>
          <w:noProof/>
          <w:sz w:val="20"/>
          <w:szCs w:val="20"/>
        </w:rPr>
        <w:t>19</w:t>
      </w:r>
      <w:r w:rsidR="00EE0595" w:rsidRPr="00435469">
        <w:rPr>
          <w:rFonts w:eastAsiaTheme="minorEastAsia" w:cs="Times New Roman"/>
          <w:sz w:val="20"/>
          <w:szCs w:val="20"/>
        </w:rPr>
        <w:fldChar w:fldCharType="end"/>
      </w:r>
      <w:r w:rsidR="00EE0595" w:rsidRPr="00435469">
        <w:rPr>
          <w:rFonts w:eastAsiaTheme="minorEastAsia" w:cs="Times New Roman"/>
          <w:sz w:val="20"/>
          <w:szCs w:val="20"/>
        </w:rPr>
        <w:t xml:space="preserve"> </w:t>
      </w:r>
      <w:r w:rsidR="0022193C" w:rsidRPr="00435469">
        <w:rPr>
          <w:rFonts w:eastAsiaTheme="minorEastAsia" w:cs="Times New Roman"/>
          <w:sz w:val="20"/>
          <w:szCs w:val="20"/>
        </w:rPr>
        <w:t xml:space="preserve">shows examples of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gx</m:t>
            </m:r>
          </m:sub>
        </m:sSub>
      </m:oMath>
      <w:r w:rsidR="0022193C" w:rsidRPr="00435469">
        <w:rPr>
          <w:rFonts w:eastAsiaTheme="minorEastAsia" w:cs="Times New Roman"/>
          <w:sz w:val="20"/>
          <w:szCs w:val="20"/>
        </w:rPr>
        <w:t xml:space="preserve"> factors for select ages</w:t>
      </w:r>
      <w:r w:rsidR="00544364" w:rsidRPr="00435469">
        <w:rPr>
          <w:rFonts w:eastAsiaTheme="minorEastAsia" w:cs="Times New Roman"/>
          <w:sz w:val="20"/>
          <w:szCs w:val="20"/>
        </w:rPr>
        <w:t xml:space="preserve"> 15 to 40 years</w:t>
      </w:r>
      <w:r w:rsidR="0022193C" w:rsidRPr="00435469">
        <w:rPr>
          <w:rFonts w:eastAsiaTheme="minorEastAsia" w:cs="Times New Roman"/>
          <w:sz w:val="20"/>
          <w:szCs w:val="20"/>
        </w:rPr>
        <w:t>, calculated from the means of the prior distributions specified previously.</w:t>
      </w:r>
      <w:bookmarkStart w:id="302" w:name="_Ref91504102"/>
    </w:p>
    <w:p w14:paraId="12511FC8" w14:textId="77777777" w:rsidR="009458EE" w:rsidRDefault="009458EE" w:rsidP="008000EB">
      <w:pPr>
        <w:spacing w:line="240" w:lineRule="auto"/>
        <w:rPr>
          <w:rFonts w:eastAsiaTheme="minorEastAsia" w:cs="Times New Roman"/>
          <w:sz w:val="20"/>
          <w:szCs w:val="20"/>
        </w:rPr>
      </w:pPr>
    </w:p>
    <w:p w14:paraId="4EF7C54B" w14:textId="77777777" w:rsidR="009458EE" w:rsidRDefault="009458EE" w:rsidP="008000EB">
      <w:pPr>
        <w:spacing w:line="240" w:lineRule="auto"/>
        <w:rPr>
          <w:rFonts w:eastAsiaTheme="minorEastAsia" w:cs="Times New Roman"/>
          <w:sz w:val="20"/>
          <w:szCs w:val="20"/>
        </w:rPr>
      </w:pPr>
    </w:p>
    <w:p w14:paraId="5863E0C5" w14:textId="77777777" w:rsidR="009458EE" w:rsidRDefault="009458EE" w:rsidP="008000EB">
      <w:pPr>
        <w:spacing w:line="240" w:lineRule="auto"/>
        <w:rPr>
          <w:rFonts w:eastAsiaTheme="minorEastAsia" w:cs="Times New Roman"/>
          <w:sz w:val="20"/>
          <w:szCs w:val="20"/>
        </w:rPr>
      </w:pPr>
    </w:p>
    <w:p w14:paraId="2CF8AE1C" w14:textId="77777777" w:rsidR="009458EE" w:rsidRDefault="009458EE" w:rsidP="008000EB">
      <w:pPr>
        <w:spacing w:line="240" w:lineRule="auto"/>
        <w:rPr>
          <w:rFonts w:eastAsiaTheme="minorEastAsia" w:cs="Times New Roman"/>
          <w:sz w:val="20"/>
          <w:szCs w:val="20"/>
        </w:rPr>
      </w:pPr>
    </w:p>
    <w:p w14:paraId="2A5235DD" w14:textId="77777777" w:rsidR="009458EE" w:rsidRDefault="009458EE" w:rsidP="008000EB">
      <w:pPr>
        <w:spacing w:line="240" w:lineRule="auto"/>
        <w:rPr>
          <w:rFonts w:eastAsiaTheme="minorEastAsia" w:cs="Times New Roman"/>
          <w:sz w:val="20"/>
          <w:szCs w:val="20"/>
        </w:rPr>
      </w:pPr>
    </w:p>
    <w:p w14:paraId="753D08F2" w14:textId="77777777" w:rsidR="009458EE" w:rsidRDefault="009458EE" w:rsidP="008000EB">
      <w:pPr>
        <w:spacing w:line="240" w:lineRule="auto"/>
        <w:rPr>
          <w:rFonts w:eastAsiaTheme="minorEastAsia" w:cs="Times New Roman"/>
          <w:sz w:val="20"/>
          <w:szCs w:val="20"/>
        </w:rPr>
      </w:pPr>
    </w:p>
    <w:p w14:paraId="5D167B3B" w14:textId="77777777" w:rsidR="009458EE" w:rsidRDefault="009458EE" w:rsidP="008000EB">
      <w:pPr>
        <w:spacing w:line="240" w:lineRule="auto"/>
        <w:rPr>
          <w:rFonts w:eastAsiaTheme="minorEastAsia" w:cs="Times New Roman"/>
          <w:sz w:val="20"/>
          <w:szCs w:val="20"/>
        </w:rPr>
      </w:pPr>
    </w:p>
    <w:p w14:paraId="1EAB23BC" w14:textId="77777777" w:rsidR="009458EE" w:rsidRDefault="009458EE" w:rsidP="008000EB">
      <w:pPr>
        <w:spacing w:line="240" w:lineRule="auto"/>
        <w:rPr>
          <w:rFonts w:eastAsiaTheme="minorEastAsia" w:cs="Times New Roman"/>
          <w:sz w:val="20"/>
          <w:szCs w:val="20"/>
        </w:rPr>
      </w:pPr>
    </w:p>
    <w:p w14:paraId="17BFB429" w14:textId="77777777" w:rsidR="009458EE" w:rsidRDefault="009458EE" w:rsidP="008000EB">
      <w:pPr>
        <w:spacing w:line="240" w:lineRule="auto"/>
        <w:rPr>
          <w:rFonts w:eastAsiaTheme="minorEastAsia" w:cs="Times New Roman"/>
          <w:sz w:val="20"/>
          <w:szCs w:val="20"/>
        </w:rPr>
      </w:pPr>
    </w:p>
    <w:p w14:paraId="37B66B50" w14:textId="77777777" w:rsidR="009458EE" w:rsidRDefault="009458EE" w:rsidP="008000EB">
      <w:pPr>
        <w:spacing w:line="240" w:lineRule="auto"/>
        <w:rPr>
          <w:rFonts w:eastAsiaTheme="minorEastAsia" w:cs="Times New Roman"/>
          <w:sz w:val="20"/>
          <w:szCs w:val="20"/>
        </w:rPr>
      </w:pPr>
    </w:p>
    <w:p w14:paraId="6118A8C6" w14:textId="77777777" w:rsidR="009458EE" w:rsidRDefault="009458EE" w:rsidP="008000EB">
      <w:pPr>
        <w:spacing w:line="240" w:lineRule="auto"/>
        <w:rPr>
          <w:rFonts w:eastAsiaTheme="minorEastAsia" w:cs="Times New Roman"/>
          <w:sz w:val="20"/>
          <w:szCs w:val="20"/>
        </w:rPr>
      </w:pPr>
    </w:p>
    <w:p w14:paraId="12318B11" w14:textId="77777777" w:rsidR="009458EE" w:rsidRDefault="009458EE" w:rsidP="008000EB">
      <w:pPr>
        <w:spacing w:line="240" w:lineRule="auto"/>
        <w:rPr>
          <w:rFonts w:eastAsiaTheme="minorEastAsia" w:cs="Times New Roman"/>
          <w:sz w:val="20"/>
          <w:szCs w:val="20"/>
        </w:rPr>
      </w:pPr>
    </w:p>
    <w:p w14:paraId="45D67030" w14:textId="77777777" w:rsidR="009458EE" w:rsidRDefault="009458EE" w:rsidP="008000EB">
      <w:pPr>
        <w:spacing w:line="240" w:lineRule="auto"/>
        <w:rPr>
          <w:rFonts w:eastAsiaTheme="minorEastAsia" w:cs="Times New Roman"/>
          <w:sz w:val="20"/>
          <w:szCs w:val="20"/>
        </w:rPr>
      </w:pPr>
    </w:p>
    <w:p w14:paraId="72E803B5" w14:textId="77777777" w:rsidR="009458EE" w:rsidRPr="00435469" w:rsidRDefault="009458EE" w:rsidP="008000EB">
      <w:pPr>
        <w:spacing w:line="240" w:lineRule="auto"/>
        <w:rPr>
          <w:b/>
          <w:noProof/>
          <w:sz w:val="20"/>
          <w:szCs w:val="20"/>
        </w:rPr>
      </w:pPr>
    </w:p>
    <w:p w14:paraId="5F7CDA00" w14:textId="59904A1C" w:rsidR="0022193C" w:rsidRPr="00435469" w:rsidRDefault="0022193C" w:rsidP="00955FFB">
      <w:pPr>
        <w:pStyle w:val="3CaptionBelowwithNote"/>
        <w:rPr>
          <w:sz w:val="20"/>
          <w:szCs w:val="20"/>
        </w:rPr>
      </w:pPr>
      <w:bookmarkStart w:id="303" w:name="_Ref101933215"/>
      <w:bookmarkStart w:id="304" w:name="_Toc103253672"/>
      <w:r w:rsidRPr="00435469">
        <w:rPr>
          <w:sz w:val="20"/>
          <w:szCs w:val="20"/>
        </w:rPr>
        <w:lastRenderedPageBreak/>
        <w:t xml:space="preserve">Table </w:t>
      </w:r>
      <w:r w:rsidRPr="00435469">
        <w:rPr>
          <w:sz w:val="20"/>
          <w:szCs w:val="20"/>
        </w:rPr>
        <w:fldChar w:fldCharType="begin"/>
      </w:r>
      <w:r w:rsidRPr="00435469">
        <w:rPr>
          <w:sz w:val="20"/>
          <w:szCs w:val="20"/>
        </w:rPr>
        <w:instrText xml:space="preserve"> SEQ Table \* ARABIC </w:instrText>
      </w:r>
      <w:r w:rsidRPr="00435469">
        <w:rPr>
          <w:sz w:val="20"/>
          <w:szCs w:val="20"/>
        </w:rPr>
        <w:fldChar w:fldCharType="separate"/>
      </w:r>
      <w:r w:rsidR="00186C2F" w:rsidRPr="00435469">
        <w:rPr>
          <w:sz w:val="20"/>
          <w:szCs w:val="20"/>
        </w:rPr>
        <w:t>19</w:t>
      </w:r>
      <w:r w:rsidRPr="00435469">
        <w:rPr>
          <w:sz w:val="20"/>
          <w:szCs w:val="20"/>
        </w:rPr>
        <w:fldChar w:fldCharType="end"/>
      </w:r>
      <w:bookmarkEnd w:id="302"/>
      <w:bookmarkEnd w:id="303"/>
      <w:r w:rsidRPr="00435469">
        <w:rPr>
          <w:sz w:val="20"/>
          <w:szCs w:val="20"/>
        </w:rPr>
        <w:t>: Cumulative age- and sex- effect of selected tuberculosis risk factors</w:t>
      </w:r>
      <w:r w:rsidR="00C11BB9" w:rsidRPr="00435469">
        <w:rPr>
          <w:sz w:val="20"/>
          <w:szCs w:val="20"/>
        </w:rPr>
        <w:t xml:space="preserve"> </w:t>
      </w:r>
      <w:r w:rsidRPr="00435469">
        <w:rPr>
          <w:sz w:val="20"/>
          <w:szCs w:val="20"/>
        </w:rPr>
        <w:t>HbA1c &gt; 6.5</w:t>
      </w:r>
      <w:r w:rsidR="00F62EE6" w:rsidRPr="00435469">
        <w:rPr>
          <w:sz w:val="20"/>
          <w:szCs w:val="20"/>
        </w:rPr>
        <w:t>%</w:t>
      </w:r>
      <w:r w:rsidRPr="00435469">
        <w:rPr>
          <w:sz w:val="20"/>
          <w:szCs w:val="20"/>
        </w:rPr>
        <w:t xml:space="preserve">, underweight, smoking and alcohol </w:t>
      </w:r>
      <w:r w:rsidR="00C322AF" w:rsidRPr="00435469">
        <w:rPr>
          <w:sz w:val="20"/>
          <w:szCs w:val="20"/>
        </w:rPr>
        <w:t>abuse</w:t>
      </w:r>
      <w:bookmarkEnd w:id="304"/>
    </w:p>
    <w:tbl>
      <w:tblPr>
        <w:tblW w:w="10181" w:type="dxa"/>
        <w:tblLook w:val="04A0" w:firstRow="1" w:lastRow="0" w:firstColumn="1" w:lastColumn="0" w:noHBand="0" w:noVBand="1"/>
      </w:tblPr>
      <w:tblGrid>
        <w:gridCol w:w="888"/>
        <w:gridCol w:w="888"/>
        <w:gridCol w:w="888"/>
        <w:gridCol w:w="1279"/>
        <w:gridCol w:w="888"/>
        <w:gridCol w:w="910"/>
        <w:gridCol w:w="888"/>
        <w:gridCol w:w="888"/>
        <w:gridCol w:w="888"/>
        <w:gridCol w:w="888"/>
        <w:gridCol w:w="888"/>
      </w:tblGrid>
      <w:tr w:rsidR="00304411" w:rsidRPr="00435469" w14:paraId="32C7CE82" w14:textId="77777777" w:rsidTr="00440C12">
        <w:trPr>
          <w:trHeight w:val="327"/>
        </w:trPr>
        <w:tc>
          <w:tcPr>
            <w:tcW w:w="888" w:type="dxa"/>
            <w:tcBorders>
              <w:top w:val="single" w:sz="4" w:space="0" w:color="auto"/>
              <w:left w:val="nil"/>
              <w:bottom w:val="nil"/>
              <w:right w:val="nil"/>
            </w:tcBorders>
            <w:shd w:val="clear" w:color="auto" w:fill="auto"/>
            <w:noWrap/>
            <w:vAlign w:val="bottom"/>
            <w:hideMark/>
          </w:tcPr>
          <w:p w14:paraId="059522B6"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 </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615BD6" w14:textId="0C9EDC31" w:rsidR="00455303" w:rsidRPr="00435469" w:rsidRDefault="00455303"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HbA1c &gt; 6.5</w:t>
            </w:r>
          </w:p>
          <w:p w14:paraId="7CA2AB60" w14:textId="0EE182AB" w:rsidR="001F4E74" w:rsidRPr="00435469" w:rsidRDefault="0003136B" w:rsidP="00955FFB">
            <w:pPr>
              <w:spacing w:after="0" w:line="240" w:lineRule="auto"/>
              <w:jc w:val="center"/>
              <w:rPr>
                <w:rFonts w:eastAsia="Times New Roman" w:cs="Times New Roman"/>
                <w:sz w:val="16"/>
                <w:szCs w:val="16"/>
                <w:lang w:eastAsia="en-ZA"/>
              </w:rPr>
            </w:pPr>
            <m:oMathPara>
              <m:oMath>
                <m:r>
                  <w:rPr>
                    <w:rFonts w:ascii="Cambria Math" w:eastAsiaTheme="minorEastAsia" w:hAnsi="Cambria Math" w:cs="Times New Roman"/>
                    <w:sz w:val="16"/>
                    <w:szCs w:val="16"/>
                  </w:rPr>
                  <m:t>(</m:t>
                </m:r>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θ</m:t>
                    </m:r>
                  </m:e>
                  <m:sub>
                    <m:r>
                      <w:rPr>
                        <w:rFonts w:ascii="Cambria Math" w:eastAsiaTheme="minorEastAsia" w:hAnsi="Cambria Math" w:cs="Times New Roman"/>
                        <w:sz w:val="16"/>
                        <w:szCs w:val="16"/>
                      </w:rPr>
                      <m:t>1</m:t>
                    </m:r>
                  </m:sub>
                </m:sSub>
                <m:r>
                  <w:rPr>
                    <w:rFonts w:ascii="Cambria Math" w:eastAsiaTheme="minorEastAsia" w:hAnsi="Cambria Math" w:cs="Times New Roman"/>
                    <w:sz w:val="16"/>
                    <w:szCs w:val="16"/>
                  </w:rPr>
                  <m:t>=</m:t>
                </m:r>
                <m:r>
                  <m:rPr>
                    <m:sty m:val="p"/>
                  </m:rPr>
                  <w:rPr>
                    <w:rFonts w:ascii="Cambria Math" w:eastAsia="Times New Roman" w:hAnsi="Cambria Math" w:cs="Times New Roman"/>
                    <w:sz w:val="16"/>
                    <w:szCs w:val="16"/>
                  </w:rPr>
                  <m:t>2.59)</m:t>
                </m:r>
              </m:oMath>
            </m:oMathPara>
          </w:p>
          <w:p w14:paraId="0AB24D5D" w14:textId="77777777" w:rsidR="001F4E74" w:rsidRPr="00435469" w:rsidRDefault="001F4E74" w:rsidP="00955FFB">
            <w:pPr>
              <w:spacing w:after="0" w:line="240" w:lineRule="auto"/>
              <w:jc w:val="center"/>
              <w:rPr>
                <w:rFonts w:eastAsia="Times New Roman" w:cs="Times New Roman"/>
                <w:sz w:val="16"/>
                <w:szCs w:val="16"/>
                <w:lang w:eastAsia="en-ZA"/>
              </w:rPr>
            </w:pPr>
          </w:p>
          <w:p w14:paraId="430CF1AA" w14:textId="18D387B8" w:rsidR="00455303" w:rsidRPr="00435469" w:rsidRDefault="00455303" w:rsidP="00955FFB">
            <w:pPr>
              <w:spacing w:after="0" w:line="240" w:lineRule="auto"/>
              <w:rPr>
                <w:rFonts w:eastAsia="Times New Roman" w:cs="Times New Roman"/>
                <w:sz w:val="16"/>
                <w:szCs w:val="16"/>
                <w:lang w:eastAsia="en-ZA"/>
              </w:rPr>
            </w:pPr>
          </w:p>
        </w:tc>
        <w:tc>
          <w:tcPr>
            <w:tcW w:w="21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AFF39" w14:textId="77777777" w:rsidR="00455303" w:rsidRPr="00435469" w:rsidRDefault="00455303" w:rsidP="00955FFB">
            <w:pPr>
              <w:spacing w:after="0" w:line="240" w:lineRule="auto"/>
              <w:rPr>
                <w:rFonts w:eastAsia="Times New Roman" w:cs="Times New Roman"/>
                <w:b/>
                <w:bCs/>
                <w:sz w:val="16"/>
                <w:szCs w:val="16"/>
                <w:lang w:eastAsia="en-ZA"/>
              </w:rPr>
            </w:pPr>
            <w:r w:rsidRPr="00435469">
              <w:rPr>
                <w:rFonts w:eastAsia="Times New Roman" w:cs="Times New Roman"/>
                <w:b/>
                <w:bCs/>
                <w:sz w:val="16"/>
                <w:szCs w:val="16"/>
                <w:lang w:eastAsia="en-ZA"/>
              </w:rPr>
              <w:t>Underweight</w:t>
            </w:r>
            <w:r w:rsidR="00CA67F2" w:rsidRPr="00435469">
              <w:rPr>
                <w:rFonts w:eastAsia="Times New Roman" w:cs="Times New Roman"/>
                <w:b/>
                <w:bCs/>
                <w:sz w:val="16"/>
                <w:szCs w:val="16"/>
                <w:lang w:eastAsia="en-ZA"/>
              </w:rPr>
              <w:t xml:space="preserve"> (BMI &lt; 18.5)</w:t>
            </w:r>
            <w:r w:rsidR="00AC587D" w:rsidRPr="00435469">
              <w:rPr>
                <w:rFonts w:eastAsia="Times New Roman" w:cs="Times New Roman"/>
                <w:b/>
                <w:bCs/>
                <w:sz w:val="16"/>
                <w:szCs w:val="16"/>
                <w:lang w:eastAsia="en-ZA"/>
              </w:rPr>
              <w:t xml:space="preserve"> </w:t>
            </w:r>
          </w:p>
          <w:p w14:paraId="25570D6F" w14:textId="59D2BF55" w:rsidR="001F4E74" w:rsidRPr="00435469" w:rsidRDefault="0003136B" w:rsidP="00955FFB">
            <w:pPr>
              <w:spacing w:after="0" w:line="240" w:lineRule="auto"/>
              <w:jc w:val="center"/>
              <w:rPr>
                <w:rFonts w:eastAsia="Times New Roman" w:cs="Times New Roman"/>
                <w:sz w:val="16"/>
                <w:szCs w:val="16"/>
              </w:rPr>
            </w:pPr>
            <m:oMathPara>
              <m:oMath>
                <m:r>
                  <w:rPr>
                    <w:rFonts w:ascii="Cambria Math" w:eastAsiaTheme="minorEastAsia" w:hAnsi="Cambria Math" w:cs="Times New Roman"/>
                    <w:sz w:val="16"/>
                    <w:szCs w:val="16"/>
                  </w:rPr>
                  <m:t>(</m:t>
                </m:r>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θ</m:t>
                    </m:r>
                  </m:e>
                  <m:sub>
                    <m:r>
                      <w:rPr>
                        <w:rFonts w:ascii="Cambria Math" w:eastAsiaTheme="minorEastAsia" w:hAnsi="Cambria Math" w:cs="Times New Roman"/>
                        <w:sz w:val="16"/>
                        <w:szCs w:val="16"/>
                      </w:rPr>
                      <m:t>2</m:t>
                    </m:r>
                  </m:sub>
                </m:sSub>
                <m:r>
                  <w:rPr>
                    <w:rFonts w:ascii="Cambria Math" w:eastAsiaTheme="minorEastAsia" w:hAnsi="Cambria Math" w:cs="Times New Roman"/>
                    <w:sz w:val="16"/>
                    <w:szCs w:val="16"/>
                  </w:rPr>
                  <m:t>=0.8)</m:t>
                </m:r>
              </m:oMath>
            </m:oMathPara>
          </w:p>
          <w:p w14:paraId="40DE8E2B" w14:textId="77777777" w:rsidR="001F4E74" w:rsidRPr="00435469" w:rsidRDefault="001F4E74" w:rsidP="00955FFB">
            <w:pPr>
              <w:spacing w:after="0" w:line="240" w:lineRule="auto"/>
              <w:jc w:val="center"/>
              <w:rPr>
                <w:rFonts w:eastAsia="Times New Roman" w:cs="Times New Roman"/>
                <w:sz w:val="16"/>
                <w:szCs w:val="16"/>
              </w:rPr>
            </w:pPr>
          </w:p>
          <w:p w14:paraId="2B7513E0" w14:textId="5C97AEFB" w:rsidR="0030562A" w:rsidRPr="00435469" w:rsidRDefault="0030562A" w:rsidP="00955FFB">
            <w:pPr>
              <w:spacing w:after="0" w:line="240" w:lineRule="auto"/>
              <w:jc w:val="center"/>
              <w:rPr>
                <w:rFonts w:eastAsia="Times New Roman" w:cs="Times New Roman"/>
                <w:sz w:val="16"/>
                <w:szCs w:val="16"/>
                <w:lang w:eastAsia="en-ZA"/>
              </w:rPr>
            </w:pPr>
          </w:p>
        </w:tc>
        <w:tc>
          <w:tcPr>
            <w:tcW w:w="17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AADFB" w14:textId="77777777" w:rsidR="00CC57A4" w:rsidRPr="00435469" w:rsidRDefault="00CA67F2"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Current s</w:t>
            </w:r>
            <w:r w:rsidR="00455303" w:rsidRPr="00435469">
              <w:rPr>
                <w:rFonts w:eastAsia="Times New Roman" w:cs="Times New Roman"/>
                <w:b/>
                <w:bCs/>
                <w:sz w:val="16"/>
                <w:szCs w:val="16"/>
                <w:lang w:eastAsia="en-ZA"/>
              </w:rPr>
              <w:t>moking</w:t>
            </w:r>
          </w:p>
          <w:p w14:paraId="45884062" w14:textId="7E6D7747" w:rsidR="00455303" w:rsidRPr="00435469" w:rsidRDefault="0003136B"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rPr>
              <w:t>(</w:t>
            </w:r>
            <m:oMath>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θ</m:t>
                  </m:r>
                </m:e>
                <m:sub>
                  <m:r>
                    <w:rPr>
                      <w:rFonts w:ascii="Cambria Math" w:eastAsiaTheme="minorEastAsia" w:hAnsi="Cambria Math" w:cs="Times New Roman"/>
                      <w:sz w:val="16"/>
                      <w:szCs w:val="16"/>
                    </w:rPr>
                    <m:t>3,1</m:t>
                  </m:r>
                </m:sub>
              </m:sSub>
              <m:r>
                <w:rPr>
                  <w:rFonts w:ascii="Cambria Math" w:eastAsiaTheme="minorEastAsia" w:hAnsi="Cambria Math" w:cs="Times New Roman"/>
                  <w:sz w:val="16"/>
                  <w:szCs w:val="16"/>
                </w:rPr>
                <m:t>=0.47</m:t>
              </m:r>
            </m:oMath>
            <w:r w:rsidR="00455303" w:rsidRPr="00435469">
              <w:rPr>
                <w:rFonts w:eastAsia="Times New Roman" w:cs="Times New Roman"/>
                <w:sz w:val="16"/>
                <w:szCs w:val="16"/>
                <w:lang w:eastAsia="en-ZA"/>
              </w:rPr>
              <w:t xml:space="preserve"> </w:t>
            </w:r>
          </w:p>
          <w:p w14:paraId="171AB86F" w14:textId="6B4E8B75" w:rsidR="00455303" w:rsidRPr="00435469" w:rsidRDefault="00000000" w:rsidP="00955FFB">
            <w:pPr>
              <w:spacing w:after="0" w:line="240" w:lineRule="auto"/>
              <w:jc w:val="center"/>
              <w:rPr>
                <w:rFonts w:eastAsia="Times New Roman" w:cs="Times New Roman"/>
                <w:sz w:val="16"/>
                <w:szCs w:val="16"/>
                <w:lang w:eastAsia="en-ZA"/>
              </w:rPr>
            </w:pPr>
            <m:oMath>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θ</m:t>
                  </m:r>
                </m:e>
                <m:sub>
                  <m:r>
                    <w:rPr>
                      <w:rFonts w:ascii="Cambria Math" w:eastAsiaTheme="minorEastAsia" w:hAnsi="Cambria Math" w:cs="Times New Roman"/>
                      <w:sz w:val="16"/>
                      <w:szCs w:val="16"/>
                    </w:rPr>
                    <m:t>3,2</m:t>
                  </m:r>
                </m:sub>
              </m:sSub>
              <m:r>
                <w:rPr>
                  <w:rFonts w:ascii="Cambria Math" w:eastAsia="Times New Roman" w:hAnsi="Cambria Math" w:cs="Times New Roman"/>
                  <w:sz w:val="16"/>
                  <w:szCs w:val="16"/>
                </w:rPr>
                <m:t>=0.38</m:t>
              </m:r>
            </m:oMath>
            <w:r w:rsidR="0003136B" w:rsidRPr="00435469">
              <w:rPr>
                <w:rFonts w:eastAsia="Times New Roman" w:cs="Times New Roman"/>
                <w:sz w:val="16"/>
                <w:szCs w:val="16"/>
                <w:lang w:eastAsia="en-ZA"/>
              </w:rPr>
              <w:t>)</w:t>
            </w:r>
          </w:p>
        </w:tc>
        <w:tc>
          <w:tcPr>
            <w:tcW w:w="17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24314" w14:textId="26E782A2" w:rsidR="00455303" w:rsidRPr="00435469" w:rsidRDefault="00455303"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Alcohol</w:t>
            </w:r>
            <w:r w:rsidR="00C322AF" w:rsidRPr="00435469">
              <w:rPr>
                <w:rFonts w:eastAsia="Times New Roman" w:cs="Times New Roman"/>
                <w:b/>
                <w:bCs/>
                <w:sz w:val="16"/>
                <w:szCs w:val="16"/>
                <w:lang w:eastAsia="en-ZA"/>
              </w:rPr>
              <w:t xml:space="preserve"> abuse</w:t>
            </w:r>
          </w:p>
          <w:p w14:paraId="4F533CB9" w14:textId="2BC1679D" w:rsidR="001F4E74" w:rsidRPr="00435469" w:rsidRDefault="00C322AF" w:rsidP="00955FFB">
            <w:pPr>
              <w:spacing w:after="0" w:line="240" w:lineRule="auto"/>
              <w:jc w:val="center"/>
              <w:rPr>
                <w:rFonts w:eastAsia="Times New Roman" w:cs="Times New Roman"/>
                <w:sz w:val="16"/>
                <w:szCs w:val="16"/>
              </w:rPr>
            </w:pPr>
            <w:r w:rsidRPr="00435469">
              <w:rPr>
                <w:rFonts w:eastAsia="Times New Roman" w:cs="Times New Roman"/>
                <w:sz w:val="16"/>
                <w:szCs w:val="16"/>
              </w:rPr>
              <w:t>(</w:t>
            </w:r>
            <m:oMath>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θ</m:t>
                  </m:r>
                </m:e>
                <m:sub>
                  <m:r>
                    <w:rPr>
                      <w:rFonts w:ascii="Cambria Math" w:eastAsiaTheme="minorEastAsia" w:hAnsi="Cambria Math" w:cs="Times New Roman"/>
                      <w:sz w:val="16"/>
                      <w:szCs w:val="16"/>
                    </w:rPr>
                    <m:t>4</m:t>
                  </m:r>
                </m:sub>
              </m:sSub>
              <m:r>
                <w:rPr>
                  <w:rFonts w:ascii="Cambria Math" w:eastAsiaTheme="minorEastAsia" w:hAnsi="Cambria Math" w:cs="Times New Roman"/>
                  <w:sz w:val="16"/>
                  <w:szCs w:val="16"/>
                </w:rPr>
                <m:t>=1.94)</m:t>
              </m:r>
            </m:oMath>
          </w:p>
          <w:p w14:paraId="7E1902F8" w14:textId="77777777" w:rsidR="001F4E74" w:rsidRPr="00435469" w:rsidRDefault="001F4E74" w:rsidP="00955FFB">
            <w:pPr>
              <w:spacing w:after="0" w:line="240" w:lineRule="auto"/>
              <w:jc w:val="center"/>
              <w:rPr>
                <w:rFonts w:eastAsia="Times New Roman" w:cs="Times New Roman"/>
                <w:sz w:val="16"/>
                <w:szCs w:val="16"/>
              </w:rPr>
            </w:pPr>
          </w:p>
          <w:p w14:paraId="78743E6A" w14:textId="0481DB1D" w:rsidR="00455303" w:rsidRPr="00435469" w:rsidRDefault="00455303" w:rsidP="00955FFB">
            <w:pPr>
              <w:spacing w:after="0" w:line="240" w:lineRule="auto"/>
              <w:jc w:val="center"/>
              <w:rPr>
                <w:rFonts w:eastAsia="Times New Roman" w:cs="Times New Roman"/>
                <w:sz w:val="16"/>
                <w:szCs w:val="16"/>
                <w:lang w:eastAsia="en-ZA"/>
              </w:rPr>
            </w:pPr>
          </w:p>
        </w:tc>
        <w:tc>
          <w:tcPr>
            <w:tcW w:w="1776" w:type="dxa"/>
            <w:gridSpan w:val="2"/>
            <w:tcBorders>
              <w:top w:val="single" w:sz="4" w:space="0" w:color="auto"/>
              <w:left w:val="single" w:sz="4" w:space="0" w:color="auto"/>
              <w:bottom w:val="single" w:sz="4" w:space="0" w:color="auto"/>
              <w:right w:val="nil"/>
            </w:tcBorders>
            <w:shd w:val="clear" w:color="auto" w:fill="auto"/>
            <w:noWrap/>
            <w:vAlign w:val="bottom"/>
            <w:hideMark/>
          </w:tcPr>
          <w:p w14:paraId="1E8B54EE" w14:textId="044456B2" w:rsidR="00455303" w:rsidRPr="00435469" w:rsidRDefault="00455303" w:rsidP="00955FFB">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Overall</w:t>
            </w:r>
          </w:p>
          <w:p w14:paraId="62460201"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 </w:t>
            </w:r>
          </w:p>
        </w:tc>
      </w:tr>
      <w:tr w:rsidR="00304411" w:rsidRPr="00435469" w14:paraId="1BB7A7B7" w14:textId="77777777" w:rsidTr="00CA52C4">
        <w:trPr>
          <w:trHeight w:val="261"/>
        </w:trPr>
        <w:tc>
          <w:tcPr>
            <w:tcW w:w="888" w:type="dxa"/>
            <w:tcBorders>
              <w:top w:val="nil"/>
              <w:left w:val="nil"/>
              <w:bottom w:val="single" w:sz="4" w:space="0" w:color="auto"/>
              <w:right w:val="nil"/>
            </w:tcBorders>
            <w:shd w:val="clear" w:color="auto" w:fill="auto"/>
            <w:noWrap/>
            <w:vAlign w:val="bottom"/>
            <w:hideMark/>
          </w:tcPr>
          <w:p w14:paraId="364A2B84"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Age</w:t>
            </w:r>
          </w:p>
        </w:tc>
        <w:tc>
          <w:tcPr>
            <w:tcW w:w="888" w:type="dxa"/>
            <w:tcBorders>
              <w:top w:val="nil"/>
              <w:left w:val="nil"/>
              <w:bottom w:val="single" w:sz="4" w:space="0" w:color="auto"/>
              <w:right w:val="nil"/>
            </w:tcBorders>
            <w:shd w:val="clear" w:color="auto" w:fill="auto"/>
            <w:noWrap/>
            <w:vAlign w:val="bottom"/>
            <w:hideMark/>
          </w:tcPr>
          <w:p w14:paraId="56743C1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 xml:space="preserve">Male </w:t>
            </w:r>
          </w:p>
        </w:tc>
        <w:tc>
          <w:tcPr>
            <w:tcW w:w="888" w:type="dxa"/>
            <w:tcBorders>
              <w:top w:val="nil"/>
              <w:left w:val="nil"/>
              <w:bottom w:val="single" w:sz="4" w:space="0" w:color="auto"/>
              <w:right w:val="single" w:sz="4" w:space="0" w:color="auto"/>
            </w:tcBorders>
            <w:shd w:val="clear" w:color="auto" w:fill="auto"/>
            <w:noWrap/>
            <w:vAlign w:val="bottom"/>
            <w:hideMark/>
          </w:tcPr>
          <w:p w14:paraId="44316591"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 xml:space="preserve">Females </w:t>
            </w:r>
          </w:p>
        </w:tc>
        <w:tc>
          <w:tcPr>
            <w:tcW w:w="1279" w:type="dxa"/>
            <w:tcBorders>
              <w:top w:val="nil"/>
              <w:left w:val="single" w:sz="4" w:space="0" w:color="auto"/>
              <w:bottom w:val="single" w:sz="4" w:space="0" w:color="auto"/>
              <w:right w:val="nil"/>
            </w:tcBorders>
            <w:shd w:val="clear" w:color="auto" w:fill="auto"/>
            <w:noWrap/>
            <w:vAlign w:val="bottom"/>
            <w:hideMark/>
          </w:tcPr>
          <w:p w14:paraId="36123C26"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 xml:space="preserve">Male </w:t>
            </w:r>
          </w:p>
        </w:tc>
        <w:tc>
          <w:tcPr>
            <w:tcW w:w="888" w:type="dxa"/>
            <w:tcBorders>
              <w:top w:val="nil"/>
              <w:left w:val="nil"/>
              <w:bottom w:val="single" w:sz="4" w:space="0" w:color="auto"/>
              <w:right w:val="single" w:sz="4" w:space="0" w:color="auto"/>
            </w:tcBorders>
            <w:shd w:val="clear" w:color="auto" w:fill="auto"/>
            <w:noWrap/>
            <w:vAlign w:val="bottom"/>
            <w:hideMark/>
          </w:tcPr>
          <w:p w14:paraId="749A5ACA"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 xml:space="preserve">Females </w:t>
            </w:r>
          </w:p>
        </w:tc>
        <w:tc>
          <w:tcPr>
            <w:tcW w:w="910" w:type="dxa"/>
            <w:tcBorders>
              <w:top w:val="nil"/>
              <w:left w:val="single" w:sz="4" w:space="0" w:color="auto"/>
              <w:bottom w:val="single" w:sz="4" w:space="0" w:color="auto"/>
              <w:right w:val="nil"/>
            </w:tcBorders>
            <w:shd w:val="clear" w:color="auto" w:fill="auto"/>
            <w:noWrap/>
            <w:vAlign w:val="bottom"/>
            <w:hideMark/>
          </w:tcPr>
          <w:p w14:paraId="6099E12E"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 xml:space="preserve">Male </w:t>
            </w:r>
          </w:p>
        </w:tc>
        <w:tc>
          <w:tcPr>
            <w:tcW w:w="888" w:type="dxa"/>
            <w:tcBorders>
              <w:top w:val="nil"/>
              <w:left w:val="nil"/>
              <w:bottom w:val="single" w:sz="4" w:space="0" w:color="auto"/>
              <w:right w:val="single" w:sz="4" w:space="0" w:color="auto"/>
            </w:tcBorders>
            <w:shd w:val="clear" w:color="auto" w:fill="auto"/>
            <w:noWrap/>
            <w:vAlign w:val="bottom"/>
            <w:hideMark/>
          </w:tcPr>
          <w:p w14:paraId="0A608DD6"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 xml:space="preserve">Females </w:t>
            </w:r>
          </w:p>
        </w:tc>
        <w:tc>
          <w:tcPr>
            <w:tcW w:w="888" w:type="dxa"/>
            <w:tcBorders>
              <w:top w:val="nil"/>
              <w:left w:val="single" w:sz="4" w:space="0" w:color="auto"/>
              <w:bottom w:val="single" w:sz="4" w:space="0" w:color="auto"/>
              <w:right w:val="nil"/>
            </w:tcBorders>
            <w:shd w:val="clear" w:color="auto" w:fill="auto"/>
            <w:noWrap/>
            <w:vAlign w:val="bottom"/>
            <w:hideMark/>
          </w:tcPr>
          <w:p w14:paraId="352E0257"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 xml:space="preserve">Male </w:t>
            </w:r>
          </w:p>
        </w:tc>
        <w:tc>
          <w:tcPr>
            <w:tcW w:w="888" w:type="dxa"/>
            <w:tcBorders>
              <w:top w:val="nil"/>
              <w:left w:val="nil"/>
              <w:bottom w:val="single" w:sz="4" w:space="0" w:color="auto"/>
              <w:right w:val="single" w:sz="4" w:space="0" w:color="auto"/>
            </w:tcBorders>
            <w:shd w:val="clear" w:color="auto" w:fill="auto"/>
            <w:noWrap/>
            <w:vAlign w:val="bottom"/>
            <w:hideMark/>
          </w:tcPr>
          <w:p w14:paraId="411C94E7"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 xml:space="preserve">Females </w:t>
            </w:r>
          </w:p>
        </w:tc>
        <w:tc>
          <w:tcPr>
            <w:tcW w:w="888" w:type="dxa"/>
            <w:tcBorders>
              <w:top w:val="nil"/>
              <w:left w:val="single" w:sz="4" w:space="0" w:color="auto"/>
              <w:bottom w:val="single" w:sz="4" w:space="0" w:color="auto"/>
              <w:right w:val="nil"/>
            </w:tcBorders>
            <w:shd w:val="clear" w:color="auto" w:fill="auto"/>
            <w:noWrap/>
            <w:vAlign w:val="bottom"/>
            <w:hideMark/>
          </w:tcPr>
          <w:p w14:paraId="00893ED5"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 xml:space="preserve">Male </w:t>
            </w:r>
          </w:p>
        </w:tc>
        <w:tc>
          <w:tcPr>
            <w:tcW w:w="888" w:type="dxa"/>
            <w:tcBorders>
              <w:top w:val="nil"/>
              <w:left w:val="nil"/>
              <w:bottom w:val="single" w:sz="4" w:space="0" w:color="auto"/>
              <w:right w:val="nil"/>
            </w:tcBorders>
            <w:shd w:val="clear" w:color="auto" w:fill="auto"/>
            <w:noWrap/>
            <w:vAlign w:val="bottom"/>
            <w:hideMark/>
          </w:tcPr>
          <w:p w14:paraId="2C3C2DD9" w14:textId="77777777" w:rsidR="00455303" w:rsidRPr="00435469" w:rsidRDefault="00455303" w:rsidP="00955FFB">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 xml:space="preserve">Females </w:t>
            </w:r>
          </w:p>
        </w:tc>
      </w:tr>
      <w:tr w:rsidR="00304411" w:rsidRPr="00435469" w14:paraId="40CEF210" w14:textId="77777777" w:rsidTr="00CA52C4">
        <w:trPr>
          <w:trHeight w:val="261"/>
        </w:trPr>
        <w:tc>
          <w:tcPr>
            <w:tcW w:w="888" w:type="dxa"/>
            <w:tcBorders>
              <w:top w:val="nil"/>
              <w:left w:val="nil"/>
              <w:bottom w:val="nil"/>
              <w:right w:val="nil"/>
            </w:tcBorders>
            <w:shd w:val="clear" w:color="auto" w:fill="auto"/>
            <w:noWrap/>
            <w:vAlign w:val="bottom"/>
            <w:hideMark/>
          </w:tcPr>
          <w:p w14:paraId="6FA9DA34"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15</w:t>
            </w:r>
          </w:p>
        </w:tc>
        <w:tc>
          <w:tcPr>
            <w:tcW w:w="888" w:type="dxa"/>
            <w:tcBorders>
              <w:top w:val="nil"/>
              <w:left w:val="nil"/>
              <w:bottom w:val="nil"/>
              <w:right w:val="nil"/>
            </w:tcBorders>
            <w:shd w:val="clear" w:color="auto" w:fill="auto"/>
            <w:noWrap/>
            <w:vAlign w:val="bottom"/>
            <w:hideMark/>
          </w:tcPr>
          <w:p w14:paraId="6224E05B"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1.052</w:t>
            </w:r>
          </w:p>
        </w:tc>
        <w:tc>
          <w:tcPr>
            <w:tcW w:w="888" w:type="dxa"/>
            <w:tcBorders>
              <w:top w:val="nil"/>
              <w:left w:val="nil"/>
              <w:bottom w:val="nil"/>
              <w:right w:val="single" w:sz="4" w:space="0" w:color="auto"/>
            </w:tcBorders>
            <w:shd w:val="clear" w:color="auto" w:fill="auto"/>
            <w:noWrap/>
            <w:vAlign w:val="bottom"/>
            <w:hideMark/>
          </w:tcPr>
          <w:p w14:paraId="3BBFF506"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1.023</w:t>
            </w:r>
          </w:p>
        </w:tc>
        <w:tc>
          <w:tcPr>
            <w:tcW w:w="1279" w:type="dxa"/>
            <w:tcBorders>
              <w:top w:val="nil"/>
              <w:left w:val="single" w:sz="4" w:space="0" w:color="auto"/>
              <w:bottom w:val="nil"/>
              <w:right w:val="nil"/>
            </w:tcBorders>
            <w:shd w:val="clear" w:color="auto" w:fill="auto"/>
            <w:noWrap/>
            <w:vAlign w:val="bottom"/>
            <w:hideMark/>
          </w:tcPr>
          <w:p w14:paraId="4E27CB95"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1.479</w:t>
            </w:r>
          </w:p>
        </w:tc>
        <w:tc>
          <w:tcPr>
            <w:tcW w:w="888" w:type="dxa"/>
            <w:tcBorders>
              <w:top w:val="nil"/>
              <w:left w:val="nil"/>
              <w:bottom w:val="nil"/>
              <w:right w:val="single" w:sz="4" w:space="0" w:color="auto"/>
            </w:tcBorders>
            <w:shd w:val="clear" w:color="auto" w:fill="auto"/>
            <w:noWrap/>
            <w:vAlign w:val="bottom"/>
            <w:hideMark/>
          </w:tcPr>
          <w:p w14:paraId="67B9FC40"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1.281</w:t>
            </w:r>
          </w:p>
        </w:tc>
        <w:tc>
          <w:tcPr>
            <w:tcW w:w="910" w:type="dxa"/>
            <w:tcBorders>
              <w:top w:val="nil"/>
              <w:left w:val="single" w:sz="4" w:space="0" w:color="auto"/>
              <w:bottom w:val="nil"/>
              <w:right w:val="nil"/>
            </w:tcBorders>
            <w:shd w:val="clear" w:color="auto" w:fill="auto"/>
            <w:noWrap/>
            <w:vAlign w:val="bottom"/>
            <w:hideMark/>
          </w:tcPr>
          <w:p w14:paraId="650F1D6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1.031</w:t>
            </w:r>
          </w:p>
        </w:tc>
        <w:tc>
          <w:tcPr>
            <w:tcW w:w="888" w:type="dxa"/>
            <w:tcBorders>
              <w:top w:val="nil"/>
              <w:left w:val="nil"/>
              <w:bottom w:val="nil"/>
              <w:right w:val="single" w:sz="4" w:space="0" w:color="auto"/>
            </w:tcBorders>
            <w:shd w:val="clear" w:color="auto" w:fill="auto"/>
            <w:noWrap/>
            <w:vAlign w:val="bottom"/>
            <w:hideMark/>
          </w:tcPr>
          <w:p w14:paraId="0FE7154B"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1.007</w:t>
            </w:r>
          </w:p>
        </w:tc>
        <w:tc>
          <w:tcPr>
            <w:tcW w:w="888" w:type="dxa"/>
            <w:tcBorders>
              <w:top w:val="nil"/>
              <w:left w:val="single" w:sz="4" w:space="0" w:color="auto"/>
              <w:bottom w:val="nil"/>
              <w:right w:val="nil"/>
            </w:tcBorders>
            <w:shd w:val="clear" w:color="auto" w:fill="auto"/>
            <w:noWrap/>
            <w:vAlign w:val="bottom"/>
            <w:hideMark/>
          </w:tcPr>
          <w:p w14:paraId="2F2885CF"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1.229</w:t>
            </w:r>
          </w:p>
        </w:tc>
        <w:tc>
          <w:tcPr>
            <w:tcW w:w="888" w:type="dxa"/>
            <w:tcBorders>
              <w:top w:val="nil"/>
              <w:left w:val="nil"/>
              <w:bottom w:val="nil"/>
              <w:right w:val="single" w:sz="4" w:space="0" w:color="auto"/>
            </w:tcBorders>
            <w:shd w:val="clear" w:color="auto" w:fill="auto"/>
            <w:noWrap/>
            <w:vAlign w:val="bottom"/>
            <w:hideMark/>
          </w:tcPr>
          <w:p w14:paraId="40A22C71"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1.031</w:t>
            </w:r>
          </w:p>
        </w:tc>
        <w:tc>
          <w:tcPr>
            <w:tcW w:w="888" w:type="dxa"/>
            <w:tcBorders>
              <w:top w:val="nil"/>
              <w:left w:val="single" w:sz="4" w:space="0" w:color="auto"/>
              <w:bottom w:val="nil"/>
              <w:right w:val="nil"/>
            </w:tcBorders>
            <w:shd w:val="clear" w:color="auto" w:fill="auto"/>
            <w:noWrap/>
            <w:vAlign w:val="bottom"/>
            <w:hideMark/>
          </w:tcPr>
          <w:p w14:paraId="288FC784"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1.970</w:t>
            </w:r>
          </w:p>
        </w:tc>
        <w:tc>
          <w:tcPr>
            <w:tcW w:w="888" w:type="dxa"/>
            <w:tcBorders>
              <w:top w:val="nil"/>
              <w:left w:val="nil"/>
              <w:bottom w:val="nil"/>
              <w:right w:val="nil"/>
            </w:tcBorders>
            <w:shd w:val="clear" w:color="auto" w:fill="auto"/>
            <w:noWrap/>
            <w:vAlign w:val="bottom"/>
            <w:hideMark/>
          </w:tcPr>
          <w:p w14:paraId="2EE5CBFA"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1.361</w:t>
            </w:r>
          </w:p>
        </w:tc>
      </w:tr>
      <w:tr w:rsidR="00304411" w:rsidRPr="00435469" w14:paraId="70B50DA1" w14:textId="77777777" w:rsidTr="00CA52C4">
        <w:trPr>
          <w:trHeight w:val="261"/>
        </w:trPr>
        <w:tc>
          <w:tcPr>
            <w:tcW w:w="888" w:type="dxa"/>
            <w:tcBorders>
              <w:top w:val="nil"/>
              <w:left w:val="nil"/>
              <w:bottom w:val="nil"/>
              <w:right w:val="nil"/>
            </w:tcBorders>
            <w:shd w:val="clear" w:color="auto" w:fill="auto"/>
            <w:noWrap/>
            <w:vAlign w:val="bottom"/>
            <w:hideMark/>
          </w:tcPr>
          <w:p w14:paraId="5E292B26"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16</w:t>
            </w:r>
          </w:p>
        </w:tc>
        <w:tc>
          <w:tcPr>
            <w:tcW w:w="888" w:type="dxa"/>
            <w:tcBorders>
              <w:top w:val="nil"/>
              <w:left w:val="nil"/>
              <w:bottom w:val="nil"/>
              <w:right w:val="nil"/>
            </w:tcBorders>
            <w:shd w:val="clear" w:color="auto" w:fill="auto"/>
            <w:noWrap/>
            <w:vAlign w:val="bottom"/>
            <w:hideMark/>
          </w:tcPr>
          <w:p w14:paraId="6C693AC0"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1.052</w:t>
            </w:r>
          </w:p>
        </w:tc>
        <w:tc>
          <w:tcPr>
            <w:tcW w:w="888" w:type="dxa"/>
            <w:tcBorders>
              <w:top w:val="nil"/>
              <w:left w:val="nil"/>
              <w:bottom w:val="nil"/>
              <w:right w:val="single" w:sz="4" w:space="0" w:color="auto"/>
            </w:tcBorders>
            <w:shd w:val="clear" w:color="auto" w:fill="auto"/>
            <w:noWrap/>
            <w:vAlign w:val="bottom"/>
            <w:hideMark/>
          </w:tcPr>
          <w:p w14:paraId="1BFFD1D0"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1.023</w:t>
            </w:r>
          </w:p>
        </w:tc>
        <w:tc>
          <w:tcPr>
            <w:tcW w:w="1279" w:type="dxa"/>
            <w:tcBorders>
              <w:top w:val="nil"/>
              <w:left w:val="single" w:sz="4" w:space="0" w:color="auto"/>
              <w:bottom w:val="nil"/>
              <w:right w:val="nil"/>
            </w:tcBorders>
            <w:shd w:val="clear" w:color="auto" w:fill="auto"/>
            <w:noWrap/>
            <w:vAlign w:val="bottom"/>
            <w:hideMark/>
          </w:tcPr>
          <w:p w14:paraId="4020C7FE"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1.479</w:t>
            </w:r>
          </w:p>
        </w:tc>
        <w:tc>
          <w:tcPr>
            <w:tcW w:w="888" w:type="dxa"/>
            <w:tcBorders>
              <w:top w:val="nil"/>
              <w:left w:val="nil"/>
              <w:bottom w:val="nil"/>
              <w:right w:val="single" w:sz="4" w:space="0" w:color="auto"/>
            </w:tcBorders>
            <w:shd w:val="clear" w:color="auto" w:fill="auto"/>
            <w:noWrap/>
            <w:vAlign w:val="bottom"/>
            <w:hideMark/>
          </w:tcPr>
          <w:p w14:paraId="44A5344A"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1.281</w:t>
            </w:r>
          </w:p>
        </w:tc>
        <w:tc>
          <w:tcPr>
            <w:tcW w:w="910" w:type="dxa"/>
            <w:tcBorders>
              <w:top w:val="nil"/>
              <w:left w:val="single" w:sz="4" w:space="0" w:color="auto"/>
              <w:bottom w:val="nil"/>
              <w:right w:val="nil"/>
            </w:tcBorders>
            <w:shd w:val="clear" w:color="auto" w:fill="auto"/>
            <w:noWrap/>
            <w:vAlign w:val="bottom"/>
            <w:hideMark/>
          </w:tcPr>
          <w:p w14:paraId="10D3CCA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1.063</w:t>
            </w:r>
          </w:p>
        </w:tc>
        <w:tc>
          <w:tcPr>
            <w:tcW w:w="888" w:type="dxa"/>
            <w:tcBorders>
              <w:top w:val="nil"/>
              <w:left w:val="nil"/>
              <w:bottom w:val="nil"/>
              <w:right w:val="single" w:sz="4" w:space="0" w:color="auto"/>
            </w:tcBorders>
            <w:shd w:val="clear" w:color="auto" w:fill="auto"/>
            <w:noWrap/>
            <w:vAlign w:val="bottom"/>
            <w:hideMark/>
          </w:tcPr>
          <w:p w14:paraId="285E1CD9"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1.014</w:t>
            </w:r>
          </w:p>
        </w:tc>
        <w:tc>
          <w:tcPr>
            <w:tcW w:w="888" w:type="dxa"/>
            <w:tcBorders>
              <w:top w:val="nil"/>
              <w:left w:val="single" w:sz="4" w:space="0" w:color="auto"/>
              <w:bottom w:val="nil"/>
              <w:right w:val="nil"/>
            </w:tcBorders>
            <w:shd w:val="clear" w:color="auto" w:fill="auto"/>
            <w:noWrap/>
            <w:vAlign w:val="bottom"/>
            <w:hideMark/>
          </w:tcPr>
          <w:p w14:paraId="3D857AF0"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1.229</w:t>
            </w:r>
          </w:p>
        </w:tc>
        <w:tc>
          <w:tcPr>
            <w:tcW w:w="888" w:type="dxa"/>
            <w:tcBorders>
              <w:top w:val="nil"/>
              <w:left w:val="nil"/>
              <w:bottom w:val="nil"/>
              <w:right w:val="single" w:sz="4" w:space="0" w:color="auto"/>
            </w:tcBorders>
            <w:shd w:val="clear" w:color="auto" w:fill="auto"/>
            <w:noWrap/>
            <w:vAlign w:val="bottom"/>
            <w:hideMark/>
          </w:tcPr>
          <w:p w14:paraId="44CA1551"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1.031</w:t>
            </w:r>
          </w:p>
        </w:tc>
        <w:tc>
          <w:tcPr>
            <w:tcW w:w="888" w:type="dxa"/>
            <w:tcBorders>
              <w:top w:val="nil"/>
              <w:left w:val="single" w:sz="4" w:space="0" w:color="auto"/>
              <w:bottom w:val="nil"/>
              <w:right w:val="nil"/>
            </w:tcBorders>
            <w:shd w:val="clear" w:color="auto" w:fill="auto"/>
            <w:noWrap/>
            <w:vAlign w:val="bottom"/>
            <w:hideMark/>
          </w:tcPr>
          <w:p w14:paraId="17A08CE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2.032</w:t>
            </w:r>
          </w:p>
        </w:tc>
        <w:tc>
          <w:tcPr>
            <w:tcW w:w="888" w:type="dxa"/>
            <w:tcBorders>
              <w:top w:val="nil"/>
              <w:left w:val="nil"/>
              <w:bottom w:val="nil"/>
              <w:right w:val="nil"/>
            </w:tcBorders>
            <w:shd w:val="clear" w:color="auto" w:fill="auto"/>
            <w:noWrap/>
            <w:vAlign w:val="bottom"/>
            <w:hideMark/>
          </w:tcPr>
          <w:p w14:paraId="05498662"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1.371</w:t>
            </w:r>
          </w:p>
        </w:tc>
      </w:tr>
      <w:tr w:rsidR="00304411" w:rsidRPr="00435469" w14:paraId="4BCC7ADC" w14:textId="77777777" w:rsidTr="00CA52C4">
        <w:trPr>
          <w:trHeight w:val="261"/>
        </w:trPr>
        <w:tc>
          <w:tcPr>
            <w:tcW w:w="888" w:type="dxa"/>
            <w:tcBorders>
              <w:top w:val="nil"/>
              <w:left w:val="nil"/>
              <w:bottom w:val="nil"/>
              <w:right w:val="nil"/>
            </w:tcBorders>
            <w:shd w:val="clear" w:color="auto" w:fill="auto"/>
            <w:noWrap/>
            <w:vAlign w:val="bottom"/>
            <w:hideMark/>
          </w:tcPr>
          <w:p w14:paraId="6CD8C3E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w:t>
            </w:r>
          </w:p>
        </w:tc>
        <w:tc>
          <w:tcPr>
            <w:tcW w:w="888" w:type="dxa"/>
            <w:tcBorders>
              <w:top w:val="nil"/>
              <w:left w:val="nil"/>
              <w:bottom w:val="nil"/>
              <w:right w:val="nil"/>
            </w:tcBorders>
            <w:shd w:val="clear" w:color="auto" w:fill="auto"/>
            <w:noWrap/>
            <w:vAlign w:val="bottom"/>
            <w:hideMark/>
          </w:tcPr>
          <w:p w14:paraId="52DFB29B"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1.052</w:t>
            </w:r>
          </w:p>
        </w:tc>
        <w:tc>
          <w:tcPr>
            <w:tcW w:w="888" w:type="dxa"/>
            <w:tcBorders>
              <w:top w:val="nil"/>
              <w:left w:val="nil"/>
              <w:bottom w:val="nil"/>
              <w:right w:val="single" w:sz="4" w:space="0" w:color="auto"/>
            </w:tcBorders>
            <w:shd w:val="clear" w:color="auto" w:fill="auto"/>
            <w:noWrap/>
            <w:vAlign w:val="bottom"/>
            <w:hideMark/>
          </w:tcPr>
          <w:p w14:paraId="6AD3C7BC"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1.023</w:t>
            </w:r>
          </w:p>
        </w:tc>
        <w:tc>
          <w:tcPr>
            <w:tcW w:w="1279" w:type="dxa"/>
            <w:tcBorders>
              <w:top w:val="nil"/>
              <w:left w:val="single" w:sz="4" w:space="0" w:color="auto"/>
              <w:bottom w:val="nil"/>
              <w:right w:val="nil"/>
            </w:tcBorders>
            <w:shd w:val="clear" w:color="auto" w:fill="auto"/>
            <w:noWrap/>
            <w:vAlign w:val="bottom"/>
            <w:hideMark/>
          </w:tcPr>
          <w:p w14:paraId="59A278EC"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1.479</w:t>
            </w:r>
          </w:p>
        </w:tc>
        <w:tc>
          <w:tcPr>
            <w:tcW w:w="888" w:type="dxa"/>
            <w:tcBorders>
              <w:top w:val="nil"/>
              <w:left w:val="nil"/>
              <w:bottom w:val="nil"/>
              <w:right w:val="single" w:sz="4" w:space="0" w:color="auto"/>
            </w:tcBorders>
            <w:shd w:val="clear" w:color="auto" w:fill="auto"/>
            <w:noWrap/>
            <w:vAlign w:val="bottom"/>
            <w:hideMark/>
          </w:tcPr>
          <w:p w14:paraId="4905D8DD"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1.281</w:t>
            </w:r>
          </w:p>
        </w:tc>
        <w:tc>
          <w:tcPr>
            <w:tcW w:w="910" w:type="dxa"/>
            <w:tcBorders>
              <w:top w:val="nil"/>
              <w:left w:val="single" w:sz="4" w:space="0" w:color="auto"/>
              <w:bottom w:val="nil"/>
              <w:right w:val="nil"/>
            </w:tcBorders>
            <w:shd w:val="clear" w:color="auto" w:fill="auto"/>
            <w:noWrap/>
            <w:vAlign w:val="bottom"/>
            <w:hideMark/>
          </w:tcPr>
          <w:p w14:paraId="005D7C0B"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1.098</w:t>
            </w:r>
          </w:p>
        </w:tc>
        <w:tc>
          <w:tcPr>
            <w:tcW w:w="888" w:type="dxa"/>
            <w:tcBorders>
              <w:top w:val="nil"/>
              <w:left w:val="nil"/>
              <w:bottom w:val="nil"/>
              <w:right w:val="single" w:sz="4" w:space="0" w:color="auto"/>
            </w:tcBorders>
            <w:shd w:val="clear" w:color="auto" w:fill="auto"/>
            <w:noWrap/>
            <w:vAlign w:val="bottom"/>
            <w:hideMark/>
          </w:tcPr>
          <w:p w14:paraId="1D6C58BD"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1.022</w:t>
            </w:r>
          </w:p>
        </w:tc>
        <w:tc>
          <w:tcPr>
            <w:tcW w:w="888" w:type="dxa"/>
            <w:tcBorders>
              <w:top w:val="nil"/>
              <w:left w:val="single" w:sz="4" w:space="0" w:color="auto"/>
              <w:bottom w:val="nil"/>
              <w:right w:val="nil"/>
            </w:tcBorders>
            <w:shd w:val="clear" w:color="auto" w:fill="auto"/>
            <w:noWrap/>
            <w:vAlign w:val="bottom"/>
            <w:hideMark/>
          </w:tcPr>
          <w:p w14:paraId="6094FA9D"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1.229</w:t>
            </w:r>
          </w:p>
        </w:tc>
        <w:tc>
          <w:tcPr>
            <w:tcW w:w="888" w:type="dxa"/>
            <w:tcBorders>
              <w:top w:val="nil"/>
              <w:left w:val="nil"/>
              <w:bottom w:val="nil"/>
              <w:right w:val="single" w:sz="4" w:space="0" w:color="auto"/>
            </w:tcBorders>
            <w:shd w:val="clear" w:color="auto" w:fill="auto"/>
            <w:noWrap/>
            <w:vAlign w:val="bottom"/>
            <w:hideMark/>
          </w:tcPr>
          <w:p w14:paraId="4E5F4ADA"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1.031</w:t>
            </w:r>
          </w:p>
        </w:tc>
        <w:tc>
          <w:tcPr>
            <w:tcW w:w="888" w:type="dxa"/>
            <w:tcBorders>
              <w:top w:val="nil"/>
              <w:left w:val="single" w:sz="4" w:space="0" w:color="auto"/>
              <w:bottom w:val="nil"/>
              <w:right w:val="nil"/>
            </w:tcBorders>
            <w:shd w:val="clear" w:color="auto" w:fill="auto"/>
            <w:noWrap/>
            <w:vAlign w:val="bottom"/>
            <w:hideMark/>
          </w:tcPr>
          <w:p w14:paraId="38C763AA"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2.100</w:t>
            </w:r>
          </w:p>
        </w:tc>
        <w:tc>
          <w:tcPr>
            <w:tcW w:w="888" w:type="dxa"/>
            <w:tcBorders>
              <w:top w:val="nil"/>
              <w:left w:val="nil"/>
              <w:bottom w:val="nil"/>
              <w:right w:val="nil"/>
            </w:tcBorders>
            <w:shd w:val="clear" w:color="auto" w:fill="auto"/>
            <w:noWrap/>
            <w:vAlign w:val="bottom"/>
            <w:hideMark/>
          </w:tcPr>
          <w:p w14:paraId="54473BC3"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1.382</w:t>
            </w:r>
          </w:p>
        </w:tc>
      </w:tr>
      <w:tr w:rsidR="00304411" w:rsidRPr="00435469" w14:paraId="50B6E7F4" w14:textId="77777777" w:rsidTr="00CA52C4">
        <w:trPr>
          <w:trHeight w:val="261"/>
        </w:trPr>
        <w:tc>
          <w:tcPr>
            <w:tcW w:w="888" w:type="dxa"/>
            <w:tcBorders>
              <w:top w:val="nil"/>
              <w:left w:val="nil"/>
              <w:bottom w:val="nil"/>
              <w:right w:val="nil"/>
            </w:tcBorders>
            <w:shd w:val="clear" w:color="auto" w:fill="auto"/>
            <w:noWrap/>
            <w:vAlign w:val="bottom"/>
            <w:hideMark/>
          </w:tcPr>
          <w:p w14:paraId="7E922DA6"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18</w:t>
            </w:r>
          </w:p>
        </w:tc>
        <w:tc>
          <w:tcPr>
            <w:tcW w:w="888" w:type="dxa"/>
            <w:tcBorders>
              <w:top w:val="nil"/>
              <w:left w:val="nil"/>
              <w:bottom w:val="nil"/>
              <w:right w:val="nil"/>
            </w:tcBorders>
            <w:shd w:val="clear" w:color="auto" w:fill="auto"/>
            <w:noWrap/>
            <w:vAlign w:val="bottom"/>
            <w:hideMark/>
          </w:tcPr>
          <w:p w14:paraId="48EE3071"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1.052</w:t>
            </w:r>
          </w:p>
        </w:tc>
        <w:tc>
          <w:tcPr>
            <w:tcW w:w="888" w:type="dxa"/>
            <w:tcBorders>
              <w:top w:val="nil"/>
              <w:left w:val="nil"/>
              <w:bottom w:val="nil"/>
              <w:right w:val="single" w:sz="4" w:space="0" w:color="auto"/>
            </w:tcBorders>
            <w:shd w:val="clear" w:color="auto" w:fill="auto"/>
            <w:noWrap/>
            <w:vAlign w:val="bottom"/>
            <w:hideMark/>
          </w:tcPr>
          <w:p w14:paraId="74C531B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1.023</w:t>
            </w:r>
          </w:p>
        </w:tc>
        <w:tc>
          <w:tcPr>
            <w:tcW w:w="1279" w:type="dxa"/>
            <w:tcBorders>
              <w:top w:val="nil"/>
              <w:left w:val="single" w:sz="4" w:space="0" w:color="auto"/>
              <w:bottom w:val="nil"/>
              <w:right w:val="nil"/>
            </w:tcBorders>
            <w:shd w:val="clear" w:color="auto" w:fill="auto"/>
            <w:noWrap/>
            <w:vAlign w:val="bottom"/>
            <w:hideMark/>
          </w:tcPr>
          <w:p w14:paraId="4C1060EA"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1.327</w:t>
            </w:r>
          </w:p>
        </w:tc>
        <w:tc>
          <w:tcPr>
            <w:tcW w:w="888" w:type="dxa"/>
            <w:tcBorders>
              <w:top w:val="nil"/>
              <w:left w:val="nil"/>
              <w:bottom w:val="nil"/>
              <w:right w:val="single" w:sz="4" w:space="0" w:color="auto"/>
            </w:tcBorders>
            <w:shd w:val="clear" w:color="auto" w:fill="auto"/>
            <w:noWrap/>
            <w:vAlign w:val="bottom"/>
            <w:hideMark/>
          </w:tcPr>
          <w:p w14:paraId="2B62D68A"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1.073</w:t>
            </w:r>
          </w:p>
        </w:tc>
        <w:tc>
          <w:tcPr>
            <w:tcW w:w="910" w:type="dxa"/>
            <w:tcBorders>
              <w:top w:val="nil"/>
              <w:left w:val="single" w:sz="4" w:space="0" w:color="auto"/>
              <w:bottom w:val="nil"/>
              <w:right w:val="nil"/>
            </w:tcBorders>
            <w:shd w:val="clear" w:color="auto" w:fill="auto"/>
            <w:noWrap/>
            <w:vAlign w:val="bottom"/>
            <w:hideMark/>
          </w:tcPr>
          <w:p w14:paraId="09CD2455"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1.128</w:t>
            </w:r>
          </w:p>
        </w:tc>
        <w:tc>
          <w:tcPr>
            <w:tcW w:w="888" w:type="dxa"/>
            <w:tcBorders>
              <w:top w:val="nil"/>
              <w:left w:val="nil"/>
              <w:bottom w:val="nil"/>
              <w:right w:val="single" w:sz="4" w:space="0" w:color="auto"/>
            </w:tcBorders>
            <w:shd w:val="clear" w:color="auto" w:fill="auto"/>
            <w:noWrap/>
            <w:vAlign w:val="bottom"/>
            <w:hideMark/>
          </w:tcPr>
          <w:p w14:paraId="1DF78D33"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1.025</w:t>
            </w:r>
          </w:p>
        </w:tc>
        <w:tc>
          <w:tcPr>
            <w:tcW w:w="888" w:type="dxa"/>
            <w:tcBorders>
              <w:top w:val="nil"/>
              <w:left w:val="single" w:sz="4" w:space="0" w:color="auto"/>
              <w:bottom w:val="nil"/>
              <w:right w:val="nil"/>
            </w:tcBorders>
            <w:shd w:val="clear" w:color="auto" w:fill="auto"/>
            <w:noWrap/>
            <w:vAlign w:val="bottom"/>
            <w:hideMark/>
          </w:tcPr>
          <w:p w14:paraId="3CF09978"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1.229</w:t>
            </w:r>
          </w:p>
        </w:tc>
        <w:tc>
          <w:tcPr>
            <w:tcW w:w="888" w:type="dxa"/>
            <w:tcBorders>
              <w:top w:val="nil"/>
              <w:left w:val="nil"/>
              <w:bottom w:val="nil"/>
              <w:right w:val="single" w:sz="4" w:space="0" w:color="auto"/>
            </w:tcBorders>
            <w:shd w:val="clear" w:color="auto" w:fill="auto"/>
            <w:noWrap/>
            <w:vAlign w:val="bottom"/>
            <w:hideMark/>
          </w:tcPr>
          <w:p w14:paraId="753C766B"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1.031</w:t>
            </w:r>
          </w:p>
        </w:tc>
        <w:tc>
          <w:tcPr>
            <w:tcW w:w="888" w:type="dxa"/>
            <w:tcBorders>
              <w:top w:val="nil"/>
              <w:left w:val="single" w:sz="4" w:space="0" w:color="auto"/>
              <w:bottom w:val="nil"/>
              <w:right w:val="nil"/>
            </w:tcBorders>
            <w:shd w:val="clear" w:color="auto" w:fill="auto"/>
            <w:noWrap/>
            <w:vAlign w:val="bottom"/>
            <w:hideMark/>
          </w:tcPr>
          <w:p w14:paraId="2B97E14E"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1.935</w:t>
            </w:r>
          </w:p>
        </w:tc>
        <w:tc>
          <w:tcPr>
            <w:tcW w:w="888" w:type="dxa"/>
            <w:tcBorders>
              <w:top w:val="nil"/>
              <w:left w:val="nil"/>
              <w:bottom w:val="nil"/>
              <w:right w:val="nil"/>
            </w:tcBorders>
            <w:shd w:val="clear" w:color="auto" w:fill="auto"/>
            <w:noWrap/>
            <w:vAlign w:val="bottom"/>
            <w:hideMark/>
          </w:tcPr>
          <w:p w14:paraId="7CAB3FAE"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1.161</w:t>
            </w:r>
          </w:p>
        </w:tc>
      </w:tr>
      <w:tr w:rsidR="00304411" w:rsidRPr="00435469" w14:paraId="4E86938D" w14:textId="77777777" w:rsidTr="00CA52C4">
        <w:trPr>
          <w:trHeight w:val="261"/>
        </w:trPr>
        <w:tc>
          <w:tcPr>
            <w:tcW w:w="888" w:type="dxa"/>
            <w:tcBorders>
              <w:top w:val="nil"/>
              <w:left w:val="nil"/>
              <w:bottom w:val="nil"/>
              <w:right w:val="nil"/>
            </w:tcBorders>
            <w:shd w:val="clear" w:color="auto" w:fill="auto"/>
            <w:noWrap/>
            <w:vAlign w:val="bottom"/>
            <w:hideMark/>
          </w:tcPr>
          <w:p w14:paraId="13ED4B4B"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w:t>
            </w:r>
          </w:p>
        </w:tc>
        <w:tc>
          <w:tcPr>
            <w:tcW w:w="888" w:type="dxa"/>
            <w:tcBorders>
              <w:top w:val="nil"/>
              <w:left w:val="nil"/>
              <w:bottom w:val="nil"/>
              <w:right w:val="nil"/>
            </w:tcBorders>
            <w:shd w:val="clear" w:color="auto" w:fill="auto"/>
            <w:noWrap/>
            <w:vAlign w:val="bottom"/>
            <w:hideMark/>
          </w:tcPr>
          <w:p w14:paraId="116E32F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1.052</w:t>
            </w:r>
          </w:p>
        </w:tc>
        <w:tc>
          <w:tcPr>
            <w:tcW w:w="888" w:type="dxa"/>
            <w:tcBorders>
              <w:top w:val="nil"/>
              <w:left w:val="nil"/>
              <w:bottom w:val="nil"/>
              <w:right w:val="single" w:sz="4" w:space="0" w:color="auto"/>
            </w:tcBorders>
            <w:shd w:val="clear" w:color="auto" w:fill="auto"/>
            <w:noWrap/>
            <w:vAlign w:val="bottom"/>
            <w:hideMark/>
          </w:tcPr>
          <w:p w14:paraId="4BA53851"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1.023</w:t>
            </w:r>
          </w:p>
        </w:tc>
        <w:tc>
          <w:tcPr>
            <w:tcW w:w="1279" w:type="dxa"/>
            <w:tcBorders>
              <w:top w:val="nil"/>
              <w:left w:val="single" w:sz="4" w:space="0" w:color="auto"/>
              <w:bottom w:val="nil"/>
              <w:right w:val="nil"/>
            </w:tcBorders>
            <w:shd w:val="clear" w:color="auto" w:fill="auto"/>
            <w:noWrap/>
            <w:vAlign w:val="bottom"/>
            <w:hideMark/>
          </w:tcPr>
          <w:p w14:paraId="1C6E636E"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1.327</w:t>
            </w:r>
          </w:p>
        </w:tc>
        <w:tc>
          <w:tcPr>
            <w:tcW w:w="888" w:type="dxa"/>
            <w:tcBorders>
              <w:top w:val="nil"/>
              <w:left w:val="nil"/>
              <w:bottom w:val="nil"/>
              <w:right w:val="single" w:sz="4" w:space="0" w:color="auto"/>
            </w:tcBorders>
            <w:shd w:val="clear" w:color="auto" w:fill="auto"/>
            <w:noWrap/>
            <w:vAlign w:val="bottom"/>
            <w:hideMark/>
          </w:tcPr>
          <w:p w14:paraId="51E92AEE"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1.073</w:t>
            </w:r>
          </w:p>
        </w:tc>
        <w:tc>
          <w:tcPr>
            <w:tcW w:w="910" w:type="dxa"/>
            <w:tcBorders>
              <w:top w:val="nil"/>
              <w:left w:val="single" w:sz="4" w:space="0" w:color="auto"/>
              <w:bottom w:val="nil"/>
              <w:right w:val="nil"/>
            </w:tcBorders>
            <w:shd w:val="clear" w:color="auto" w:fill="auto"/>
            <w:noWrap/>
            <w:vAlign w:val="bottom"/>
            <w:hideMark/>
          </w:tcPr>
          <w:p w14:paraId="7920E099"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1.160</w:t>
            </w:r>
          </w:p>
        </w:tc>
        <w:tc>
          <w:tcPr>
            <w:tcW w:w="888" w:type="dxa"/>
            <w:tcBorders>
              <w:top w:val="nil"/>
              <w:left w:val="nil"/>
              <w:bottom w:val="nil"/>
              <w:right w:val="single" w:sz="4" w:space="0" w:color="auto"/>
            </w:tcBorders>
            <w:shd w:val="clear" w:color="auto" w:fill="auto"/>
            <w:noWrap/>
            <w:vAlign w:val="bottom"/>
            <w:hideMark/>
          </w:tcPr>
          <w:p w14:paraId="7D553C3F"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1.028</w:t>
            </w:r>
          </w:p>
        </w:tc>
        <w:tc>
          <w:tcPr>
            <w:tcW w:w="888" w:type="dxa"/>
            <w:tcBorders>
              <w:top w:val="nil"/>
              <w:left w:val="single" w:sz="4" w:space="0" w:color="auto"/>
              <w:bottom w:val="nil"/>
              <w:right w:val="nil"/>
            </w:tcBorders>
            <w:shd w:val="clear" w:color="auto" w:fill="auto"/>
            <w:noWrap/>
            <w:vAlign w:val="bottom"/>
            <w:hideMark/>
          </w:tcPr>
          <w:p w14:paraId="49F54807"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1.229</w:t>
            </w:r>
          </w:p>
        </w:tc>
        <w:tc>
          <w:tcPr>
            <w:tcW w:w="888" w:type="dxa"/>
            <w:tcBorders>
              <w:top w:val="nil"/>
              <w:left w:val="nil"/>
              <w:bottom w:val="nil"/>
              <w:right w:val="single" w:sz="4" w:space="0" w:color="auto"/>
            </w:tcBorders>
            <w:shd w:val="clear" w:color="auto" w:fill="auto"/>
            <w:noWrap/>
            <w:vAlign w:val="bottom"/>
            <w:hideMark/>
          </w:tcPr>
          <w:p w14:paraId="61D91A38"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1.031</w:t>
            </w:r>
          </w:p>
        </w:tc>
        <w:tc>
          <w:tcPr>
            <w:tcW w:w="888" w:type="dxa"/>
            <w:tcBorders>
              <w:top w:val="nil"/>
              <w:left w:val="single" w:sz="4" w:space="0" w:color="auto"/>
              <w:bottom w:val="nil"/>
              <w:right w:val="nil"/>
            </w:tcBorders>
            <w:shd w:val="clear" w:color="auto" w:fill="auto"/>
            <w:noWrap/>
            <w:vAlign w:val="bottom"/>
            <w:hideMark/>
          </w:tcPr>
          <w:p w14:paraId="60CFC2D7"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1.989</w:t>
            </w:r>
          </w:p>
        </w:tc>
        <w:tc>
          <w:tcPr>
            <w:tcW w:w="888" w:type="dxa"/>
            <w:tcBorders>
              <w:top w:val="nil"/>
              <w:left w:val="nil"/>
              <w:bottom w:val="nil"/>
              <w:right w:val="nil"/>
            </w:tcBorders>
            <w:shd w:val="clear" w:color="auto" w:fill="auto"/>
            <w:noWrap/>
            <w:vAlign w:val="bottom"/>
            <w:hideMark/>
          </w:tcPr>
          <w:p w14:paraId="1D728C8C"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1.164</w:t>
            </w:r>
          </w:p>
        </w:tc>
      </w:tr>
      <w:tr w:rsidR="00304411" w:rsidRPr="00435469" w14:paraId="7EE6CCD4" w14:textId="77777777" w:rsidTr="00CA52C4">
        <w:trPr>
          <w:trHeight w:val="261"/>
        </w:trPr>
        <w:tc>
          <w:tcPr>
            <w:tcW w:w="888" w:type="dxa"/>
            <w:tcBorders>
              <w:top w:val="nil"/>
              <w:left w:val="nil"/>
              <w:bottom w:val="nil"/>
              <w:right w:val="nil"/>
            </w:tcBorders>
            <w:shd w:val="clear" w:color="auto" w:fill="auto"/>
            <w:noWrap/>
            <w:vAlign w:val="bottom"/>
            <w:hideMark/>
          </w:tcPr>
          <w:p w14:paraId="1BD7670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20</w:t>
            </w:r>
          </w:p>
        </w:tc>
        <w:tc>
          <w:tcPr>
            <w:tcW w:w="888" w:type="dxa"/>
            <w:tcBorders>
              <w:top w:val="nil"/>
              <w:left w:val="nil"/>
              <w:bottom w:val="nil"/>
              <w:right w:val="nil"/>
            </w:tcBorders>
            <w:shd w:val="clear" w:color="auto" w:fill="auto"/>
            <w:noWrap/>
            <w:vAlign w:val="bottom"/>
            <w:hideMark/>
          </w:tcPr>
          <w:p w14:paraId="319788F3"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1.052</w:t>
            </w:r>
          </w:p>
        </w:tc>
        <w:tc>
          <w:tcPr>
            <w:tcW w:w="888" w:type="dxa"/>
            <w:tcBorders>
              <w:top w:val="nil"/>
              <w:left w:val="nil"/>
              <w:bottom w:val="nil"/>
              <w:right w:val="single" w:sz="4" w:space="0" w:color="auto"/>
            </w:tcBorders>
            <w:shd w:val="clear" w:color="auto" w:fill="auto"/>
            <w:noWrap/>
            <w:vAlign w:val="bottom"/>
            <w:hideMark/>
          </w:tcPr>
          <w:p w14:paraId="1D6DA839"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1.023</w:t>
            </w:r>
          </w:p>
        </w:tc>
        <w:tc>
          <w:tcPr>
            <w:tcW w:w="1279" w:type="dxa"/>
            <w:tcBorders>
              <w:top w:val="nil"/>
              <w:left w:val="single" w:sz="4" w:space="0" w:color="auto"/>
              <w:bottom w:val="nil"/>
              <w:right w:val="nil"/>
            </w:tcBorders>
            <w:shd w:val="clear" w:color="auto" w:fill="auto"/>
            <w:noWrap/>
            <w:vAlign w:val="bottom"/>
            <w:hideMark/>
          </w:tcPr>
          <w:p w14:paraId="12DB534C"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1.327</w:t>
            </w:r>
          </w:p>
        </w:tc>
        <w:tc>
          <w:tcPr>
            <w:tcW w:w="888" w:type="dxa"/>
            <w:tcBorders>
              <w:top w:val="nil"/>
              <w:left w:val="nil"/>
              <w:bottom w:val="nil"/>
              <w:right w:val="single" w:sz="4" w:space="0" w:color="auto"/>
            </w:tcBorders>
            <w:shd w:val="clear" w:color="auto" w:fill="auto"/>
            <w:noWrap/>
            <w:vAlign w:val="bottom"/>
            <w:hideMark/>
          </w:tcPr>
          <w:p w14:paraId="0317541E"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1.073</w:t>
            </w:r>
          </w:p>
        </w:tc>
        <w:tc>
          <w:tcPr>
            <w:tcW w:w="910" w:type="dxa"/>
            <w:tcBorders>
              <w:top w:val="nil"/>
              <w:left w:val="single" w:sz="4" w:space="0" w:color="auto"/>
              <w:bottom w:val="nil"/>
              <w:right w:val="nil"/>
            </w:tcBorders>
            <w:shd w:val="clear" w:color="auto" w:fill="auto"/>
            <w:noWrap/>
            <w:vAlign w:val="bottom"/>
            <w:hideMark/>
          </w:tcPr>
          <w:p w14:paraId="3102BDA5"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1.193</w:t>
            </w:r>
          </w:p>
        </w:tc>
        <w:tc>
          <w:tcPr>
            <w:tcW w:w="888" w:type="dxa"/>
            <w:tcBorders>
              <w:top w:val="nil"/>
              <w:left w:val="nil"/>
              <w:bottom w:val="nil"/>
              <w:right w:val="single" w:sz="4" w:space="0" w:color="auto"/>
            </w:tcBorders>
            <w:shd w:val="clear" w:color="auto" w:fill="auto"/>
            <w:noWrap/>
            <w:vAlign w:val="bottom"/>
            <w:hideMark/>
          </w:tcPr>
          <w:p w14:paraId="51322601"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1.032</w:t>
            </w:r>
          </w:p>
        </w:tc>
        <w:tc>
          <w:tcPr>
            <w:tcW w:w="888" w:type="dxa"/>
            <w:tcBorders>
              <w:top w:val="nil"/>
              <w:left w:val="single" w:sz="4" w:space="0" w:color="auto"/>
              <w:bottom w:val="nil"/>
              <w:right w:val="nil"/>
            </w:tcBorders>
            <w:shd w:val="clear" w:color="auto" w:fill="auto"/>
            <w:noWrap/>
            <w:vAlign w:val="bottom"/>
            <w:hideMark/>
          </w:tcPr>
          <w:p w14:paraId="0BE8D4A6"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1.592</w:t>
            </w:r>
          </w:p>
        </w:tc>
        <w:tc>
          <w:tcPr>
            <w:tcW w:w="888" w:type="dxa"/>
            <w:tcBorders>
              <w:top w:val="nil"/>
              <w:left w:val="nil"/>
              <w:bottom w:val="nil"/>
              <w:right w:val="single" w:sz="4" w:space="0" w:color="auto"/>
            </w:tcBorders>
            <w:shd w:val="clear" w:color="auto" w:fill="auto"/>
            <w:noWrap/>
            <w:vAlign w:val="bottom"/>
            <w:hideMark/>
          </w:tcPr>
          <w:p w14:paraId="7E32A770"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1.167</w:t>
            </w:r>
          </w:p>
        </w:tc>
        <w:tc>
          <w:tcPr>
            <w:tcW w:w="888" w:type="dxa"/>
            <w:tcBorders>
              <w:top w:val="nil"/>
              <w:left w:val="single" w:sz="4" w:space="0" w:color="auto"/>
              <w:bottom w:val="nil"/>
              <w:right w:val="nil"/>
            </w:tcBorders>
            <w:shd w:val="clear" w:color="auto" w:fill="auto"/>
            <w:noWrap/>
            <w:vAlign w:val="bottom"/>
            <w:hideMark/>
          </w:tcPr>
          <w:p w14:paraId="784E6A4C"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2.652</w:t>
            </w:r>
          </w:p>
        </w:tc>
        <w:tc>
          <w:tcPr>
            <w:tcW w:w="888" w:type="dxa"/>
            <w:tcBorders>
              <w:top w:val="nil"/>
              <w:left w:val="nil"/>
              <w:bottom w:val="nil"/>
              <w:right w:val="nil"/>
            </w:tcBorders>
            <w:shd w:val="clear" w:color="auto" w:fill="auto"/>
            <w:noWrap/>
            <w:vAlign w:val="bottom"/>
            <w:hideMark/>
          </w:tcPr>
          <w:p w14:paraId="7350D420"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1.322</w:t>
            </w:r>
          </w:p>
        </w:tc>
      </w:tr>
      <w:tr w:rsidR="00304411" w:rsidRPr="00435469" w14:paraId="550BAC83" w14:textId="77777777" w:rsidTr="00CA52C4">
        <w:trPr>
          <w:trHeight w:val="261"/>
        </w:trPr>
        <w:tc>
          <w:tcPr>
            <w:tcW w:w="888" w:type="dxa"/>
            <w:tcBorders>
              <w:top w:val="nil"/>
              <w:left w:val="nil"/>
              <w:bottom w:val="nil"/>
              <w:right w:val="nil"/>
            </w:tcBorders>
            <w:shd w:val="clear" w:color="auto" w:fill="auto"/>
            <w:noWrap/>
            <w:vAlign w:val="bottom"/>
            <w:hideMark/>
          </w:tcPr>
          <w:p w14:paraId="774CCEEF"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21</w:t>
            </w:r>
          </w:p>
        </w:tc>
        <w:tc>
          <w:tcPr>
            <w:tcW w:w="888" w:type="dxa"/>
            <w:tcBorders>
              <w:top w:val="nil"/>
              <w:left w:val="nil"/>
              <w:bottom w:val="nil"/>
              <w:right w:val="nil"/>
            </w:tcBorders>
            <w:shd w:val="clear" w:color="auto" w:fill="auto"/>
            <w:noWrap/>
            <w:vAlign w:val="bottom"/>
            <w:hideMark/>
          </w:tcPr>
          <w:p w14:paraId="58AB92A5"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1.052</w:t>
            </w:r>
          </w:p>
        </w:tc>
        <w:tc>
          <w:tcPr>
            <w:tcW w:w="888" w:type="dxa"/>
            <w:tcBorders>
              <w:top w:val="nil"/>
              <w:left w:val="nil"/>
              <w:bottom w:val="nil"/>
              <w:right w:val="single" w:sz="4" w:space="0" w:color="auto"/>
            </w:tcBorders>
            <w:shd w:val="clear" w:color="auto" w:fill="auto"/>
            <w:noWrap/>
            <w:vAlign w:val="bottom"/>
            <w:hideMark/>
          </w:tcPr>
          <w:p w14:paraId="4925AC77"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1.023</w:t>
            </w:r>
          </w:p>
        </w:tc>
        <w:tc>
          <w:tcPr>
            <w:tcW w:w="1279" w:type="dxa"/>
            <w:tcBorders>
              <w:top w:val="nil"/>
              <w:left w:val="single" w:sz="4" w:space="0" w:color="auto"/>
              <w:bottom w:val="nil"/>
              <w:right w:val="nil"/>
            </w:tcBorders>
            <w:shd w:val="clear" w:color="auto" w:fill="auto"/>
            <w:noWrap/>
            <w:vAlign w:val="bottom"/>
            <w:hideMark/>
          </w:tcPr>
          <w:p w14:paraId="455639FB"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1.327</w:t>
            </w:r>
          </w:p>
        </w:tc>
        <w:tc>
          <w:tcPr>
            <w:tcW w:w="888" w:type="dxa"/>
            <w:tcBorders>
              <w:top w:val="nil"/>
              <w:left w:val="nil"/>
              <w:bottom w:val="nil"/>
              <w:right w:val="single" w:sz="4" w:space="0" w:color="auto"/>
            </w:tcBorders>
            <w:shd w:val="clear" w:color="auto" w:fill="auto"/>
            <w:noWrap/>
            <w:vAlign w:val="bottom"/>
            <w:hideMark/>
          </w:tcPr>
          <w:p w14:paraId="17FB297A"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1.073</w:t>
            </w:r>
          </w:p>
        </w:tc>
        <w:tc>
          <w:tcPr>
            <w:tcW w:w="910" w:type="dxa"/>
            <w:tcBorders>
              <w:top w:val="nil"/>
              <w:left w:val="single" w:sz="4" w:space="0" w:color="auto"/>
              <w:bottom w:val="nil"/>
              <w:right w:val="nil"/>
            </w:tcBorders>
            <w:shd w:val="clear" w:color="auto" w:fill="auto"/>
            <w:noWrap/>
            <w:vAlign w:val="bottom"/>
            <w:hideMark/>
          </w:tcPr>
          <w:p w14:paraId="1972F840"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1.230</w:t>
            </w:r>
          </w:p>
        </w:tc>
        <w:tc>
          <w:tcPr>
            <w:tcW w:w="888" w:type="dxa"/>
            <w:tcBorders>
              <w:top w:val="nil"/>
              <w:left w:val="nil"/>
              <w:bottom w:val="nil"/>
              <w:right w:val="single" w:sz="4" w:space="0" w:color="auto"/>
            </w:tcBorders>
            <w:shd w:val="clear" w:color="auto" w:fill="auto"/>
            <w:noWrap/>
            <w:vAlign w:val="bottom"/>
            <w:hideMark/>
          </w:tcPr>
          <w:p w14:paraId="6AAA7B4D"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1.035</w:t>
            </w:r>
          </w:p>
        </w:tc>
        <w:tc>
          <w:tcPr>
            <w:tcW w:w="888" w:type="dxa"/>
            <w:tcBorders>
              <w:top w:val="nil"/>
              <w:left w:val="single" w:sz="4" w:space="0" w:color="auto"/>
              <w:bottom w:val="nil"/>
              <w:right w:val="nil"/>
            </w:tcBorders>
            <w:shd w:val="clear" w:color="auto" w:fill="auto"/>
            <w:noWrap/>
            <w:vAlign w:val="bottom"/>
            <w:hideMark/>
          </w:tcPr>
          <w:p w14:paraId="294920D3"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1.592</w:t>
            </w:r>
          </w:p>
        </w:tc>
        <w:tc>
          <w:tcPr>
            <w:tcW w:w="888" w:type="dxa"/>
            <w:tcBorders>
              <w:top w:val="nil"/>
              <w:left w:val="nil"/>
              <w:bottom w:val="nil"/>
              <w:right w:val="single" w:sz="4" w:space="0" w:color="auto"/>
            </w:tcBorders>
            <w:shd w:val="clear" w:color="auto" w:fill="auto"/>
            <w:noWrap/>
            <w:vAlign w:val="bottom"/>
            <w:hideMark/>
          </w:tcPr>
          <w:p w14:paraId="757D0F0C"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1.167</w:t>
            </w:r>
          </w:p>
        </w:tc>
        <w:tc>
          <w:tcPr>
            <w:tcW w:w="888" w:type="dxa"/>
            <w:tcBorders>
              <w:top w:val="nil"/>
              <w:left w:val="single" w:sz="4" w:space="0" w:color="auto"/>
              <w:bottom w:val="nil"/>
              <w:right w:val="nil"/>
            </w:tcBorders>
            <w:shd w:val="clear" w:color="auto" w:fill="auto"/>
            <w:noWrap/>
            <w:vAlign w:val="bottom"/>
            <w:hideMark/>
          </w:tcPr>
          <w:p w14:paraId="59B73BBD"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2.732</w:t>
            </w:r>
          </w:p>
        </w:tc>
        <w:tc>
          <w:tcPr>
            <w:tcW w:w="888" w:type="dxa"/>
            <w:tcBorders>
              <w:top w:val="nil"/>
              <w:left w:val="nil"/>
              <w:bottom w:val="nil"/>
              <w:right w:val="nil"/>
            </w:tcBorders>
            <w:shd w:val="clear" w:color="auto" w:fill="auto"/>
            <w:noWrap/>
            <w:vAlign w:val="bottom"/>
            <w:hideMark/>
          </w:tcPr>
          <w:p w14:paraId="657BAF94"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1.326</w:t>
            </w:r>
          </w:p>
        </w:tc>
      </w:tr>
      <w:tr w:rsidR="00304411" w:rsidRPr="00435469" w14:paraId="714CF3A0" w14:textId="77777777" w:rsidTr="00CA52C4">
        <w:trPr>
          <w:trHeight w:val="261"/>
        </w:trPr>
        <w:tc>
          <w:tcPr>
            <w:tcW w:w="888" w:type="dxa"/>
            <w:tcBorders>
              <w:top w:val="nil"/>
              <w:left w:val="nil"/>
              <w:bottom w:val="nil"/>
              <w:right w:val="nil"/>
            </w:tcBorders>
            <w:shd w:val="clear" w:color="auto" w:fill="auto"/>
            <w:noWrap/>
            <w:vAlign w:val="bottom"/>
            <w:hideMark/>
          </w:tcPr>
          <w:p w14:paraId="3BE5FF1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22</w:t>
            </w:r>
          </w:p>
        </w:tc>
        <w:tc>
          <w:tcPr>
            <w:tcW w:w="888" w:type="dxa"/>
            <w:tcBorders>
              <w:top w:val="nil"/>
              <w:left w:val="nil"/>
              <w:bottom w:val="nil"/>
              <w:right w:val="nil"/>
            </w:tcBorders>
            <w:shd w:val="clear" w:color="auto" w:fill="auto"/>
            <w:noWrap/>
            <w:vAlign w:val="bottom"/>
            <w:hideMark/>
          </w:tcPr>
          <w:p w14:paraId="01773B7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1.052</w:t>
            </w:r>
          </w:p>
        </w:tc>
        <w:tc>
          <w:tcPr>
            <w:tcW w:w="888" w:type="dxa"/>
            <w:tcBorders>
              <w:top w:val="nil"/>
              <w:left w:val="nil"/>
              <w:bottom w:val="nil"/>
              <w:right w:val="single" w:sz="4" w:space="0" w:color="auto"/>
            </w:tcBorders>
            <w:shd w:val="clear" w:color="auto" w:fill="auto"/>
            <w:noWrap/>
            <w:vAlign w:val="bottom"/>
            <w:hideMark/>
          </w:tcPr>
          <w:p w14:paraId="56303916"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1.023</w:t>
            </w:r>
          </w:p>
        </w:tc>
        <w:tc>
          <w:tcPr>
            <w:tcW w:w="1279" w:type="dxa"/>
            <w:tcBorders>
              <w:top w:val="nil"/>
              <w:left w:val="single" w:sz="4" w:space="0" w:color="auto"/>
              <w:bottom w:val="nil"/>
              <w:right w:val="nil"/>
            </w:tcBorders>
            <w:shd w:val="clear" w:color="auto" w:fill="auto"/>
            <w:noWrap/>
            <w:vAlign w:val="bottom"/>
            <w:hideMark/>
          </w:tcPr>
          <w:p w14:paraId="130AF56F"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1.327</w:t>
            </w:r>
          </w:p>
        </w:tc>
        <w:tc>
          <w:tcPr>
            <w:tcW w:w="888" w:type="dxa"/>
            <w:tcBorders>
              <w:top w:val="nil"/>
              <w:left w:val="nil"/>
              <w:bottom w:val="nil"/>
              <w:right w:val="single" w:sz="4" w:space="0" w:color="auto"/>
            </w:tcBorders>
            <w:shd w:val="clear" w:color="auto" w:fill="auto"/>
            <w:noWrap/>
            <w:vAlign w:val="bottom"/>
            <w:hideMark/>
          </w:tcPr>
          <w:p w14:paraId="26766C9B"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1.073</w:t>
            </w:r>
          </w:p>
        </w:tc>
        <w:tc>
          <w:tcPr>
            <w:tcW w:w="910" w:type="dxa"/>
            <w:tcBorders>
              <w:top w:val="nil"/>
              <w:left w:val="single" w:sz="4" w:space="0" w:color="auto"/>
              <w:bottom w:val="nil"/>
              <w:right w:val="nil"/>
            </w:tcBorders>
            <w:shd w:val="clear" w:color="auto" w:fill="auto"/>
            <w:noWrap/>
            <w:vAlign w:val="bottom"/>
            <w:hideMark/>
          </w:tcPr>
          <w:p w14:paraId="28314283"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1.268</w:t>
            </w:r>
          </w:p>
        </w:tc>
        <w:tc>
          <w:tcPr>
            <w:tcW w:w="888" w:type="dxa"/>
            <w:tcBorders>
              <w:top w:val="nil"/>
              <w:left w:val="nil"/>
              <w:bottom w:val="nil"/>
              <w:right w:val="single" w:sz="4" w:space="0" w:color="auto"/>
            </w:tcBorders>
            <w:shd w:val="clear" w:color="auto" w:fill="auto"/>
            <w:noWrap/>
            <w:vAlign w:val="bottom"/>
            <w:hideMark/>
          </w:tcPr>
          <w:p w14:paraId="04D16B05"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1.039</w:t>
            </w:r>
          </w:p>
        </w:tc>
        <w:tc>
          <w:tcPr>
            <w:tcW w:w="888" w:type="dxa"/>
            <w:tcBorders>
              <w:top w:val="nil"/>
              <w:left w:val="single" w:sz="4" w:space="0" w:color="auto"/>
              <w:bottom w:val="nil"/>
              <w:right w:val="nil"/>
            </w:tcBorders>
            <w:shd w:val="clear" w:color="auto" w:fill="auto"/>
            <w:noWrap/>
            <w:vAlign w:val="bottom"/>
            <w:hideMark/>
          </w:tcPr>
          <w:p w14:paraId="7103409B"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1.592</w:t>
            </w:r>
          </w:p>
        </w:tc>
        <w:tc>
          <w:tcPr>
            <w:tcW w:w="888" w:type="dxa"/>
            <w:tcBorders>
              <w:top w:val="nil"/>
              <w:left w:val="nil"/>
              <w:bottom w:val="nil"/>
              <w:right w:val="single" w:sz="4" w:space="0" w:color="auto"/>
            </w:tcBorders>
            <w:shd w:val="clear" w:color="auto" w:fill="auto"/>
            <w:noWrap/>
            <w:vAlign w:val="bottom"/>
            <w:hideMark/>
          </w:tcPr>
          <w:p w14:paraId="24D27771"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1.167</w:t>
            </w:r>
          </w:p>
        </w:tc>
        <w:tc>
          <w:tcPr>
            <w:tcW w:w="888" w:type="dxa"/>
            <w:tcBorders>
              <w:top w:val="nil"/>
              <w:left w:val="single" w:sz="4" w:space="0" w:color="auto"/>
              <w:bottom w:val="nil"/>
              <w:right w:val="nil"/>
            </w:tcBorders>
            <w:shd w:val="clear" w:color="auto" w:fill="auto"/>
            <w:noWrap/>
            <w:vAlign w:val="bottom"/>
            <w:hideMark/>
          </w:tcPr>
          <w:p w14:paraId="393CEAB7"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2.818</w:t>
            </w:r>
          </w:p>
        </w:tc>
        <w:tc>
          <w:tcPr>
            <w:tcW w:w="888" w:type="dxa"/>
            <w:tcBorders>
              <w:top w:val="nil"/>
              <w:left w:val="nil"/>
              <w:bottom w:val="nil"/>
              <w:right w:val="nil"/>
            </w:tcBorders>
            <w:shd w:val="clear" w:color="auto" w:fill="auto"/>
            <w:noWrap/>
            <w:vAlign w:val="bottom"/>
            <w:hideMark/>
          </w:tcPr>
          <w:p w14:paraId="71053EF3"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1.331</w:t>
            </w:r>
          </w:p>
        </w:tc>
      </w:tr>
      <w:tr w:rsidR="00304411" w:rsidRPr="00435469" w14:paraId="6813705E" w14:textId="77777777" w:rsidTr="00CA52C4">
        <w:trPr>
          <w:trHeight w:val="261"/>
        </w:trPr>
        <w:tc>
          <w:tcPr>
            <w:tcW w:w="888" w:type="dxa"/>
            <w:tcBorders>
              <w:top w:val="nil"/>
              <w:left w:val="nil"/>
              <w:bottom w:val="nil"/>
              <w:right w:val="nil"/>
            </w:tcBorders>
            <w:shd w:val="clear" w:color="auto" w:fill="auto"/>
            <w:noWrap/>
            <w:vAlign w:val="bottom"/>
            <w:hideMark/>
          </w:tcPr>
          <w:p w14:paraId="302B2B00"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23</w:t>
            </w:r>
          </w:p>
        </w:tc>
        <w:tc>
          <w:tcPr>
            <w:tcW w:w="888" w:type="dxa"/>
            <w:tcBorders>
              <w:top w:val="nil"/>
              <w:left w:val="nil"/>
              <w:bottom w:val="nil"/>
              <w:right w:val="nil"/>
            </w:tcBorders>
            <w:shd w:val="clear" w:color="auto" w:fill="auto"/>
            <w:noWrap/>
            <w:vAlign w:val="bottom"/>
            <w:hideMark/>
          </w:tcPr>
          <w:p w14:paraId="031D6BCE"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1.052</w:t>
            </w:r>
          </w:p>
        </w:tc>
        <w:tc>
          <w:tcPr>
            <w:tcW w:w="888" w:type="dxa"/>
            <w:tcBorders>
              <w:top w:val="nil"/>
              <w:left w:val="nil"/>
              <w:bottom w:val="nil"/>
              <w:right w:val="single" w:sz="4" w:space="0" w:color="auto"/>
            </w:tcBorders>
            <w:shd w:val="clear" w:color="auto" w:fill="auto"/>
            <w:noWrap/>
            <w:vAlign w:val="bottom"/>
            <w:hideMark/>
          </w:tcPr>
          <w:p w14:paraId="1ABD7848"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1.023</w:t>
            </w:r>
          </w:p>
        </w:tc>
        <w:tc>
          <w:tcPr>
            <w:tcW w:w="1279" w:type="dxa"/>
            <w:tcBorders>
              <w:top w:val="nil"/>
              <w:left w:val="single" w:sz="4" w:space="0" w:color="auto"/>
              <w:bottom w:val="nil"/>
              <w:right w:val="nil"/>
            </w:tcBorders>
            <w:shd w:val="clear" w:color="auto" w:fill="auto"/>
            <w:noWrap/>
            <w:vAlign w:val="bottom"/>
            <w:hideMark/>
          </w:tcPr>
          <w:p w14:paraId="71BC2FB5"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1.327</w:t>
            </w:r>
          </w:p>
        </w:tc>
        <w:tc>
          <w:tcPr>
            <w:tcW w:w="888" w:type="dxa"/>
            <w:tcBorders>
              <w:top w:val="nil"/>
              <w:left w:val="nil"/>
              <w:bottom w:val="nil"/>
              <w:right w:val="single" w:sz="4" w:space="0" w:color="auto"/>
            </w:tcBorders>
            <w:shd w:val="clear" w:color="auto" w:fill="auto"/>
            <w:noWrap/>
            <w:vAlign w:val="bottom"/>
            <w:hideMark/>
          </w:tcPr>
          <w:p w14:paraId="5B7F2385"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1.073</w:t>
            </w:r>
          </w:p>
        </w:tc>
        <w:tc>
          <w:tcPr>
            <w:tcW w:w="910" w:type="dxa"/>
            <w:tcBorders>
              <w:top w:val="nil"/>
              <w:left w:val="single" w:sz="4" w:space="0" w:color="auto"/>
              <w:bottom w:val="nil"/>
              <w:right w:val="nil"/>
            </w:tcBorders>
            <w:shd w:val="clear" w:color="auto" w:fill="auto"/>
            <w:noWrap/>
            <w:vAlign w:val="bottom"/>
            <w:hideMark/>
          </w:tcPr>
          <w:p w14:paraId="37828D65"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1.287</w:t>
            </w:r>
          </w:p>
        </w:tc>
        <w:tc>
          <w:tcPr>
            <w:tcW w:w="888" w:type="dxa"/>
            <w:tcBorders>
              <w:top w:val="nil"/>
              <w:left w:val="nil"/>
              <w:bottom w:val="nil"/>
              <w:right w:val="single" w:sz="4" w:space="0" w:color="auto"/>
            </w:tcBorders>
            <w:shd w:val="clear" w:color="auto" w:fill="auto"/>
            <w:noWrap/>
            <w:vAlign w:val="bottom"/>
            <w:hideMark/>
          </w:tcPr>
          <w:p w14:paraId="26771AA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1.042</w:t>
            </w:r>
          </w:p>
        </w:tc>
        <w:tc>
          <w:tcPr>
            <w:tcW w:w="888" w:type="dxa"/>
            <w:tcBorders>
              <w:top w:val="nil"/>
              <w:left w:val="single" w:sz="4" w:space="0" w:color="auto"/>
              <w:bottom w:val="nil"/>
              <w:right w:val="nil"/>
            </w:tcBorders>
            <w:shd w:val="clear" w:color="auto" w:fill="auto"/>
            <w:noWrap/>
            <w:vAlign w:val="bottom"/>
            <w:hideMark/>
          </w:tcPr>
          <w:p w14:paraId="4245828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1.592</w:t>
            </w:r>
          </w:p>
        </w:tc>
        <w:tc>
          <w:tcPr>
            <w:tcW w:w="888" w:type="dxa"/>
            <w:tcBorders>
              <w:top w:val="nil"/>
              <w:left w:val="nil"/>
              <w:bottom w:val="nil"/>
              <w:right w:val="single" w:sz="4" w:space="0" w:color="auto"/>
            </w:tcBorders>
            <w:shd w:val="clear" w:color="auto" w:fill="auto"/>
            <w:noWrap/>
            <w:vAlign w:val="bottom"/>
            <w:hideMark/>
          </w:tcPr>
          <w:p w14:paraId="7FAC7DE7"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1.167</w:t>
            </w:r>
          </w:p>
        </w:tc>
        <w:tc>
          <w:tcPr>
            <w:tcW w:w="888" w:type="dxa"/>
            <w:tcBorders>
              <w:top w:val="nil"/>
              <w:left w:val="single" w:sz="4" w:space="0" w:color="auto"/>
              <w:bottom w:val="nil"/>
              <w:right w:val="nil"/>
            </w:tcBorders>
            <w:shd w:val="clear" w:color="auto" w:fill="auto"/>
            <w:noWrap/>
            <w:vAlign w:val="bottom"/>
            <w:hideMark/>
          </w:tcPr>
          <w:p w14:paraId="17670E77"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2.860</w:t>
            </w:r>
          </w:p>
        </w:tc>
        <w:tc>
          <w:tcPr>
            <w:tcW w:w="888" w:type="dxa"/>
            <w:tcBorders>
              <w:top w:val="nil"/>
              <w:left w:val="nil"/>
              <w:bottom w:val="nil"/>
              <w:right w:val="nil"/>
            </w:tcBorders>
            <w:shd w:val="clear" w:color="auto" w:fill="auto"/>
            <w:noWrap/>
            <w:vAlign w:val="bottom"/>
            <w:hideMark/>
          </w:tcPr>
          <w:p w14:paraId="67A2B555"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1.335</w:t>
            </w:r>
          </w:p>
        </w:tc>
      </w:tr>
      <w:tr w:rsidR="00304411" w:rsidRPr="00435469" w14:paraId="1F3B49A6" w14:textId="77777777" w:rsidTr="00CA52C4">
        <w:trPr>
          <w:trHeight w:val="261"/>
        </w:trPr>
        <w:tc>
          <w:tcPr>
            <w:tcW w:w="888" w:type="dxa"/>
            <w:tcBorders>
              <w:top w:val="nil"/>
              <w:left w:val="nil"/>
              <w:bottom w:val="nil"/>
              <w:right w:val="nil"/>
            </w:tcBorders>
            <w:shd w:val="clear" w:color="auto" w:fill="auto"/>
            <w:noWrap/>
            <w:vAlign w:val="bottom"/>
            <w:hideMark/>
          </w:tcPr>
          <w:p w14:paraId="4CCAB4F8"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24</w:t>
            </w:r>
          </w:p>
        </w:tc>
        <w:tc>
          <w:tcPr>
            <w:tcW w:w="888" w:type="dxa"/>
            <w:tcBorders>
              <w:top w:val="nil"/>
              <w:left w:val="nil"/>
              <w:bottom w:val="nil"/>
              <w:right w:val="nil"/>
            </w:tcBorders>
            <w:shd w:val="clear" w:color="auto" w:fill="auto"/>
            <w:noWrap/>
            <w:vAlign w:val="bottom"/>
            <w:hideMark/>
          </w:tcPr>
          <w:p w14:paraId="178D5A60"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1.052</w:t>
            </w:r>
          </w:p>
        </w:tc>
        <w:tc>
          <w:tcPr>
            <w:tcW w:w="888" w:type="dxa"/>
            <w:tcBorders>
              <w:top w:val="nil"/>
              <w:left w:val="nil"/>
              <w:bottom w:val="nil"/>
              <w:right w:val="single" w:sz="4" w:space="0" w:color="auto"/>
            </w:tcBorders>
            <w:shd w:val="clear" w:color="auto" w:fill="auto"/>
            <w:noWrap/>
            <w:vAlign w:val="bottom"/>
            <w:hideMark/>
          </w:tcPr>
          <w:p w14:paraId="24D0C4E8"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1.023</w:t>
            </w:r>
          </w:p>
        </w:tc>
        <w:tc>
          <w:tcPr>
            <w:tcW w:w="1279" w:type="dxa"/>
            <w:tcBorders>
              <w:top w:val="nil"/>
              <w:left w:val="single" w:sz="4" w:space="0" w:color="auto"/>
              <w:bottom w:val="nil"/>
              <w:right w:val="nil"/>
            </w:tcBorders>
            <w:shd w:val="clear" w:color="auto" w:fill="auto"/>
            <w:noWrap/>
            <w:vAlign w:val="bottom"/>
            <w:hideMark/>
          </w:tcPr>
          <w:p w14:paraId="781EBC50"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1.327</w:t>
            </w:r>
          </w:p>
        </w:tc>
        <w:tc>
          <w:tcPr>
            <w:tcW w:w="888" w:type="dxa"/>
            <w:tcBorders>
              <w:top w:val="nil"/>
              <w:left w:val="nil"/>
              <w:bottom w:val="nil"/>
              <w:right w:val="single" w:sz="4" w:space="0" w:color="auto"/>
            </w:tcBorders>
            <w:shd w:val="clear" w:color="auto" w:fill="auto"/>
            <w:noWrap/>
            <w:vAlign w:val="bottom"/>
            <w:hideMark/>
          </w:tcPr>
          <w:p w14:paraId="4E2B4691"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1.073</w:t>
            </w:r>
          </w:p>
        </w:tc>
        <w:tc>
          <w:tcPr>
            <w:tcW w:w="910" w:type="dxa"/>
            <w:tcBorders>
              <w:top w:val="nil"/>
              <w:left w:val="single" w:sz="4" w:space="0" w:color="auto"/>
              <w:bottom w:val="nil"/>
              <w:right w:val="nil"/>
            </w:tcBorders>
            <w:shd w:val="clear" w:color="auto" w:fill="auto"/>
            <w:noWrap/>
            <w:vAlign w:val="bottom"/>
            <w:hideMark/>
          </w:tcPr>
          <w:p w14:paraId="6D3F0C1A"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1.306</w:t>
            </w:r>
          </w:p>
        </w:tc>
        <w:tc>
          <w:tcPr>
            <w:tcW w:w="888" w:type="dxa"/>
            <w:tcBorders>
              <w:top w:val="nil"/>
              <w:left w:val="nil"/>
              <w:bottom w:val="nil"/>
              <w:right w:val="single" w:sz="4" w:space="0" w:color="auto"/>
            </w:tcBorders>
            <w:shd w:val="clear" w:color="auto" w:fill="auto"/>
            <w:noWrap/>
            <w:vAlign w:val="bottom"/>
            <w:hideMark/>
          </w:tcPr>
          <w:p w14:paraId="26C04313"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1.045</w:t>
            </w:r>
          </w:p>
        </w:tc>
        <w:tc>
          <w:tcPr>
            <w:tcW w:w="888" w:type="dxa"/>
            <w:tcBorders>
              <w:top w:val="nil"/>
              <w:left w:val="single" w:sz="4" w:space="0" w:color="auto"/>
              <w:bottom w:val="nil"/>
              <w:right w:val="nil"/>
            </w:tcBorders>
            <w:shd w:val="clear" w:color="auto" w:fill="auto"/>
            <w:noWrap/>
            <w:vAlign w:val="bottom"/>
            <w:hideMark/>
          </w:tcPr>
          <w:p w14:paraId="38D9ECAC"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1.592</w:t>
            </w:r>
          </w:p>
        </w:tc>
        <w:tc>
          <w:tcPr>
            <w:tcW w:w="888" w:type="dxa"/>
            <w:tcBorders>
              <w:top w:val="nil"/>
              <w:left w:val="nil"/>
              <w:bottom w:val="nil"/>
              <w:right w:val="single" w:sz="4" w:space="0" w:color="auto"/>
            </w:tcBorders>
            <w:shd w:val="clear" w:color="auto" w:fill="auto"/>
            <w:noWrap/>
            <w:vAlign w:val="bottom"/>
            <w:hideMark/>
          </w:tcPr>
          <w:p w14:paraId="1B5941E0"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1.167</w:t>
            </w:r>
          </w:p>
        </w:tc>
        <w:tc>
          <w:tcPr>
            <w:tcW w:w="888" w:type="dxa"/>
            <w:tcBorders>
              <w:top w:val="nil"/>
              <w:left w:val="single" w:sz="4" w:space="0" w:color="auto"/>
              <w:bottom w:val="nil"/>
              <w:right w:val="nil"/>
            </w:tcBorders>
            <w:shd w:val="clear" w:color="auto" w:fill="auto"/>
            <w:noWrap/>
            <w:vAlign w:val="bottom"/>
            <w:hideMark/>
          </w:tcPr>
          <w:p w14:paraId="4A40FB7A"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2.902</w:t>
            </w:r>
          </w:p>
        </w:tc>
        <w:tc>
          <w:tcPr>
            <w:tcW w:w="888" w:type="dxa"/>
            <w:tcBorders>
              <w:top w:val="nil"/>
              <w:left w:val="nil"/>
              <w:bottom w:val="nil"/>
              <w:right w:val="nil"/>
            </w:tcBorders>
            <w:shd w:val="clear" w:color="auto" w:fill="auto"/>
            <w:noWrap/>
            <w:vAlign w:val="bottom"/>
            <w:hideMark/>
          </w:tcPr>
          <w:p w14:paraId="39FC4DA3"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1.339</w:t>
            </w:r>
          </w:p>
        </w:tc>
      </w:tr>
      <w:tr w:rsidR="00304411" w:rsidRPr="00435469" w14:paraId="34D5993B" w14:textId="77777777" w:rsidTr="00785996">
        <w:trPr>
          <w:trHeight w:val="261"/>
        </w:trPr>
        <w:tc>
          <w:tcPr>
            <w:tcW w:w="888" w:type="dxa"/>
            <w:tcBorders>
              <w:top w:val="nil"/>
              <w:left w:val="nil"/>
              <w:bottom w:val="nil"/>
              <w:right w:val="nil"/>
            </w:tcBorders>
            <w:shd w:val="clear" w:color="auto" w:fill="auto"/>
            <w:noWrap/>
            <w:vAlign w:val="bottom"/>
            <w:hideMark/>
          </w:tcPr>
          <w:p w14:paraId="40851A34"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25</w:t>
            </w:r>
          </w:p>
        </w:tc>
        <w:tc>
          <w:tcPr>
            <w:tcW w:w="888" w:type="dxa"/>
            <w:tcBorders>
              <w:top w:val="nil"/>
              <w:left w:val="nil"/>
              <w:bottom w:val="nil"/>
              <w:right w:val="nil"/>
            </w:tcBorders>
            <w:shd w:val="clear" w:color="auto" w:fill="auto"/>
            <w:noWrap/>
            <w:vAlign w:val="bottom"/>
            <w:hideMark/>
          </w:tcPr>
          <w:p w14:paraId="4D4B1FDF"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1.088</w:t>
            </w:r>
          </w:p>
        </w:tc>
        <w:tc>
          <w:tcPr>
            <w:tcW w:w="888" w:type="dxa"/>
            <w:tcBorders>
              <w:top w:val="nil"/>
              <w:left w:val="nil"/>
              <w:bottom w:val="nil"/>
              <w:right w:val="single" w:sz="4" w:space="0" w:color="auto"/>
            </w:tcBorders>
            <w:shd w:val="clear" w:color="auto" w:fill="auto"/>
            <w:noWrap/>
            <w:vAlign w:val="bottom"/>
            <w:hideMark/>
          </w:tcPr>
          <w:p w14:paraId="561285D4"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1279" w:type="dxa"/>
            <w:tcBorders>
              <w:top w:val="nil"/>
              <w:left w:val="single" w:sz="4" w:space="0" w:color="auto"/>
              <w:bottom w:val="nil"/>
              <w:right w:val="nil"/>
            </w:tcBorders>
            <w:shd w:val="clear" w:color="auto" w:fill="auto"/>
            <w:noWrap/>
            <w:vAlign w:val="bottom"/>
            <w:hideMark/>
          </w:tcPr>
          <w:p w14:paraId="1FA4EB5C" w14:textId="08E893F6"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888" w:type="dxa"/>
            <w:tcBorders>
              <w:top w:val="nil"/>
              <w:left w:val="nil"/>
              <w:bottom w:val="nil"/>
              <w:right w:val="single" w:sz="4" w:space="0" w:color="auto"/>
            </w:tcBorders>
            <w:shd w:val="clear" w:color="auto" w:fill="auto"/>
            <w:noWrap/>
            <w:vAlign w:val="bottom"/>
            <w:hideMark/>
          </w:tcPr>
          <w:p w14:paraId="14E5FDFE"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1.060</w:t>
            </w:r>
          </w:p>
        </w:tc>
        <w:tc>
          <w:tcPr>
            <w:tcW w:w="910" w:type="dxa"/>
            <w:tcBorders>
              <w:top w:val="nil"/>
              <w:left w:val="single" w:sz="4" w:space="0" w:color="auto"/>
              <w:bottom w:val="nil"/>
              <w:right w:val="nil"/>
            </w:tcBorders>
            <w:shd w:val="clear" w:color="auto" w:fill="auto"/>
            <w:noWrap/>
            <w:vAlign w:val="bottom"/>
            <w:hideMark/>
          </w:tcPr>
          <w:p w14:paraId="564DBD62"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1.326</w:t>
            </w:r>
          </w:p>
        </w:tc>
        <w:tc>
          <w:tcPr>
            <w:tcW w:w="888" w:type="dxa"/>
            <w:tcBorders>
              <w:top w:val="nil"/>
              <w:left w:val="nil"/>
              <w:bottom w:val="nil"/>
              <w:right w:val="single" w:sz="4" w:space="0" w:color="auto"/>
            </w:tcBorders>
            <w:shd w:val="clear" w:color="auto" w:fill="auto"/>
            <w:noWrap/>
            <w:vAlign w:val="bottom"/>
            <w:hideMark/>
          </w:tcPr>
          <w:p w14:paraId="7F6736B5"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1.048</w:t>
            </w:r>
          </w:p>
        </w:tc>
        <w:tc>
          <w:tcPr>
            <w:tcW w:w="888" w:type="dxa"/>
            <w:tcBorders>
              <w:top w:val="nil"/>
              <w:left w:val="single" w:sz="4" w:space="0" w:color="auto"/>
              <w:bottom w:val="nil"/>
              <w:right w:val="nil"/>
            </w:tcBorders>
            <w:shd w:val="clear" w:color="auto" w:fill="auto"/>
            <w:noWrap/>
            <w:vAlign w:val="bottom"/>
            <w:hideMark/>
          </w:tcPr>
          <w:p w14:paraId="35AAC35A"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1.700</w:t>
            </w:r>
          </w:p>
        </w:tc>
        <w:tc>
          <w:tcPr>
            <w:tcW w:w="888" w:type="dxa"/>
            <w:tcBorders>
              <w:top w:val="nil"/>
              <w:left w:val="nil"/>
              <w:bottom w:val="nil"/>
              <w:right w:val="single" w:sz="4" w:space="0" w:color="auto"/>
            </w:tcBorders>
            <w:shd w:val="clear" w:color="auto" w:fill="auto"/>
            <w:noWrap/>
            <w:vAlign w:val="bottom"/>
            <w:hideMark/>
          </w:tcPr>
          <w:p w14:paraId="73152870"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1.118</w:t>
            </w:r>
          </w:p>
        </w:tc>
        <w:tc>
          <w:tcPr>
            <w:tcW w:w="888" w:type="dxa"/>
            <w:tcBorders>
              <w:top w:val="nil"/>
              <w:left w:val="single" w:sz="4" w:space="0" w:color="auto"/>
              <w:bottom w:val="nil"/>
              <w:right w:val="nil"/>
            </w:tcBorders>
            <w:shd w:val="clear" w:color="auto" w:fill="auto"/>
            <w:noWrap/>
            <w:hideMark/>
          </w:tcPr>
          <w:p w14:paraId="0DBD3B3D" w14:textId="35186354" w:rsidR="003009B4" w:rsidRPr="00435469" w:rsidRDefault="003009B4" w:rsidP="00955FFB">
            <w:pPr>
              <w:spacing w:after="0" w:line="240" w:lineRule="auto"/>
              <w:jc w:val="center"/>
              <w:rPr>
                <w:rFonts w:eastAsia="Times New Roman" w:cs="Times New Roman"/>
                <w:sz w:val="16"/>
                <w:szCs w:val="16"/>
                <w:lang w:eastAsia="en-ZA"/>
              </w:rPr>
            </w:pPr>
            <w:r w:rsidRPr="00435469">
              <w:rPr>
                <w:sz w:val="16"/>
                <w:szCs w:val="16"/>
              </w:rPr>
              <w:t>2.740</w:t>
            </w:r>
          </w:p>
        </w:tc>
        <w:tc>
          <w:tcPr>
            <w:tcW w:w="888" w:type="dxa"/>
            <w:tcBorders>
              <w:top w:val="nil"/>
              <w:left w:val="nil"/>
              <w:bottom w:val="nil"/>
              <w:right w:val="nil"/>
            </w:tcBorders>
            <w:shd w:val="clear" w:color="auto" w:fill="auto"/>
            <w:noWrap/>
            <w:hideMark/>
          </w:tcPr>
          <w:p w14:paraId="2F965207" w14:textId="609C4CD0" w:rsidR="003009B4" w:rsidRPr="00435469" w:rsidRDefault="003009B4" w:rsidP="00955FFB">
            <w:pPr>
              <w:spacing w:after="0" w:line="240" w:lineRule="auto"/>
              <w:jc w:val="right"/>
              <w:rPr>
                <w:rFonts w:eastAsia="Times New Roman" w:cs="Times New Roman"/>
                <w:sz w:val="16"/>
                <w:szCs w:val="16"/>
                <w:lang w:eastAsia="en-ZA"/>
              </w:rPr>
            </w:pPr>
            <w:r w:rsidRPr="00435469">
              <w:rPr>
                <w:sz w:val="16"/>
                <w:szCs w:val="16"/>
              </w:rPr>
              <w:t>1.388</w:t>
            </w:r>
          </w:p>
        </w:tc>
      </w:tr>
      <w:tr w:rsidR="00304411" w:rsidRPr="00435469" w14:paraId="421E2AED" w14:textId="77777777" w:rsidTr="00785996">
        <w:trPr>
          <w:trHeight w:val="261"/>
        </w:trPr>
        <w:tc>
          <w:tcPr>
            <w:tcW w:w="888" w:type="dxa"/>
            <w:tcBorders>
              <w:top w:val="nil"/>
              <w:left w:val="nil"/>
              <w:bottom w:val="nil"/>
              <w:right w:val="nil"/>
            </w:tcBorders>
            <w:shd w:val="clear" w:color="auto" w:fill="auto"/>
            <w:noWrap/>
            <w:vAlign w:val="bottom"/>
            <w:hideMark/>
          </w:tcPr>
          <w:p w14:paraId="0164393D"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26</w:t>
            </w:r>
          </w:p>
        </w:tc>
        <w:tc>
          <w:tcPr>
            <w:tcW w:w="888" w:type="dxa"/>
            <w:tcBorders>
              <w:top w:val="nil"/>
              <w:left w:val="nil"/>
              <w:bottom w:val="nil"/>
              <w:right w:val="nil"/>
            </w:tcBorders>
            <w:shd w:val="clear" w:color="auto" w:fill="auto"/>
            <w:noWrap/>
            <w:vAlign w:val="bottom"/>
            <w:hideMark/>
          </w:tcPr>
          <w:p w14:paraId="7CF4939A"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1.088</w:t>
            </w:r>
          </w:p>
        </w:tc>
        <w:tc>
          <w:tcPr>
            <w:tcW w:w="888" w:type="dxa"/>
            <w:tcBorders>
              <w:top w:val="nil"/>
              <w:left w:val="nil"/>
              <w:bottom w:val="nil"/>
              <w:right w:val="single" w:sz="4" w:space="0" w:color="auto"/>
            </w:tcBorders>
            <w:shd w:val="clear" w:color="auto" w:fill="auto"/>
            <w:noWrap/>
            <w:vAlign w:val="bottom"/>
            <w:hideMark/>
          </w:tcPr>
          <w:p w14:paraId="4DCF6EDC"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1279" w:type="dxa"/>
            <w:tcBorders>
              <w:top w:val="nil"/>
              <w:left w:val="single" w:sz="4" w:space="0" w:color="auto"/>
              <w:bottom w:val="nil"/>
              <w:right w:val="nil"/>
            </w:tcBorders>
            <w:shd w:val="clear" w:color="auto" w:fill="auto"/>
            <w:noWrap/>
            <w:vAlign w:val="bottom"/>
            <w:hideMark/>
          </w:tcPr>
          <w:p w14:paraId="29DCD34D" w14:textId="3AD5C6EE"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888" w:type="dxa"/>
            <w:tcBorders>
              <w:top w:val="nil"/>
              <w:left w:val="nil"/>
              <w:bottom w:val="nil"/>
              <w:right w:val="single" w:sz="4" w:space="0" w:color="auto"/>
            </w:tcBorders>
            <w:shd w:val="clear" w:color="auto" w:fill="auto"/>
            <w:noWrap/>
            <w:vAlign w:val="bottom"/>
            <w:hideMark/>
          </w:tcPr>
          <w:p w14:paraId="17A30199"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1.060</w:t>
            </w:r>
          </w:p>
        </w:tc>
        <w:tc>
          <w:tcPr>
            <w:tcW w:w="910" w:type="dxa"/>
            <w:tcBorders>
              <w:top w:val="nil"/>
              <w:left w:val="single" w:sz="4" w:space="0" w:color="auto"/>
              <w:bottom w:val="nil"/>
              <w:right w:val="nil"/>
            </w:tcBorders>
            <w:shd w:val="clear" w:color="auto" w:fill="auto"/>
            <w:noWrap/>
            <w:vAlign w:val="bottom"/>
            <w:hideMark/>
          </w:tcPr>
          <w:p w14:paraId="63810F24"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1.346</w:t>
            </w:r>
          </w:p>
        </w:tc>
        <w:tc>
          <w:tcPr>
            <w:tcW w:w="888" w:type="dxa"/>
            <w:tcBorders>
              <w:top w:val="nil"/>
              <w:left w:val="nil"/>
              <w:bottom w:val="nil"/>
              <w:right w:val="single" w:sz="4" w:space="0" w:color="auto"/>
            </w:tcBorders>
            <w:shd w:val="clear" w:color="auto" w:fill="auto"/>
            <w:noWrap/>
            <w:vAlign w:val="bottom"/>
            <w:hideMark/>
          </w:tcPr>
          <w:p w14:paraId="692EB9A2"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1.052</w:t>
            </w:r>
          </w:p>
        </w:tc>
        <w:tc>
          <w:tcPr>
            <w:tcW w:w="888" w:type="dxa"/>
            <w:tcBorders>
              <w:top w:val="nil"/>
              <w:left w:val="single" w:sz="4" w:space="0" w:color="auto"/>
              <w:bottom w:val="nil"/>
              <w:right w:val="nil"/>
            </w:tcBorders>
            <w:shd w:val="clear" w:color="auto" w:fill="auto"/>
            <w:noWrap/>
            <w:vAlign w:val="bottom"/>
            <w:hideMark/>
          </w:tcPr>
          <w:p w14:paraId="409468B9"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1.700</w:t>
            </w:r>
          </w:p>
        </w:tc>
        <w:tc>
          <w:tcPr>
            <w:tcW w:w="888" w:type="dxa"/>
            <w:tcBorders>
              <w:top w:val="nil"/>
              <w:left w:val="nil"/>
              <w:bottom w:val="nil"/>
              <w:right w:val="single" w:sz="4" w:space="0" w:color="auto"/>
            </w:tcBorders>
            <w:shd w:val="clear" w:color="auto" w:fill="auto"/>
            <w:noWrap/>
            <w:vAlign w:val="bottom"/>
            <w:hideMark/>
          </w:tcPr>
          <w:p w14:paraId="18825820"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1.118</w:t>
            </w:r>
          </w:p>
        </w:tc>
        <w:tc>
          <w:tcPr>
            <w:tcW w:w="888" w:type="dxa"/>
            <w:tcBorders>
              <w:top w:val="nil"/>
              <w:left w:val="single" w:sz="4" w:space="0" w:color="auto"/>
              <w:bottom w:val="nil"/>
              <w:right w:val="nil"/>
            </w:tcBorders>
            <w:shd w:val="clear" w:color="auto" w:fill="auto"/>
            <w:noWrap/>
            <w:hideMark/>
          </w:tcPr>
          <w:p w14:paraId="5B7B9213" w14:textId="467A33A6" w:rsidR="003009B4" w:rsidRPr="00435469" w:rsidRDefault="003009B4" w:rsidP="00955FFB">
            <w:pPr>
              <w:spacing w:after="0" w:line="240" w:lineRule="auto"/>
              <w:jc w:val="center"/>
              <w:rPr>
                <w:rFonts w:eastAsia="Times New Roman" w:cs="Times New Roman"/>
                <w:sz w:val="16"/>
                <w:szCs w:val="16"/>
                <w:lang w:eastAsia="en-ZA"/>
              </w:rPr>
            </w:pPr>
            <w:r w:rsidRPr="00435469">
              <w:rPr>
                <w:sz w:val="16"/>
                <w:szCs w:val="16"/>
              </w:rPr>
              <w:t>2.781</w:t>
            </w:r>
          </w:p>
        </w:tc>
        <w:tc>
          <w:tcPr>
            <w:tcW w:w="888" w:type="dxa"/>
            <w:tcBorders>
              <w:top w:val="nil"/>
              <w:left w:val="nil"/>
              <w:bottom w:val="nil"/>
              <w:right w:val="nil"/>
            </w:tcBorders>
            <w:shd w:val="clear" w:color="auto" w:fill="auto"/>
            <w:noWrap/>
            <w:hideMark/>
          </w:tcPr>
          <w:p w14:paraId="2E9FC390" w14:textId="79EA4D34" w:rsidR="003009B4" w:rsidRPr="00435469" w:rsidRDefault="003009B4" w:rsidP="00955FFB">
            <w:pPr>
              <w:spacing w:after="0" w:line="240" w:lineRule="auto"/>
              <w:jc w:val="right"/>
              <w:rPr>
                <w:rFonts w:eastAsia="Times New Roman" w:cs="Times New Roman"/>
                <w:sz w:val="16"/>
                <w:szCs w:val="16"/>
                <w:lang w:eastAsia="en-ZA"/>
              </w:rPr>
            </w:pPr>
            <w:r w:rsidRPr="00435469">
              <w:rPr>
                <w:sz w:val="16"/>
                <w:szCs w:val="16"/>
              </w:rPr>
              <w:t>1.393</w:t>
            </w:r>
          </w:p>
        </w:tc>
      </w:tr>
      <w:tr w:rsidR="00304411" w:rsidRPr="00435469" w14:paraId="6461C7BA" w14:textId="77777777" w:rsidTr="00785996">
        <w:trPr>
          <w:trHeight w:val="261"/>
        </w:trPr>
        <w:tc>
          <w:tcPr>
            <w:tcW w:w="888" w:type="dxa"/>
            <w:tcBorders>
              <w:top w:val="nil"/>
              <w:left w:val="nil"/>
              <w:bottom w:val="nil"/>
              <w:right w:val="nil"/>
            </w:tcBorders>
            <w:shd w:val="clear" w:color="auto" w:fill="auto"/>
            <w:noWrap/>
            <w:vAlign w:val="bottom"/>
            <w:hideMark/>
          </w:tcPr>
          <w:p w14:paraId="1A61A81B"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27</w:t>
            </w:r>
          </w:p>
        </w:tc>
        <w:tc>
          <w:tcPr>
            <w:tcW w:w="888" w:type="dxa"/>
            <w:tcBorders>
              <w:top w:val="nil"/>
              <w:left w:val="nil"/>
              <w:bottom w:val="nil"/>
              <w:right w:val="nil"/>
            </w:tcBorders>
            <w:shd w:val="clear" w:color="auto" w:fill="auto"/>
            <w:noWrap/>
            <w:vAlign w:val="bottom"/>
            <w:hideMark/>
          </w:tcPr>
          <w:p w14:paraId="2F7ADDC4"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1.088</w:t>
            </w:r>
          </w:p>
        </w:tc>
        <w:tc>
          <w:tcPr>
            <w:tcW w:w="888" w:type="dxa"/>
            <w:tcBorders>
              <w:top w:val="nil"/>
              <w:left w:val="nil"/>
              <w:bottom w:val="nil"/>
              <w:right w:val="single" w:sz="4" w:space="0" w:color="auto"/>
            </w:tcBorders>
            <w:shd w:val="clear" w:color="auto" w:fill="auto"/>
            <w:noWrap/>
            <w:vAlign w:val="bottom"/>
            <w:hideMark/>
          </w:tcPr>
          <w:p w14:paraId="179A6665"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1279" w:type="dxa"/>
            <w:tcBorders>
              <w:top w:val="nil"/>
              <w:left w:val="single" w:sz="4" w:space="0" w:color="auto"/>
              <w:bottom w:val="nil"/>
              <w:right w:val="nil"/>
            </w:tcBorders>
            <w:shd w:val="clear" w:color="auto" w:fill="auto"/>
            <w:noWrap/>
            <w:vAlign w:val="bottom"/>
            <w:hideMark/>
          </w:tcPr>
          <w:p w14:paraId="19570164" w14:textId="6DD28B9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888" w:type="dxa"/>
            <w:tcBorders>
              <w:top w:val="nil"/>
              <w:left w:val="nil"/>
              <w:bottom w:val="nil"/>
              <w:right w:val="single" w:sz="4" w:space="0" w:color="auto"/>
            </w:tcBorders>
            <w:shd w:val="clear" w:color="auto" w:fill="auto"/>
            <w:noWrap/>
            <w:vAlign w:val="bottom"/>
            <w:hideMark/>
          </w:tcPr>
          <w:p w14:paraId="39DD24DB"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1.060</w:t>
            </w:r>
          </w:p>
        </w:tc>
        <w:tc>
          <w:tcPr>
            <w:tcW w:w="910" w:type="dxa"/>
            <w:tcBorders>
              <w:top w:val="nil"/>
              <w:left w:val="single" w:sz="4" w:space="0" w:color="auto"/>
              <w:bottom w:val="nil"/>
              <w:right w:val="nil"/>
            </w:tcBorders>
            <w:shd w:val="clear" w:color="auto" w:fill="auto"/>
            <w:noWrap/>
            <w:vAlign w:val="bottom"/>
            <w:hideMark/>
          </w:tcPr>
          <w:p w14:paraId="73DBC2FE"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1.366</w:t>
            </w:r>
          </w:p>
        </w:tc>
        <w:tc>
          <w:tcPr>
            <w:tcW w:w="888" w:type="dxa"/>
            <w:tcBorders>
              <w:top w:val="nil"/>
              <w:left w:val="nil"/>
              <w:bottom w:val="nil"/>
              <w:right w:val="single" w:sz="4" w:space="0" w:color="auto"/>
            </w:tcBorders>
            <w:shd w:val="clear" w:color="auto" w:fill="auto"/>
            <w:noWrap/>
            <w:vAlign w:val="bottom"/>
            <w:hideMark/>
          </w:tcPr>
          <w:p w14:paraId="50D47785"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1.056</w:t>
            </w:r>
          </w:p>
        </w:tc>
        <w:tc>
          <w:tcPr>
            <w:tcW w:w="888" w:type="dxa"/>
            <w:tcBorders>
              <w:top w:val="nil"/>
              <w:left w:val="single" w:sz="4" w:space="0" w:color="auto"/>
              <w:bottom w:val="nil"/>
              <w:right w:val="nil"/>
            </w:tcBorders>
            <w:shd w:val="clear" w:color="auto" w:fill="auto"/>
            <w:noWrap/>
            <w:vAlign w:val="bottom"/>
            <w:hideMark/>
          </w:tcPr>
          <w:p w14:paraId="01F9FCDE"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1.700</w:t>
            </w:r>
          </w:p>
        </w:tc>
        <w:tc>
          <w:tcPr>
            <w:tcW w:w="888" w:type="dxa"/>
            <w:tcBorders>
              <w:top w:val="nil"/>
              <w:left w:val="nil"/>
              <w:bottom w:val="nil"/>
              <w:right w:val="single" w:sz="4" w:space="0" w:color="auto"/>
            </w:tcBorders>
            <w:shd w:val="clear" w:color="auto" w:fill="auto"/>
            <w:noWrap/>
            <w:vAlign w:val="bottom"/>
            <w:hideMark/>
          </w:tcPr>
          <w:p w14:paraId="6E667210"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1.118</w:t>
            </w:r>
          </w:p>
        </w:tc>
        <w:tc>
          <w:tcPr>
            <w:tcW w:w="888" w:type="dxa"/>
            <w:tcBorders>
              <w:top w:val="nil"/>
              <w:left w:val="single" w:sz="4" w:space="0" w:color="auto"/>
              <w:bottom w:val="nil"/>
              <w:right w:val="nil"/>
            </w:tcBorders>
            <w:shd w:val="clear" w:color="auto" w:fill="auto"/>
            <w:noWrap/>
            <w:hideMark/>
          </w:tcPr>
          <w:p w14:paraId="6B32D077" w14:textId="294A1927" w:rsidR="003009B4" w:rsidRPr="00435469" w:rsidRDefault="003009B4" w:rsidP="00955FFB">
            <w:pPr>
              <w:spacing w:after="0" w:line="240" w:lineRule="auto"/>
              <w:jc w:val="center"/>
              <w:rPr>
                <w:rFonts w:eastAsia="Times New Roman" w:cs="Times New Roman"/>
                <w:sz w:val="16"/>
                <w:szCs w:val="16"/>
                <w:lang w:eastAsia="en-ZA"/>
              </w:rPr>
            </w:pPr>
            <w:r w:rsidRPr="00435469">
              <w:rPr>
                <w:sz w:val="16"/>
                <w:szCs w:val="16"/>
              </w:rPr>
              <w:t>2.823</w:t>
            </w:r>
          </w:p>
        </w:tc>
        <w:tc>
          <w:tcPr>
            <w:tcW w:w="888" w:type="dxa"/>
            <w:tcBorders>
              <w:top w:val="nil"/>
              <w:left w:val="nil"/>
              <w:bottom w:val="nil"/>
              <w:right w:val="nil"/>
            </w:tcBorders>
            <w:shd w:val="clear" w:color="auto" w:fill="auto"/>
            <w:noWrap/>
            <w:hideMark/>
          </w:tcPr>
          <w:p w14:paraId="1774515B" w14:textId="2B034756" w:rsidR="003009B4" w:rsidRPr="00435469" w:rsidRDefault="003009B4" w:rsidP="00955FFB">
            <w:pPr>
              <w:spacing w:after="0" w:line="240" w:lineRule="auto"/>
              <w:jc w:val="right"/>
              <w:rPr>
                <w:rFonts w:eastAsia="Times New Roman" w:cs="Times New Roman"/>
                <w:sz w:val="16"/>
                <w:szCs w:val="16"/>
                <w:lang w:eastAsia="en-ZA"/>
              </w:rPr>
            </w:pPr>
            <w:r w:rsidRPr="00435469">
              <w:rPr>
                <w:sz w:val="16"/>
                <w:szCs w:val="16"/>
              </w:rPr>
              <w:t>1.398</w:t>
            </w:r>
          </w:p>
        </w:tc>
      </w:tr>
      <w:tr w:rsidR="00304411" w:rsidRPr="00435469" w14:paraId="1AEE7F1F" w14:textId="77777777" w:rsidTr="00785996">
        <w:trPr>
          <w:trHeight w:val="261"/>
        </w:trPr>
        <w:tc>
          <w:tcPr>
            <w:tcW w:w="888" w:type="dxa"/>
            <w:tcBorders>
              <w:top w:val="nil"/>
              <w:left w:val="nil"/>
              <w:bottom w:val="nil"/>
              <w:right w:val="nil"/>
            </w:tcBorders>
            <w:shd w:val="clear" w:color="auto" w:fill="auto"/>
            <w:noWrap/>
            <w:vAlign w:val="bottom"/>
            <w:hideMark/>
          </w:tcPr>
          <w:p w14:paraId="16382934"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28</w:t>
            </w:r>
          </w:p>
        </w:tc>
        <w:tc>
          <w:tcPr>
            <w:tcW w:w="888" w:type="dxa"/>
            <w:tcBorders>
              <w:top w:val="nil"/>
              <w:left w:val="nil"/>
              <w:bottom w:val="nil"/>
              <w:right w:val="nil"/>
            </w:tcBorders>
            <w:shd w:val="clear" w:color="auto" w:fill="auto"/>
            <w:noWrap/>
            <w:vAlign w:val="bottom"/>
            <w:hideMark/>
          </w:tcPr>
          <w:p w14:paraId="03916252"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1.088</w:t>
            </w:r>
          </w:p>
        </w:tc>
        <w:tc>
          <w:tcPr>
            <w:tcW w:w="888" w:type="dxa"/>
            <w:tcBorders>
              <w:top w:val="nil"/>
              <w:left w:val="nil"/>
              <w:bottom w:val="nil"/>
              <w:right w:val="single" w:sz="4" w:space="0" w:color="auto"/>
            </w:tcBorders>
            <w:shd w:val="clear" w:color="auto" w:fill="auto"/>
            <w:noWrap/>
            <w:vAlign w:val="bottom"/>
            <w:hideMark/>
          </w:tcPr>
          <w:p w14:paraId="7B75A0A1"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1279" w:type="dxa"/>
            <w:tcBorders>
              <w:top w:val="nil"/>
              <w:left w:val="single" w:sz="4" w:space="0" w:color="auto"/>
              <w:bottom w:val="nil"/>
              <w:right w:val="nil"/>
            </w:tcBorders>
            <w:shd w:val="clear" w:color="auto" w:fill="auto"/>
            <w:noWrap/>
            <w:vAlign w:val="bottom"/>
            <w:hideMark/>
          </w:tcPr>
          <w:p w14:paraId="6AA02D35"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888" w:type="dxa"/>
            <w:tcBorders>
              <w:top w:val="nil"/>
              <w:left w:val="nil"/>
              <w:bottom w:val="nil"/>
              <w:right w:val="single" w:sz="4" w:space="0" w:color="auto"/>
            </w:tcBorders>
            <w:shd w:val="clear" w:color="auto" w:fill="auto"/>
            <w:noWrap/>
            <w:vAlign w:val="bottom"/>
            <w:hideMark/>
          </w:tcPr>
          <w:p w14:paraId="1DF339AD"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1.060</w:t>
            </w:r>
          </w:p>
        </w:tc>
        <w:tc>
          <w:tcPr>
            <w:tcW w:w="910" w:type="dxa"/>
            <w:tcBorders>
              <w:top w:val="nil"/>
              <w:left w:val="single" w:sz="4" w:space="0" w:color="auto"/>
              <w:bottom w:val="nil"/>
              <w:right w:val="nil"/>
            </w:tcBorders>
            <w:shd w:val="clear" w:color="auto" w:fill="auto"/>
            <w:noWrap/>
            <w:vAlign w:val="bottom"/>
            <w:hideMark/>
          </w:tcPr>
          <w:p w14:paraId="16F85926"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1.387</w:t>
            </w:r>
          </w:p>
        </w:tc>
        <w:tc>
          <w:tcPr>
            <w:tcW w:w="888" w:type="dxa"/>
            <w:tcBorders>
              <w:top w:val="nil"/>
              <w:left w:val="nil"/>
              <w:bottom w:val="nil"/>
              <w:right w:val="single" w:sz="4" w:space="0" w:color="auto"/>
            </w:tcBorders>
            <w:shd w:val="clear" w:color="auto" w:fill="auto"/>
            <w:noWrap/>
            <w:vAlign w:val="bottom"/>
            <w:hideMark/>
          </w:tcPr>
          <w:p w14:paraId="5080BC3A"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1.059</w:t>
            </w:r>
          </w:p>
        </w:tc>
        <w:tc>
          <w:tcPr>
            <w:tcW w:w="888" w:type="dxa"/>
            <w:tcBorders>
              <w:top w:val="nil"/>
              <w:left w:val="single" w:sz="4" w:space="0" w:color="auto"/>
              <w:bottom w:val="nil"/>
              <w:right w:val="nil"/>
            </w:tcBorders>
            <w:shd w:val="clear" w:color="auto" w:fill="auto"/>
            <w:noWrap/>
            <w:vAlign w:val="bottom"/>
            <w:hideMark/>
          </w:tcPr>
          <w:p w14:paraId="75C1EA76"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1.700</w:t>
            </w:r>
          </w:p>
        </w:tc>
        <w:tc>
          <w:tcPr>
            <w:tcW w:w="888" w:type="dxa"/>
            <w:tcBorders>
              <w:top w:val="nil"/>
              <w:left w:val="nil"/>
              <w:bottom w:val="nil"/>
              <w:right w:val="single" w:sz="4" w:space="0" w:color="auto"/>
            </w:tcBorders>
            <w:shd w:val="clear" w:color="auto" w:fill="auto"/>
            <w:noWrap/>
            <w:vAlign w:val="bottom"/>
            <w:hideMark/>
          </w:tcPr>
          <w:p w14:paraId="2B4CB890"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1.118</w:t>
            </w:r>
          </w:p>
        </w:tc>
        <w:tc>
          <w:tcPr>
            <w:tcW w:w="888" w:type="dxa"/>
            <w:tcBorders>
              <w:top w:val="nil"/>
              <w:left w:val="single" w:sz="4" w:space="0" w:color="auto"/>
              <w:bottom w:val="nil"/>
              <w:right w:val="nil"/>
            </w:tcBorders>
            <w:shd w:val="clear" w:color="auto" w:fill="auto"/>
            <w:noWrap/>
            <w:hideMark/>
          </w:tcPr>
          <w:p w14:paraId="3951445B" w14:textId="7C9338A8" w:rsidR="003009B4" w:rsidRPr="00435469" w:rsidRDefault="003009B4" w:rsidP="00955FFB">
            <w:pPr>
              <w:spacing w:after="0" w:line="240" w:lineRule="auto"/>
              <w:jc w:val="center"/>
              <w:rPr>
                <w:rFonts w:eastAsia="Times New Roman" w:cs="Times New Roman"/>
                <w:sz w:val="16"/>
                <w:szCs w:val="16"/>
                <w:lang w:eastAsia="en-ZA"/>
              </w:rPr>
            </w:pPr>
            <w:r w:rsidRPr="00435469">
              <w:rPr>
                <w:sz w:val="16"/>
                <w:szCs w:val="16"/>
              </w:rPr>
              <w:t>2.866</w:t>
            </w:r>
          </w:p>
        </w:tc>
        <w:tc>
          <w:tcPr>
            <w:tcW w:w="888" w:type="dxa"/>
            <w:tcBorders>
              <w:top w:val="nil"/>
              <w:left w:val="nil"/>
              <w:bottom w:val="nil"/>
              <w:right w:val="nil"/>
            </w:tcBorders>
            <w:shd w:val="clear" w:color="auto" w:fill="auto"/>
            <w:noWrap/>
            <w:hideMark/>
          </w:tcPr>
          <w:p w14:paraId="7DB81AF1" w14:textId="6A5F39E2" w:rsidR="003009B4" w:rsidRPr="00435469" w:rsidRDefault="003009B4" w:rsidP="00955FFB">
            <w:pPr>
              <w:spacing w:after="0" w:line="240" w:lineRule="auto"/>
              <w:jc w:val="right"/>
              <w:rPr>
                <w:rFonts w:eastAsia="Times New Roman" w:cs="Times New Roman"/>
                <w:sz w:val="16"/>
                <w:szCs w:val="16"/>
                <w:lang w:eastAsia="en-ZA"/>
              </w:rPr>
            </w:pPr>
            <w:r w:rsidRPr="00435469">
              <w:rPr>
                <w:sz w:val="16"/>
                <w:szCs w:val="16"/>
              </w:rPr>
              <w:t>1.402</w:t>
            </w:r>
          </w:p>
        </w:tc>
      </w:tr>
      <w:tr w:rsidR="00304411" w:rsidRPr="00435469" w14:paraId="6DD3B769" w14:textId="77777777" w:rsidTr="00785996">
        <w:trPr>
          <w:trHeight w:val="261"/>
        </w:trPr>
        <w:tc>
          <w:tcPr>
            <w:tcW w:w="888" w:type="dxa"/>
            <w:tcBorders>
              <w:top w:val="nil"/>
              <w:left w:val="nil"/>
              <w:bottom w:val="nil"/>
              <w:right w:val="nil"/>
            </w:tcBorders>
            <w:shd w:val="clear" w:color="auto" w:fill="auto"/>
            <w:noWrap/>
            <w:vAlign w:val="bottom"/>
            <w:hideMark/>
          </w:tcPr>
          <w:p w14:paraId="4A8F8D92"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29</w:t>
            </w:r>
          </w:p>
        </w:tc>
        <w:tc>
          <w:tcPr>
            <w:tcW w:w="888" w:type="dxa"/>
            <w:tcBorders>
              <w:top w:val="nil"/>
              <w:left w:val="nil"/>
              <w:bottom w:val="nil"/>
              <w:right w:val="nil"/>
            </w:tcBorders>
            <w:shd w:val="clear" w:color="auto" w:fill="auto"/>
            <w:noWrap/>
            <w:vAlign w:val="bottom"/>
            <w:hideMark/>
          </w:tcPr>
          <w:p w14:paraId="0036F48F"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1.088</w:t>
            </w:r>
          </w:p>
        </w:tc>
        <w:tc>
          <w:tcPr>
            <w:tcW w:w="888" w:type="dxa"/>
            <w:tcBorders>
              <w:top w:val="nil"/>
              <w:left w:val="nil"/>
              <w:bottom w:val="nil"/>
              <w:right w:val="single" w:sz="4" w:space="0" w:color="auto"/>
            </w:tcBorders>
            <w:shd w:val="clear" w:color="auto" w:fill="auto"/>
            <w:noWrap/>
            <w:vAlign w:val="bottom"/>
            <w:hideMark/>
          </w:tcPr>
          <w:p w14:paraId="5750AF3F"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1279" w:type="dxa"/>
            <w:tcBorders>
              <w:top w:val="nil"/>
              <w:left w:val="single" w:sz="4" w:space="0" w:color="auto"/>
              <w:bottom w:val="nil"/>
              <w:right w:val="nil"/>
            </w:tcBorders>
            <w:shd w:val="clear" w:color="auto" w:fill="auto"/>
            <w:noWrap/>
            <w:vAlign w:val="bottom"/>
            <w:hideMark/>
          </w:tcPr>
          <w:p w14:paraId="4D5FDE8D"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888" w:type="dxa"/>
            <w:tcBorders>
              <w:top w:val="nil"/>
              <w:left w:val="nil"/>
              <w:bottom w:val="nil"/>
              <w:right w:val="single" w:sz="4" w:space="0" w:color="auto"/>
            </w:tcBorders>
            <w:shd w:val="clear" w:color="auto" w:fill="auto"/>
            <w:noWrap/>
            <w:vAlign w:val="bottom"/>
            <w:hideMark/>
          </w:tcPr>
          <w:p w14:paraId="71E9A734"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1.060</w:t>
            </w:r>
          </w:p>
        </w:tc>
        <w:tc>
          <w:tcPr>
            <w:tcW w:w="910" w:type="dxa"/>
            <w:tcBorders>
              <w:top w:val="nil"/>
              <w:left w:val="single" w:sz="4" w:space="0" w:color="auto"/>
              <w:bottom w:val="nil"/>
              <w:right w:val="nil"/>
            </w:tcBorders>
            <w:shd w:val="clear" w:color="auto" w:fill="auto"/>
            <w:noWrap/>
            <w:vAlign w:val="bottom"/>
            <w:hideMark/>
          </w:tcPr>
          <w:p w14:paraId="2BC069E2"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1.408</w:t>
            </w:r>
          </w:p>
        </w:tc>
        <w:tc>
          <w:tcPr>
            <w:tcW w:w="888" w:type="dxa"/>
            <w:tcBorders>
              <w:top w:val="nil"/>
              <w:left w:val="nil"/>
              <w:bottom w:val="nil"/>
              <w:right w:val="single" w:sz="4" w:space="0" w:color="auto"/>
            </w:tcBorders>
            <w:shd w:val="clear" w:color="auto" w:fill="auto"/>
            <w:noWrap/>
            <w:vAlign w:val="bottom"/>
            <w:hideMark/>
          </w:tcPr>
          <w:p w14:paraId="0FAABD79"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1.063</w:t>
            </w:r>
          </w:p>
        </w:tc>
        <w:tc>
          <w:tcPr>
            <w:tcW w:w="888" w:type="dxa"/>
            <w:tcBorders>
              <w:top w:val="nil"/>
              <w:left w:val="single" w:sz="4" w:space="0" w:color="auto"/>
              <w:bottom w:val="nil"/>
              <w:right w:val="nil"/>
            </w:tcBorders>
            <w:shd w:val="clear" w:color="auto" w:fill="auto"/>
            <w:noWrap/>
            <w:vAlign w:val="bottom"/>
            <w:hideMark/>
          </w:tcPr>
          <w:p w14:paraId="2433918B"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1.700</w:t>
            </w:r>
          </w:p>
        </w:tc>
        <w:tc>
          <w:tcPr>
            <w:tcW w:w="888" w:type="dxa"/>
            <w:tcBorders>
              <w:top w:val="nil"/>
              <w:left w:val="nil"/>
              <w:bottom w:val="nil"/>
              <w:right w:val="single" w:sz="4" w:space="0" w:color="auto"/>
            </w:tcBorders>
            <w:shd w:val="clear" w:color="auto" w:fill="auto"/>
            <w:noWrap/>
            <w:vAlign w:val="bottom"/>
            <w:hideMark/>
          </w:tcPr>
          <w:p w14:paraId="69633904"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1.118</w:t>
            </w:r>
          </w:p>
        </w:tc>
        <w:tc>
          <w:tcPr>
            <w:tcW w:w="888" w:type="dxa"/>
            <w:tcBorders>
              <w:top w:val="nil"/>
              <w:left w:val="single" w:sz="4" w:space="0" w:color="auto"/>
              <w:bottom w:val="nil"/>
              <w:right w:val="nil"/>
            </w:tcBorders>
            <w:shd w:val="clear" w:color="auto" w:fill="auto"/>
            <w:noWrap/>
            <w:hideMark/>
          </w:tcPr>
          <w:p w14:paraId="1E8F3F26" w14:textId="68A2B6C9" w:rsidR="003009B4" w:rsidRPr="00435469" w:rsidRDefault="003009B4" w:rsidP="00955FFB">
            <w:pPr>
              <w:spacing w:after="0" w:line="240" w:lineRule="auto"/>
              <w:jc w:val="center"/>
              <w:rPr>
                <w:rFonts w:eastAsia="Times New Roman" w:cs="Times New Roman"/>
                <w:sz w:val="16"/>
                <w:szCs w:val="16"/>
                <w:lang w:eastAsia="en-ZA"/>
              </w:rPr>
            </w:pPr>
            <w:r w:rsidRPr="00435469">
              <w:rPr>
                <w:sz w:val="16"/>
                <w:szCs w:val="16"/>
              </w:rPr>
              <w:t>2.910</w:t>
            </w:r>
          </w:p>
        </w:tc>
        <w:tc>
          <w:tcPr>
            <w:tcW w:w="888" w:type="dxa"/>
            <w:tcBorders>
              <w:top w:val="nil"/>
              <w:left w:val="nil"/>
              <w:bottom w:val="nil"/>
              <w:right w:val="nil"/>
            </w:tcBorders>
            <w:shd w:val="clear" w:color="auto" w:fill="auto"/>
            <w:noWrap/>
            <w:hideMark/>
          </w:tcPr>
          <w:p w14:paraId="78764F78" w14:textId="46E96028" w:rsidR="003009B4" w:rsidRPr="00435469" w:rsidRDefault="003009B4" w:rsidP="00955FFB">
            <w:pPr>
              <w:spacing w:after="0" w:line="240" w:lineRule="auto"/>
              <w:jc w:val="right"/>
              <w:rPr>
                <w:rFonts w:eastAsia="Times New Roman" w:cs="Times New Roman"/>
                <w:sz w:val="16"/>
                <w:szCs w:val="16"/>
                <w:lang w:eastAsia="en-ZA"/>
              </w:rPr>
            </w:pPr>
            <w:r w:rsidRPr="00435469">
              <w:rPr>
                <w:sz w:val="16"/>
                <w:szCs w:val="16"/>
              </w:rPr>
              <w:t>1.407</w:t>
            </w:r>
          </w:p>
        </w:tc>
      </w:tr>
      <w:tr w:rsidR="00304411" w:rsidRPr="00435469" w14:paraId="3C18EBAA" w14:textId="77777777" w:rsidTr="00785996">
        <w:trPr>
          <w:trHeight w:val="261"/>
        </w:trPr>
        <w:tc>
          <w:tcPr>
            <w:tcW w:w="888" w:type="dxa"/>
            <w:tcBorders>
              <w:top w:val="nil"/>
              <w:left w:val="nil"/>
              <w:bottom w:val="nil"/>
              <w:right w:val="nil"/>
            </w:tcBorders>
            <w:shd w:val="clear" w:color="auto" w:fill="auto"/>
            <w:noWrap/>
            <w:vAlign w:val="bottom"/>
            <w:hideMark/>
          </w:tcPr>
          <w:p w14:paraId="6E302B0E"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30</w:t>
            </w:r>
          </w:p>
        </w:tc>
        <w:tc>
          <w:tcPr>
            <w:tcW w:w="888" w:type="dxa"/>
            <w:tcBorders>
              <w:top w:val="nil"/>
              <w:left w:val="nil"/>
              <w:bottom w:val="nil"/>
              <w:right w:val="nil"/>
            </w:tcBorders>
            <w:shd w:val="clear" w:color="auto" w:fill="auto"/>
            <w:noWrap/>
            <w:vAlign w:val="bottom"/>
            <w:hideMark/>
          </w:tcPr>
          <w:p w14:paraId="48F0B84A"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1.088</w:t>
            </w:r>
          </w:p>
        </w:tc>
        <w:tc>
          <w:tcPr>
            <w:tcW w:w="888" w:type="dxa"/>
            <w:tcBorders>
              <w:top w:val="nil"/>
              <w:left w:val="nil"/>
              <w:bottom w:val="nil"/>
              <w:right w:val="single" w:sz="4" w:space="0" w:color="auto"/>
            </w:tcBorders>
            <w:shd w:val="clear" w:color="auto" w:fill="auto"/>
            <w:noWrap/>
            <w:vAlign w:val="bottom"/>
            <w:hideMark/>
          </w:tcPr>
          <w:p w14:paraId="55DAC0A1"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1279" w:type="dxa"/>
            <w:tcBorders>
              <w:top w:val="nil"/>
              <w:left w:val="single" w:sz="4" w:space="0" w:color="auto"/>
              <w:bottom w:val="nil"/>
              <w:right w:val="nil"/>
            </w:tcBorders>
            <w:shd w:val="clear" w:color="auto" w:fill="auto"/>
            <w:noWrap/>
            <w:vAlign w:val="bottom"/>
            <w:hideMark/>
          </w:tcPr>
          <w:p w14:paraId="441CC0D9"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888" w:type="dxa"/>
            <w:tcBorders>
              <w:top w:val="nil"/>
              <w:left w:val="nil"/>
              <w:bottom w:val="nil"/>
              <w:right w:val="single" w:sz="4" w:space="0" w:color="auto"/>
            </w:tcBorders>
            <w:shd w:val="clear" w:color="auto" w:fill="auto"/>
            <w:noWrap/>
            <w:vAlign w:val="bottom"/>
            <w:hideMark/>
          </w:tcPr>
          <w:p w14:paraId="1E1F0EF0"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1.060</w:t>
            </w:r>
          </w:p>
        </w:tc>
        <w:tc>
          <w:tcPr>
            <w:tcW w:w="910" w:type="dxa"/>
            <w:tcBorders>
              <w:top w:val="nil"/>
              <w:left w:val="single" w:sz="4" w:space="0" w:color="auto"/>
              <w:bottom w:val="nil"/>
              <w:right w:val="nil"/>
            </w:tcBorders>
            <w:shd w:val="clear" w:color="auto" w:fill="auto"/>
            <w:noWrap/>
            <w:vAlign w:val="bottom"/>
            <w:hideMark/>
          </w:tcPr>
          <w:p w14:paraId="288CD951"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1.430</w:t>
            </w:r>
          </w:p>
        </w:tc>
        <w:tc>
          <w:tcPr>
            <w:tcW w:w="888" w:type="dxa"/>
            <w:tcBorders>
              <w:top w:val="nil"/>
              <w:left w:val="nil"/>
              <w:bottom w:val="nil"/>
              <w:right w:val="single" w:sz="4" w:space="0" w:color="auto"/>
            </w:tcBorders>
            <w:shd w:val="clear" w:color="auto" w:fill="auto"/>
            <w:noWrap/>
            <w:vAlign w:val="bottom"/>
            <w:hideMark/>
          </w:tcPr>
          <w:p w14:paraId="3E79C0E2"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1.067</w:t>
            </w:r>
          </w:p>
        </w:tc>
        <w:tc>
          <w:tcPr>
            <w:tcW w:w="888" w:type="dxa"/>
            <w:tcBorders>
              <w:top w:val="nil"/>
              <w:left w:val="single" w:sz="4" w:space="0" w:color="auto"/>
              <w:bottom w:val="nil"/>
              <w:right w:val="nil"/>
            </w:tcBorders>
            <w:shd w:val="clear" w:color="auto" w:fill="auto"/>
            <w:noWrap/>
            <w:vAlign w:val="bottom"/>
            <w:hideMark/>
          </w:tcPr>
          <w:p w14:paraId="5FE96A60"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1.700</w:t>
            </w:r>
          </w:p>
        </w:tc>
        <w:tc>
          <w:tcPr>
            <w:tcW w:w="888" w:type="dxa"/>
            <w:tcBorders>
              <w:top w:val="nil"/>
              <w:left w:val="nil"/>
              <w:bottom w:val="nil"/>
              <w:right w:val="single" w:sz="4" w:space="0" w:color="auto"/>
            </w:tcBorders>
            <w:shd w:val="clear" w:color="auto" w:fill="auto"/>
            <w:noWrap/>
            <w:vAlign w:val="bottom"/>
            <w:hideMark/>
          </w:tcPr>
          <w:p w14:paraId="18A2E1A2"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1.118</w:t>
            </w:r>
          </w:p>
        </w:tc>
        <w:tc>
          <w:tcPr>
            <w:tcW w:w="888" w:type="dxa"/>
            <w:tcBorders>
              <w:top w:val="nil"/>
              <w:left w:val="single" w:sz="4" w:space="0" w:color="auto"/>
              <w:bottom w:val="nil"/>
              <w:right w:val="nil"/>
            </w:tcBorders>
            <w:shd w:val="clear" w:color="auto" w:fill="auto"/>
            <w:noWrap/>
            <w:hideMark/>
          </w:tcPr>
          <w:p w14:paraId="3BB6C7E3" w14:textId="70703CC9" w:rsidR="003009B4" w:rsidRPr="00435469" w:rsidRDefault="003009B4" w:rsidP="00955FFB">
            <w:pPr>
              <w:spacing w:after="0" w:line="240" w:lineRule="auto"/>
              <w:jc w:val="center"/>
              <w:rPr>
                <w:rFonts w:eastAsia="Times New Roman" w:cs="Times New Roman"/>
                <w:sz w:val="16"/>
                <w:szCs w:val="16"/>
                <w:lang w:eastAsia="en-ZA"/>
              </w:rPr>
            </w:pPr>
            <w:r w:rsidRPr="00435469">
              <w:rPr>
                <w:sz w:val="16"/>
                <w:szCs w:val="16"/>
              </w:rPr>
              <w:t>2.955</w:t>
            </w:r>
          </w:p>
        </w:tc>
        <w:tc>
          <w:tcPr>
            <w:tcW w:w="888" w:type="dxa"/>
            <w:tcBorders>
              <w:top w:val="nil"/>
              <w:left w:val="nil"/>
              <w:bottom w:val="nil"/>
              <w:right w:val="nil"/>
            </w:tcBorders>
            <w:shd w:val="clear" w:color="auto" w:fill="auto"/>
            <w:noWrap/>
            <w:hideMark/>
          </w:tcPr>
          <w:p w14:paraId="6E1F269B" w14:textId="575EF7D4" w:rsidR="003009B4" w:rsidRPr="00435469" w:rsidRDefault="003009B4" w:rsidP="00955FFB">
            <w:pPr>
              <w:spacing w:after="0" w:line="240" w:lineRule="auto"/>
              <w:jc w:val="right"/>
              <w:rPr>
                <w:rFonts w:eastAsia="Times New Roman" w:cs="Times New Roman"/>
                <w:sz w:val="16"/>
                <w:szCs w:val="16"/>
                <w:lang w:eastAsia="en-ZA"/>
              </w:rPr>
            </w:pPr>
            <w:r w:rsidRPr="00435469">
              <w:rPr>
                <w:sz w:val="16"/>
                <w:szCs w:val="16"/>
              </w:rPr>
              <w:t>1.413</w:t>
            </w:r>
          </w:p>
        </w:tc>
      </w:tr>
      <w:tr w:rsidR="00304411" w:rsidRPr="00435469" w14:paraId="53DB4FC6" w14:textId="77777777" w:rsidTr="00785996">
        <w:trPr>
          <w:trHeight w:val="261"/>
        </w:trPr>
        <w:tc>
          <w:tcPr>
            <w:tcW w:w="888" w:type="dxa"/>
            <w:tcBorders>
              <w:top w:val="nil"/>
              <w:left w:val="nil"/>
              <w:bottom w:val="nil"/>
              <w:right w:val="nil"/>
            </w:tcBorders>
            <w:shd w:val="clear" w:color="auto" w:fill="auto"/>
            <w:noWrap/>
            <w:vAlign w:val="bottom"/>
            <w:hideMark/>
          </w:tcPr>
          <w:p w14:paraId="2315AD34"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31</w:t>
            </w:r>
          </w:p>
        </w:tc>
        <w:tc>
          <w:tcPr>
            <w:tcW w:w="888" w:type="dxa"/>
            <w:tcBorders>
              <w:top w:val="nil"/>
              <w:left w:val="nil"/>
              <w:bottom w:val="nil"/>
              <w:right w:val="nil"/>
            </w:tcBorders>
            <w:shd w:val="clear" w:color="auto" w:fill="auto"/>
            <w:noWrap/>
            <w:vAlign w:val="bottom"/>
            <w:hideMark/>
          </w:tcPr>
          <w:p w14:paraId="11A27292"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1.088</w:t>
            </w:r>
          </w:p>
        </w:tc>
        <w:tc>
          <w:tcPr>
            <w:tcW w:w="888" w:type="dxa"/>
            <w:tcBorders>
              <w:top w:val="nil"/>
              <w:left w:val="nil"/>
              <w:bottom w:val="nil"/>
              <w:right w:val="single" w:sz="4" w:space="0" w:color="auto"/>
            </w:tcBorders>
            <w:shd w:val="clear" w:color="auto" w:fill="auto"/>
            <w:noWrap/>
            <w:vAlign w:val="bottom"/>
            <w:hideMark/>
          </w:tcPr>
          <w:p w14:paraId="2011F3E1"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1279" w:type="dxa"/>
            <w:tcBorders>
              <w:top w:val="nil"/>
              <w:left w:val="single" w:sz="4" w:space="0" w:color="auto"/>
              <w:bottom w:val="nil"/>
              <w:right w:val="nil"/>
            </w:tcBorders>
            <w:shd w:val="clear" w:color="auto" w:fill="auto"/>
            <w:noWrap/>
            <w:vAlign w:val="bottom"/>
            <w:hideMark/>
          </w:tcPr>
          <w:p w14:paraId="6BC5B1FD"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888" w:type="dxa"/>
            <w:tcBorders>
              <w:top w:val="nil"/>
              <w:left w:val="nil"/>
              <w:bottom w:val="nil"/>
              <w:right w:val="single" w:sz="4" w:space="0" w:color="auto"/>
            </w:tcBorders>
            <w:shd w:val="clear" w:color="auto" w:fill="auto"/>
            <w:noWrap/>
            <w:vAlign w:val="bottom"/>
            <w:hideMark/>
          </w:tcPr>
          <w:p w14:paraId="1A4A1A0B"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1.060</w:t>
            </w:r>
          </w:p>
        </w:tc>
        <w:tc>
          <w:tcPr>
            <w:tcW w:w="910" w:type="dxa"/>
            <w:tcBorders>
              <w:top w:val="nil"/>
              <w:left w:val="single" w:sz="4" w:space="0" w:color="auto"/>
              <w:bottom w:val="nil"/>
              <w:right w:val="nil"/>
            </w:tcBorders>
            <w:shd w:val="clear" w:color="auto" w:fill="auto"/>
            <w:noWrap/>
            <w:vAlign w:val="bottom"/>
            <w:hideMark/>
          </w:tcPr>
          <w:p w14:paraId="27D5D776"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1.450</w:t>
            </w:r>
          </w:p>
        </w:tc>
        <w:tc>
          <w:tcPr>
            <w:tcW w:w="888" w:type="dxa"/>
            <w:tcBorders>
              <w:top w:val="nil"/>
              <w:left w:val="nil"/>
              <w:bottom w:val="nil"/>
              <w:right w:val="single" w:sz="4" w:space="0" w:color="auto"/>
            </w:tcBorders>
            <w:shd w:val="clear" w:color="auto" w:fill="auto"/>
            <w:noWrap/>
            <w:vAlign w:val="bottom"/>
            <w:hideMark/>
          </w:tcPr>
          <w:p w14:paraId="51B79DF0"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1.069</w:t>
            </w:r>
          </w:p>
        </w:tc>
        <w:tc>
          <w:tcPr>
            <w:tcW w:w="888" w:type="dxa"/>
            <w:tcBorders>
              <w:top w:val="nil"/>
              <w:left w:val="single" w:sz="4" w:space="0" w:color="auto"/>
              <w:bottom w:val="nil"/>
              <w:right w:val="nil"/>
            </w:tcBorders>
            <w:shd w:val="clear" w:color="auto" w:fill="auto"/>
            <w:noWrap/>
            <w:vAlign w:val="bottom"/>
            <w:hideMark/>
          </w:tcPr>
          <w:p w14:paraId="0C32D263"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1.700</w:t>
            </w:r>
          </w:p>
        </w:tc>
        <w:tc>
          <w:tcPr>
            <w:tcW w:w="888" w:type="dxa"/>
            <w:tcBorders>
              <w:top w:val="nil"/>
              <w:left w:val="nil"/>
              <w:bottom w:val="nil"/>
              <w:right w:val="single" w:sz="4" w:space="0" w:color="auto"/>
            </w:tcBorders>
            <w:shd w:val="clear" w:color="auto" w:fill="auto"/>
            <w:noWrap/>
            <w:vAlign w:val="bottom"/>
            <w:hideMark/>
          </w:tcPr>
          <w:p w14:paraId="14BDDD69"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1.118</w:t>
            </w:r>
          </w:p>
        </w:tc>
        <w:tc>
          <w:tcPr>
            <w:tcW w:w="888" w:type="dxa"/>
            <w:tcBorders>
              <w:top w:val="nil"/>
              <w:left w:val="single" w:sz="4" w:space="0" w:color="auto"/>
              <w:bottom w:val="nil"/>
              <w:right w:val="nil"/>
            </w:tcBorders>
            <w:shd w:val="clear" w:color="auto" w:fill="auto"/>
            <w:noWrap/>
            <w:hideMark/>
          </w:tcPr>
          <w:p w14:paraId="52E3B685" w14:textId="45804103" w:rsidR="003009B4" w:rsidRPr="00435469" w:rsidRDefault="003009B4" w:rsidP="00955FFB">
            <w:pPr>
              <w:spacing w:after="0" w:line="240" w:lineRule="auto"/>
              <w:jc w:val="center"/>
              <w:rPr>
                <w:rFonts w:eastAsia="Times New Roman" w:cs="Times New Roman"/>
                <w:sz w:val="16"/>
                <w:szCs w:val="16"/>
                <w:lang w:eastAsia="en-ZA"/>
              </w:rPr>
            </w:pPr>
            <w:r w:rsidRPr="00435469">
              <w:rPr>
                <w:sz w:val="16"/>
                <w:szCs w:val="16"/>
              </w:rPr>
              <w:t>2.997</w:t>
            </w:r>
          </w:p>
        </w:tc>
        <w:tc>
          <w:tcPr>
            <w:tcW w:w="888" w:type="dxa"/>
            <w:tcBorders>
              <w:top w:val="nil"/>
              <w:left w:val="nil"/>
              <w:bottom w:val="nil"/>
              <w:right w:val="nil"/>
            </w:tcBorders>
            <w:shd w:val="clear" w:color="auto" w:fill="auto"/>
            <w:noWrap/>
            <w:hideMark/>
          </w:tcPr>
          <w:p w14:paraId="04DE010F" w14:textId="1920EAF8" w:rsidR="003009B4" w:rsidRPr="00435469" w:rsidRDefault="003009B4" w:rsidP="00955FFB">
            <w:pPr>
              <w:spacing w:after="0" w:line="240" w:lineRule="auto"/>
              <w:jc w:val="right"/>
              <w:rPr>
                <w:rFonts w:eastAsia="Times New Roman" w:cs="Times New Roman"/>
                <w:sz w:val="16"/>
                <w:szCs w:val="16"/>
                <w:lang w:eastAsia="en-ZA"/>
              </w:rPr>
            </w:pPr>
            <w:r w:rsidRPr="00435469">
              <w:rPr>
                <w:sz w:val="16"/>
                <w:szCs w:val="16"/>
              </w:rPr>
              <w:t>1.416</w:t>
            </w:r>
          </w:p>
        </w:tc>
      </w:tr>
      <w:tr w:rsidR="00304411" w:rsidRPr="00435469" w14:paraId="4C577D5F" w14:textId="77777777" w:rsidTr="00785996">
        <w:trPr>
          <w:trHeight w:val="261"/>
        </w:trPr>
        <w:tc>
          <w:tcPr>
            <w:tcW w:w="888" w:type="dxa"/>
            <w:tcBorders>
              <w:top w:val="nil"/>
              <w:left w:val="nil"/>
              <w:bottom w:val="nil"/>
              <w:right w:val="nil"/>
            </w:tcBorders>
            <w:shd w:val="clear" w:color="auto" w:fill="auto"/>
            <w:noWrap/>
            <w:vAlign w:val="bottom"/>
            <w:hideMark/>
          </w:tcPr>
          <w:p w14:paraId="1F904908"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32</w:t>
            </w:r>
          </w:p>
        </w:tc>
        <w:tc>
          <w:tcPr>
            <w:tcW w:w="888" w:type="dxa"/>
            <w:tcBorders>
              <w:top w:val="nil"/>
              <w:left w:val="nil"/>
              <w:bottom w:val="nil"/>
              <w:right w:val="nil"/>
            </w:tcBorders>
            <w:shd w:val="clear" w:color="auto" w:fill="auto"/>
            <w:noWrap/>
            <w:vAlign w:val="bottom"/>
            <w:hideMark/>
          </w:tcPr>
          <w:p w14:paraId="7D4E732C"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1.088</w:t>
            </w:r>
          </w:p>
        </w:tc>
        <w:tc>
          <w:tcPr>
            <w:tcW w:w="888" w:type="dxa"/>
            <w:tcBorders>
              <w:top w:val="nil"/>
              <w:left w:val="nil"/>
              <w:bottom w:val="nil"/>
              <w:right w:val="single" w:sz="4" w:space="0" w:color="auto"/>
            </w:tcBorders>
            <w:shd w:val="clear" w:color="auto" w:fill="auto"/>
            <w:noWrap/>
            <w:vAlign w:val="bottom"/>
            <w:hideMark/>
          </w:tcPr>
          <w:p w14:paraId="45A552D3"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1279" w:type="dxa"/>
            <w:tcBorders>
              <w:top w:val="nil"/>
              <w:left w:val="single" w:sz="4" w:space="0" w:color="auto"/>
              <w:bottom w:val="nil"/>
              <w:right w:val="nil"/>
            </w:tcBorders>
            <w:shd w:val="clear" w:color="auto" w:fill="auto"/>
            <w:noWrap/>
            <w:vAlign w:val="bottom"/>
            <w:hideMark/>
          </w:tcPr>
          <w:p w14:paraId="72673B98"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888" w:type="dxa"/>
            <w:tcBorders>
              <w:top w:val="nil"/>
              <w:left w:val="nil"/>
              <w:bottom w:val="nil"/>
              <w:right w:val="single" w:sz="4" w:space="0" w:color="auto"/>
            </w:tcBorders>
            <w:shd w:val="clear" w:color="auto" w:fill="auto"/>
            <w:noWrap/>
            <w:vAlign w:val="bottom"/>
            <w:hideMark/>
          </w:tcPr>
          <w:p w14:paraId="7D663957"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1.060</w:t>
            </w:r>
          </w:p>
        </w:tc>
        <w:tc>
          <w:tcPr>
            <w:tcW w:w="910" w:type="dxa"/>
            <w:tcBorders>
              <w:top w:val="nil"/>
              <w:left w:val="single" w:sz="4" w:space="0" w:color="auto"/>
              <w:bottom w:val="nil"/>
              <w:right w:val="nil"/>
            </w:tcBorders>
            <w:shd w:val="clear" w:color="auto" w:fill="auto"/>
            <w:noWrap/>
            <w:vAlign w:val="bottom"/>
            <w:hideMark/>
          </w:tcPr>
          <w:p w14:paraId="55B2BA03"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1.471</w:t>
            </w:r>
          </w:p>
        </w:tc>
        <w:tc>
          <w:tcPr>
            <w:tcW w:w="888" w:type="dxa"/>
            <w:tcBorders>
              <w:top w:val="nil"/>
              <w:left w:val="nil"/>
              <w:bottom w:val="nil"/>
              <w:right w:val="single" w:sz="4" w:space="0" w:color="auto"/>
            </w:tcBorders>
            <w:shd w:val="clear" w:color="auto" w:fill="auto"/>
            <w:noWrap/>
            <w:vAlign w:val="bottom"/>
            <w:hideMark/>
          </w:tcPr>
          <w:p w14:paraId="4496E539"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1.071</w:t>
            </w:r>
          </w:p>
        </w:tc>
        <w:tc>
          <w:tcPr>
            <w:tcW w:w="888" w:type="dxa"/>
            <w:tcBorders>
              <w:top w:val="nil"/>
              <w:left w:val="single" w:sz="4" w:space="0" w:color="auto"/>
              <w:bottom w:val="nil"/>
              <w:right w:val="nil"/>
            </w:tcBorders>
            <w:shd w:val="clear" w:color="auto" w:fill="auto"/>
            <w:noWrap/>
            <w:vAlign w:val="bottom"/>
            <w:hideMark/>
          </w:tcPr>
          <w:p w14:paraId="6BE49744"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1.700</w:t>
            </w:r>
          </w:p>
        </w:tc>
        <w:tc>
          <w:tcPr>
            <w:tcW w:w="888" w:type="dxa"/>
            <w:tcBorders>
              <w:top w:val="nil"/>
              <w:left w:val="nil"/>
              <w:bottom w:val="nil"/>
              <w:right w:val="single" w:sz="4" w:space="0" w:color="auto"/>
            </w:tcBorders>
            <w:shd w:val="clear" w:color="auto" w:fill="auto"/>
            <w:noWrap/>
            <w:vAlign w:val="bottom"/>
            <w:hideMark/>
          </w:tcPr>
          <w:p w14:paraId="3B8C0A8F"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1.118</w:t>
            </w:r>
          </w:p>
        </w:tc>
        <w:tc>
          <w:tcPr>
            <w:tcW w:w="888" w:type="dxa"/>
            <w:tcBorders>
              <w:top w:val="nil"/>
              <w:left w:val="single" w:sz="4" w:space="0" w:color="auto"/>
              <w:bottom w:val="nil"/>
              <w:right w:val="nil"/>
            </w:tcBorders>
            <w:shd w:val="clear" w:color="auto" w:fill="auto"/>
            <w:noWrap/>
            <w:hideMark/>
          </w:tcPr>
          <w:p w14:paraId="067DD75C" w14:textId="2A6A30B6" w:rsidR="003009B4" w:rsidRPr="00435469" w:rsidRDefault="003009B4" w:rsidP="00955FFB">
            <w:pPr>
              <w:spacing w:after="0" w:line="240" w:lineRule="auto"/>
              <w:jc w:val="center"/>
              <w:rPr>
                <w:rFonts w:eastAsia="Times New Roman" w:cs="Times New Roman"/>
                <w:sz w:val="16"/>
                <w:szCs w:val="16"/>
                <w:lang w:eastAsia="en-ZA"/>
              </w:rPr>
            </w:pPr>
            <w:r w:rsidRPr="00435469">
              <w:rPr>
                <w:sz w:val="16"/>
                <w:szCs w:val="16"/>
              </w:rPr>
              <w:t>3.040</w:t>
            </w:r>
          </w:p>
        </w:tc>
        <w:tc>
          <w:tcPr>
            <w:tcW w:w="888" w:type="dxa"/>
            <w:tcBorders>
              <w:top w:val="nil"/>
              <w:left w:val="nil"/>
              <w:bottom w:val="nil"/>
              <w:right w:val="nil"/>
            </w:tcBorders>
            <w:shd w:val="clear" w:color="auto" w:fill="auto"/>
            <w:noWrap/>
            <w:hideMark/>
          </w:tcPr>
          <w:p w14:paraId="24BB9BDF" w14:textId="01DE27BF" w:rsidR="003009B4" w:rsidRPr="00435469" w:rsidRDefault="003009B4" w:rsidP="00955FFB">
            <w:pPr>
              <w:spacing w:after="0" w:line="240" w:lineRule="auto"/>
              <w:jc w:val="right"/>
              <w:rPr>
                <w:rFonts w:eastAsia="Times New Roman" w:cs="Times New Roman"/>
                <w:sz w:val="16"/>
                <w:szCs w:val="16"/>
                <w:lang w:eastAsia="en-ZA"/>
              </w:rPr>
            </w:pPr>
            <w:r w:rsidRPr="00435469">
              <w:rPr>
                <w:sz w:val="16"/>
                <w:szCs w:val="16"/>
              </w:rPr>
              <w:t>1.419</w:t>
            </w:r>
          </w:p>
        </w:tc>
      </w:tr>
      <w:tr w:rsidR="00304411" w:rsidRPr="00435469" w14:paraId="5DB4AD30" w14:textId="77777777" w:rsidTr="00785996">
        <w:trPr>
          <w:trHeight w:val="261"/>
        </w:trPr>
        <w:tc>
          <w:tcPr>
            <w:tcW w:w="888" w:type="dxa"/>
            <w:tcBorders>
              <w:top w:val="nil"/>
              <w:left w:val="nil"/>
              <w:bottom w:val="nil"/>
              <w:right w:val="nil"/>
            </w:tcBorders>
            <w:shd w:val="clear" w:color="auto" w:fill="auto"/>
            <w:noWrap/>
            <w:vAlign w:val="bottom"/>
            <w:hideMark/>
          </w:tcPr>
          <w:p w14:paraId="53718AAA"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33</w:t>
            </w:r>
          </w:p>
        </w:tc>
        <w:tc>
          <w:tcPr>
            <w:tcW w:w="888" w:type="dxa"/>
            <w:tcBorders>
              <w:top w:val="nil"/>
              <w:left w:val="nil"/>
              <w:bottom w:val="nil"/>
              <w:right w:val="nil"/>
            </w:tcBorders>
            <w:shd w:val="clear" w:color="auto" w:fill="auto"/>
            <w:noWrap/>
            <w:vAlign w:val="bottom"/>
            <w:hideMark/>
          </w:tcPr>
          <w:p w14:paraId="45E17DD7"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1.088</w:t>
            </w:r>
          </w:p>
        </w:tc>
        <w:tc>
          <w:tcPr>
            <w:tcW w:w="888" w:type="dxa"/>
            <w:tcBorders>
              <w:top w:val="nil"/>
              <w:left w:val="nil"/>
              <w:bottom w:val="nil"/>
              <w:right w:val="single" w:sz="4" w:space="0" w:color="auto"/>
            </w:tcBorders>
            <w:shd w:val="clear" w:color="auto" w:fill="auto"/>
            <w:noWrap/>
            <w:vAlign w:val="bottom"/>
            <w:hideMark/>
          </w:tcPr>
          <w:p w14:paraId="76A57206"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1279" w:type="dxa"/>
            <w:tcBorders>
              <w:top w:val="nil"/>
              <w:left w:val="single" w:sz="4" w:space="0" w:color="auto"/>
              <w:bottom w:val="nil"/>
              <w:right w:val="nil"/>
            </w:tcBorders>
            <w:shd w:val="clear" w:color="auto" w:fill="auto"/>
            <w:noWrap/>
            <w:vAlign w:val="bottom"/>
            <w:hideMark/>
          </w:tcPr>
          <w:p w14:paraId="441456FA"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888" w:type="dxa"/>
            <w:tcBorders>
              <w:top w:val="nil"/>
              <w:left w:val="nil"/>
              <w:bottom w:val="nil"/>
              <w:right w:val="single" w:sz="4" w:space="0" w:color="auto"/>
            </w:tcBorders>
            <w:shd w:val="clear" w:color="auto" w:fill="auto"/>
            <w:noWrap/>
            <w:vAlign w:val="bottom"/>
            <w:hideMark/>
          </w:tcPr>
          <w:p w14:paraId="5B5985F7"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1.060</w:t>
            </w:r>
          </w:p>
        </w:tc>
        <w:tc>
          <w:tcPr>
            <w:tcW w:w="910" w:type="dxa"/>
            <w:tcBorders>
              <w:top w:val="nil"/>
              <w:left w:val="single" w:sz="4" w:space="0" w:color="auto"/>
              <w:bottom w:val="nil"/>
              <w:right w:val="nil"/>
            </w:tcBorders>
            <w:shd w:val="clear" w:color="auto" w:fill="auto"/>
            <w:noWrap/>
            <w:vAlign w:val="bottom"/>
            <w:hideMark/>
          </w:tcPr>
          <w:p w14:paraId="14754A12"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1.492</w:t>
            </w:r>
          </w:p>
        </w:tc>
        <w:tc>
          <w:tcPr>
            <w:tcW w:w="888" w:type="dxa"/>
            <w:tcBorders>
              <w:top w:val="nil"/>
              <w:left w:val="nil"/>
              <w:bottom w:val="nil"/>
              <w:right w:val="single" w:sz="4" w:space="0" w:color="auto"/>
            </w:tcBorders>
            <w:shd w:val="clear" w:color="auto" w:fill="auto"/>
            <w:noWrap/>
            <w:vAlign w:val="bottom"/>
            <w:hideMark/>
          </w:tcPr>
          <w:p w14:paraId="72A7593F"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1.074</w:t>
            </w:r>
          </w:p>
        </w:tc>
        <w:tc>
          <w:tcPr>
            <w:tcW w:w="888" w:type="dxa"/>
            <w:tcBorders>
              <w:top w:val="nil"/>
              <w:left w:val="single" w:sz="4" w:space="0" w:color="auto"/>
              <w:bottom w:val="nil"/>
              <w:right w:val="nil"/>
            </w:tcBorders>
            <w:shd w:val="clear" w:color="auto" w:fill="auto"/>
            <w:noWrap/>
            <w:vAlign w:val="bottom"/>
            <w:hideMark/>
          </w:tcPr>
          <w:p w14:paraId="1917B562"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1.700</w:t>
            </w:r>
          </w:p>
        </w:tc>
        <w:tc>
          <w:tcPr>
            <w:tcW w:w="888" w:type="dxa"/>
            <w:tcBorders>
              <w:top w:val="nil"/>
              <w:left w:val="nil"/>
              <w:bottom w:val="nil"/>
              <w:right w:val="single" w:sz="4" w:space="0" w:color="auto"/>
            </w:tcBorders>
            <w:shd w:val="clear" w:color="auto" w:fill="auto"/>
            <w:noWrap/>
            <w:vAlign w:val="bottom"/>
            <w:hideMark/>
          </w:tcPr>
          <w:p w14:paraId="3D962EDE"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1.118</w:t>
            </w:r>
          </w:p>
        </w:tc>
        <w:tc>
          <w:tcPr>
            <w:tcW w:w="888" w:type="dxa"/>
            <w:tcBorders>
              <w:top w:val="nil"/>
              <w:left w:val="single" w:sz="4" w:space="0" w:color="auto"/>
              <w:bottom w:val="nil"/>
              <w:right w:val="nil"/>
            </w:tcBorders>
            <w:shd w:val="clear" w:color="auto" w:fill="auto"/>
            <w:noWrap/>
            <w:hideMark/>
          </w:tcPr>
          <w:p w14:paraId="4590D251" w14:textId="13007F9D" w:rsidR="003009B4" w:rsidRPr="00435469" w:rsidRDefault="003009B4" w:rsidP="00955FFB">
            <w:pPr>
              <w:spacing w:after="0" w:line="240" w:lineRule="auto"/>
              <w:jc w:val="center"/>
              <w:rPr>
                <w:rFonts w:eastAsia="Times New Roman" w:cs="Times New Roman"/>
                <w:sz w:val="16"/>
                <w:szCs w:val="16"/>
                <w:lang w:eastAsia="en-ZA"/>
              </w:rPr>
            </w:pPr>
            <w:r w:rsidRPr="00435469">
              <w:rPr>
                <w:sz w:val="16"/>
                <w:szCs w:val="16"/>
              </w:rPr>
              <w:t>3.084</w:t>
            </w:r>
          </w:p>
        </w:tc>
        <w:tc>
          <w:tcPr>
            <w:tcW w:w="888" w:type="dxa"/>
            <w:tcBorders>
              <w:top w:val="nil"/>
              <w:left w:val="nil"/>
              <w:bottom w:val="nil"/>
              <w:right w:val="nil"/>
            </w:tcBorders>
            <w:shd w:val="clear" w:color="auto" w:fill="auto"/>
            <w:noWrap/>
            <w:hideMark/>
          </w:tcPr>
          <w:p w14:paraId="5FE134D5" w14:textId="30CD7F5B" w:rsidR="003009B4" w:rsidRPr="00435469" w:rsidRDefault="003009B4" w:rsidP="00955FFB">
            <w:pPr>
              <w:spacing w:after="0" w:line="240" w:lineRule="auto"/>
              <w:jc w:val="right"/>
              <w:rPr>
                <w:rFonts w:eastAsia="Times New Roman" w:cs="Times New Roman"/>
                <w:sz w:val="16"/>
                <w:szCs w:val="16"/>
                <w:lang w:eastAsia="en-ZA"/>
              </w:rPr>
            </w:pPr>
            <w:r w:rsidRPr="00435469">
              <w:rPr>
                <w:sz w:val="16"/>
                <w:szCs w:val="16"/>
              </w:rPr>
              <w:t>1.421</w:t>
            </w:r>
          </w:p>
        </w:tc>
      </w:tr>
      <w:tr w:rsidR="00304411" w:rsidRPr="00435469" w14:paraId="3DF7CCE6" w14:textId="77777777" w:rsidTr="00785996">
        <w:trPr>
          <w:trHeight w:val="261"/>
        </w:trPr>
        <w:tc>
          <w:tcPr>
            <w:tcW w:w="888" w:type="dxa"/>
            <w:tcBorders>
              <w:top w:val="nil"/>
              <w:left w:val="nil"/>
              <w:bottom w:val="nil"/>
              <w:right w:val="nil"/>
            </w:tcBorders>
            <w:shd w:val="clear" w:color="auto" w:fill="auto"/>
            <w:noWrap/>
            <w:vAlign w:val="bottom"/>
            <w:hideMark/>
          </w:tcPr>
          <w:p w14:paraId="7764F429"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34</w:t>
            </w:r>
          </w:p>
        </w:tc>
        <w:tc>
          <w:tcPr>
            <w:tcW w:w="888" w:type="dxa"/>
            <w:tcBorders>
              <w:top w:val="nil"/>
              <w:left w:val="nil"/>
              <w:bottom w:val="nil"/>
              <w:right w:val="nil"/>
            </w:tcBorders>
            <w:shd w:val="clear" w:color="auto" w:fill="auto"/>
            <w:noWrap/>
            <w:vAlign w:val="bottom"/>
            <w:hideMark/>
          </w:tcPr>
          <w:p w14:paraId="76F7AE0B"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1.088</w:t>
            </w:r>
          </w:p>
        </w:tc>
        <w:tc>
          <w:tcPr>
            <w:tcW w:w="888" w:type="dxa"/>
            <w:tcBorders>
              <w:top w:val="nil"/>
              <w:left w:val="nil"/>
              <w:bottom w:val="nil"/>
              <w:right w:val="single" w:sz="4" w:space="0" w:color="auto"/>
            </w:tcBorders>
            <w:shd w:val="clear" w:color="auto" w:fill="auto"/>
            <w:noWrap/>
            <w:vAlign w:val="bottom"/>
            <w:hideMark/>
          </w:tcPr>
          <w:p w14:paraId="16DCE498"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1279" w:type="dxa"/>
            <w:tcBorders>
              <w:top w:val="nil"/>
              <w:left w:val="single" w:sz="4" w:space="0" w:color="auto"/>
              <w:bottom w:val="nil"/>
              <w:right w:val="nil"/>
            </w:tcBorders>
            <w:shd w:val="clear" w:color="auto" w:fill="auto"/>
            <w:noWrap/>
            <w:vAlign w:val="bottom"/>
            <w:hideMark/>
          </w:tcPr>
          <w:p w14:paraId="333A53CA"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1.117</w:t>
            </w:r>
          </w:p>
        </w:tc>
        <w:tc>
          <w:tcPr>
            <w:tcW w:w="888" w:type="dxa"/>
            <w:tcBorders>
              <w:top w:val="nil"/>
              <w:left w:val="nil"/>
              <w:bottom w:val="nil"/>
              <w:right w:val="single" w:sz="4" w:space="0" w:color="auto"/>
            </w:tcBorders>
            <w:shd w:val="clear" w:color="auto" w:fill="auto"/>
            <w:noWrap/>
            <w:vAlign w:val="bottom"/>
            <w:hideMark/>
          </w:tcPr>
          <w:p w14:paraId="5FAD4B8A"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1.060</w:t>
            </w:r>
          </w:p>
        </w:tc>
        <w:tc>
          <w:tcPr>
            <w:tcW w:w="910" w:type="dxa"/>
            <w:tcBorders>
              <w:top w:val="nil"/>
              <w:left w:val="single" w:sz="4" w:space="0" w:color="auto"/>
              <w:bottom w:val="nil"/>
              <w:right w:val="nil"/>
            </w:tcBorders>
            <w:shd w:val="clear" w:color="auto" w:fill="auto"/>
            <w:noWrap/>
            <w:vAlign w:val="bottom"/>
            <w:hideMark/>
          </w:tcPr>
          <w:p w14:paraId="1637E133"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1.514</w:t>
            </w:r>
          </w:p>
        </w:tc>
        <w:tc>
          <w:tcPr>
            <w:tcW w:w="888" w:type="dxa"/>
            <w:tcBorders>
              <w:top w:val="nil"/>
              <w:left w:val="nil"/>
              <w:bottom w:val="nil"/>
              <w:right w:val="single" w:sz="4" w:space="0" w:color="auto"/>
            </w:tcBorders>
            <w:shd w:val="clear" w:color="auto" w:fill="auto"/>
            <w:noWrap/>
            <w:vAlign w:val="bottom"/>
            <w:hideMark/>
          </w:tcPr>
          <w:p w14:paraId="78C722DD"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1.076</w:t>
            </w:r>
          </w:p>
        </w:tc>
        <w:tc>
          <w:tcPr>
            <w:tcW w:w="888" w:type="dxa"/>
            <w:tcBorders>
              <w:top w:val="nil"/>
              <w:left w:val="single" w:sz="4" w:space="0" w:color="auto"/>
              <w:bottom w:val="nil"/>
              <w:right w:val="nil"/>
            </w:tcBorders>
            <w:shd w:val="clear" w:color="auto" w:fill="auto"/>
            <w:noWrap/>
            <w:vAlign w:val="bottom"/>
            <w:hideMark/>
          </w:tcPr>
          <w:p w14:paraId="0A91611D"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1.700</w:t>
            </w:r>
          </w:p>
        </w:tc>
        <w:tc>
          <w:tcPr>
            <w:tcW w:w="888" w:type="dxa"/>
            <w:tcBorders>
              <w:top w:val="nil"/>
              <w:left w:val="nil"/>
              <w:bottom w:val="nil"/>
              <w:right w:val="single" w:sz="4" w:space="0" w:color="auto"/>
            </w:tcBorders>
            <w:shd w:val="clear" w:color="auto" w:fill="auto"/>
            <w:noWrap/>
            <w:vAlign w:val="bottom"/>
            <w:hideMark/>
          </w:tcPr>
          <w:p w14:paraId="06474D83" w14:textId="77777777" w:rsidR="003009B4" w:rsidRPr="00435469" w:rsidRDefault="003009B4"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1.118</w:t>
            </w:r>
          </w:p>
        </w:tc>
        <w:tc>
          <w:tcPr>
            <w:tcW w:w="888" w:type="dxa"/>
            <w:tcBorders>
              <w:top w:val="nil"/>
              <w:left w:val="single" w:sz="4" w:space="0" w:color="auto"/>
              <w:bottom w:val="nil"/>
              <w:right w:val="nil"/>
            </w:tcBorders>
            <w:shd w:val="clear" w:color="auto" w:fill="auto"/>
            <w:noWrap/>
            <w:hideMark/>
          </w:tcPr>
          <w:p w14:paraId="78754200" w14:textId="6C6B86FF" w:rsidR="003009B4" w:rsidRPr="00435469" w:rsidRDefault="003009B4" w:rsidP="00955FFB">
            <w:pPr>
              <w:spacing w:after="0" w:line="240" w:lineRule="auto"/>
              <w:jc w:val="center"/>
              <w:rPr>
                <w:rFonts w:eastAsia="Times New Roman" w:cs="Times New Roman"/>
                <w:sz w:val="16"/>
                <w:szCs w:val="16"/>
                <w:lang w:eastAsia="en-ZA"/>
              </w:rPr>
            </w:pPr>
            <w:r w:rsidRPr="00435469">
              <w:rPr>
                <w:sz w:val="16"/>
                <w:szCs w:val="16"/>
              </w:rPr>
              <w:t>3.128</w:t>
            </w:r>
          </w:p>
        </w:tc>
        <w:tc>
          <w:tcPr>
            <w:tcW w:w="888" w:type="dxa"/>
            <w:tcBorders>
              <w:top w:val="nil"/>
              <w:left w:val="nil"/>
              <w:bottom w:val="nil"/>
              <w:right w:val="nil"/>
            </w:tcBorders>
            <w:shd w:val="clear" w:color="auto" w:fill="auto"/>
            <w:noWrap/>
            <w:hideMark/>
          </w:tcPr>
          <w:p w14:paraId="4571E8AB" w14:textId="2766D95D" w:rsidR="003009B4" w:rsidRPr="00435469" w:rsidRDefault="003009B4" w:rsidP="00955FFB">
            <w:pPr>
              <w:spacing w:after="0" w:line="240" w:lineRule="auto"/>
              <w:jc w:val="right"/>
              <w:rPr>
                <w:rFonts w:eastAsia="Times New Roman" w:cs="Times New Roman"/>
                <w:sz w:val="16"/>
                <w:szCs w:val="16"/>
                <w:lang w:eastAsia="en-ZA"/>
              </w:rPr>
            </w:pPr>
            <w:r w:rsidRPr="00435469">
              <w:rPr>
                <w:sz w:val="16"/>
                <w:szCs w:val="16"/>
              </w:rPr>
              <w:t>1.424</w:t>
            </w:r>
          </w:p>
        </w:tc>
      </w:tr>
      <w:tr w:rsidR="00304411" w:rsidRPr="00435469" w14:paraId="06DAF0C3" w14:textId="77777777" w:rsidTr="00CA52C4">
        <w:trPr>
          <w:trHeight w:val="261"/>
        </w:trPr>
        <w:tc>
          <w:tcPr>
            <w:tcW w:w="888" w:type="dxa"/>
            <w:tcBorders>
              <w:top w:val="nil"/>
              <w:left w:val="nil"/>
              <w:bottom w:val="nil"/>
              <w:right w:val="nil"/>
            </w:tcBorders>
            <w:shd w:val="clear" w:color="auto" w:fill="auto"/>
            <w:noWrap/>
            <w:vAlign w:val="bottom"/>
            <w:hideMark/>
          </w:tcPr>
          <w:p w14:paraId="667C7928"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35</w:t>
            </w:r>
          </w:p>
        </w:tc>
        <w:tc>
          <w:tcPr>
            <w:tcW w:w="888" w:type="dxa"/>
            <w:tcBorders>
              <w:top w:val="nil"/>
              <w:left w:val="nil"/>
              <w:bottom w:val="nil"/>
              <w:right w:val="nil"/>
            </w:tcBorders>
            <w:shd w:val="clear" w:color="auto" w:fill="auto"/>
            <w:noWrap/>
            <w:vAlign w:val="bottom"/>
            <w:hideMark/>
          </w:tcPr>
          <w:p w14:paraId="5040D90F"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1.171</w:t>
            </w:r>
          </w:p>
        </w:tc>
        <w:tc>
          <w:tcPr>
            <w:tcW w:w="888" w:type="dxa"/>
            <w:tcBorders>
              <w:top w:val="nil"/>
              <w:left w:val="nil"/>
              <w:bottom w:val="nil"/>
              <w:right w:val="single" w:sz="4" w:space="0" w:color="auto"/>
            </w:tcBorders>
            <w:shd w:val="clear" w:color="auto" w:fill="auto"/>
            <w:noWrap/>
            <w:vAlign w:val="bottom"/>
            <w:hideMark/>
          </w:tcPr>
          <w:p w14:paraId="62D3F302"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1.306</w:t>
            </w:r>
          </w:p>
        </w:tc>
        <w:tc>
          <w:tcPr>
            <w:tcW w:w="1279" w:type="dxa"/>
            <w:tcBorders>
              <w:top w:val="nil"/>
              <w:left w:val="single" w:sz="4" w:space="0" w:color="auto"/>
              <w:bottom w:val="nil"/>
              <w:right w:val="nil"/>
            </w:tcBorders>
            <w:shd w:val="clear" w:color="auto" w:fill="auto"/>
            <w:noWrap/>
            <w:vAlign w:val="bottom"/>
            <w:hideMark/>
          </w:tcPr>
          <w:p w14:paraId="781E7667" w14:textId="39134773"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1.208</w:t>
            </w:r>
          </w:p>
        </w:tc>
        <w:tc>
          <w:tcPr>
            <w:tcW w:w="888" w:type="dxa"/>
            <w:tcBorders>
              <w:top w:val="nil"/>
              <w:left w:val="nil"/>
              <w:bottom w:val="nil"/>
              <w:right w:val="single" w:sz="4" w:space="0" w:color="auto"/>
            </w:tcBorders>
            <w:shd w:val="clear" w:color="auto" w:fill="auto"/>
            <w:noWrap/>
            <w:vAlign w:val="bottom"/>
            <w:hideMark/>
          </w:tcPr>
          <w:p w14:paraId="43B15616"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1.051</w:t>
            </w:r>
          </w:p>
        </w:tc>
        <w:tc>
          <w:tcPr>
            <w:tcW w:w="910" w:type="dxa"/>
            <w:tcBorders>
              <w:top w:val="nil"/>
              <w:left w:val="single" w:sz="4" w:space="0" w:color="auto"/>
              <w:bottom w:val="nil"/>
              <w:right w:val="nil"/>
            </w:tcBorders>
            <w:shd w:val="clear" w:color="auto" w:fill="auto"/>
            <w:noWrap/>
            <w:vAlign w:val="bottom"/>
            <w:hideMark/>
          </w:tcPr>
          <w:p w14:paraId="05406FD3"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1.535</w:t>
            </w:r>
          </w:p>
        </w:tc>
        <w:tc>
          <w:tcPr>
            <w:tcW w:w="888" w:type="dxa"/>
            <w:tcBorders>
              <w:top w:val="nil"/>
              <w:left w:val="nil"/>
              <w:bottom w:val="nil"/>
              <w:right w:val="single" w:sz="4" w:space="0" w:color="auto"/>
            </w:tcBorders>
            <w:shd w:val="clear" w:color="auto" w:fill="auto"/>
            <w:noWrap/>
            <w:vAlign w:val="bottom"/>
            <w:hideMark/>
          </w:tcPr>
          <w:p w14:paraId="140E9F5D"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1.078</w:t>
            </w:r>
          </w:p>
        </w:tc>
        <w:tc>
          <w:tcPr>
            <w:tcW w:w="888" w:type="dxa"/>
            <w:tcBorders>
              <w:top w:val="nil"/>
              <w:left w:val="single" w:sz="4" w:space="0" w:color="auto"/>
              <w:bottom w:val="nil"/>
              <w:right w:val="nil"/>
            </w:tcBorders>
            <w:shd w:val="clear" w:color="auto" w:fill="auto"/>
            <w:noWrap/>
            <w:vAlign w:val="bottom"/>
            <w:hideMark/>
          </w:tcPr>
          <w:p w14:paraId="10045E9F"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1.617</w:t>
            </w:r>
          </w:p>
        </w:tc>
        <w:tc>
          <w:tcPr>
            <w:tcW w:w="888" w:type="dxa"/>
            <w:tcBorders>
              <w:top w:val="nil"/>
              <w:left w:val="nil"/>
              <w:bottom w:val="nil"/>
              <w:right w:val="single" w:sz="4" w:space="0" w:color="auto"/>
            </w:tcBorders>
            <w:shd w:val="clear" w:color="auto" w:fill="auto"/>
            <w:noWrap/>
            <w:vAlign w:val="bottom"/>
            <w:hideMark/>
          </w:tcPr>
          <w:p w14:paraId="12AEB735"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1.116</w:t>
            </w:r>
          </w:p>
        </w:tc>
        <w:tc>
          <w:tcPr>
            <w:tcW w:w="888" w:type="dxa"/>
            <w:tcBorders>
              <w:top w:val="nil"/>
              <w:left w:val="single" w:sz="4" w:space="0" w:color="auto"/>
              <w:bottom w:val="nil"/>
              <w:right w:val="nil"/>
            </w:tcBorders>
            <w:shd w:val="clear" w:color="auto" w:fill="auto"/>
            <w:noWrap/>
            <w:vAlign w:val="bottom"/>
            <w:hideMark/>
          </w:tcPr>
          <w:p w14:paraId="53B71DA1"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3.247</w:t>
            </w:r>
          </w:p>
        </w:tc>
        <w:tc>
          <w:tcPr>
            <w:tcW w:w="888" w:type="dxa"/>
            <w:tcBorders>
              <w:top w:val="nil"/>
              <w:left w:val="nil"/>
              <w:bottom w:val="nil"/>
              <w:right w:val="nil"/>
            </w:tcBorders>
            <w:shd w:val="clear" w:color="auto" w:fill="auto"/>
            <w:noWrap/>
            <w:vAlign w:val="bottom"/>
            <w:hideMark/>
          </w:tcPr>
          <w:p w14:paraId="32F89E3A" w14:textId="77777777" w:rsidR="00640CC2" w:rsidRPr="00435469" w:rsidRDefault="00640CC2"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1.652</w:t>
            </w:r>
          </w:p>
        </w:tc>
      </w:tr>
      <w:tr w:rsidR="00304411" w:rsidRPr="00435469" w14:paraId="7604B8D3" w14:textId="77777777" w:rsidTr="00CA52C4">
        <w:trPr>
          <w:trHeight w:val="261"/>
        </w:trPr>
        <w:tc>
          <w:tcPr>
            <w:tcW w:w="888" w:type="dxa"/>
            <w:tcBorders>
              <w:top w:val="nil"/>
              <w:left w:val="nil"/>
              <w:bottom w:val="nil"/>
              <w:right w:val="nil"/>
            </w:tcBorders>
            <w:shd w:val="clear" w:color="auto" w:fill="auto"/>
            <w:noWrap/>
            <w:vAlign w:val="bottom"/>
            <w:hideMark/>
          </w:tcPr>
          <w:p w14:paraId="18532C94"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36</w:t>
            </w:r>
          </w:p>
        </w:tc>
        <w:tc>
          <w:tcPr>
            <w:tcW w:w="888" w:type="dxa"/>
            <w:tcBorders>
              <w:top w:val="nil"/>
              <w:left w:val="nil"/>
              <w:bottom w:val="nil"/>
              <w:right w:val="nil"/>
            </w:tcBorders>
            <w:shd w:val="clear" w:color="auto" w:fill="auto"/>
            <w:noWrap/>
            <w:vAlign w:val="bottom"/>
            <w:hideMark/>
          </w:tcPr>
          <w:p w14:paraId="49E1E509"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1.171</w:t>
            </w:r>
          </w:p>
        </w:tc>
        <w:tc>
          <w:tcPr>
            <w:tcW w:w="888" w:type="dxa"/>
            <w:tcBorders>
              <w:top w:val="nil"/>
              <w:left w:val="nil"/>
              <w:bottom w:val="nil"/>
              <w:right w:val="single" w:sz="4" w:space="0" w:color="auto"/>
            </w:tcBorders>
            <w:shd w:val="clear" w:color="auto" w:fill="auto"/>
            <w:noWrap/>
            <w:vAlign w:val="bottom"/>
            <w:hideMark/>
          </w:tcPr>
          <w:p w14:paraId="7A1C57BE"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1.306</w:t>
            </w:r>
          </w:p>
        </w:tc>
        <w:tc>
          <w:tcPr>
            <w:tcW w:w="1279" w:type="dxa"/>
            <w:tcBorders>
              <w:top w:val="nil"/>
              <w:left w:val="single" w:sz="4" w:space="0" w:color="auto"/>
              <w:bottom w:val="nil"/>
              <w:right w:val="nil"/>
            </w:tcBorders>
            <w:shd w:val="clear" w:color="auto" w:fill="auto"/>
            <w:noWrap/>
            <w:vAlign w:val="bottom"/>
            <w:hideMark/>
          </w:tcPr>
          <w:p w14:paraId="2C5F0D2F" w14:textId="6FACCB5B"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1.208</w:t>
            </w:r>
          </w:p>
        </w:tc>
        <w:tc>
          <w:tcPr>
            <w:tcW w:w="888" w:type="dxa"/>
            <w:tcBorders>
              <w:top w:val="nil"/>
              <w:left w:val="nil"/>
              <w:bottom w:val="nil"/>
              <w:right w:val="single" w:sz="4" w:space="0" w:color="auto"/>
            </w:tcBorders>
            <w:shd w:val="clear" w:color="auto" w:fill="auto"/>
            <w:noWrap/>
            <w:vAlign w:val="bottom"/>
            <w:hideMark/>
          </w:tcPr>
          <w:p w14:paraId="558992F9"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1.051</w:t>
            </w:r>
          </w:p>
        </w:tc>
        <w:tc>
          <w:tcPr>
            <w:tcW w:w="910" w:type="dxa"/>
            <w:tcBorders>
              <w:top w:val="nil"/>
              <w:left w:val="single" w:sz="4" w:space="0" w:color="auto"/>
              <w:bottom w:val="nil"/>
              <w:right w:val="nil"/>
            </w:tcBorders>
            <w:shd w:val="clear" w:color="auto" w:fill="auto"/>
            <w:noWrap/>
            <w:vAlign w:val="bottom"/>
            <w:hideMark/>
          </w:tcPr>
          <w:p w14:paraId="19D83E90"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1.557</w:t>
            </w:r>
          </w:p>
        </w:tc>
        <w:tc>
          <w:tcPr>
            <w:tcW w:w="888" w:type="dxa"/>
            <w:tcBorders>
              <w:top w:val="nil"/>
              <w:left w:val="nil"/>
              <w:bottom w:val="nil"/>
              <w:right w:val="single" w:sz="4" w:space="0" w:color="auto"/>
            </w:tcBorders>
            <w:shd w:val="clear" w:color="auto" w:fill="auto"/>
            <w:noWrap/>
            <w:vAlign w:val="bottom"/>
            <w:hideMark/>
          </w:tcPr>
          <w:p w14:paraId="17E4E791"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1.080</w:t>
            </w:r>
          </w:p>
        </w:tc>
        <w:tc>
          <w:tcPr>
            <w:tcW w:w="888" w:type="dxa"/>
            <w:tcBorders>
              <w:top w:val="nil"/>
              <w:left w:val="single" w:sz="4" w:space="0" w:color="auto"/>
              <w:bottom w:val="nil"/>
              <w:right w:val="nil"/>
            </w:tcBorders>
            <w:shd w:val="clear" w:color="auto" w:fill="auto"/>
            <w:noWrap/>
            <w:vAlign w:val="bottom"/>
            <w:hideMark/>
          </w:tcPr>
          <w:p w14:paraId="43946391"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1.617</w:t>
            </w:r>
          </w:p>
        </w:tc>
        <w:tc>
          <w:tcPr>
            <w:tcW w:w="888" w:type="dxa"/>
            <w:tcBorders>
              <w:top w:val="nil"/>
              <w:left w:val="nil"/>
              <w:bottom w:val="nil"/>
              <w:right w:val="single" w:sz="4" w:space="0" w:color="auto"/>
            </w:tcBorders>
            <w:shd w:val="clear" w:color="auto" w:fill="auto"/>
            <w:noWrap/>
            <w:vAlign w:val="bottom"/>
            <w:hideMark/>
          </w:tcPr>
          <w:p w14:paraId="2EBC8CDD"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1.116</w:t>
            </w:r>
          </w:p>
        </w:tc>
        <w:tc>
          <w:tcPr>
            <w:tcW w:w="888" w:type="dxa"/>
            <w:tcBorders>
              <w:top w:val="nil"/>
              <w:left w:val="single" w:sz="4" w:space="0" w:color="auto"/>
              <w:bottom w:val="nil"/>
              <w:right w:val="nil"/>
            </w:tcBorders>
            <w:shd w:val="clear" w:color="auto" w:fill="auto"/>
            <w:noWrap/>
            <w:vAlign w:val="bottom"/>
            <w:hideMark/>
          </w:tcPr>
          <w:p w14:paraId="1274D64D"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3.294</w:t>
            </w:r>
          </w:p>
        </w:tc>
        <w:tc>
          <w:tcPr>
            <w:tcW w:w="888" w:type="dxa"/>
            <w:tcBorders>
              <w:top w:val="nil"/>
              <w:left w:val="nil"/>
              <w:bottom w:val="nil"/>
              <w:right w:val="nil"/>
            </w:tcBorders>
            <w:shd w:val="clear" w:color="auto" w:fill="auto"/>
            <w:noWrap/>
            <w:vAlign w:val="bottom"/>
            <w:hideMark/>
          </w:tcPr>
          <w:p w14:paraId="274DFD8C" w14:textId="77777777" w:rsidR="00640CC2" w:rsidRPr="00435469" w:rsidRDefault="00640CC2"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1.655</w:t>
            </w:r>
          </w:p>
        </w:tc>
      </w:tr>
      <w:tr w:rsidR="00304411" w:rsidRPr="00435469" w14:paraId="2A4ABE26" w14:textId="77777777" w:rsidTr="00CA52C4">
        <w:trPr>
          <w:trHeight w:val="261"/>
        </w:trPr>
        <w:tc>
          <w:tcPr>
            <w:tcW w:w="888" w:type="dxa"/>
            <w:tcBorders>
              <w:top w:val="nil"/>
              <w:left w:val="nil"/>
              <w:bottom w:val="nil"/>
              <w:right w:val="nil"/>
            </w:tcBorders>
            <w:shd w:val="clear" w:color="auto" w:fill="auto"/>
            <w:noWrap/>
            <w:vAlign w:val="bottom"/>
            <w:hideMark/>
          </w:tcPr>
          <w:p w14:paraId="2E33761B"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37</w:t>
            </w:r>
          </w:p>
        </w:tc>
        <w:tc>
          <w:tcPr>
            <w:tcW w:w="888" w:type="dxa"/>
            <w:tcBorders>
              <w:top w:val="nil"/>
              <w:left w:val="nil"/>
              <w:bottom w:val="nil"/>
              <w:right w:val="nil"/>
            </w:tcBorders>
            <w:shd w:val="clear" w:color="auto" w:fill="auto"/>
            <w:noWrap/>
            <w:vAlign w:val="bottom"/>
            <w:hideMark/>
          </w:tcPr>
          <w:p w14:paraId="0746C29A"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1.171</w:t>
            </w:r>
          </w:p>
        </w:tc>
        <w:tc>
          <w:tcPr>
            <w:tcW w:w="888" w:type="dxa"/>
            <w:tcBorders>
              <w:top w:val="nil"/>
              <w:left w:val="nil"/>
              <w:bottom w:val="nil"/>
              <w:right w:val="single" w:sz="4" w:space="0" w:color="auto"/>
            </w:tcBorders>
            <w:shd w:val="clear" w:color="auto" w:fill="auto"/>
            <w:noWrap/>
            <w:vAlign w:val="bottom"/>
            <w:hideMark/>
          </w:tcPr>
          <w:p w14:paraId="40A44ACA"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1.306</w:t>
            </w:r>
          </w:p>
        </w:tc>
        <w:tc>
          <w:tcPr>
            <w:tcW w:w="1279" w:type="dxa"/>
            <w:tcBorders>
              <w:top w:val="nil"/>
              <w:left w:val="single" w:sz="4" w:space="0" w:color="auto"/>
              <w:bottom w:val="nil"/>
              <w:right w:val="nil"/>
            </w:tcBorders>
            <w:shd w:val="clear" w:color="auto" w:fill="auto"/>
            <w:noWrap/>
            <w:vAlign w:val="bottom"/>
            <w:hideMark/>
          </w:tcPr>
          <w:p w14:paraId="79D5EDBD" w14:textId="18DD4B93"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1.208</w:t>
            </w:r>
          </w:p>
        </w:tc>
        <w:tc>
          <w:tcPr>
            <w:tcW w:w="888" w:type="dxa"/>
            <w:tcBorders>
              <w:top w:val="nil"/>
              <w:left w:val="nil"/>
              <w:bottom w:val="nil"/>
              <w:right w:val="single" w:sz="4" w:space="0" w:color="auto"/>
            </w:tcBorders>
            <w:shd w:val="clear" w:color="auto" w:fill="auto"/>
            <w:noWrap/>
            <w:vAlign w:val="bottom"/>
            <w:hideMark/>
          </w:tcPr>
          <w:p w14:paraId="1F0E5B02"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1.051</w:t>
            </w:r>
          </w:p>
        </w:tc>
        <w:tc>
          <w:tcPr>
            <w:tcW w:w="910" w:type="dxa"/>
            <w:tcBorders>
              <w:top w:val="nil"/>
              <w:left w:val="single" w:sz="4" w:space="0" w:color="auto"/>
              <w:bottom w:val="nil"/>
              <w:right w:val="nil"/>
            </w:tcBorders>
            <w:shd w:val="clear" w:color="auto" w:fill="auto"/>
            <w:noWrap/>
            <w:vAlign w:val="bottom"/>
            <w:hideMark/>
          </w:tcPr>
          <w:p w14:paraId="04C60C36"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1.580</w:t>
            </w:r>
          </w:p>
        </w:tc>
        <w:tc>
          <w:tcPr>
            <w:tcW w:w="888" w:type="dxa"/>
            <w:tcBorders>
              <w:top w:val="nil"/>
              <w:left w:val="nil"/>
              <w:bottom w:val="nil"/>
              <w:right w:val="single" w:sz="4" w:space="0" w:color="auto"/>
            </w:tcBorders>
            <w:shd w:val="clear" w:color="auto" w:fill="auto"/>
            <w:noWrap/>
            <w:vAlign w:val="bottom"/>
            <w:hideMark/>
          </w:tcPr>
          <w:p w14:paraId="3CCF14BC"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1.082</w:t>
            </w:r>
          </w:p>
        </w:tc>
        <w:tc>
          <w:tcPr>
            <w:tcW w:w="888" w:type="dxa"/>
            <w:tcBorders>
              <w:top w:val="nil"/>
              <w:left w:val="single" w:sz="4" w:space="0" w:color="auto"/>
              <w:bottom w:val="nil"/>
              <w:right w:val="nil"/>
            </w:tcBorders>
            <w:shd w:val="clear" w:color="auto" w:fill="auto"/>
            <w:noWrap/>
            <w:vAlign w:val="bottom"/>
            <w:hideMark/>
          </w:tcPr>
          <w:p w14:paraId="6F5B5513"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1.617</w:t>
            </w:r>
          </w:p>
        </w:tc>
        <w:tc>
          <w:tcPr>
            <w:tcW w:w="888" w:type="dxa"/>
            <w:tcBorders>
              <w:top w:val="nil"/>
              <w:left w:val="nil"/>
              <w:bottom w:val="nil"/>
              <w:right w:val="single" w:sz="4" w:space="0" w:color="auto"/>
            </w:tcBorders>
            <w:shd w:val="clear" w:color="auto" w:fill="auto"/>
            <w:noWrap/>
            <w:vAlign w:val="bottom"/>
            <w:hideMark/>
          </w:tcPr>
          <w:p w14:paraId="1DDB9F82"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1.116</w:t>
            </w:r>
          </w:p>
        </w:tc>
        <w:tc>
          <w:tcPr>
            <w:tcW w:w="888" w:type="dxa"/>
            <w:tcBorders>
              <w:top w:val="nil"/>
              <w:left w:val="single" w:sz="4" w:space="0" w:color="auto"/>
              <w:bottom w:val="nil"/>
              <w:right w:val="nil"/>
            </w:tcBorders>
            <w:shd w:val="clear" w:color="auto" w:fill="auto"/>
            <w:noWrap/>
            <w:vAlign w:val="bottom"/>
            <w:hideMark/>
          </w:tcPr>
          <w:p w14:paraId="0D82FD65" w14:textId="77777777" w:rsidR="00640CC2" w:rsidRPr="00435469" w:rsidRDefault="00640CC2"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3.341</w:t>
            </w:r>
          </w:p>
        </w:tc>
        <w:tc>
          <w:tcPr>
            <w:tcW w:w="888" w:type="dxa"/>
            <w:tcBorders>
              <w:top w:val="nil"/>
              <w:left w:val="nil"/>
              <w:bottom w:val="nil"/>
              <w:right w:val="nil"/>
            </w:tcBorders>
            <w:shd w:val="clear" w:color="auto" w:fill="auto"/>
            <w:noWrap/>
            <w:vAlign w:val="bottom"/>
            <w:hideMark/>
          </w:tcPr>
          <w:p w14:paraId="753FC3E2" w14:textId="77777777" w:rsidR="00640CC2" w:rsidRPr="00435469" w:rsidRDefault="00640CC2"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1.658</w:t>
            </w:r>
          </w:p>
        </w:tc>
      </w:tr>
      <w:tr w:rsidR="00304411" w:rsidRPr="00435469" w14:paraId="4A47E2ED" w14:textId="77777777" w:rsidTr="00CA52C4">
        <w:trPr>
          <w:trHeight w:val="261"/>
        </w:trPr>
        <w:tc>
          <w:tcPr>
            <w:tcW w:w="888" w:type="dxa"/>
            <w:tcBorders>
              <w:top w:val="nil"/>
              <w:left w:val="nil"/>
              <w:bottom w:val="nil"/>
              <w:right w:val="nil"/>
            </w:tcBorders>
            <w:shd w:val="clear" w:color="auto" w:fill="auto"/>
            <w:noWrap/>
            <w:vAlign w:val="bottom"/>
            <w:hideMark/>
          </w:tcPr>
          <w:p w14:paraId="106D73D3"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38</w:t>
            </w:r>
          </w:p>
        </w:tc>
        <w:tc>
          <w:tcPr>
            <w:tcW w:w="888" w:type="dxa"/>
            <w:tcBorders>
              <w:top w:val="nil"/>
              <w:left w:val="nil"/>
              <w:bottom w:val="nil"/>
              <w:right w:val="nil"/>
            </w:tcBorders>
            <w:shd w:val="clear" w:color="auto" w:fill="auto"/>
            <w:noWrap/>
            <w:vAlign w:val="bottom"/>
            <w:hideMark/>
          </w:tcPr>
          <w:p w14:paraId="52012C16"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1.171</w:t>
            </w:r>
          </w:p>
        </w:tc>
        <w:tc>
          <w:tcPr>
            <w:tcW w:w="888" w:type="dxa"/>
            <w:tcBorders>
              <w:top w:val="nil"/>
              <w:left w:val="nil"/>
              <w:bottom w:val="nil"/>
              <w:right w:val="single" w:sz="4" w:space="0" w:color="auto"/>
            </w:tcBorders>
            <w:shd w:val="clear" w:color="auto" w:fill="auto"/>
            <w:noWrap/>
            <w:vAlign w:val="bottom"/>
            <w:hideMark/>
          </w:tcPr>
          <w:p w14:paraId="120517F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1.306</w:t>
            </w:r>
          </w:p>
        </w:tc>
        <w:tc>
          <w:tcPr>
            <w:tcW w:w="1279" w:type="dxa"/>
            <w:tcBorders>
              <w:top w:val="nil"/>
              <w:left w:val="single" w:sz="4" w:space="0" w:color="auto"/>
              <w:bottom w:val="nil"/>
              <w:right w:val="nil"/>
            </w:tcBorders>
            <w:shd w:val="clear" w:color="auto" w:fill="auto"/>
            <w:noWrap/>
            <w:vAlign w:val="bottom"/>
            <w:hideMark/>
          </w:tcPr>
          <w:p w14:paraId="68744B1F"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1.208</w:t>
            </w:r>
          </w:p>
        </w:tc>
        <w:tc>
          <w:tcPr>
            <w:tcW w:w="888" w:type="dxa"/>
            <w:tcBorders>
              <w:top w:val="nil"/>
              <w:left w:val="nil"/>
              <w:bottom w:val="nil"/>
              <w:right w:val="single" w:sz="4" w:space="0" w:color="auto"/>
            </w:tcBorders>
            <w:shd w:val="clear" w:color="auto" w:fill="auto"/>
            <w:noWrap/>
            <w:vAlign w:val="bottom"/>
            <w:hideMark/>
          </w:tcPr>
          <w:p w14:paraId="5072C48B"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1.051</w:t>
            </w:r>
          </w:p>
        </w:tc>
        <w:tc>
          <w:tcPr>
            <w:tcW w:w="910" w:type="dxa"/>
            <w:tcBorders>
              <w:top w:val="nil"/>
              <w:left w:val="single" w:sz="4" w:space="0" w:color="auto"/>
              <w:bottom w:val="nil"/>
              <w:right w:val="nil"/>
            </w:tcBorders>
            <w:shd w:val="clear" w:color="auto" w:fill="auto"/>
            <w:noWrap/>
            <w:vAlign w:val="bottom"/>
            <w:hideMark/>
          </w:tcPr>
          <w:p w14:paraId="5DEAF1FE"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1.602</w:t>
            </w:r>
          </w:p>
        </w:tc>
        <w:tc>
          <w:tcPr>
            <w:tcW w:w="888" w:type="dxa"/>
            <w:tcBorders>
              <w:top w:val="nil"/>
              <w:left w:val="nil"/>
              <w:bottom w:val="nil"/>
              <w:right w:val="single" w:sz="4" w:space="0" w:color="auto"/>
            </w:tcBorders>
            <w:shd w:val="clear" w:color="auto" w:fill="auto"/>
            <w:noWrap/>
            <w:vAlign w:val="bottom"/>
            <w:hideMark/>
          </w:tcPr>
          <w:p w14:paraId="195293E3"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1.084</w:t>
            </w:r>
          </w:p>
        </w:tc>
        <w:tc>
          <w:tcPr>
            <w:tcW w:w="888" w:type="dxa"/>
            <w:tcBorders>
              <w:top w:val="nil"/>
              <w:left w:val="single" w:sz="4" w:space="0" w:color="auto"/>
              <w:bottom w:val="nil"/>
              <w:right w:val="nil"/>
            </w:tcBorders>
            <w:shd w:val="clear" w:color="auto" w:fill="auto"/>
            <w:noWrap/>
            <w:vAlign w:val="bottom"/>
            <w:hideMark/>
          </w:tcPr>
          <w:p w14:paraId="1000338D"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1.617</w:t>
            </w:r>
          </w:p>
        </w:tc>
        <w:tc>
          <w:tcPr>
            <w:tcW w:w="888" w:type="dxa"/>
            <w:tcBorders>
              <w:top w:val="nil"/>
              <w:left w:val="nil"/>
              <w:bottom w:val="nil"/>
              <w:right w:val="single" w:sz="4" w:space="0" w:color="auto"/>
            </w:tcBorders>
            <w:shd w:val="clear" w:color="auto" w:fill="auto"/>
            <w:noWrap/>
            <w:vAlign w:val="bottom"/>
            <w:hideMark/>
          </w:tcPr>
          <w:p w14:paraId="72C651A8"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1.116</w:t>
            </w:r>
          </w:p>
        </w:tc>
        <w:tc>
          <w:tcPr>
            <w:tcW w:w="888" w:type="dxa"/>
            <w:tcBorders>
              <w:top w:val="nil"/>
              <w:left w:val="single" w:sz="4" w:space="0" w:color="auto"/>
              <w:bottom w:val="nil"/>
              <w:right w:val="nil"/>
            </w:tcBorders>
            <w:shd w:val="clear" w:color="auto" w:fill="auto"/>
            <w:noWrap/>
            <w:vAlign w:val="bottom"/>
            <w:hideMark/>
          </w:tcPr>
          <w:p w14:paraId="3D378508"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3.666</w:t>
            </w:r>
          </w:p>
        </w:tc>
        <w:tc>
          <w:tcPr>
            <w:tcW w:w="888" w:type="dxa"/>
            <w:tcBorders>
              <w:top w:val="nil"/>
              <w:left w:val="nil"/>
              <w:bottom w:val="nil"/>
              <w:right w:val="nil"/>
            </w:tcBorders>
            <w:shd w:val="clear" w:color="auto" w:fill="auto"/>
            <w:noWrap/>
            <w:vAlign w:val="bottom"/>
            <w:hideMark/>
          </w:tcPr>
          <w:p w14:paraId="15F74612"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1.661</w:t>
            </w:r>
          </w:p>
        </w:tc>
      </w:tr>
      <w:tr w:rsidR="00304411" w:rsidRPr="00435469" w14:paraId="64C3AC40" w14:textId="77777777" w:rsidTr="00CA52C4">
        <w:trPr>
          <w:trHeight w:val="261"/>
        </w:trPr>
        <w:tc>
          <w:tcPr>
            <w:tcW w:w="888" w:type="dxa"/>
            <w:tcBorders>
              <w:top w:val="nil"/>
              <w:left w:val="nil"/>
              <w:bottom w:val="nil"/>
              <w:right w:val="nil"/>
            </w:tcBorders>
            <w:shd w:val="clear" w:color="auto" w:fill="auto"/>
            <w:noWrap/>
            <w:vAlign w:val="bottom"/>
            <w:hideMark/>
          </w:tcPr>
          <w:p w14:paraId="42D97564"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39</w:t>
            </w:r>
          </w:p>
        </w:tc>
        <w:tc>
          <w:tcPr>
            <w:tcW w:w="888" w:type="dxa"/>
            <w:tcBorders>
              <w:top w:val="nil"/>
              <w:left w:val="nil"/>
              <w:bottom w:val="nil"/>
              <w:right w:val="nil"/>
            </w:tcBorders>
            <w:shd w:val="clear" w:color="auto" w:fill="auto"/>
            <w:noWrap/>
            <w:vAlign w:val="bottom"/>
            <w:hideMark/>
          </w:tcPr>
          <w:p w14:paraId="2B79484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1.171</w:t>
            </w:r>
          </w:p>
        </w:tc>
        <w:tc>
          <w:tcPr>
            <w:tcW w:w="888" w:type="dxa"/>
            <w:tcBorders>
              <w:top w:val="nil"/>
              <w:left w:val="nil"/>
              <w:bottom w:val="nil"/>
              <w:right w:val="single" w:sz="4" w:space="0" w:color="auto"/>
            </w:tcBorders>
            <w:shd w:val="clear" w:color="auto" w:fill="auto"/>
            <w:noWrap/>
            <w:vAlign w:val="bottom"/>
            <w:hideMark/>
          </w:tcPr>
          <w:p w14:paraId="66D5D807"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1.306</w:t>
            </w:r>
          </w:p>
        </w:tc>
        <w:tc>
          <w:tcPr>
            <w:tcW w:w="1279" w:type="dxa"/>
            <w:tcBorders>
              <w:top w:val="nil"/>
              <w:left w:val="single" w:sz="4" w:space="0" w:color="auto"/>
              <w:bottom w:val="nil"/>
              <w:right w:val="nil"/>
            </w:tcBorders>
            <w:shd w:val="clear" w:color="auto" w:fill="auto"/>
            <w:noWrap/>
            <w:vAlign w:val="bottom"/>
            <w:hideMark/>
          </w:tcPr>
          <w:p w14:paraId="34CD6C65"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1.208</w:t>
            </w:r>
          </w:p>
        </w:tc>
        <w:tc>
          <w:tcPr>
            <w:tcW w:w="888" w:type="dxa"/>
            <w:tcBorders>
              <w:top w:val="nil"/>
              <w:left w:val="nil"/>
              <w:bottom w:val="nil"/>
              <w:right w:val="single" w:sz="4" w:space="0" w:color="auto"/>
            </w:tcBorders>
            <w:shd w:val="clear" w:color="auto" w:fill="auto"/>
            <w:noWrap/>
            <w:vAlign w:val="bottom"/>
            <w:hideMark/>
          </w:tcPr>
          <w:p w14:paraId="47C42F17"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1.051</w:t>
            </w:r>
          </w:p>
        </w:tc>
        <w:tc>
          <w:tcPr>
            <w:tcW w:w="910" w:type="dxa"/>
            <w:tcBorders>
              <w:top w:val="nil"/>
              <w:left w:val="single" w:sz="4" w:space="0" w:color="auto"/>
              <w:bottom w:val="nil"/>
              <w:right w:val="nil"/>
            </w:tcBorders>
            <w:shd w:val="clear" w:color="auto" w:fill="auto"/>
            <w:noWrap/>
            <w:vAlign w:val="bottom"/>
            <w:hideMark/>
          </w:tcPr>
          <w:p w14:paraId="4C4F5B5F"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1.625</w:t>
            </w:r>
          </w:p>
        </w:tc>
        <w:tc>
          <w:tcPr>
            <w:tcW w:w="888" w:type="dxa"/>
            <w:tcBorders>
              <w:top w:val="nil"/>
              <w:left w:val="nil"/>
              <w:bottom w:val="nil"/>
              <w:right w:val="single" w:sz="4" w:space="0" w:color="auto"/>
            </w:tcBorders>
            <w:shd w:val="clear" w:color="auto" w:fill="auto"/>
            <w:noWrap/>
            <w:vAlign w:val="bottom"/>
            <w:hideMark/>
          </w:tcPr>
          <w:p w14:paraId="1B71396F"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1.086</w:t>
            </w:r>
          </w:p>
        </w:tc>
        <w:tc>
          <w:tcPr>
            <w:tcW w:w="888" w:type="dxa"/>
            <w:tcBorders>
              <w:top w:val="nil"/>
              <w:left w:val="single" w:sz="4" w:space="0" w:color="auto"/>
              <w:bottom w:val="nil"/>
              <w:right w:val="nil"/>
            </w:tcBorders>
            <w:shd w:val="clear" w:color="auto" w:fill="auto"/>
            <w:noWrap/>
            <w:vAlign w:val="bottom"/>
            <w:hideMark/>
          </w:tcPr>
          <w:p w14:paraId="61B51CB5"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1.617</w:t>
            </w:r>
          </w:p>
        </w:tc>
        <w:tc>
          <w:tcPr>
            <w:tcW w:w="888" w:type="dxa"/>
            <w:tcBorders>
              <w:top w:val="nil"/>
              <w:left w:val="nil"/>
              <w:bottom w:val="nil"/>
              <w:right w:val="single" w:sz="4" w:space="0" w:color="auto"/>
            </w:tcBorders>
            <w:shd w:val="clear" w:color="auto" w:fill="auto"/>
            <w:noWrap/>
            <w:vAlign w:val="bottom"/>
            <w:hideMark/>
          </w:tcPr>
          <w:p w14:paraId="7C1B2D3B"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1.116</w:t>
            </w:r>
          </w:p>
        </w:tc>
        <w:tc>
          <w:tcPr>
            <w:tcW w:w="888" w:type="dxa"/>
            <w:tcBorders>
              <w:top w:val="nil"/>
              <w:left w:val="single" w:sz="4" w:space="0" w:color="auto"/>
              <w:bottom w:val="nil"/>
              <w:right w:val="nil"/>
            </w:tcBorders>
            <w:shd w:val="clear" w:color="auto" w:fill="auto"/>
            <w:noWrap/>
            <w:vAlign w:val="bottom"/>
            <w:hideMark/>
          </w:tcPr>
          <w:p w14:paraId="39A33CB3"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3.719</w:t>
            </w:r>
          </w:p>
        </w:tc>
        <w:tc>
          <w:tcPr>
            <w:tcW w:w="888" w:type="dxa"/>
            <w:tcBorders>
              <w:top w:val="nil"/>
              <w:left w:val="nil"/>
              <w:bottom w:val="nil"/>
              <w:right w:val="nil"/>
            </w:tcBorders>
            <w:shd w:val="clear" w:color="auto" w:fill="auto"/>
            <w:noWrap/>
            <w:vAlign w:val="bottom"/>
            <w:hideMark/>
          </w:tcPr>
          <w:p w14:paraId="465C7A11"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1.665</w:t>
            </w:r>
          </w:p>
        </w:tc>
      </w:tr>
      <w:tr w:rsidR="00304411" w:rsidRPr="00435469" w14:paraId="28C9527C" w14:textId="77777777" w:rsidTr="00CA52C4">
        <w:trPr>
          <w:trHeight w:val="261"/>
        </w:trPr>
        <w:tc>
          <w:tcPr>
            <w:tcW w:w="888" w:type="dxa"/>
            <w:tcBorders>
              <w:top w:val="nil"/>
              <w:left w:val="nil"/>
              <w:bottom w:val="single" w:sz="4" w:space="0" w:color="auto"/>
              <w:right w:val="nil"/>
            </w:tcBorders>
            <w:shd w:val="clear" w:color="auto" w:fill="auto"/>
            <w:noWrap/>
            <w:vAlign w:val="bottom"/>
            <w:hideMark/>
          </w:tcPr>
          <w:p w14:paraId="41B3F76E"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40</w:t>
            </w:r>
          </w:p>
        </w:tc>
        <w:tc>
          <w:tcPr>
            <w:tcW w:w="888" w:type="dxa"/>
            <w:tcBorders>
              <w:top w:val="nil"/>
              <w:left w:val="nil"/>
              <w:bottom w:val="single" w:sz="4" w:space="0" w:color="auto"/>
              <w:right w:val="nil"/>
            </w:tcBorders>
            <w:shd w:val="clear" w:color="auto" w:fill="auto"/>
            <w:noWrap/>
            <w:vAlign w:val="bottom"/>
            <w:hideMark/>
          </w:tcPr>
          <w:p w14:paraId="30280B2E"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1.171</w:t>
            </w:r>
          </w:p>
        </w:tc>
        <w:tc>
          <w:tcPr>
            <w:tcW w:w="888" w:type="dxa"/>
            <w:tcBorders>
              <w:top w:val="nil"/>
              <w:left w:val="nil"/>
              <w:bottom w:val="single" w:sz="4" w:space="0" w:color="auto"/>
              <w:right w:val="single" w:sz="4" w:space="0" w:color="auto"/>
            </w:tcBorders>
            <w:shd w:val="clear" w:color="auto" w:fill="auto"/>
            <w:noWrap/>
            <w:vAlign w:val="bottom"/>
            <w:hideMark/>
          </w:tcPr>
          <w:p w14:paraId="0B41C3D9"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1.306</w:t>
            </w:r>
          </w:p>
        </w:tc>
        <w:tc>
          <w:tcPr>
            <w:tcW w:w="1279" w:type="dxa"/>
            <w:tcBorders>
              <w:top w:val="nil"/>
              <w:left w:val="single" w:sz="4" w:space="0" w:color="auto"/>
              <w:bottom w:val="single" w:sz="4" w:space="0" w:color="auto"/>
              <w:right w:val="nil"/>
            </w:tcBorders>
            <w:shd w:val="clear" w:color="auto" w:fill="auto"/>
            <w:noWrap/>
            <w:vAlign w:val="bottom"/>
            <w:hideMark/>
          </w:tcPr>
          <w:p w14:paraId="75031107"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1.208</w:t>
            </w:r>
          </w:p>
        </w:tc>
        <w:tc>
          <w:tcPr>
            <w:tcW w:w="888" w:type="dxa"/>
            <w:tcBorders>
              <w:top w:val="nil"/>
              <w:left w:val="nil"/>
              <w:bottom w:val="single" w:sz="4" w:space="0" w:color="auto"/>
              <w:right w:val="single" w:sz="4" w:space="0" w:color="auto"/>
            </w:tcBorders>
            <w:shd w:val="clear" w:color="auto" w:fill="auto"/>
            <w:noWrap/>
            <w:vAlign w:val="bottom"/>
            <w:hideMark/>
          </w:tcPr>
          <w:p w14:paraId="11B13866"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1.051</w:t>
            </w:r>
          </w:p>
        </w:tc>
        <w:tc>
          <w:tcPr>
            <w:tcW w:w="910" w:type="dxa"/>
            <w:tcBorders>
              <w:top w:val="nil"/>
              <w:left w:val="single" w:sz="4" w:space="0" w:color="auto"/>
              <w:bottom w:val="single" w:sz="4" w:space="0" w:color="auto"/>
              <w:right w:val="nil"/>
            </w:tcBorders>
            <w:shd w:val="clear" w:color="auto" w:fill="auto"/>
            <w:noWrap/>
            <w:vAlign w:val="bottom"/>
            <w:hideMark/>
          </w:tcPr>
          <w:p w14:paraId="56CD6876"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1.649</w:t>
            </w:r>
          </w:p>
        </w:tc>
        <w:tc>
          <w:tcPr>
            <w:tcW w:w="888" w:type="dxa"/>
            <w:tcBorders>
              <w:top w:val="nil"/>
              <w:left w:val="nil"/>
              <w:bottom w:val="single" w:sz="4" w:space="0" w:color="auto"/>
              <w:right w:val="single" w:sz="4" w:space="0" w:color="auto"/>
            </w:tcBorders>
            <w:shd w:val="clear" w:color="auto" w:fill="auto"/>
            <w:noWrap/>
            <w:vAlign w:val="bottom"/>
            <w:hideMark/>
          </w:tcPr>
          <w:p w14:paraId="212D54AE"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1.089</w:t>
            </w:r>
          </w:p>
        </w:tc>
        <w:tc>
          <w:tcPr>
            <w:tcW w:w="888" w:type="dxa"/>
            <w:tcBorders>
              <w:top w:val="nil"/>
              <w:left w:val="single" w:sz="4" w:space="0" w:color="auto"/>
              <w:bottom w:val="single" w:sz="4" w:space="0" w:color="auto"/>
              <w:right w:val="nil"/>
            </w:tcBorders>
            <w:shd w:val="clear" w:color="auto" w:fill="auto"/>
            <w:noWrap/>
            <w:vAlign w:val="bottom"/>
            <w:hideMark/>
          </w:tcPr>
          <w:p w14:paraId="63165A92"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1.617</w:t>
            </w:r>
          </w:p>
        </w:tc>
        <w:tc>
          <w:tcPr>
            <w:tcW w:w="888" w:type="dxa"/>
            <w:tcBorders>
              <w:top w:val="nil"/>
              <w:left w:val="nil"/>
              <w:bottom w:val="single" w:sz="4" w:space="0" w:color="auto"/>
              <w:right w:val="single" w:sz="4" w:space="0" w:color="auto"/>
            </w:tcBorders>
            <w:shd w:val="clear" w:color="auto" w:fill="auto"/>
            <w:noWrap/>
            <w:vAlign w:val="bottom"/>
            <w:hideMark/>
          </w:tcPr>
          <w:p w14:paraId="6B9D7831"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1.116</w:t>
            </w:r>
          </w:p>
        </w:tc>
        <w:tc>
          <w:tcPr>
            <w:tcW w:w="888" w:type="dxa"/>
            <w:tcBorders>
              <w:top w:val="nil"/>
              <w:left w:val="single" w:sz="4" w:space="0" w:color="auto"/>
              <w:bottom w:val="single" w:sz="4" w:space="0" w:color="auto"/>
              <w:right w:val="nil"/>
            </w:tcBorders>
            <w:shd w:val="clear" w:color="auto" w:fill="auto"/>
            <w:noWrap/>
            <w:vAlign w:val="bottom"/>
            <w:hideMark/>
          </w:tcPr>
          <w:p w14:paraId="1318D1E3" w14:textId="77777777" w:rsidR="00455303" w:rsidRPr="00435469" w:rsidRDefault="00455303" w:rsidP="00955FFB">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3.772</w:t>
            </w:r>
          </w:p>
        </w:tc>
        <w:tc>
          <w:tcPr>
            <w:tcW w:w="888" w:type="dxa"/>
            <w:tcBorders>
              <w:top w:val="nil"/>
              <w:left w:val="nil"/>
              <w:bottom w:val="single" w:sz="4" w:space="0" w:color="auto"/>
              <w:right w:val="nil"/>
            </w:tcBorders>
            <w:shd w:val="clear" w:color="auto" w:fill="auto"/>
            <w:noWrap/>
            <w:vAlign w:val="bottom"/>
            <w:hideMark/>
          </w:tcPr>
          <w:p w14:paraId="3A389C1A" w14:textId="77777777" w:rsidR="00455303" w:rsidRPr="00435469" w:rsidRDefault="00455303" w:rsidP="00955FFB">
            <w:pPr>
              <w:spacing w:after="0" w:line="240" w:lineRule="auto"/>
              <w:jc w:val="right"/>
              <w:rPr>
                <w:rFonts w:eastAsia="Times New Roman" w:cs="Times New Roman"/>
                <w:sz w:val="16"/>
                <w:szCs w:val="16"/>
                <w:lang w:eastAsia="en-ZA"/>
              </w:rPr>
            </w:pPr>
            <w:r w:rsidRPr="00435469">
              <w:rPr>
                <w:rFonts w:eastAsia="Times New Roman" w:cs="Times New Roman"/>
                <w:sz w:val="16"/>
                <w:szCs w:val="16"/>
                <w:lang w:eastAsia="en-ZA"/>
              </w:rPr>
              <w:t>1.668</w:t>
            </w:r>
          </w:p>
        </w:tc>
      </w:tr>
    </w:tbl>
    <w:p w14:paraId="1AEDEC98" w14:textId="538918DB" w:rsidR="00F64024" w:rsidRPr="00435469" w:rsidRDefault="004C27E4" w:rsidP="00955FFB">
      <w:pPr>
        <w:pStyle w:val="1Para"/>
        <w:spacing w:line="240" w:lineRule="auto"/>
        <w:ind w:firstLine="0"/>
        <w:rPr>
          <w:sz w:val="20"/>
          <w:szCs w:val="20"/>
        </w:rPr>
      </w:pPr>
      <w:r w:rsidRPr="00435469">
        <w:rPr>
          <w:noProof/>
          <w:sz w:val="20"/>
          <w:szCs w:val="20"/>
        </w:rPr>
        <w:t xml:space="preserve">BMI=body mass index. </w:t>
      </w:r>
      <w:r w:rsidRPr="00435469">
        <w:rPr>
          <w:noProof/>
          <w:sz w:val="20"/>
          <w:szCs w:val="20"/>
          <w:lang w:val="en-US"/>
        </w:rPr>
        <w:t>HbA1c= Glycated hemoglobin.</w:t>
      </w:r>
      <w:bookmarkStart w:id="305" w:name="_Toc79099833"/>
      <w:r w:rsidR="0034185D" w:rsidRPr="00435469">
        <w:rPr>
          <w:rFonts w:cs="Times New Roman"/>
          <w:noProof/>
          <w:sz w:val="20"/>
          <w:szCs w:val="20"/>
        </w:rPr>
        <w:tab/>
        <w:t xml:space="preserve"> </w:t>
      </w:r>
    </w:p>
    <w:p w14:paraId="3C5B49E2" w14:textId="77777777" w:rsidR="00E71759" w:rsidRPr="00435469" w:rsidRDefault="00E71759" w:rsidP="00955FFB">
      <w:pPr>
        <w:pStyle w:val="Heading2"/>
        <w:rPr>
          <w:rFonts w:cs="Times New Roman"/>
          <w:color w:val="auto"/>
          <w:sz w:val="20"/>
          <w:szCs w:val="20"/>
        </w:rPr>
      </w:pPr>
      <w:bookmarkStart w:id="306" w:name="_Toc80352162"/>
      <w:bookmarkStart w:id="307" w:name="_Ref81564453"/>
      <w:bookmarkStart w:id="308" w:name="_Toc87863356"/>
      <w:bookmarkStart w:id="309" w:name="_Toc103252956"/>
      <w:bookmarkEnd w:id="305"/>
      <w:r w:rsidRPr="00435469">
        <w:rPr>
          <w:rFonts w:cs="Times New Roman"/>
          <w:color w:val="auto"/>
          <w:sz w:val="20"/>
          <w:szCs w:val="20"/>
        </w:rPr>
        <w:t>Calibration data sources and defining likelihoods</w:t>
      </w:r>
      <w:bookmarkEnd w:id="306"/>
      <w:bookmarkEnd w:id="307"/>
      <w:bookmarkEnd w:id="308"/>
      <w:bookmarkEnd w:id="309"/>
    </w:p>
    <w:p w14:paraId="2BE1790E" w14:textId="476E61B3" w:rsidR="00F95AFD" w:rsidRPr="00435469" w:rsidRDefault="00EE287D" w:rsidP="00955FFB">
      <w:pPr>
        <w:spacing w:line="240" w:lineRule="auto"/>
        <w:rPr>
          <w:rFonts w:cs="Times New Roman"/>
          <w:color w:val="FF0000"/>
          <w:sz w:val="20"/>
          <w:szCs w:val="20"/>
        </w:rPr>
      </w:pPr>
      <w:bookmarkStart w:id="310" w:name="_Ref80256451"/>
      <w:bookmarkStart w:id="311" w:name="_Toc80352735"/>
      <w:r w:rsidRPr="00435469">
        <w:rPr>
          <w:rFonts w:cs="Times New Roman"/>
          <w:sz w:val="20"/>
          <w:szCs w:val="20"/>
        </w:rPr>
        <w:t xml:space="preserve">We used a Bayesian approach to calibrate the model and estimate various parameters. Because our model is slow to run, and because the Bayesian calibration process is particularly slow to converge when there are </w:t>
      </w:r>
      <w:r w:rsidR="0095015F" w:rsidRPr="00435469">
        <w:rPr>
          <w:rFonts w:cs="Times New Roman"/>
          <w:sz w:val="20"/>
          <w:szCs w:val="20"/>
        </w:rPr>
        <w:t>many</w:t>
      </w:r>
      <w:r w:rsidRPr="00435469">
        <w:rPr>
          <w:rFonts w:cs="Times New Roman"/>
          <w:sz w:val="20"/>
          <w:szCs w:val="20"/>
        </w:rPr>
        <w:t xml:space="preserve"> parameters being included in the uncertainty analysis,</w:t>
      </w:r>
      <w:r w:rsidR="005A316C" w:rsidRPr="00435469">
        <w:rPr>
          <w:rFonts w:cs="Times New Roman"/>
          <w:sz w:val="20"/>
          <w:szCs w:val="20"/>
        </w:rPr>
        <w:t xml:space="preserve"> we calibrated the model</w:t>
      </w:r>
      <w:r w:rsidRPr="00435469">
        <w:rPr>
          <w:rFonts w:cs="Times New Roman"/>
          <w:sz w:val="20"/>
          <w:szCs w:val="20"/>
        </w:rPr>
        <w:t xml:space="preserve"> through a series of </w:t>
      </w:r>
      <w:r w:rsidR="002D7A6E" w:rsidRPr="00435469">
        <w:rPr>
          <w:rFonts w:cs="Times New Roman"/>
          <w:sz w:val="20"/>
          <w:szCs w:val="20"/>
        </w:rPr>
        <w:t xml:space="preserve">steps. </w:t>
      </w:r>
      <w:r w:rsidR="002D7A6E" w:rsidRPr="008D710D">
        <w:rPr>
          <w:rFonts w:cs="Times New Roman"/>
          <w:sz w:val="20"/>
          <w:szCs w:val="20"/>
        </w:rPr>
        <w:t>We first (in</w:t>
      </w:r>
      <w:r w:rsidR="00010214" w:rsidRPr="008D710D">
        <w:rPr>
          <w:rFonts w:cs="Times New Roman"/>
          <w:sz w:val="20"/>
          <w:szCs w:val="20"/>
        </w:rPr>
        <w:t xml:space="preserve"> a previous calibration analysis</w:t>
      </w:r>
      <w:r w:rsidR="00EE0AA3" w:rsidRPr="008D710D">
        <w:rPr>
          <w:rFonts w:cs="Times New Roman"/>
          <w:sz w:val="20"/>
          <w:szCs w:val="20"/>
        </w:rPr>
        <w:t>, ste</w:t>
      </w:r>
      <w:r w:rsidR="006F5BD6" w:rsidRPr="008D710D">
        <w:rPr>
          <w:rFonts w:cs="Times New Roman"/>
          <w:sz w:val="20"/>
          <w:szCs w:val="20"/>
        </w:rPr>
        <w:t>p 1</w:t>
      </w:r>
      <w:r w:rsidR="002D7A6E" w:rsidRPr="008D710D">
        <w:rPr>
          <w:rFonts w:cs="Times New Roman"/>
          <w:sz w:val="20"/>
          <w:szCs w:val="20"/>
        </w:rPr>
        <w:t>) consider</w:t>
      </w:r>
      <w:r w:rsidR="00010214" w:rsidRPr="008D710D">
        <w:rPr>
          <w:rFonts w:cs="Times New Roman"/>
          <w:sz w:val="20"/>
          <w:szCs w:val="20"/>
        </w:rPr>
        <w:t>ed</w:t>
      </w:r>
      <w:r w:rsidR="002D7A6E" w:rsidRPr="008D710D">
        <w:rPr>
          <w:rFonts w:cs="Times New Roman"/>
          <w:sz w:val="20"/>
          <w:szCs w:val="20"/>
        </w:rPr>
        <w:t xml:space="preserve"> TB transmission and natural history parameters</w:t>
      </w:r>
      <w:r w:rsidR="007D02C3" w:rsidRPr="008D710D">
        <w:rPr>
          <w:rFonts w:cs="Times New Roman"/>
          <w:sz w:val="20"/>
          <w:szCs w:val="20"/>
        </w:rPr>
        <w:t xml:space="preserve"> </w:t>
      </w:r>
      <w:r w:rsidR="007D02C3" w:rsidRPr="008D710D">
        <w:rPr>
          <w:rFonts w:cs="Times New Roman"/>
          <w:sz w:val="20"/>
          <w:szCs w:val="20"/>
        </w:rPr>
        <w:fldChar w:fldCharType="begin" w:fldLock="1"/>
      </w:r>
      <w:r w:rsidR="002F049E" w:rsidRPr="008D710D">
        <w:rPr>
          <w:rFonts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7D02C3" w:rsidRPr="008D710D">
        <w:rPr>
          <w:rFonts w:cs="Times New Roman"/>
          <w:sz w:val="20"/>
          <w:szCs w:val="20"/>
        </w:rPr>
        <w:fldChar w:fldCharType="separate"/>
      </w:r>
      <w:r w:rsidR="0063047A" w:rsidRPr="008D710D">
        <w:rPr>
          <w:rFonts w:cs="Times New Roman"/>
          <w:noProof/>
          <w:sz w:val="20"/>
          <w:szCs w:val="20"/>
        </w:rPr>
        <w:t>(6)</w:t>
      </w:r>
      <w:r w:rsidR="007D02C3" w:rsidRPr="008D710D">
        <w:rPr>
          <w:rFonts w:cs="Times New Roman"/>
          <w:sz w:val="20"/>
          <w:szCs w:val="20"/>
        </w:rPr>
        <w:fldChar w:fldCharType="end"/>
      </w:r>
      <w:r w:rsidR="00895657" w:rsidRPr="008D710D">
        <w:rPr>
          <w:rFonts w:cs="Times New Roman"/>
          <w:sz w:val="20"/>
          <w:szCs w:val="20"/>
        </w:rPr>
        <w:t>.</w:t>
      </w:r>
      <w:r w:rsidR="006F5BD6" w:rsidRPr="008D710D">
        <w:rPr>
          <w:rFonts w:cs="Times New Roman"/>
          <w:sz w:val="20"/>
          <w:szCs w:val="20"/>
        </w:rPr>
        <w:t xml:space="preserve"> </w:t>
      </w:r>
      <w:r w:rsidR="0084476C" w:rsidRPr="008D710D">
        <w:rPr>
          <w:rFonts w:cs="Times New Roman"/>
          <w:sz w:val="20"/>
          <w:szCs w:val="20"/>
        </w:rPr>
        <w:t xml:space="preserve">Then </w:t>
      </w:r>
      <w:r w:rsidR="006F5BD6" w:rsidRPr="008D710D">
        <w:rPr>
          <w:rFonts w:cs="Times New Roman"/>
          <w:sz w:val="20"/>
          <w:szCs w:val="20"/>
        </w:rPr>
        <w:t xml:space="preserve">we considered the parameters </w:t>
      </w:r>
      <w:r w:rsidR="0084476C" w:rsidRPr="008D710D">
        <w:rPr>
          <w:rFonts w:cs="Times New Roman"/>
          <w:sz w:val="20"/>
          <w:szCs w:val="20"/>
        </w:rPr>
        <w:t xml:space="preserve">(previous calibration analysis, step 2) </w:t>
      </w:r>
      <w:r w:rsidR="006F5BD6" w:rsidRPr="008D710D">
        <w:rPr>
          <w:rFonts w:cs="Times New Roman"/>
          <w:sz w:val="20"/>
          <w:szCs w:val="20"/>
        </w:rPr>
        <w:t>that determine the impact of TB interventions</w:t>
      </w:r>
      <w:r w:rsidR="0084476C" w:rsidRPr="008D710D">
        <w:rPr>
          <w:rFonts w:cs="Times New Roman"/>
          <w:sz w:val="20"/>
          <w:szCs w:val="20"/>
        </w:rPr>
        <w:t xml:space="preserve"> </w:t>
      </w:r>
      <w:r w:rsidR="0084476C" w:rsidRPr="008D710D">
        <w:rPr>
          <w:rFonts w:cs="Times New Roman"/>
          <w:sz w:val="20"/>
          <w:szCs w:val="20"/>
        </w:rPr>
        <w:fldChar w:fldCharType="begin" w:fldLock="1"/>
      </w:r>
      <w:r w:rsidR="002F049E" w:rsidRPr="008D710D">
        <w:rPr>
          <w:rFonts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84476C" w:rsidRPr="008D710D">
        <w:rPr>
          <w:rFonts w:cs="Times New Roman"/>
          <w:sz w:val="20"/>
          <w:szCs w:val="20"/>
        </w:rPr>
        <w:fldChar w:fldCharType="separate"/>
      </w:r>
      <w:r w:rsidR="0063047A" w:rsidRPr="008D710D">
        <w:rPr>
          <w:rFonts w:cs="Times New Roman"/>
          <w:noProof/>
          <w:sz w:val="20"/>
          <w:szCs w:val="20"/>
        </w:rPr>
        <w:t>(6)</w:t>
      </w:r>
      <w:r w:rsidR="0084476C" w:rsidRPr="008D710D">
        <w:rPr>
          <w:rFonts w:cs="Times New Roman"/>
          <w:sz w:val="20"/>
          <w:szCs w:val="20"/>
        </w:rPr>
        <w:fldChar w:fldCharType="end"/>
      </w:r>
      <w:r w:rsidR="006F5BD6" w:rsidRPr="008D710D">
        <w:rPr>
          <w:rFonts w:cs="Times New Roman"/>
          <w:sz w:val="20"/>
          <w:szCs w:val="20"/>
        </w:rPr>
        <w:t xml:space="preserve">. </w:t>
      </w:r>
      <w:r w:rsidR="00895657" w:rsidRPr="008D710D">
        <w:rPr>
          <w:rFonts w:cs="Times New Roman"/>
          <w:sz w:val="20"/>
          <w:szCs w:val="20"/>
        </w:rPr>
        <w:t>In this</w:t>
      </w:r>
      <w:r w:rsidR="006C25F6" w:rsidRPr="008D710D">
        <w:rPr>
          <w:rFonts w:cs="Times New Roman"/>
          <w:sz w:val="20"/>
          <w:szCs w:val="20"/>
        </w:rPr>
        <w:t xml:space="preserve"> present analysis, </w:t>
      </w:r>
      <w:r w:rsidR="00AF212B" w:rsidRPr="008D710D">
        <w:rPr>
          <w:rFonts w:cs="Times New Roman"/>
          <w:sz w:val="20"/>
          <w:szCs w:val="20"/>
        </w:rPr>
        <w:t>we focus on the parameters that are most influential in explain</w:t>
      </w:r>
      <w:r w:rsidR="000C7C54" w:rsidRPr="008D710D">
        <w:rPr>
          <w:rFonts w:cs="Times New Roman"/>
          <w:sz w:val="20"/>
          <w:szCs w:val="20"/>
        </w:rPr>
        <w:t>ing</w:t>
      </w:r>
      <w:r w:rsidR="00AF212B" w:rsidRPr="008D710D">
        <w:rPr>
          <w:rFonts w:cs="Times New Roman"/>
          <w:sz w:val="20"/>
          <w:szCs w:val="20"/>
        </w:rPr>
        <w:t xml:space="preserve"> the male-female differences in TB incidence</w:t>
      </w:r>
      <w:r w:rsidR="003E7C5A" w:rsidRPr="008D710D">
        <w:rPr>
          <w:rFonts w:cs="Times New Roman"/>
          <w:sz w:val="20"/>
          <w:szCs w:val="20"/>
        </w:rPr>
        <w:t xml:space="preserve">. </w:t>
      </w:r>
      <w:r w:rsidR="000C7C54" w:rsidRPr="008D710D">
        <w:rPr>
          <w:rFonts w:cs="Times New Roman"/>
          <w:sz w:val="20"/>
          <w:szCs w:val="20"/>
        </w:rPr>
        <w:t>The prior means and standard deviations are summarized in (</w:t>
      </w:r>
      <w:r w:rsidR="000C7C54" w:rsidRPr="008D710D">
        <w:rPr>
          <w:rFonts w:cs="Times New Roman"/>
          <w:sz w:val="20"/>
          <w:szCs w:val="20"/>
        </w:rPr>
        <w:fldChar w:fldCharType="begin"/>
      </w:r>
      <w:r w:rsidR="000C7C54" w:rsidRPr="008D710D">
        <w:rPr>
          <w:rFonts w:cs="Times New Roman"/>
          <w:sz w:val="20"/>
          <w:szCs w:val="20"/>
        </w:rPr>
        <w:instrText xml:space="preserve"> REF _Ref89695448 \h  \* MERGEFORMAT </w:instrText>
      </w:r>
      <w:r w:rsidR="000C7C54" w:rsidRPr="008D710D">
        <w:rPr>
          <w:rFonts w:cs="Times New Roman"/>
          <w:sz w:val="20"/>
          <w:szCs w:val="20"/>
        </w:rPr>
      </w:r>
      <w:r w:rsidR="000C7C54" w:rsidRPr="008D710D">
        <w:rPr>
          <w:rFonts w:cs="Times New Roman"/>
          <w:sz w:val="20"/>
          <w:szCs w:val="20"/>
        </w:rPr>
        <w:fldChar w:fldCharType="separate"/>
      </w:r>
      <w:r w:rsidR="000C7C54" w:rsidRPr="008D710D">
        <w:rPr>
          <w:sz w:val="20"/>
          <w:szCs w:val="20"/>
        </w:rPr>
        <w:t>Table 20</w:t>
      </w:r>
      <w:r w:rsidR="000C7C54" w:rsidRPr="008D710D">
        <w:rPr>
          <w:rFonts w:cs="Times New Roman"/>
          <w:sz w:val="20"/>
          <w:szCs w:val="20"/>
        </w:rPr>
        <w:fldChar w:fldCharType="end"/>
      </w:r>
      <w:r w:rsidR="000C7C54" w:rsidRPr="008D710D">
        <w:rPr>
          <w:rFonts w:cs="Times New Roman"/>
          <w:sz w:val="20"/>
          <w:szCs w:val="20"/>
        </w:rPr>
        <w:t xml:space="preserve">), with the </w:t>
      </w:r>
      <w:r w:rsidR="000C7C54" w:rsidRPr="008D710D">
        <w:rPr>
          <w:rFonts w:cs="Times New Roman"/>
          <w:sz w:val="20"/>
          <w:szCs w:val="20"/>
          <w:lang w:val="en-ZA"/>
        </w:rPr>
        <w:t xml:space="preserve">posterior means and 95% confidence intervals for the parameters varied and estimated in the previous calibration analysis. We also </w:t>
      </w:r>
      <w:r w:rsidR="000C7C54" w:rsidRPr="008D710D">
        <w:rPr>
          <w:rFonts w:cs="Times New Roman"/>
          <w:sz w:val="20"/>
          <w:szCs w:val="20"/>
        </w:rPr>
        <w:t>indicate the parameters varied in this present analysis.</w:t>
      </w:r>
      <w:r w:rsidR="00867E81" w:rsidRPr="008D710D">
        <w:rPr>
          <w:rFonts w:cs="Times New Roman"/>
          <w:sz w:val="20"/>
          <w:szCs w:val="20"/>
        </w:rPr>
        <w:t xml:space="preserve"> </w:t>
      </w:r>
      <w:r w:rsidR="00137783" w:rsidRPr="008D710D">
        <w:rPr>
          <w:rFonts w:cs="Times New Roman"/>
          <w:sz w:val="20"/>
          <w:szCs w:val="20"/>
        </w:rPr>
        <w:t>In each step</w:t>
      </w:r>
      <w:r w:rsidR="00867E81" w:rsidRPr="008D710D">
        <w:rPr>
          <w:rFonts w:cs="Times New Roman"/>
          <w:sz w:val="20"/>
          <w:szCs w:val="20"/>
        </w:rPr>
        <w:t xml:space="preserve"> we use the same likelihood definitions as given in this section below. </w:t>
      </w:r>
    </w:p>
    <w:p w14:paraId="006651C0" w14:textId="77777777" w:rsidR="00F95AFD" w:rsidRPr="00435469" w:rsidRDefault="00F95AFD">
      <w:pPr>
        <w:spacing w:after="160" w:line="259" w:lineRule="auto"/>
        <w:rPr>
          <w:rFonts w:cs="Times New Roman"/>
          <w:color w:val="FF0000"/>
          <w:sz w:val="20"/>
          <w:szCs w:val="20"/>
        </w:rPr>
      </w:pPr>
      <w:r w:rsidRPr="00435469">
        <w:rPr>
          <w:rFonts w:cs="Times New Roman"/>
          <w:color w:val="FF0000"/>
          <w:sz w:val="20"/>
          <w:szCs w:val="20"/>
        </w:rPr>
        <w:br w:type="page"/>
      </w:r>
    </w:p>
    <w:p w14:paraId="1417390A" w14:textId="77777777" w:rsidR="00706B3B" w:rsidRPr="00435469" w:rsidRDefault="00706B3B" w:rsidP="00955FFB">
      <w:pPr>
        <w:pStyle w:val="3CaptionBelowwithNote"/>
        <w:ind w:left="0" w:firstLine="0"/>
        <w:rPr>
          <w:sz w:val="20"/>
          <w:szCs w:val="20"/>
        </w:rPr>
        <w:sectPr w:rsidR="00706B3B" w:rsidRPr="00435469" w:rsidSect="00B35B71">
          <w:pgSz w:w="12240" w:h="15840"/>
          <w:pgMar w:top="1440" w:right="1800" w:bottom="1440" w:left="1800" w:header="720" w:footer="720" w:gutter="0"/>
          <w:cols w:space="720"/>
          <w:docGrid w:linePitch="360"/>
        </w:sectPr>
      </w:pPr>
      <w:bookmarkStart w:id="312" w:name="_Ref89695448"/>
      <w:bookmarkStart w:id="313" w:name="_Toc87863408"/>
      <w:bookmarkStart w:id="314" w:name="_Toc103253673"/>
    </w:p>
    <w:p w14:paraId="48A822BA" w14:textId="257BBE9C" w:rsidR="00A5701D" w:rsidRPr="00435469" w:rsidRDefault="00A5701D" w:rsidP="00955FFB">
      <w:pPr>
        <w:pStyle w:val="3CaptionBelowwithNote"/>
        <w:ind w:left="0" w:firstLine="0"/>
        <w:rPr>
          <w:sz w:val="20"/>
          <w:szCs w:val="20"/>
        </w:rPr>
      </w:pPr>
      <w:r w:rsidRPr="00435469">
        <w:rPr>
          <w:sz w:val="20"/>
          <w:szCs w:val="20"/>
        </w:rPr>
        <w:lastRenderedPageBreak/>
        <w:t xml:space="preserve">Table </w:t>
      </w:r>
      <w:r w:rsidRPr="00435469">
        <w:rPr>
          <w:sz w:val="20"/>
          <w:szCs w:val="20"/>
        </w:rPr>
        <w:fldChar w:fldCharType="begin"/>
      </w:r>
      <w:r w:rsidRPr="00435469">
        <w:rPr>
          <w:sz w:val="20"/>
          <w:szCs w:val="20"/>
        </w:rPr>
        <w:instrText xml:space="preserve"> SEQ Table \* ARABIC </w:instrText>
      </w:r>
      <w:r w:rsidRPr="00435469">
        <w:rPr>
          <w:sz w:val="20"/>
          <w:szCs w:val="20"/>
        </w:rPr>
        <w:fldChar w:fldCharType="separate"/>
      </w:r>
      <w:r w:rsidR="00186C2F" w:rsidRPr="00435469">
        <w:rPr>
          <w:sz w:val="20"/>
          <w:szCs w:val="20"/>
        </w:rPr>
        <w:t>20</w:t>
      </w:r>
      <w:r w:rsidRPr="00435469">
        <w:rPr>
          <w:sz w:val="20"/>
          <w:szCs w:val="20"/>
        </w:rPr>
        <w:fldChar w:fldCharType="end"/>
      </w:r>
      <w:bookmarkEnd w:id="312"/>
      <w:r w:rsidRPr="00435469">
        <w:rPr>
          <w:sz w:val="20"/>
          <w:szCs w:val="20"/>
        </w:rPr>
        <w:t>: Summary of model parameters</w:t>
      </w:r>
      <w:r w:rsidR="00761DA7" w:rsidRPr="00435469">
        <w:rPr>
          <w:sz w:val="20"/>
          <w:szCs w:val="20"/>
        </w:rPr>
        <w:t xml:space="preserve"> (with prior means and standard deviations)</w:t>
      </w:r>
      <w:r w:rsidR="00E67093" w:rsidRPr="00435469">
        <w:rPr>
          <w:sz w:val="20"/>
          <w:szCs w:val="20"/>
        </w:rPr>
        <w:t xml:space="preserve"> </w:t>
      </w:r>
      <w:r w:rsidR="00C606C4" w:rsidRPr="00435469">
        <w:rPr>
          <w:sz w:val="20"/>
          <w:szCs w:val="20"/>
        </w:rPr>
        <w:t xml:space="preserve">that are </w:t>
      </w:r>
      <w:r w:rsidRPr="00435469">
        <w:rPr>
          <w:sz w:val="20"/>
          <w:szCs w:val="20"/>
        </w:rPr>
        <w:t>varied and estimated through calibration</w:t>
      </w:r>
      <w:bookmarkEnd w:id="313"/>
      <w:bookmarkEnd w:id="314"/>
    </w:p>
    <w:tbl>
      <w:tblPr>
        <w:tblW w:w="14175" w:type="dxa"/>
        <w:tblLook w:val="04A0" w:firstRow="1" w:lastRow="0" w:firstColumn="1" w:lastColumn="0" w:noHBand="0" w:noVBand="1"/>
      </w:tblPr>
      <w:tblGrid>
        <w:gridCol w:w="5245"/>
        <w:gridCol w:w="1836"/>
        <w:gridCol w:w="857"/>
        <w:gridCol w:w="1985"/>
        <w:gridCol w:w="1843"/>
        <w:gridCol w:w="2409"/>
      </w:tblGrid>
      <w:tr w:rsidR="0061685C" w:rsidRPr="00435469" w14:paraId="3D719CCD" w14:textId="77777777" w:rsidTr="00363677">
        <w:trPr>
          <w:trHeight w:val="269"/>
        </w:trPr>
        <w:tc>
          <w:tcPr>
            <w:tcW w:w="5245" w:type="dxa"/>
            <w:tcBorders>
              <w:top w:val="single" w:sz="8" w:space="0" w:color="auto"/>
              <w:left w:val="nil"/>
              <w:right w:val="nil"/>
            </w:tcBorders>
            <w:shd w:val="clear" w:color="auto" w:fill="auto"/>
            <w:hideMark/>
          </w:tcPr>
          <w:p w14:paraId="7A9FC40B" w14:textId="52A48A11" w:rsidR="00324419" w:rsidRPr="00435469" w:rsidRDefault="00324419" w:rsidP="003440F2">
            <w:pPr>
              <w:spacing w:after="0" w:line="240" w:lineRule="auto"/>
              <w:rPr>
                <w:rFonts w:eastAsia="Times New Roman" w:cs="Times New Roman"/>
                <w:b/>
                <w:bCs/>
                <w:sz w:val="16"/>
                <w:szCs w:val="16"/>
                <w:lang w:val="en-ZA" w:eastAsia="en-ZA"/>
              </w:rPr>
            </w:pPr>
            <w:bookmarkStart w:id="315" w:name="_Hlk103259693"/>
            <w:r w:rsidRPr="00435469">
              <w:rPr>
                <w:rFonts w:eastAsia="Times New Roman" w:cs="Times New Roman"/>
                <w:b/>
                <w:bCs/>
                <w:sz w:val="16"/>
                <w:szCs w:val="16"/>
                <w:lang w:eastAsia="en-ZA"/>
              </w:rPr>
              <w:t xml:space="preserve">Parameter description </w:t>
            </w:r>
          </w:p>
        </w:tc>
        <w:tc>
          <w:tcPr>
            <w:tcW w:w="1836" w:type="dxa"/>
            <w:tcBorders>
              <w:top w:val="single" w:sz="8" w:space="0" w:color="auto"/>
              <w:left w:val="nil"/>
              <w:right w:val="nil"/>
            </w:tcBorders>
            <w:shd w:val="clear" w:color="auto" w:fill="auto"/>
            <w:noWrap/>
            <w:vAlign w:val="center"/>
            <w:hideMark/>
          </w:tcPr>
          <w:p w14:paraId="5E30CD02" w14:textId="77777777" w:rsidR="00324419" w:rsidRPr="00435469" w:rsidRDefault="00324419" w:rsidP="003440F2">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eastAsia="en-ZA"/>
              </w:rPr>
              <w:t>Mean</w:t>
            </w:r>
          </w:p>
        </w:tc>
        <w:tc>
          <w:tcPr>
            <w:tcW w:w="857" w:type="dxa"/>
            <w:tcBorders>
              <w:top w:val="single" w:sz="8" w:space="0" w:color="auto"/>
              <w:left w:val="nil"/>
              <w:right w:val="nil"/>
            </w:tcBorders>
            <w:shd w:val="clear" w:color="auto" w:fill="auto"/>
            <w:noWrap/>
            <w:vAlign w:val="center"/>
            <w:hideMark/>
          </w:tcPr>
          <w:p w14:paraId="1135BF0A" w14:textId="77777777" w:rsidR="00324419" w:rsidRPr="00435469" w:rsidRDefault="00324419" w:rsidP="003440F2">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eastAsia="en-ZA"/>
              </w:rPr>
              <w:t>Standard deviation</w:t>
            </w:r>
          </w:p>
        </w:tc>
        <w:tc>
          <w:tcPr>
            <w:tcW w:w="6237" w:type="dxa"/>
            <w:gridSpan w:val="3"/>
            <w:tcBorders>
              <w:top w:val="single" w:sz="8" w:space="0" w:color="auto"/>
              <w:left w:val="nil"/>
              <w:bottom w:val="single" w:sz="4" w:space="0" w:color="auto"/>
              <w:right w:val="nil"/>
            </w:tcBorders>
            <w:shd w:val="clear" w:color="auto" w:fill="auto"/>
            <w:noWrap/>
            <w:vAlign w:val="center"/>
            <w:hideMark/>
          </w:tcPr>
          <w:p w14:paraId="55EE9908" w14:textId="77777777" w:rsidR="00324419" w:rsidRPr="00435469" w:rsidRDefault="00324419" w:rsidP="003440F2">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eastAsia="en-ZA"/>
              </w:rPr>
              <w:t>Uncertainty analysis</w:t>
            </w:r>
          </w:p>
        </w:tc>
      </w:tr>
      <w:tr w:rsidR="0061685C" w:rsidRPr="00435469" w14:paraId="14B2F580" w14:textId="77777777" w:rsidTr="00363677">
        <w:trPr>
          <w:trHeight w:val="269"/>
        </w:trPr>
        <w:tc>
          <w:tcPr>
            <w:tcW w:w="5245" w:type="dxa"/>
            <w:tcBorders>
              <w:left w:val="nil"/>
              <w:bottom w:val="single" w:sz="8" w:space="0" w:color="auto"/>
              <w:right w:val="nil"/>
            </w:tcBorders>
            <w:shd w:val="clear" w:color="auto" w:fill="auto"/>
          </w:tcPr>
          <w:p w14:paraId="4A993698" w14:textId="77777777" w:rsidR="00324419" w:rsidRPr="00435469" w:rsidRDefault="00324419" w:rsidP="003440F2">
            <w:pPr>
              <w:spacing w:after="0" w:line="240" w:lineRule="auto"/>
              <w:rPr>
                <w:rFonts w:eastAsia="Times New Roman" w:cs="Times New Roman"/>
                <w:b/>
                <w:bCs/>
                <w:sz w:val="16"/>
                <w:szCs w:val="16"/>
                <w:lang w:eastAsia="en-ZA"/>
              </w:rPr>
            </w:pPr>
          </w:p>
        </w:tc>
        <w:tc>
          <w:tcPr>
            <w:tcW w:w="1836" w:type="dxa"/>
            <w:tcBorders>
              <w:left w:val="nil"/>
              <w:bottom w:val="single" w:sz="8" w:space="0" w:color="auto"/>
              <w:right w:val="nil"/>
            </w:tcBorders>
            <w:shd w:val="clear" w:color="auto" w:fill="auto"/>
            <w:noWrap/>
            <w:vAlign w:val="center"/>
          </w:tcPr>
          <w:p w14:paraId="72D0420D" w14:textId="77777777" w:rsidR="00324419" w:rsidRPr="00435469" w:rsidRDefault="00324419" w:rsidP="003440F2">
            <w:pPr>
              <w:spacing w:after="0" w:line="240" w:lineRule="auto"/>
              <w:rPr>
                <w:rFonts w:eastAsia="Times New Roman" w:cs="Times New Roman"/>
                <w:b/>
                <w:bCs/>
                <w:sz w:val="16"/>
                <w:szCs w:val="16"/>
                <w:lang w:eastAsia="en-ZA"/>
              </w:rPr>
            </w:pPr>
          </w:p>
        </w:tc>
        <w:tc>
          <w:tcPr>
            <w:tcW w:w="857" w:type="dxa"/>
            <w:tcBorders>
              <w:left w:val="nil"/>
              <w:bottom w:val="single" w:sz="8" w:space="0" w:color="auto"/>
              <w:right w:val="nil"/>
            </w:tcBorders>
            <w:shd w:val="clear" w:color="auto" w:fill="auto"/>
            <w:noWrap/>
            <w:vAlign w:val="center"/>
          </w:tcPr>
          <w:p w14:paraId="3A82EEF3" w14:textId="77777777" w:rsidR="00324419" w:rsidRPr="00435469" w:rsidRDefault="00324419" w:rsidP="003440F2">
            <w:pPr>
              <w:spacing w:after="0" w:line="240" w:lineRule="auto"/>
              <w:rPr>
                <w:rFonts w:eastAsia="Times New Roman" w:cs="Times New Roman"/>
                <w:b/>
                <w:bCs/>
                <w:sz w:val="16"/>
                <w:szCs w:val="16"/>
                <w:lang w:eastAsia="en-ZA"/>
              </w:rPr>
            </w:pPr>
          </w:p>
        </w:tc>
        <w:tc>
          <w:tcPr>
            <w:tcW w:w="1985" w:type="dxa"/>
            <w:tcBorders>
              <w:top w:val="single" w:sz="4" w:space="0" w:color="auto"/>
              <w:left w:val="nil"/>
              <w:bottom w:val="single" w:sz="8" w:space="0" w:color="auto"/>
              <w:right w:val="nil"/>
            </w:tcBorders>
            <w:shd w:val="clear" w:color="auto" w:fill="auto"/>
            <w:noWrap/>
            <w:vAlign w:val="center"/>
          </w:tcPr>
          <w:p w14:paraId="4C15AE6D" w14:textId="77777777" w:rsidR="00324419" w:rsidRPr="00435469" w:rsidRDefault="00324419" w:rsidP="003440F2">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Previous step 1</w:t>
            </w:r>
          </w:p>
        </w:tc>
        <w:tc>
          <w:tcPr>
            <w:tcW w:w="1843" w:type="dxa"/>
            <w:tcBorders>
              <w:top w:val="single" w:sz="4" w:space="0" w:color="auto"/>
              <w:left w:val="nil"/>
              <w:bottom w:val="single" w:sz="8" w:space="0" w:color="auto"/>
              <w:right w:val="nil"/>
            </w:tcBorders>
            <w:shd w:val="clear" w:color="auto" w:fill="auto"/>
            <w:noWrap/>
            <w:vAlign w:val="center"/>
          </w:tcPr>
          <w:p w14:paraId="76D176BE" w14:textId="77777777" w:rsidR="00324419" w:rsidRPr="00435469" w:rsidRDefault="00324419" w:rsidP="003440F2">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Previous step 2</w:t>
            </w:r>
          </w:p>
        </w:tc>
        <w:tc>
          <w:tcPr>
            <w:tcW w:w="2409" w:type="dxa"/>
            <w:tcBorders>
              <w:top w:val="single" w:sz="4" w:space="0" w:color="auto"/>
              <w:left w:val="nil"/>
              <w:bottom w:val="single" w:sz="8" w:space="0" w:color="auto"/>
              <w:right w:val="nil"/>
            </w:tcBorders>
            <w:shd w:val="clear" w:color="auto" w:fill="auto"/>
            <w:noWrap/>
            <w:vAlign w:val="center"/>
          </w:tcPr>
          <w:p w14:paraId="183A6EA2" w14:textId="6685A48D" w:rsidR="00324419" w:rsidRPr="00435469" w:rsidRDefault="00324419" w:rsidP="008724E0">
            <w:pPr>
              <w:spacing w:after="0" w:line="240" w:lineRule="auto"/>
              <w:jc w:val="center"/>
              <w:rPr>
                <w:rFonts w:eastAsia="Times New Roman" w:cs="Times New Roman"/>
                <w:b/>
                <w:bCs/>
                <w:sz w:val="16"/>
                <w:szCs w:val="16"/>
                <w:lang w:eastAsia="en-ZA"/>
              </w:rPr>
            </w:pPr>
            <w:r w:rsidRPr="00435469">
              <w:rPr>
                <w:rFonts w:eastAsia="Times New Roman" w:cs="Times New Roman"/>
                <w:b/>
                <w:bCs/>
                <w:sz w:val="16"/>
                <w:szCs w:val="16"/>
                <w:lang w:eastAsia="en-ZA"/>
              </w:rPr>
              <w:t>Current</w:t>
            </w:r>
            <w:r w:rsidR="008724E0" w:rsidRPr="00435469">
              <w:rPr>
                <w:rFonts w:eastAsia="Times New Roman" w:cs="Times New Roman"/>
                <w:b/>
                <w:bCs/>
                <w:sz w:val="16"/>
                <w:szCs w:val="16"/>
                <w:lang w:eastAsia="en-ZA"/>
              </w:rPr>
              <w:t xml:space="preserve"> </w:t>
            </w:r>
            <w:r w:rsidRPr="00435469">
              <w:rPr>
                <w:rFonts w:eastAsia="Times New Roman" w:cs="Times New Roman"/>
                <w:b/>
                <w:bCs/>
                <w:sz w:val="16"/>
                <w:szCs w:val="16"/>
                <w:lang w:eastAsia="en-ZA"/>
              </w:rPr>
              <w:t>step 3</w:t>
            </w:r>
          </w:p>
        </w:tc>
      </w:tr>
      <w:tr w:rsidR="008738B4" w:rsidRPr="00435469" w14:paraId="1E016BFE" w14:textId="77777777" w:rsidTr="00363677">
        <w:trPr>
          <w:trHeight w:val="389"/>
        </w:trPr>
        <w:tc>
          <w:tcPr>
            <w:tcW w:w="5245" w:type="dxa"/>
            <w:tcBorders>
              <w:top w:val="nil"/>
              <w:left w:val="nil"/>
              <w:bottom w:val="single" w:sz="8" w:space="0" w:color="auto"/>
              <w:right w:val="nil"/>
            </w:tcBorders>
            <w:shd w:val="clear" w:color="auto" w:fill="auto"/>
            <w:hideMark/>
          </w:tcPr>
          <w:p w14:paraId="3080EF44" w14:textId="77777777" w:rsidR="008738B4" w:rsidRPr="00435469" w:rsidRDefault="008738B4" w:rsidP="008738B4">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TB transmission probability per contact per day (if infectious individual is smear-positive)</w:t>
            </w:r>
          </w:p>
        </w:tc>
        <w:tc>
          <w:tcPr>
            <w:tcW w:w="1836" w:type="dxa"/>
            <w:tcBorders>
              <w:top w:val="nil"/>
              <w:left w:val="nil"/>
              <w:bottom w:val="single" w:sz="8" w:space="0" w:color="auto"/>
              <w:right w:val="nil"/>
            </w:tcBorders>
            <w:shd w:val="clear" w:color="auto" w:fill="auto"/>
            <w:noWrap/>
            <w:vAlign w:val="center"/>
            <w:hideMark/>
          </w:tcPr>
          <w:p w14:paraId="5D67CD48" w14:textId="3326AF7F"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0.0025</w:t>
            </w:r>
          </w:p>
        </w:tc>
        <w:tc>
          <w:tcPr>
            <w:tcW w:w="857" w:type="dxa"/>
            <w:tcBorders>
              <w:top w:val="nil"/>
              <w:left w:val="nil"/>
              <w:bottom w:val="single" w:sz="8" w:space="0" w:color="auto"/>
              <w:right w:val="nil"/>
            </w:tcBorders>
            <w:shd w:val="clear" w:color="auto" w:fill="auto"/>
            <w:noWrap/>
            <w:vAlign w:val="center"/>
            <w:hideMark/>
          </w:tcPr>
          <w:p w14:paraId="723B2B3B" w14:textId="6E277439"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0.0025</w:t>
            </w:r>
          </w:p>
        </w:tc>
        <w:tc>
          <w:tcPr>
            <w:tcW w:w="1985" w:type="dxa"/>
            <w:tcBorders>
              <w:top w:val="nil"/>
              <w:left w:val="nil"/>
              <w:bottom w:val="single" w:sz="8" w:space="0" w:color="auto"/>
              <w:right w:val="nil"/>
            </w:tcBorders>
            <w:shd w:val="clear" w:color="auto" w:fill="auto"/>
            <w:noWrap/>
            <w:vAlign w:val="center"/>
            <w:hideMark/>
          </w:tcPr>
          <w:p w14:paraId="62F65BBC" w14:textId="37B8DDF4"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Wingdings" w:cs="Times New Roman"/>
                <w:sz w:val="16"/>
                <w:szCs w:val="16"/>
                <w:lang w:eastAsia="en-ZA"/>
              </w:rPr>
              <w:t>0.0030 (0.0026–0.0034)</w:t>
            </w:r>
          </w:p>
        </w:tc>
        <w:tc>
          <w:tcPr>
            <w:tcW w:w="1843" w:type="dxa"/>
            <w:tcBorders>
              <w:top w:val="nil"/>
              <w:left w:val="nil"/>
              <w:bottom w:val="single" w:sz="8" w:space="0" w:color="auto"/>
              <w:right w:val="nil"/>
            </w:tcBorders>
            <w:shd w:val="clear" w:color="auto" w:fill="auto"/>
            <w:noWrap/>
            <w:vAlign w:val="center"/>
            <w:hideMark/>
          </w:tcPr>
          <w:p w14:paraId="6DFD4212" w14:textId="0BB84AB9" w:rsidR="008738B4" w:rsidRPr="00435469" w:rsidRDefault="008738B4" w:rsidP="008738B4">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0.0034 (0.0031 - 0.0037)</w:t>
            </w:r>
          </w:p>
          <w:p w14:paraId="202A2B51" w14:textId="7C3DE814" w:rsidR="008738B4" w:rsidRPr="00435469" w:rsidRDefault="008738B4" w:rsidP="008738B4">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0CCC8B1C"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sym w:font="Wingdings" w:char="F0FC"/>
            </w:r>
          </w:p>
        </w:tc>
      </w:tr>
      <w:tr w:rsidR="008738B4" w:rsidRPr="00435469" w14:paraId="6D27F430" w14:textId="77777777" w:rsidTr="00363677">
        <w:trPr>
          <w:trHeight w:val="269"/>
        </w:trPr>
        <w:tc>
          <w:tcPr>
            <w:tcW w:w="5245" w:type="dxa"/>
            <w:tcBorders>
              <w:top w:val="nil"/>
              <w:left w:val="nil"/>
              <w:bottom w:val="single" w:sz="8" w:space="0" w:color="auto"/>
              <w:right w:val="nil"/>
            </w:tcBorders>
            <w:shd w:val="clear" w:color="auto" w:fill="auto"/>
            <w:hideMark/>
          </w:tcPr>
          <w:p w14:paraId="3798B94E" w14:textId="77777777" w:rsidR="008738B4" w:rsidRPr="00435469" w:rsidRDefault="008738B4" w:rsidP="008738B4">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The annual rate of reactivation in HIV-negative individuals</w:t>
            </w:r>
          </w:p>
        </w:tc>
        <w:tc>
          <w:tcPr>
            <w:tcW w:w="1836" w:type="dxa"/>
            <w:tcBorders>
              <w:top w:val="nil"/>
              <w:left w:val="nil"/>
              <w:bottom w:val="single" w:sz="8" w:space="0" w:color="auto"/>
              <w:right w:val="nil"/>
            </w:tcBorders>
            <w:shd w:val="clear" w:color="auto" w:fill="auto"/>
            <w:noWrap/>
            <w:vAlign w:val="center"/>
            <w:hideMark/>
          </w:tcPr>
          <w:p w14:paraId="7909AA7E" w14:textId="7AA2ADC8"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0.0024</w:t>
            </w:r>
          </w:p>
        </w:tc>
        <w:tc>
          <w:tcPr>
            <w:tcW w:w="857" w:type="dxa"/>
            <w:tcBorders>
              <w:top w:val="nil"/>
              <w:left w:val="nil"/>
              <w:bottom w:val="single" w:sz="8" w:space="0" w:color="auto"/>
              <w:right w:val="nil"/>
            </w:tcBorders>
            <w:shd w:val="clear" w:color="auto" w:fill="auto"/>
            <w:noWrap/>
            <w:vAlign w:val="center"/>
            <w:hideMark/>
          </w:tcPr>
          <w:p w14:paraId="02DE96B8" w14:textId="4DF1D441"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0.0012</w:t>
            </w:r>
          </w:p>
        </w:tc>
        <w:tc>
          <w:tcPr>
            <w:tcW w:w="1985" w:type="dxa"/>
            <w:tcBorders>
              <w:top w:val="nil"/>
              <w:left w:val="nil"/>
              <w:bottom w:val="single" w:sz="8" w:space="0" w:color="auto"/>
              <w:right w:val="nil"/>
            </w:tcBorders>
            <w:shd w:val="clear" w:color="auto" w:fill="auto"/>
            <w:noWrap/>
            <w:vAlign w:val="center"/>
            <w:hideMark/>
          </w:tcPr>
          <w:p w14:paraId="3048B689" w14:textId="6DA4E3CE"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Wingdings" w:cs="Times New Roman"/>
                <w:sz w:val="16"/>
                <w:szCs w:val="16"/>
                <w:lang w:eastAsia="en-ZA"/>
              </w:rPr>
              <w:t>0.00148 (0.0014–0.00155)</w:t>
            </w:r>
          </w:p>
        </w:tc>
        <w:tc>
          <w:tcPr>
            <w:tcW w:w="1843" w:type="dxa"/>
            <w:tcBorders>
              <w:top w:val="nil"/>
              <w:left w:val="nil"/>
              <w:bottom w:val="single" w:sz="8" w:space="0" w:color="auto"/>
              <w:right w:val="nil"/>
            </w:tcBorders>
            <w:shd w:val="clear" w:color="auto" w:fill="auto"/>
            <w:noWrap/>
            <w:vAlign w:val="center"/>
            <w:hideMark/>
          </w:tcPr>
          <w:p w14:paraId="708F6742" w14:textId="77777777" w:rsidR="008738B4" w:rsidRPr="00435469" w:rsidRDefault="008738B4" w:rsidP="008738B4">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48793661" w14:textId="77777777" w:rsidR="008738B4" w:rsidRPr="00435469" w:rsidRDefault="008738B4" w:rsidP="008738B4">
            <w:pPr>
              <w:spacing w:after="0" w:line="240" w:lineRule="auto"/>
              <w:jc w:val="center"/>
              <w:rPr>
                <w:rFonts w:eastAsia="Times New Roman" w:cs="Times New Roman"/>
                <w:sz w:val="16"/>
                <w:szCs w:val="16"/>
                <w:lang w:val="en-ZA" w:eastAsia="en-ZA"/>
              </w:rPr>
            </w:pPr>
          </w:p>
        </w:tc>
      </w:tr>
      <w:tr w:rsidR="008738B4" w:rsidRPr="00435469" w14:paraId="06D1C72A" w14:textId="77777777" w:rsidTr="00363677">
        <w:trPr>
          <w:trHeight w:val="269"/>
        </w:trPr>
        <w:tc>
          <w:tcPr>
            <w:tcW w:w="5245" w:type="dxa"/>
            <w:tcBorders>
              <w:top w:val="nil"/>
              <w:left w:val="nil"/>
              <w:bottom w:val="single" w:sz="8" w:space="0" w:color="auto"/>
              <w:right w:val="nil"/>
            </w:tcBorders>
            <w:shd w:val="clear" w:color="auto" w:fill="auto"/>
            <w:hideMark/>
          </w:tcPr>
          <w:p w14:paraId="30CFC42F" w14:textId="72E6DEA4" w:rsidR="008738B4" w:rsidRPr="00435469" w:rsidRDefault="008738B4" w:rsidP="008738B4">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 xml:space="preserve">Relative rate of TB incidence per 100 </w:t>
            </w:r>
            <w:proofErr w:type="gramStart"/>
            <w:r w:rsidRPr="00435469">
              <w:rPr>
                <w:rFonts w:eastAsia="Times New Roman" w:cs="Times New Roman"/>
                <w:sz w:val="16"/>
                <w:szCs w:val="16"/>
                <w:lang w:eastAsia="en-ZA"/>
              </w:rPr>
              <w:t>cell</w:t>
            </w:r>
            <w:proofErr w:type="gramEnd"/>
            <w:r w:rsidRPr="00435469">
              <w:rPr>
                <w:rFonts w:eastAsia="Times New Roman" w:cs="Times New Roman"/>
                <w:sz w:val="16"/>
                <w:szCs w:val="16"/>
                <w:lang w:eastAsia="en-ZA"/>
              </w:rPr>
              <w:t xml:space="preserve"> increase in CD4</w:t>
            </w:r>
          </w:p>
        </w:tc>
        <w:tc>
          <w:tcPr>
            <w:tcW w:w="1836" w:type="dxa"/>
            <w:tcBorders>
              <w:top w:val="nil"/>
              <w:left w:val="nil"/>
              <w:bottom w:val="single" w:sz="8" w:space="0" w:color="auto"/>
              <w:right w:val="nil"/>
            </w:tcBorders>
            <w:shd w:val="clear" w:color="auto" w:fill="auto"/>
            <w:noWrap/>
            <w:vAlign w:val="center"/>
            <w:hideMark/>
          </w:tcPr>
          <w:p w14:paraId="2DA60489" w14:textId="462FA1BD"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0.71</w:t>
            </w:r>
          </w:p>
        </w:tc>
        <w:tc>
          <w:tcPr>
            <w:tcW w:w="857" w:type="dxa"/>
            <w:tcBorders>
              <w:top w:val="nil"/>
              <w:left w:val="nil"/>
              <w:bottom w:val="single" w:sz="8" w:space="0" w:color="auto"/>
              <w:right w:val="nil"/>
            </w:tcBorders>
            <w:shd w:val="clear" w:color="auto" w:fill="auto"/>
            <w:noWrap/>
            <w:vAlign w:val="center"/>
            <w:hideMark/>
          </w:tcPr>
          <w:p w14:paraId="5508BDDB" w14:textId="7C54E8D9"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0.085</w:t>
            </w:r>
          </w:p>
        </w:tc>
        <w:tc>
          <w:tcPr>
            <w:tcW w:w="1985" w:type="dxa"/>
            <w:tcBorders>
              <w:top w:val="nil"/>
              <w:left w:val="nil"/>
              <w:bottom w:val="single" w:sz="8" w:space="0" w:color="auto"/>
              <w:right w:val="nil"/>
            </w:tcBorders>
            <w:shd w:val="clear" w:color="auto" w:fill="auto"/>
            <w:noWrap/>
            <w:vAlign w:val="center"/>
            <w:hideMark/>
          </w:tcPr>
          <w:p w14:paraId="4B685C57" w14:textId="29F7E878"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Wingdings" w:cs="Times New Roman"/>
                <w:sz w:val="16"/>
                <w:szCs w:val="16"/>
                <w:lang w:eastAsia="en-ZA"/>
              </w:rPr>
              <w:t>0.703 (0.693–0.712)</w:t>
            </w:r>
          </w:p>
        </w:tc>
        <w:tc>
          <w:tcPr>
            <w:tcW w:w="1843" w:type="dxa"/>
            <w:tcBorders>
              <w:top w:val="nil"/>
              <w:left w:val="nil"/>
              <w:bottom w:val="single" w:sz="8" w:space="0" w:color="auto"/>
              <w:right w:val="nil"/>
            </w:tcBorders>
            <w:shd w:val="clear" w:color="auto" w:fill="auto"/>
            <w:noWrap/>
            <w:vAlign w:val="center"/>
            <w:hideMark/>
          </w:tcPr>
          <w:p w14:paraId="7DAB5104" w14:textId="77777777" w:rsidR="008738B4" w:rsidRPr="00435469" w:rsidRDefault="008738B4" w:rsidP="008738B4">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304FF75F"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sym w:font="Wingdings" w:char="F0FC"/>
            </w:r>
          </w:p>
        </w:tc>
      </w:tr>
      <w:tr w:rsidR="008738B4" w:rsidRPr="00435469" w14:paraId="5F6D4252" w14:textId="77777777" w:rsidTr="00363677">
        <w:trPr>
          <w:trHeight w:val="269"/>
        </w:trPr>
        <w:tc>
          <w:tcPr>
            <w:tcW w:w="5245" w:type="dxa"/>
            <w:tcBorders>
              <w:top w:val="nil"/>
              <w:left w:val="nil"/>
              <w:bottom w:val="single" w:sz="8" w:space="0" w:color="auto"/>
              <w:right w:val="nil"/>
            </w:tcBorders>
            <w:shd w:val="clear" w:color="auto" w:fill="auto"/>
            <w:hideMark/>
          </w:tcPr>
          <w:p w14:paraId="38D24CF5" w14:textId="77777777" w:rsidR="008738B4" w:rsidRPr="00435469" w:rsidRDefault="008738B4" w:rsidP="008738B4">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Annual recovery rate in smear-positive TB, HIV-negative individuals</w:t>
            </w:r>
          </w:p>
        </w:tc>
        <w:tc>
          <w:tcPr>
            <w:tcW w:w="1836" w:type="dxa"/>
            <w:tcBorders>
              <w:top w:val="nil"/>
              <w:left w:val="nil"/>
              <w:bottom w:val="single" w:sz="8" w:space="0" w:color="auto"/>
              <w:right w:val="nil"/>
            </w:tcBorders>
            <w:shd w:val="clear" w:color="auto" w:fill="auto"/>
            <w:noWrap/>
            <w:vAlign w:val="center"/>
            <w:hideMark/>
          </w:tcPr>
          <w:p w14:paraId="76DF1D68"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0.09</w:t>
            </w:r>
          </w:p>
        </w:tc>
        <w:tc>
          <w:tcPr>
            <w:tcW w:w="857" w:type="dxa"/>
            <w:tcBorders>
              <w:top w:val="nil"/>
              <w:left w:val="nil"/>
              <w:bottom w:val="single" w:sz="8" w:space="0" w:color="auto"/>
              <w:right w:val="nil"/>
            </w:tcBorders>
            <w:shd w:val="clear" w:color="auto" w:fill="auto"/>
            <w:noWrap/>
            <w:vAlign w:val="center"/>
            <w:hideMark/>
          </w:tcPr>
          <w:p w14:paraId="687806C8"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0.02</w:t>
            </w:r>
          </w:p>
        </w:tc>
        <w:tc>
          <w:tcPr>
            <w:tcW w:w="1985" w:type="dxa"/>
            <w:tcBorders>
              <w:top w:val="nil"/>
              <w:left w:val="nil"/>
              <w:bottom w:val="single" w:sz="8" w:space="0" w:color="auto"/>
              <w:right w:val="nil"/>
            </w:tcBorders>
            <w:shd w:val="clear" w:color="auto" w:fill="auto"/>
            <w:noWrap/>
            <w:vAlign w:val="center"/>
            <w:hideMark/>
          </w:tcPr>
          <w:p w14:paraId="5FA904FD" w14:textId="1AEA5C5A"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Wingdings" w:cs="Times New Roman"/>
                <w:sz w:val="16"/>
                <w:szCs w:val="16"/>
                <w:lang w:eastAsia="en-ZA"/>
              </w:rPr>
              <w:t>0.075 (0.067–0.081)</w:t>
            </w:r>
          </w:p>
        </w:tc>
        <w:tc>
          <w:tcPr>
            <w:tcW w:w="1843" w:type="dxa"/>
            <w:tcBorders>
              <w:top w:val="nil"/>
              <w:left w:val="nil"/>
              <w:bottom w:val="single" w:sz="8" w:space="0" w:color="auto"/>
              <w:right w:val="nil"/>
            </w:tcBorders>
            <w:shd w:val="clear" w:color="auto" w:fill="auto"/>
            <w:noWrap/>
            <w:vAlign w:val="center"/>
            <w:hideMark/>
          </w:tcPr>
          <w:p w14:paraId="7231520C" w14:textId="77777777" w:rsidR="008738B4" w:rsidRPr="00435469" w:rsidRDefault="008738B4" w:rsidP="008738B4">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69258507" w14:textId="77777777" w:rsidR="008738B4" w:rsidRPr="00435469" w:rsidRDefault="008738B4" w:rsidP="008738B4">
            <w:pPr>
              <w:spacing w:after="0" w:line="240" w:lineRule="auto"/>
              <w:jc w:val="center"/>
              <w:rPr>
                <w:rFonts w:eastAsia="Times New Roman" w:cs="Times New Roman"/>
                <w:sz w:val="16"/>
                <w:szCs w:val="16"/>
                <w:lang w:val="en-ZA" w:eastAsia="en-ZA"/>
              </w:rPr>
            </w:pPr>
          </w:p>
        </w:tc>
      </w:tr>
      <w:tr w:rsidR="008738B4" w:rsidRPr="00435469" w14:paraId="1A8E6C97" w14:textId="77777777" w:rsidTr="00363677">
        <w:trPr>
          <w:trHeight w:val="269"/>
        </w:trPr>
        <w:tc>
          <w:tcPr>
            <w:tcW w:w="5245" w:type="dxa"/>
            <w:tcBorders>
              <w:top w:val="nil"/>
              <w:left w:val="nil"/>
              <w:bottom w:val="single" w:sz="8" w:space="0" w:color="auto"/>
              <w:right w:val="nil"/>
            </w:tcBorders>
            <w:shd w:val="clear" w:color="auto" w:fill="auto"/>
            <w:hideMark/>
          </w:tcPr>
          <w:p w14:paraId="7D962963" w14:textId="77777777" w:rsidR="008738B4" w:rsidRPr="00435469" w:rsidRDefault="008738B4" w:rsidP="008738B4">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Annual recovery rate in smear-negative TB, HIV-negative individuals</w:t>
            </w:r>
          </w:p>
        </w:tc>
        <w:tc>
          <w:tcPr>
            <w:tcW w:w="1836" w:type="dxa"/>
            <w:tcBorders>
              <w:top w:val="nil"/>
              <w:left w:val="nil"/>
              <w:bottom w:val="single" w:sz="8" w:space="0" w:color="auto"/>
              <w:right w:val="nil"/>
            </w:tcBorders>
            <w:shd w:val="clear" w:color="auto" w:fill="auto"/>
            <w:noWrap/>
            <w:vAlign w:val="center"/>
            <w:hideMark/>
          </w:tcPr>
          <w:p w14:paraId="04BEC6DC"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0.24</w:t>
            </w:r>
          </w:p>
        </w:tc>
        <w:tc>
          <w:tcPr>
            <w:tcW w:w="857" w:type="dxa"/>
            <w:tcBorders>
              <w:top w:val="nil"/>
              <w:left w:val="nil"/>
              <w:bottom w:val="single" w:sz="8" w:space="0" w:color="auto"/>
              <w:right w:val="nil"/>
            </w:tcBorders>
            <w:shd w:val="clear" w:color="auto" w:fill="auto"/>
            <w:noWrap/>
            <w:vAlign w:val="center"/>
            <w:hideMark/>
          </w:tcPr>
          <w:p w14:paraId="25DF9E32"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0.05</w:t>
            </w:r>
          </w:p>
        </w:tc>
        <w:tc>
          <w:tcPr>
            <w:tcW w:w="1985" w:type="dxa"/>
            <w:tcBorders>
              <w:top w:val="nil"/>
              <w:left w:val="nil"/>
              <w:bottom w:val="single" w:sz="8" w:space="0" w:color="auto"/>
              <w:right w:val="nil"/>
            </w:tcBorders>
            <w:shd w:val="clear" w:color="auto" w:fill="auto"/>
            <w:noWrap/>
            <w:vAlign w:val="center"/>
            <w:hideMark/>
          </w:tcPr>
          <w:p w14:paraId="0EC4A774" w14:textId="253D17C9"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Wingdings" w:cs="Times New Roman"/>
                <w:sz w:val="16"/>
                <w:szCs w:val="16"/>
                <w:lang w:eastAsia="en-ZA"/>
              </w:rPr>
              <w:t>0.224 (0.198–0.247)</w:t>
            </w:r>
          </w:p>
        </w:tc>
        <w:tc>
          <w:tcPr>
            <w:tcW w:w="1843" w:type="dxa"/>
            <w:tcBorders>
              <w:top w:val="nil"/>
              <w:left w:val="nil"/>
              <w:bottom w:val="single" w:sz="8" w:space="0" w:color="auto"/>
              <w:right w:val="nil"/>
            </w:tcBorders>
            <w:shd w:val="clear" w:color="auto" w:fill="auto"/>
            <w:noWrap/>
            <w:vAlign w:val="center"/>
            <w:hideMark/>
          </w:tcPr>
          <w:p w14:paraId="2958C4F7" w14:textId="77777777" w:rsidR="008738B4" w:rsidRPr="00435469" w:rsidRDefault="008738B4" w:rsidP="008738B4">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4D88F792" w14:textId="77777777" w:rsidR="008738B4" w:rsidRPr="00435469" w:rsidRDefault="008738B4" w:rsidP="008738B4">
            <w:pPr>
              <w:spacing w:after="0" w:line="240" w:lineRule="auto"/>
              <w:jc w:val="center"/>
              <w:rPr>
                <w:rFonts w:eastAsia="Times New Roman" w:cs="Times New Roman"/>
                <w:sz w:val="16"/>
                <w:szCs w:val="16"/>
                <w:lang w:val="en-ZA" w:eastAsia="en-ZA"/>
              </w:rPr>
            </w:pPr>
          </w:p>
        </w:tc>
      </w:tr>
      <w:tr w:rsidR="008738B4" w:rsidRPr="00435469" w14:paraId="1BE88567" w14:textId="77777777" w:rsidTr="00363677">
        <w:trPr>
          <w:trHeight w:val="320"/>
        </w:trPr>
        <w:tc>
          <w:tcPr>
            <w:tcW w:w="5245" w:type="dxa"/>
            <w:tcBorders>
              <w:top w:val="nil"/>
              <w:left w:val="nil"/>
              <w:bottom w:val="single" w:sz="8" w:space="0" w:color="auto"/>
              <w:right w:val="nil"/>
            </w:tcBorders>
            <w:shd w:val="clear" w:color="auto" w:fill="auto"/>
            <w:hideMark/>
          </w:tcPr>
          <w:p w14:paraId="64E89A72" w14:textId="77777777" w:rsidR="008738B4" w:rsidRPr="00435469" w:rsidRDefault="008738B4" w:rsidP="008738B4">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 xml:space="preserve">Relative infectivity of smear-negative TB compared to smear-positive individuals </w:t>
            </w:r>
          </w:p>
        </w:tc>
        <w:tc>
          <w:tcPr>
            <w:tcW w:w="1836" w:type="dxa"/>
            <w:tcBorders>
              <w:top w:val="nil"/>
              <w:left w:val="nil"/>
              <w:bottom w:val="single" w:sz="8" w:space="0" w:color="auto"/>
              <w:right w:val="nil"/>
            </w:tcBorders>
            <w:shd w:val="clear" w:color="auto" w:fill="auto"/>
            <w:noWrap/>
            <w:vAlign w:val="center"/>
            <w:hideMark/>
          </w:tcPr>
          <w:p w14:paraId="4A79ED17" w14:textId="7D769445"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0.22</w:t>
            </w:r>
          </w:p>
        </w:tc>
        <w:tc>
          <w:tcPr>
            <w:tcW w:w="857" w:type="dxa"/>
            <w:tcBorders>
              <w:top w:val="nil"/>
              <w:left w:val="nil"/>
              <w:bottom w:val="single" w:sz="8" w:space="0" w:color="auto"/>
              <w:right w:val="nil"/>
            </w:tcBorders>
            <w:shd w:val="clear" w:color="auto" w:fill="auto"/>
            <w:noWrap/>
            <w:vAlign w:val="center"/>
            <w:hideMark/>
          </w:tcPr>
          <w:p w14:paraId="428977DA" w14:textId="623EBECC"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0.03</w:t>
            </w:r>
          </w:p>
        </w:tc>
        <w:tc>
          <w:tcPr>
            <w:tcW w:w="1985" w:type="dxa"/>
            <w:tcBorders>
              <w:top w:val="nil"/>
              <w:left w:val="nil"/>
              <w:bottom w:val="single" w:sz="8" w:space="0" w:color="auto"/>
              <w:right w:val="nil"/>
            </w:tcBorders>
            <w:shd w:val="clear" w:color="auto" w:fill="auto"/>
            <w:noWrap/>
            <w:vAlign w:val="center"/>
            <w:hideMark/>
          </w:tcPr>
          <w:p w14:paraId="2EC7C0A3" w14:textId="55CC074C"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Wingdings" w:cs="Times New Roman"/>
                <w:sz w:val="16"/>
                <w:szCs w:val="16"/>
                <w:lang w:eastAsia="en-ZA"/>
              </w:rPr>
              <w:t>0.206 (0.196–0.218)</w:t>
            </w:r>
          </w:p>
        </w:tc>
        <w:tc>
          <w:tcPr>
            <w:tcW w:w="1843" w:type="dxa"/>
            <w:tcBorders>
              <w:top w:val="nil"/>
              <w:left w:val="nil"/>
              <w:bottom w:val="single" w:sz="8" w:space="0" w:color="auto"/>
              <w:right w:val="nil"/>
            </w:tcBorders>
            <w:shd w:val="clear" w:color="auto" w:fill="auto"/>
            <w:noWrap/>
            <w:vAlign w:val="center"/>
            <w:hideMark/>
          </w:tcPr>
          <w:p w14:paraId="4035E9E8" w14:textId="77777777" w:rsidR="008738B4" w:rsidRPr="00435469" w:rsidRDefault="008738B4" w:rsidP="008738B4">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6F5B4810" w14:textId="77777777" w:rsidR="008738B4" w:rsidRPr="00435469" w:rsidRDefault="008738B4" w:rsidP="008738B4">
            <w:pPr>
              <w:spacing w:after="0" w:line="240" w:lineRule="auto"/>
              <w:jc w:val="center"/>
              <w:rPr>
                <w:rFonts w:eastAsia="Times New Roman" w:cs="Times New Roman"/>
                <w:sz w:val="16"/>
                <w:szCs w:val="16"/>
                <w:lang w:val="en-ZA" w:eastAsia="en-ZA"/>
              </w:rPr>
            </w:pPr>
          </w:p>
        </w:tc>
      </w:tr>
      <w:tr w:rsidR="008738B4" w:rsidRPr="00435469" w14:paraId="5918B1C8" w14:textId="77777777" w:rsidTr="00363677">
        <w:trPr>
          <w:trHeight w:val="269"/>
        </w:trPr>
        <w:tc>
          <w:tcPr>
            <w:tcW w:w="5245" w:type="dxa"/>
            <w:tcBorders>
              <w:top w:val="nil"/>
              <w:left w:val="nil"/>
              <w:bottom w:val="single" w:sz="8" w:space="0" w:color="auto"/>
              <w:right w:val="nil"/>
            </w:tcBorders>
            <w:shd w:val="clear" w:color="auto" w:fill="auto"/>
            <w:hideMark/>
          </w:tcPr>
          <w:p w14:paraId="42526FFF" w14:textId="77777777" w:rsidR="008738B4" w:rsidRPr="00435469" w:rsidRDefault="008738B4" w:rsidP="008738B4">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Increase in TB risk if previously experienced TB</w:t>
            </w:r>
          </w:p>
        </w:tc>
        <w:tc>
          <w:tcPr>
            <w:tcW w:w="1836" w:type="dxa"/>
            <w:tcBorders>
              <w:top w:val="nil"/>
              <w:left w:val="nil"/>
              <w:bottom w:val="single" w:sz="8" w:space="0" w:color="auto"/>
              <w:right w:val="nil"/>
            </w:tcBorders>
            <w:shd w:val="clear" w:color="auto" w:fill="auto"/>
            <w:noWrap/>
            <w:vAlign w:val="center"/>
            <w:hideMark/>
          </w:tcPr>
          <w:p w14:paraId="6F9F7096"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3.499</w:t>
            </w:r>
          </w:p>
        </w:tc>
        <w:tc>
          <w:tcPr>
            <w:tcW w:w="857" w:type="dxa"/>
            <w:tcBorders>
              <w:top w:val="nil"/>
              <w:left w:val="nil"/>
              <w:bottom w:val="single" w:sz="8" w:space="0" w:color="auto"/>
              <w:right w:val="nil"/>
            </w:tcBorders>
            <w:shd w:val="clear" w:color="auto" w:fill="auto"/>
            <w:noWrap/>
            <w:vAlign w:val="center"/>
            <w:hideMark/>
          </w:tcPr>
          <w:p w14:paraId="52AF1A5C"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1.5</w:t>
            </w:r>
          </w:p>
        </w:tc>
        <w:tc>
          <w:tcPr>
            <w:tcW w:w="1985" w:type="dxa"/>
            <w:tcBorders>
              <w:top w:val="nil"/>
              <w:left w:val="nil"/>
              <w:bottom w:val="single" w:sz="8" w:space="0" w:color="auto"/>
              <w:right w:val="nil"/>
            </w:tcBorders>
            <w:shd w:val="clear" w:color="auto" w:fill="auto"/>
            <w:noWrap/>
            <w:vAlign w:val="center"/>
            <w:hideMark/>
          </w:tcPr>
          <w:p w14:paraId="22931C9B" w14:textId="45CC3920"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Wingdings" w:cs="Times New Roman"/>
                <w:sz w:val="16"/>
                <w:szCs w:val="16"/>
                <w:lang w:eastAsia="en-ZA"/>
              </w:rPr>
              <w:t>3.03 (2.55–3.53)</w:t>
            </w:r>
          </w:p>
        </w:tc>
        <w:tc>
          <w:tcPr>
            <w:tcW w:w="1843" w:type="dxa"/>
            <w:tcBorders>
              <w:top w:val="nil"/>
              <w:left w:val="nil"/>
              <w:bottom w:val="single" w:sz="8" w:space="0" w:color="auto"/>
              <w:right w:val="nil"/>
            </w:tcBorders>
            <w:shd w:val="clear" w:color="auto" w:fill="auto"/>
            <w:noWrap/>
            <w:vAlign w:val="center"/>
            <w:hideMark/>
          </w:tcPr>
          <w:p w14:paraId="00BD3058" w14:textId="77777777" w:rsidR="008738B4" w:rsidRPr="00435469" w:rsidRDefault="008738B4" w:rsidP="008738B4">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74F43EC3" w14:textId="77777777" w:rsidR="008738B4" w:rsidRPr="00435469" w:rsidRDefault="008738B4" w:rsidP="008738B4">
            <w:pPr>
              <w:spacing w:after="0" w:line="240" w:lineRule="auto"/>
              <w:jc w:val="center"/>
              <w:rPr>
                <w:rFonts w:eastAsia="Times New Roman" w:cs="Times New Roman"/>
                <w:sz w:val="16"/>
                <w:szCs w:val="16"/>
                <w:lang w:val="en-ZA" w:eastAsia="en-ZA"/>
              </w:rPr>
            </w:pPr>
          </w:p>
        </w:tc>
      </w:tr>
      <w:tr w:rsidR="008738B4" w:rsidRPr="00435469" w14:paraId="391146B5" w14:textId="77777777" w:rsidTr="00363677">
        <w:trPr>
          <w:trHeight w:val="269"/>
        </w:trPr>
        <w:tc>
          <w:tcPr>
            <w:tcW w:w="5245" w:type="dxa"/>
            <w:tcBorders>
              <w:top w:val="nil"/>
              <w:left w:val="nil"/>
              <w:bottom w:val="single" w:sz="8" w:space="0" w:color="auto"/>
              <w:right w:val="nil"/>
            </w:tcBorders>
            <w:shd w:val="clear" w:color="auto" w:fill="auto"/>
            <w:hideMark/>
          </w:tcPr>
          <w:p w14:paraId="23691D1A" w14:textId="77777777" w:rsidR="008738B4" w:rsidRPr="00435469" w:rsidRDefault="008738B4" w:rsidP="008738B4">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Smear-negative TB mortality (untreated)</w:t>
            </w:r>
          </w:p>
        </w:tc>
        <w:tc>
          <w:tcPr>
            <w:tcW w:w="1836" w:type="dxa"/>
            <w:tcBorders>
              <w:top w:val="nil"/>
              <w:left w:val="nil"/>
              <w:bottom w:val="single" w:sz="8" w:space="0" w:color="auto"/>
              <w:right w:val="nil"/>
            </w:tcBorders>
            <w:shd w:val="clear" w:color="auto" w:fill="auto"/>
            <w:noWrap/>
            <w:vAlign w:val="center"/>
            <w:hideMark/>
          </w:tcPr>
          <w:p w14:paraId="128E20F3"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0.061</w:t>
            </w:r>
          </w:p>
        </w:tc>
        <w:tc>
          <w:tcPr>
            <w:tcW w:w="857" w:type="dxa"/>
            <w:tcBorders>
              <w:top w:val="nil"/>
              <w:left w:val="nil"/>
              <w:bottom w:val="single" w:sz="8" w:space="0" w:color="auto"/>
              <w:right w:val="nil"/>
            </w:tcBorders>
            <w:shd w:val="clear" w:color="auto" w:fill="auto"/>
            <w:noWrap/>
            <w:vAlign w:val="center"/>
            <w:hideMark/>
          </w:tcPr>
          <w:p w14:paraId="7192CE16"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0.012</w:t>
            </w:r>
          </w:p>
        </w:tc>
        <w:tc>
          <w:tcPr>
            <w:tcW w:w="1985" w:type="dxa"/>
            <w:tcBorders>
              <w:top w:val="nil"/>
              <w:left w:val="nil"/>
              <w:bottom w:val="single" w:sz="8" w:space="0" w:color="auto"/>
              <w:right w:val="nil"/>
            </w:tcBorders>
            <w:shd w:val="clear" w:color="auto" w:fill="auto"/>
            <w:noWrap/>
            <w:vAlign w:val="center"/>
            <w:hideMark/>
          </w:tcPr>
          <w:p w14:paraId="27F90A98" w14:textId="2C1C9A41"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Wingdings" w:cs="Times New Roman"/>
                <w:sz w:val="16"/>
                <w:szCs w:val="16"/>
                <w:lang w:eastAsia="en-ZA"/>
              </w:rPr>
              <w:t>0.049 (0.046–0.052)</w:t>
            </w:r>
          </w:p>
        </w:tc>
        <w:tc>
          <w:tcPr>
            <w:tcW w:w="1843" w:type="dxa"/>
            <w:tcBorders>
              <w:top w:val="nil"/>
              <w:left w:val="nil"/>
              <w:bottom w:val="single" w:sz="8" w:space="0" w:color="auto"/>
              <w:right w:val="nil"/>
            </w:tcBorders>
            <w:shd w:val="clear" w:color="auto" w:fill="auto"/>
            <w:noWrap/>
            <w:vAlign w:val="center"/>
            <w:hideMark/>
          </w:tcPr>
          <w:p w14:paraId="18183294" w14:textId="77777777" w:rsidR="008738B4" w:rsidRPr="00435469" w:rsidRDefault="008738B4" w:rsidP="008738B4">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73590492" w14:textId="77777777" w:rsidR="008738B4" w:rsidRPr="00435469" w:rsidRDefault="008738B4" w:rsidP="008738B4">
            <w:pPr>
              <w:spacing w:after="0" w:line="240" w:lineRule="auto"/>
              <w:jc w:val="center"/>
              <w:rPr>
                <w:rFonts w:eastAsia="Times New Roman" w:cs="Times New Roman"/>
                <w:sz w:val="16"/>
                <w:szCs w:val="16"/>
                <w:lang w:val="en-ZA" w:eastAsia="en-ZA"/>
              </w:rPr>
            </w:pPr>
          </w:p>
        </w:tc>
      </w:tr>
      <w:tr w:rsidR="008738B4" w:rsidRPr="00435469" w14:paraId="07DE0291" w14:textId="77777777" w:rsidTr="00363677">
        <w:trPr>
          <w:trHeight w:val="269"/>
        </w:trPr>
        <w:tc>
          <w:tcPr>
            <w:tcW w:w="5245" w:type="dxa"/>
            <w:tcBorders>
              <w:top w:val="nil"/>
              <w:left w:val="nil"/>
              <w:bottom w:val="single" w:sz="8" w:space="0" w:color="auto"/>
              <w:right w:val="nil"/>
            </w:tcBorders>
            <w:shd w:val="clear" w:color="auto" w:fill="auto"/>
            <w:hideMark/>
          </w:tcPr>
          <w:p w14:paraId="66D2565B" w14:textId="77777777" w:rsidR="008738B4" w:rsidRPr="00435469" w:rsidRDefault="008738B4" w:rsidP="008738B4">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Smear-positive TB mortality (untreated)</w:t>
            </w:r>
          </w:p>
        </w:tc>
        <w:tc>
          <w:tcPr>
            <w:tcW w:w="1836" w:type="dxa"/>
            <w:tcBorders>
              <w:top w:val="nil"/>
              <w:left w:val="nil"/>
              <w:bottom w:val="single" w:sz="8" w:space="0" w:color="auto"/>
              <w:right w:val="nil"/>
            </w:tcBorders>
            <w:shd w:val="clear" w:color="auto" w:fill="auto"/>
            <w:noWrap/>
            <w:vAlign w:val="center"/>
            <w:hideMark/>
          </w:tcPr>
          <w:p w14:paraId="2E47E1A3"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0.212</w:t>
            </w:r>
          </w:p>
        </w:tc>
        <w:tc>
          <w:tcPr>
            <w:tcW w:w="857" w:type="dxa"/>
            <w:tcBorders>
              <w:top w:val="nil"/>
              <w:left w:val="nil"/>
              <w:bottom w:val="single" w:sz="8" w:space="0" w:color="auto"/>
              <w:right w:val="nil"/>
            </w:tcBorders>
            <w:shd w:val="clear" w:color="auto" w:fill="auto"/>
            <w:noWrap/>
            <w:vAlign w:val="center"/>
            <w:hideMark/>
          </w:tcPr>
          <w:p w14:paraId="16A7F85E" w14:textId="77777777"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0.042</w:t>
            </w:r>
          </w:p>
        </w:tc>
        <w:tc>
          <w:tcPr>
            <w:tcW w:w="1985" w:type="dxa"/>
            <w:tcBorders>
              <w:top w:val="nil"/>
              <w:left w:val="nil"/>
              <w:bottom w:val="single" w:sz="8" w:space="0" w:color="auto"/>
              <w:right w:val="nil"/>
            </w:tcBorders>
            <w:shd w:val="clear" w:color="auto" w:fill="auto"/>
            <w:noWrap/>
            <w:vAlign w:val="center"/>
            <w:hideMark/>
          </w:tcPr>
          <w:p w14:paraId="44EFF2EF" w14:textId="702F37FA"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Wingdings" w:cs="Times New Roman"/>
                <w:sz w:val="16"/>
                <w:szCs w:val="16"/>
                <w:lang w:eastAsia="en-ZA"/>
              </w:rPr>
              <w:t>0.196 (0.174–0.221)</w:t>
            </w:r>
          </w:p>
        </w:tc>
        <w:tc>
          <w:tcPr>
            <w:tcW w:w="1843" w:type="dxa"/>
            <w:tcBorders>
              <w:top w:val="nil"/>
              <w:left w:val="nil"/>
              <w:bottom w:val="single" w:sz="8" w:space="0" w:color="auto"/>
              <w:right w:val="nil"/>
            </w:tcBorders>
            <w:shd w:val="clear" w:color="auto" w:fill="auto"/>
            <w:noWrap/>
            <w:vAlign w:val="center"/>
            <w:hideMark/>
          </w:tcPr>
          <w:p w14:paraId="44478AEC" w14:textId="77777777" w:rsidR="008738B4" w:rsidRPr="00435469" w:rsidRDefault="008738B4" w:rsidP="008738B4">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07A9603F" w14:textId="77777777" w:rsidR="008738B4" w:rsidRPr="00435469" w:rsidRDefault="008738B4" w:rsidP="008738B4">
            <w:pPr>
              <w:spacing w:after="0" w:line="240" w:lineRule="auto"/>
              <w:jc w:val="center"/>
              <w:rPr>
                <w:rFonts w:eastAsia="Times New Roman" w:cs="Times New Roman"/>
                <w:sz w:val="16"/>
                <w:szCs w:val="16"/>
                <w:lang w:val="en-ZA" w:eastAsia="en-ZA"/>
              </w:rPr>
            </w:pPr>
          </w:p>
        </w:tc>
      </w:tr>
      <w:tr w:rsidR="008738B4" w:rsidRPr="00435469" w14:paraId="1327DD41" w14:textId="77777777" w:rsidTr="00363677">
        <w:trPr>
          <w:trHeight w:val="269"/>
        </w:trPr>
        <w:tc>
          <w:tcPr>
            <w:tcW w:w="5245" w:type="dxa"/>
            <w:tcBorders>
              <w:top w:val="nil"/>
              <w:left w:val="nil"/>
              <w:bottom w:val="single" w:sz="8" w:space="0" w:color="auto"/>
              <w:right w:val="nil"/>
            </w:tcBorders>
            <w:shd w:val="clear" w:color="auto" w:fill="auto"/>
            <w:hideMark/>
          </w:tcPr>
          <w:p w14:paraId="6B15388F" w14:textId="2CC9BE84" w:rsidR="008738B4" w:rsidRPr="00435469" w:rsidRDefault="008738B4" w:rsidP="008738B4">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 xml:space="preserve">The relative rate of TB mortality per 50 </w:t>
            </w:r>
            <w:proofErr w:type="gramStart"/>
            <w:r w:rsidRPr="00435469">
              <w:rPr>
                <w:rFonts w:eastAsia="Times New Roman" w:cs="Times New Roman"/>
                <w:sz w:val="16"/>
                <w:szCs w:val="16"/>
                <w:lang w:eastAsia="en-ZA"/>
              </w:rPr>
              <w:t>cell</w:t>
            </w:r>
            <w:proofErr w:type="gramEnd"/>
            <w:r w:rsidRPr="00435469">
              <w:rPr>
                <w:rFonts w:eastAsia="Times New Roman" w:cs="Times New Roman"/>
                <w:sz w:val="16"/>
                <w:szCs w:val="16"/>
                <w:lang w:eastAsia="en-ZA"/>
              </w:rPr>
              <w:t xml:space="preserve"> increase in CD4 count if HIV+</w:t>
            </w:r>
          </w:p>
        </w:tc>
        <w:tc>
          <w:tcPr>
            <w:tcW w:w="1836" w:type="dxa"/>
            <w:tcBorders>
              <w:top w:val="nil"/>
              <w:left w:val="nil"/>
              <w:bottom w:val="single" w:sz="8" w:space="0" w:color="auto"/>
              <w:right w:val="nil"/>
            </w:tcBorders>
            <w:shd w:val="clear" w:color="auto" w:fill="auto"/>
            <w:noWrap/>
            <w:vAlign w:val="center"/>
            <w:hideMark/>
          </w:tcPr>
          <w:p w14:paraId="2827B585" w14:textId="2C2A81D3"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0.87</w:t>
            </w:r>
          </w:p>
        </w:tc>
        <w:tc>
          <w:tcPr>
            <w:tcW w:w="857" w:type="dxa"/>
            <w:tcBorders>
              <w:top w:val="nil"/>
              <w:left w:val="nil"/>
              <w:bottom w:val="single" w:sz="8" w:space="0" w:color="auto"/>
              <w:right w:val="nil"/>
            </w:tcBorders>
            <w:shd w:val="clear" w:color="auto" w:fill="auto"/>
            <w:noWrap/>
            <w:vAlign w:val="center"/>
            <w:hideMark/>
          </w:tcPr>
          <w:p w14:paraId="166B74A1" w14:textId="5EE214E8"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0.05</w:t>
            </w:r>
          </w:p>
        </w:tc>
        <w:tc>
          <w:tcPr>
            <w:tcW w:w="1985" w:type="dxa"/>
            <w:tcBorders>
              <w:top w:val="nil"/>
              <w:left w:val="nil"/>
              <w:bottom w:val="single" w:sz="8" w:space="0" w:color="auto"/>
              <w:right w:val="nil"/>
            </w:tcBorders>
            <w:shd w:val="clear" w:color="auto" w:fill="auto"/>
            <w:noWrap/>
            <w:vAlign w:val="center"/>
            <w:hideMark/>
          </w:tcPr>
          <w:p w14:paraId="3365F8A4" w14:textId="730509FF"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Wingdings" w:cs="Times New Roman"/>
                <w:sz w:val="16"/>
                <w:szCs w:val="16"/>
                <w:lang w:eastAsia="en-ZA"/>
              </w:rPr>
              <w:t>0.949 (0.944–0.954)</w:t>
            </w:r>
          </w:p>
        </w:tc>
        <w:tc>
          <w:tcPr>
            <w:tcW w:w="1843" w:type="dxa"/>
            <w:tcBorders>
              <w:top w:val="nil"/>
              <w:left w:val="nil"/>
              <w:bottom w:val="single" w:sz="8" w:space="0" w:color="auto"/>
              <w:right w:val="nil"/>
            </w:tcBorders>
            <w:shd w:val="clear" w:color="auto" w:fill="auto"/>
            <w:noWrap/>
            <w:vAlign w:val="center"/>
            <w:hideMark/>
          </w:tcPr>
          <w:p w14:paraId="6A006F3C" w14:textId="77777777" w:rsidR="008738B4" w:rsidRPr="00435469" w:rsidRDefault="008738B4" w:rsidP="008738B4">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2DB851D3" w14:textId="5E68C6C2" w:rsidR="008738B4" w:rsidRPr="00435469" w:rsidRDefault="008738B4" w:rsidP="008738B4">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sym w:font="Wingdings" w:char="F0FC"/>
            </w:r>
          </w:p>
        </w:tc>
      </w:tr>
      <w:tr w:rsidR="008738B4" w:rsidRPr="00435469" w14:paraId="6EEC6C91" w14:textId="77777777" w:rsidTr="00363677">
        <w:trPr>
          <w:trHeight w:val="269"/>
        </w:trPr>
        <w:tc>
          <w:tcPr>
            <w:tcW w:w="5245" w:type="dxa"/>
            <w:tcBorders>
              <w:top w:val="nil"/>
              <w:left w:val="nil"/>
              <w:bottom w:val="single" w:sz="8" w:space="0" w:color="auto"/>
              <w:right w:val="nil"/>
            </w:tcBorders>
            <w:shd w:val="clear" w:color="auto" w:fill="auto"/>
          </w:tcPr>
          <w:p w14:paraId="7B5FB2AB" w14:textId="77777777" w:rsidR="008738B4" w:rsidRPr="00435469" w:rsidRDefault="008738B4" w:rsidP="008738B4">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Proportion of cough &gt;2 weeks in individuals with smear-negative TB</w:t>
            </w:r>
          </w:p>
        </w:tc>
        <w:tc>
          <w:tcPr>
            <w:tcW w:w="1836" w:type="dxa"/>
            <w:tcBorders>
              <w:top w:val="nil"/>
              <w:left w:val="nil"/>
              <w:bottom w:val="single" w:sz="8" w:space="0" w:color="auto"/>
              <w:right w:val="nil"/>
            </w:tcBorders>
            <w:shd w:val="clear" w:color="auto" w:fill="auto"/>
            <w:noWrap/>
            <w:vAlign w:val="center"/>
          </w:tcPr>
          <w:p w14:paraId="215642D5" w14:textId="77777777" w:rsidR="008738B4" w:rsidRPr="00435469" w:rsidRDefault="008738B4" w:rsidP="008738B4">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0.2</w:t>
            </w:r>
          </w:p>
        </w:tc>
        <w:tc>
          <w:tcPr>
            <w:tcW w:w="857" w:type="dxa"/>
            <w:tcBorders>
              <w:top w:val="nil"/>
              <w:left w:val="nil"/>
              <w:bottom w:val="single" w:sz="8" w:space="0" w:color="auto"/>
              <w:right w:val="nil"/>
            </w:tcBorders>
            <w:shd w:val="clear" w:color="auto" w:fill="auto"/>
            <w:noWrap/>
            <w:vAlign w:val="center"/>
          </w:tcPr>
          <w:p w14:paraId="054EB0D6" w14:textId="77777777" w:rsidR="008738B4" w:rsidRPr="00435469" w:rsidRDefault="008738B4" w:rsidP="008738B4">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w:t>
            </w:r>
          </w:p>
        </w:tc>
        <w:tc>
          <w:tcPr>
            <w:tcW w:w="1985" w:type="dxa"/>
            <w:tcBorders>
              <w:top w:val="nil"/>
              <w:left w:val="nil"/>
              <w:bottom w:val="single" w:sz="8" w:space="0" w:color="auto"/>
              <w:right w:val="nil"/>
            </w:tcBorders>
            <w:shd w:val="clear" w:color="auto" w:fill="auto"/>
            <w:noWrap/>
            <w:vAlign w:val="center"/>
          </w:tcPr>
          <w:p w14:paraId="36E2B1D9" w14:textId="52FD6918" w:rsidR="008738B4" w:rsidRPr="00435469" w:rsidRDefault="008738B4" w:rsidP="008738B4">
            <w:pPr>
              <w:spacing w:after="0" w:line="240" w:lineRule="auto"/>
              <w:jc w:val="center"/>
              <w:rPr>
                <w:rFonts w:eastAsia="Times New Roman" w:cs="Times New Roman"/>
                <w:sz w:val="16"/>
                <w:szCs w:val="16"/>
                <w:lang w:eastAsia="en-ZA"/>
              </w:rPr>
            </w:pPr>
            <w:r w:rsidRPr="00435469">
              <w:rPr>
                <w:rFonts w:eastAsia="Wingdings" w:cs="Times New Roman"/>
                <w:sz w:val="16"/>
                <w:szCs w:val="16"/>
                <w:lang w:eastAsia="en-ZA"/>
              </w:rPr>
              <w:t>0.198 (0.149–0.263)</w:t>
            </w:r>
          </w:p>
        </w:tc>
        <w:tc>
          <w:tcPr>
            <w:tcW w:w="1843" w:type="dxa"/>
            <w:tcBorders>
              <w:top w:val="nil"/>
              <w:left w:val="nil"/>
              <w:bottom w:val="single" w:sz="8" w:space="0" w:color="auto"/>
              <w:right w:val="nil"/>
            </w:tcBorders>
            <w:shd w:val="clear" w:color="auto" w:fill="auto"/>
            <w:noWrap/>
            <w:vAlign w:val="center"/>
          </w:tcPr>
          <w:p w14:paraId="31CD9CD6" w14:textId="77777777" w:rsidR="008738B4" w:rsidRPr="00435469" w:rsidRDefault="008738B4" w:rsidP="008738B4">
            <w:pPr>
              <w:spacing w:after="0" w:line="240" w:lineRule="auto"/>
              <w:jc w:val="center"/>
              <w:rPr>
                <w:rFonts w:eastAsia="Times New Roman" w:cs="Times New Roman"/>
                <w:sz w:val="16"/>
                <w:szCs w:val="16"/>
                <w:lang w:eastAsia="en-ZA"/>
              </w:rPr>
            </w:pPr>
          </w:p>
        </w:tc>
        <w:tc>
          <w:tcPr>
            <w:tcW w:w="2409" w:type="dxa"/>
            <w:tcBorders>
              <w:top w:val="nil"/>
              <w:left w:val="nil"/>
              <w:bottom w:val="single" w:sz="8" w:space="0" w:color="auto"/>
              <w:right w:val="nil"/>
            </w:tcBorders>
            <w:shd w:val="clear" w:color="auto" w:fill="auto"/>
            <w:noWrap/>
            <w:vAlign w:val="center"/>
          </w:tcPr>
          <w:p w14:paraId="380690C3" w14:textId="77777777" w:rsidR="008738B4" w:rsidRPr="00435469" w:rsidRDefault="008738B4" w:rsidP="008738B4">
            <w:pPr>
              <w:spacing w:after="0" w:line="240" w:lineRule="auto"/>
              <w:jc w:val="center"/>
              <w:rPr>
                <w:rFonts w:eastAsia="Times New Roman" w:cs="Times New Roman"/>
                <w:sz w:val="16"/>
                <w:szCs w:val="16"/>
                <w:lang w:eastAsia="en-ZA"/>
              </w:rPr>
            </w:pPr>
          </w:p>
        </w:tc>
      </w:tr>
      <w:tr w:rsidR="008738B4" w:rsidRPr="00435469" w14:paraId="664A7EB5" w14:textId="77777777" w:rsidTr="00363677">
        <w:trPr>
          <w:trHeight w:val="269"/>
        </w:trPr>
        <w:tc>
          <w:tcPr>
            <w:tcW w:w="5245" w:type="dxa"/>
            <w:tcBorders>
              <w:top w:val="nil"/>
              <w:left w:val="nil"/>
              <w:bottom w:val="single" w:sz="8" w:space="0" w:color="auto"/>
              <w:right w:val="nil"/>
            </w:tcBorders>
            <w:shd w:val="clear" w:color="auto" w:fill="auto"/>
          </w:tcPr>
          <w:p w14:paraId="7F0DEDCF" w14:textId="77777777" w:rsidR="008738B4" w:rsidRPr="00435469" w:rsidRDefault="008738B4" w:rsidP="008738B4">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The proportion of incident TB cases in HIV-negative adults that are smear-positive</w:t>
            </w:r>
          </w:p>
        </w:tc>
        <w:tc>
          <w:tcPr>
            <w:tcW w:w="1836" w:type="dxa"/>
            <w:tcBorders>
              <w:top w:val="nil"/>
              <w:left w:val="nil"/>
              <w:bottom w:val="single" w:sz="8" w:space="0" w:color="auto"/>
              <w:right w:val="nil"/>
            </w:tcBorders>
            <w:shd w:val="clear" w:color="auto" w:fill="auto"/>
            <w:noWrap/>
            <w:vAlign w:val="center"/>
          </w:tcPr>
          <w:p w14:paraId="54691735" w14:textId="45EAE9BA" w:rsidR="008738B4" w:rsidRPr="00435469" w:rsidRDefault="008738B4" w:rsidP="008738B4">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0.52</w:t>
            </w:r>
          </w:p>
        </w:tc>
        <w:tc>
          <w:tcPr>
            <w:tcW w:w="857" w:type="dxa"/>
            <w:tcBorders>
              <w:top w:val="nil"/>
              <w:left w:val="nil"/>
              <w:bottom w:val="single" w:sz="8" w:space="0" w:color="auto"/>
              <w:right w:val="nil"/>
            </w:tcBorders>
            <w:shd w:val="clear" w:color="auto" w:fill="auto"/>
            <w:noWrap/>
            <w:vAlign w:val="center"/>
          </w:tcPr>
          <w:p w14:paraId="5EAC3394" w14:textId="04317E8D" w:rsidR="008738B4" w:rsidRPr="00435469" w:rsidRDefault="008738B4" w:rsidP="008738B4">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w:t>
            </w:r>
          </w:p>
        </w:tc>
        <w:tc>
          <w:tcPr>
            <w:tcW w:w="1985" w:type="dxa"/>
            <w:tcBorders>
              <w:top w:val="nil"/>
              <w:left w:val="nil"/>
              <w:bottom w:val="single" w:sz="8" w:space="0" w:color="auto"/>
              <w:right w:val="nil"/>
            </w:tcBorders>
            <w:shd w:val="clear" w:color="auto" w:fill="auto"/>
            <w:noWrap/>
            <w:vAlign w:val="center"/>
          </w:tcPr>
          <w:p w14:paraId="0F43A11D" w14:textId="763F493B" w:rsidR="008738B4" w:rsidRPr="00435469" w:rsidRDefault="008738B4" w:rsidP="008738B4">
            <w:pPr>
              <w:spacing w:after="0" w:line="240" w:lineRule="auto"/>
              <w:jc w:val="center"/>
              <w:rPr>
                <w:rFonts w:eastAsia="Times New Roman" w:cs="Times New Roman"/>
                <w:sz w:val="16"/>
                <w:szCs w:val="16"/>
                <w:lang w:eastAsia="en-ZA"/>
              </w:rPr>
            </w:pPr>
            <w:r w:rsidRPr="00435469">
              <w:rPr>
                <w:rFonts w:eastAsia="Wingdings" w:cs="Times New Roman"/>
                <w:sz w:val="16"/>
                <w:szCs w:val="16"/>
                <w:lang w:eastAsia="en-ZA"/>
              </w:rPr>
              <w:t>0.51 (0.48–0.54)</w:t>
            </w:r>
          </w:p>
        </w:tc>
        <w:tc>
          <w:tcPr>
            <w:tcW w:w="1843" w:type="dxa"/>
            <w:tcBorders>
              <w:top w:val="nil"/>
              <w:left w:val="nil"/>
              <w:bottom w:val="single" w:sz="8" w:space="0" w:color="auto"/>
              <w:right w:val="nil"/>
            </w:tcBorders>
            <w:shd w:val="clear" w:color="auto" w:fill="auto"/>
            <w:noWrap/>
            <w:vAlign w:val="center"/>
          </w:tcPr>
          <w:p w14:paraId="3088A20A" w14:textId="77777777" w:rsidR="008738B4" w:rsidRPr="00435469" w:rsidRDefault="008738B4" w:rsidP="008738B4">
            <w:pPr>
              <w:spacing w:after="0" w:line="240" w:lineRule="auto"/>
              <w:jc w:val="center"/>
              <w:rPr>
                <w:rFonts w:eastAsia="Times New Roman" w:cs="Times New Roman"/>
                <w:sz w:val="16"/>
                <w:szCs w:val="16"/>
                <w:lang w:eastAsia="en-ZA"/>
              </w:rPr>
            </w:pPr>
          </w:p>
        </w:tc>
        <w:tc>
          <w:tcPr>
            <w:tcW w:w="2409" w:type="dxa"/>
            <w:tcBorders>
              <w:top w:val="nil"/>
              <w:left w:val="nil"/>
              <w:bottom w:val="single" w:sz="8" w:space="0" w:color="auto"/>
              <w:right w:val="nil"/>
            </w:tcBorders>
            <w:shd w:val="clear" w:color="auto" w:fill="auto"/>
            <w:noWrap/>
            <w:vAlign w:val="center"/>
          </w:tcPr>
          <w:p w14:paraId="04BD1E92" w14:textId="79D0A363" w:rsidR="008738B4" w:rsidRPr="00435469" w:rsidRDefault="008738B4" w:rsidP="008738B4">
            <w:pPr>
              <w:spacing w:after="0" w:line="240" w:lineRule="auto"/>
              <w:jc w:val="center"/>
              <w:rPr>
                <w:rFonts w:eastAsia="Times New Roman" w:cs="Times New Roman"/>
                <w:sz w:val="16"/>
                <w:szCs w:val="16"/>
                <w:lang w:eastAsia="en-ZA"/>
              </w:rPr>
            </w:pPr>
          </w:p>
        </w:tc>
      </w:tr>
      <w:tr w:rsidR="008738B4" w:rsidRPr="00435469" w14:paraId="0B48D851" w14:textId="77777777" w:rsidTr="00363677">
        <w:trPr>
          <w:trHeight w:val="269"/>
        </w:trPr>
        <w:tc>
          <w:tcPr>
            <w:tcW w:w="5245" w:type="dxa"/>
            <w:tcBorders>
              <w:top w:val="nil"/>
              <w:left w:val="nil"/>
              <w:bottom w:val="single" w:sz="8" w:space="0" w:color="auto"/>
              <w:right w:val="nil"/>
            </w:tcBorders>
            <w:shd w:val="clear" w:color="auto" w:fill="auto"/>
          </w:tcPr>
          <w:p w14:paraId="52EBE462" w14:textId="77777777" w:rsidR="008738B4" w:rsidRPr="00435469" w:rsidRDefault="008738B4" w:rsidP="008738B4">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Relative ratio of symptoms in patients with smear-positive TB, compared to smear-negative TB</w:t>
            </w:r>
          </w:p>
        </w:tc>
        <w:tc>
          <w:tcPr>
            <w:tcW w:w="1836" w:type="dxa"/>
            <w:tcBorders>
              <w:top w:val="nil"/>
              <w:left w:val="nil"/>
              <w:bottom w:val="single" w:sz="8" w:space="0" w:color="auto"/>
              <w:right w:val="nil"/>
            </w:tcBorders>
            <w:shd w:val="clear" w:color="auto" w:fill="auto"/>
            <w:noWrap/>
            <w:vAlign w:val="center"/>
          </w:tcPr>
          <w:p w14:paraId="3EA55C64" w14:textId="77777777" w:rsidR="008738B4" w:rsidRPr="00435469" w:rsidRDefault="008738B4" w:rsidP="008738B4">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2.2</w:t>
            </w:r>
          </w:p>
        </w:tc>
        <w:tc>
          <w:tcPr>
            <w:tcW w:w="857" w:type="dxa"/>
            <w:tcBorders>
              <w:top w:val="nil"/>
              <w:left w:val="nil"/>
              <w:bottom w:val="single" w:sz="8" w:space="0" w:color="auto"/>
              <w:right w:val="nil"/>
            </w:tcBorders>
            <w:shd w:val="clear" w:color="auto" w:fill="auto"/>
            <w:noWrap/>
            <w:vAlign w:val="center"/>
          </w:tcPr>
          <w:p w14:paraId="68D64B88" w14:textId="77777777" w:rsidR="008738B4" w:rsidRPr="00435469" w:rsidRDefault="008738B4" w:rsidP="008738B4">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0.5</w:t>
            </w:r>
          </w:p>
        </w:tc>
        <w:tc>
          <w:tcPr>
            <w:tcW w:w="1985" w:type="dxa"/>
            <w:tcBorders>
              <w:top w:val="nil"/>
              <w:left w:val="nil"/>
              <w:bottom w:val="single" w:sz="8" w:space="0" w:color="auto"/>
              <w:right w:val="nil"/>
            </w:tcBorders>
            <w:shd w:val="clear" w:color="auto" w:fill="auto"/>
            <w:noWrap/>
            <w:vAlign w:val="center"/>
          </w:tcPr>
          <w:p w14:paraId="001C8D22" w14:textId="384E827B" w:rsidR="008738B4" w:rsidRPr="00435469" w:rsidRDefault="008738B4" w:rsidP="008738B4">
            <w:pPr>
              <w:spacing w:after="0" w:line="240" w:lineRule="auto"/>
              <w:jc w:val="center"/>
              <w:rPr>
                <w:rFonts w:eastAsia="Times New Roman" w:cs="Times New Roman"/>
                <w:sz w:val="16"/>
                <w:szCs w:val="16"/>
                <w:lang w:eastAsia="en-ZA"/>
              </w:rPr>
            </w:pPr>
            <w:r w:rsidRPr="00435469">
              <w:rPr>
                <w:rFonts w:eastAsia="Wingdings" w:cs="Times New Roman"/>
                <w:sz w:val="16"/>
                <w:szCs w:val="16"/>
                <w:lang w:eastAsia="en-ZA"/>
              </w:rPr>
              <w:t>3.03 (2.74–3.23)</w:t>
            </w:r>
          </w:p>
        </w:tc>
        <w:tc>
          <w:tcPr>
            <w:tcW w:w="1843" w:type="dxa"/>
            <w:tcBorders>
              <w:top w:val="nil"/>
              <w:left w:val="nil"/>
              <w:bottom w:val="single" w:sz="8" w:space="0" w:color="auto"/>
              <w:right w:val="nil"/>
            </w:tcBorders>
            <w:shd w:val="clear" w:color="auto" w:fill="auto"/>
            <w:noWrap/>
            <w:vAlign w:val="center"/>
          </w:tcPr>
          <w:p w14:paraId="625EF3F7" w14:textId="77777777" w:rsidR="008738B4" w:rsidRPr="00435469" w:rsidRDefault="008738B4" w:rsidP="008738B4">
            <w:pPr>
              <w:spacing w:after="0" w:line="240" w:lineRule="auto"/>
              <w:jc w:val="center"/>
              <w:rPr>
                <w:rFonts w:eastAsia="Times New Roman" w:cs="Times New Roman"/>
                <w:sz w:val="16"/>
                <w:szCs w:val="16"/>
                <w:lang w:eastAsia="en-ZA"/>
              </w:rPr>
            </w:pPr>
          </w:p>
        </w:tc>
        <w:tc>
          <w:tcPr>
            <w:tcW w:w="2409" w:type="dxa"/>
            <w:tcBorders>
              <w:top w:val="nil"/>
              <w:left w:val="nil"/>
              <w:bottom w:val="single" w:sz="8" w:space="0" w:color="auto"/>
              <w:right w:val="nil"/>
            </w:tcBorders>
            <w:shd w:val="clear" w:color="auto" w:fill="auto"/>
            <w:noWrap/>
            <w:vAlign w:val="center"/>
          </w:tcPr>
          <w:p w14:paraId="6FC247C9" w14:textId="77777777" w:rsidR="008738B4" w:rsidRPr="00435469" w:rsidRDefault="008738B4" w:rsidP="008738B4">
            <w:pPr>
              <w:spacing w:after="0" w:line="240" w:lineRule="auto"/>
              <w:jc w:val="center"/>
              <w:rPr>
                <w:rFonts w:eastAsia="Times New Roman" w:cs="Times New Roman"/>
                <w:sz w:val="16"/>
                <w:szCs w:val="16"/>
                <w:lang w:eastAsia="en-ZA"/>
              </w:rPr>
            </w:pPr>
          </w:p>
        </w:tc>
      </w:tr>
      <w:tr w:rsidR="0061685C" w:rsidRPr="00435469" w14:paraId="745CDABC" w14:textId="77777777" w:rsidTr="00363677">
        <w:trPr>
          <w:trHeight w:val="269"/>
        </w:trPr>
        <w:tc>
          <w:tcPr>
            <w:tcW w:w="5245" w:type="dxa"/>
            <w:tcBorders>
              <w:top w:val="nil"/>
              <w:left w:val="nil"/>
              <w:bottom w:val="single" w:sz="8" w:space="0" w:color="auto"/>
              <w:right w:val="nil"/>
            </w:tcBorders>
            <w:shd w:val="clear" w:color="auto" w:fill="auto"/>
          </w:tcPr>
          <w:p w14:paraId="049F5D4B" w14:textId="77777777" w:rsidR="00996075" w:rsidRPr="00435469" w:rsidRDefault="00996075" w:rsidP="003440F2">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Relative rate of TB incidence for those on ART (controlling for CD4)</w:t>
            </w:r>
          </w:p>
        </w:tc>
        <w:tc>
          <w:tcPr>
            <w:tcW w:w="1836" w:type="dxa"/>
            <w:tcBorders>
              <w:top w:val="nil"/>
              <w:left w:val="nil"/>
              <w:bottom w:val="single" w:sz="8" w:space="0" w:color="auto"/>
              <w:right w:val="nil"/>
            </w:tcBorders>
            <w:shd w:val="clear" w:color="auto" w:fill="auto"/>
            <w:noWrap/>
            <w:vAlign w:val="center"/>
          </w:tcPr>
          <w:p w14:paraId="70CAACC2" w14:textId="4913F985" w:rsidR="00996075" w:rsidRPr="00435469" w:rsidRDefault="00996075" w:rsidP="003440F2">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0.81</w:t>
            </w:r>
          </w:p>
        </w:tc>
        <w:tc>
          <w:tcPr>
            <w:tcW w:w="857" w:type="dxa"/>
            <w:tcBorders>
              <w:top w:val="nil"/>
              <w:left w:val="nil"/>
              <w:bottom w:val="single" w:sz="8" w:space="0" w:color="auto"/>
              <w:right w:val="nil"/>
            </w:tcBorders>
            <w:shd w:val="clear" w:color="auto" w:fill="auto"/>
            <w:noWrap/>
            <w:vAlign w:val="center"/>
          </w:tcPr>
          <w:p w14:paraId="2A527641" w14:textId="3B8AC98E" w:rsidR="00996075" w:rsidRPr="00435469" w:rsidRDefault="00996075" w:rsidP="003440F2">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0.05</w:t>
            </w:r>
          </w:p>
        </w:tc>
        <w:tc>
          <w:tcPr>
            <w:tcW w:w="1985" w:type="dxa"/>
            <w:tcBorders>
              <w:top w:val="nil"/>
              <w:left w:val="nil"/>
              <w:bottom w:val="single" w:sz="8" w:space="0" w:color="auto"/>
              <w:right w:val="nil"/>
            </w:tcBorders>
            <w:shd w:val="clear" w:color="auto" w:fill="auto"/>
            <w:noWrap/>
            <w:vAlign w:val="center"/>
          </w:tcPr>
          <w:p w14:paraId="388F651E" w14:textId="77777777" w:rsidR="00996075" w:rsidRPr="00435469" w:rsidRDefault="00996075" w:rsidP="003440F2">
            <w:pPr>
              <w:spacing w:after="0" w:line="240" w:lineRule="auto"/>
              <w:jc w:val="center"/>
              <w:rPr>
                <w:rFonts w:eastAsia="Times New Roman" w:cs="Times New Roman"/>
                <w:sz w:val="16"/>
                <w:szCs w:val="16"/>
                <w:lang w:eastAsia="en-ZA"/>
              </w:rPr>
            </w:pPr>
          </w:p>
        </w:tc>
        <w:tc>
          <w:tcPr>
            <w:tcW w:w="1843" w:type="dxa"/>
            <w:tcBorders>
              <w:top w:val="nil"/>
              <w:left w:val="nil"/>
              <w:bottom w:val="single" w:sz="8" w:space="0" w:color="auto"/>
              <w:right w:val="nil"/>
            </w:tcBorders>
            <w:shd w:val="clear" w:color="auto" w:fill="auto"/>
            <w:noWrap/>
            <w:vAlign w:val="center"/>
          </w:tcPr>
          <w:p w14:paraId="70271101" w14:textId="047B0B07" w:rsidR="00996075" w:rsidRPr="00435469" w:rsidRDefault="005A1090" w:rsidP="003440F2">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0.840 (0.822 - 0.862)</w:t>
            </w:r>
          </w:p>
        </w:tc>
        <w:tc>
          <w:tcPr>
            <w:tcW w:w="2409" w:type="dxa"/>
            <w:tcBorders>
              <w:top w:val="nil"/>
              <w:left w:val="nil"/>
              <w:bottom w:val="single" w:sz="8" w:space="0" w:color="auto"/>
              <w:right w:val="nil"/>
            </w:tcBorders>
            <w:shd w:val="clear" w:color="auto" w:fill="auto"/>
            <w:noWrap/>
          </w:tcPr>
          <w:p w14:paraId="25C43CCA" w14:textId="77777777" w:rsidR="00996075" w:rsidRPr="00435469" w:rsidRDefault="00996075" w:rsidP="003440F2">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sym w:font="Wingdings" w:char="F0FC"/>
            </w:r>
          </w:p>
        </w:tc>
      </w:tr>
      <w:tr w:rsidR="008352F5" w:rsidRPr="00435469" w14:paraId="5EF9FAE3" w14:textId="77777777" w:rsidTr="00363677">
        <w:trPr>
          <w:trHeight w:val="269"/>
        </w:trPr>
        <w:tc>
          <w:tcPr>
            <w:tcW w:w="5245" w:type="dxa"/>
            <w:tcBorders>
              <w:top w:val="nil"/>
              <w:left w:val="nil"/>
              <w:bottom w:val="single" w:sz="8" w:space="0" w:color="auto"/>
              <w:right w:val="nil"/>
            </w:tcBorders>
            <w:shd w:val="clear" w:color="auto" w:fill="auto"/>
            <w:hideMark/>
          </w:tcPr>
          <w:p w14:paraId="294057D5" w14:textId="77777777" w:rsidR="008352F5" w:rsidRPr="00435469" w:rsidRDefault="008352F5" w:rsidP="008352F5">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Relative rate of TB mortality if on ART</w:t>
            </w:r>
          </w:p>
        </w:tc>
        <w:tc>
          <w:tcPr>
            <w:tcW w:w="1836" w:type="dxa"/>
            <w:tcBorders>
              <w:top w:val="nil"/>
              <w:left w:val="nil"/>
              <w:bottom w:val="single" w:sz="8" w:space="0" w:color="auto"/>
              <w:right w:val="nil"/>
            </w:tcBorders>
            <w:shd w:val="clear" w:color="auto" w:fill="auto"/>
            <w:noWrap/>
            <w:vAlign w:val="center"/>
            <w:hideMark/>
          </w:tcPr>
          <w:p w14:paraId="247651D5" w14:textId="036F9093"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0.55</w:t>
            </w:r>
          </w:p>
        </w:tc>
        <w:tc>
          <w:tcPr>
            <w:tcW w:w="857" w:type="dxa"/>
            <w:tcBorders>
              <w:top w:val="nil"/>
              <w:left w:val="nil"/>
              <w:bottom w:val="single" w:sz="8" w:space="0" w:color="auto"/>
              <w:right w:val="nil"/>
            </w:tcBorders>
            <w:shd w:val="clear" w:color="auto" w:fill="auto"/>
            <w:noWrap/>
            <w:vAlign w:val="center"/>
            <w:hideMark/>
          </w:tcPr>
          <w:p w14:paraId="6A2E2ED8" w14:textId="1B6D6CA6"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0.08</w:t>
            </w:r>
          </w:p>
        </w:tc>
        <w:tc>
          <w:tcPr>
            <w:tcW w:w="1985" w:type="dxa"/>
            <w:tcBorders>
              <w:top w:val="nil"/>
              <w:left w:val="nil"/>
              <w:bottom w:val="single" w:sz="8" w:space="0" w:color="auto"/>
              <w:right w:val="nil"/>
            </w:tcBorders>
            <w:shd w:val="clear" w:color="auto" w:fill="auto"/>
            <w:noWrap/>
            <w:vAlign w:val="center"/>
            <w:hideMark/>
          </w:tcPr>
          <w:p w14:paraId="08C805D7" w14:textId="77777777" w:rsidR="008352F5" w:rsidRPr="00435469" w:rsidRDefault="008352F5" w:rsidP="008352F5">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vAlign w:val="center"/>
            <w:hideMark/>
          </w:tcPr>
          <w:p w14:paraId="7C94B5C2" w14:textId="60087155"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0.498 (0.469 - 0.536)</w:t>
            </w:r>
          </w:p>
        </w:tc>
        <w:tc>
          <w:tcPr>
            <w:tcW w:w="2409" w:type="dxa"/>
            <w:tcBorders>
              <w:top w:val="nil"/>
              <w:left w:val="nil"/>
              <w:bottom w:val="single" w:sz="8" w:space="0" w:color="auto"/>
              <w:right w:val="nil"/>
            </w:tcBorders>
            <w:shd w:val="clear" w:color="auto" w:fill="auto"/>
            <w:noWrap/>
          </w:tcPr>
          <w:p w14:paraId="700DDD91"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sym w:font="Wingdings" w:char="F0FC"/>
            </w:r>
          </w:p>
        </w:tc>
      </w:tr>
      <w:tr w:rsidR="008352F5" w:rsidRPr="00435469" w14:paraId="10E09F40" w14:textId="77777777" w:rsidTr="00363677">
        <w:trPr>
          <w:trHeight w:val="269"/>
        </w:trPr>
        <w:tc>
          <w:tcPr>
            <w:tcW w:w="5245" w:type="dxa"/>
            <w:tcBorders>
              <w:top w:val="nil"/>
              <w:left w:val="nil"/>
              <w:bottom w:val="single" w:sz="8" w:space="0" w:color="auto"/>
              <w:right w:val="nil"/>
            </w:tcBorders>
            <w:shd w:val="clear" w:color="auto" w:fill="auto"/>
            <w:hideMark/>
          </w:tcPr>
          <w:p w14:paraId="371AB001" w14:textId="77777777" w:rsidR="008352F5" w:rsidRPr="00435469" w:rsidRDefault="008352F5" w:rsidP="008352F5">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The annual rate of health-seeking in males with smear-negative TB</w:t>
            </w:r>
          </w:p>
        </w:tc>
        <w:tc>
          <w:tcPr>
            <w:tcW w:w="1836" w:type="dxa"/>
            <w:tcBorders>
              <w:top w:val="nil"/>
              <w:left w:val="nil"/>
              <w:bottom w:val="single" w:sz="8" w:space="0" w:color="auto"/>
              <w:right w:val="nil"/>
            </w:tcBorders>
            <w:shd w:val="clear" w:color="auto" w:fill="auto"/>
            <w:noWrap/>
            <w:vAlign w:val="center"/>
            <w:hideMark/>
          </w:tcPr>
          <w:p w14:paraId="15DEF287"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2.14</w:t>
            </w:r>
          </w:p>
        </w:tc>
        <w:tc>
          <w:tcPr>
            <w:tcW w:w="857" w:type="dxa"/>
            <w:tcBorders>
              <w:top w:val="nil"/>
              <w:left w:val="nil"/>
              <w:bottom w:val="single" w:sz="8" w:space="0" w:color="auto"/>
              <w:right w:val="nil"/>
            </w:tcBorders>
            <w:shd w:val="clear" w:color="auto" w:fill="auto"/>
            <w:noWrap/>
            <w:vAlign w:val="center"/>
            <w:hideMark/>
          </w:tcPr>
          <w:p w14:paraId="250AE88E"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0.49</w:t>
            </w:r>
          </w:p>
        </w:tc>
        <w:tc>
          <w:tcPr>
            <w:tcW w:w="1985" w:type="dxa"/>
            <w:tcBorders>
              <w:top w:val="nil"/>
              <w:left w:val="nil"/>
              <w:bottom w:val="single" w:sz="8" w:space="0" w:color="auto"/>
              <w:right w:val="nil"/>
            </w:tcBorders>
            <w:shd w:val="clear" w:color="auto" w:fill="auto"/>
            <w:noWrap/>
            <w:vAlign w:val="center"/>
            <w:hideMark/>
          </w:tcPr>
          <w:p w14:paraId="2E885C50" w14:textId="77777777" w:rsidR="008352F5" w:rsidRPr="00435469" w:rsidRDefault="008352F5" w:rsidP="008352F5">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vAlign w:val="center"/>
            <w:hideMark/>
          </w:tcPr>
          <w:p w14:paraId="404A42E7" w14:textId="3061000B"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1.07 (0.903 - 1.212)</w:t>
            </w:r>
          </w:p>
        </w:tc>
        <w:tc>
          <w:tcPr>
            <w:tcW w:w="2409" w:type="dxa"/>
            <w:tcBorders>
              <w:top w:val="nil"/>
              <w:left w:val="nil"/>
              <w:bottom w:val="single" w:sz="8" w:space="0" w:color="auto"/>
              <w:right w:val="nil"/>
            </w:tcBorders>
            <w:shd w:val="clear" w:color="auto" w:fill="auto"/>
            <w:noWrap/>
          </w:tcPr>
          <w:p w14:paraId="7BF56996"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sym w:font="Wingdings" w:char="F0FC"/>
            </w:r>
          </w:p>
        </w:tc>
      </w:tr>
      <w:tr w:rsidR="008352F5" w:rsidRPr="00435469" w14:paraId="12EEA1B8" w14:textId="77777777" w:rsidTr="00363677">
        <w:trPr>
          <w:trHeight w:val="269"/>
        </w:trPr>
        <w:tc>
          <w:tcPr>
            <w:tcW w:w="5245" w:type="dxa"/>
            <w:tcBorders>
              <w:top w:val="nil"/>
              <w:left w:val="nil"/>
              <w:bottom w:val="single" w:sz="8" w:space="0" w:color="auto"/>
              <w:right w:val="nil"/>
            </w:tcBorders>
            <w:shd w:val="clear" w:color="auto" w:fill="auto"/>
            <w:hideMark/>
          </w:tcPr>
          <w:p w14:paraId="144A0231" w14:textId="77777777" w:rsidR="008352F5" w:rsidRPr="00435469" w:rsidRDefault="008352F5" w:rsidP="008352F5">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The annual rate of health-seeking in males in the general population</w:t>
            </w:r>
          </w:p>
        </w:tc>
        <w:tc>
          <w:tcPr>
            <w:tcW w:w="1836" w:type="dxa"/>
            <w:tcBorders>
              <w:top w:val="nil"/>
              <w:left w:val="nil"/>
              <w:bottom w:val="single" w:sz="8" w:space="0" w:color="auto"/>
              <w:right w:val="nil"/>
            </w:tcBorders>
            <w:shd w:val="clear" w:color="auto" w:fill="auto"/>
            <w:noWrap/>
            <w:vAlign w:val="center"/>
            <w:hideMark/>
          </w:tcPr>
          <w:p w14:paraId="7642BE28"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1.15</w:t>
            </w:r>
          </w:p>
        </w:tc>
        <w:tc>
          <w:tcPr>
            <w:tcW w:w="857" w:type="dxa"/>
            <w:tcBorders>
              <w:top w:val="nil"/>
              <w:left w:val="nil"/>
              <w:bottom w:val="single" w:sz="8" w:space="0" w:color="auto"/>
              <w:right w:val="nil"/>
            </w:tcBorders>
            <w:shd w:val="clear" w:color="auto" w:fill="auto"/>
            <w:noWrap/>
            <w:vAlign w:val="center"/>
            <w:hideMark/>
          </w:tcPr>
          <w:p w14:paraId="7985F2BF"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0.5</w:t>
            </w:r>
          </w:p>
        </w:tc>
        <w:tc>
          <w:tcPr>
            <w:tcW w:w="1985" w:type="dxa"/>
            <w:tcBorders>
              <w:top w:val="nil"/>
              <w:left w:val="nil"/>
              <w:bottom w:val="single" w:sz="8" w:space="0" w:color="auto"/>
              <w:right w:val="nil"/>
            </w:tcBorders>
            <w:shd w:val="clear" w:color="auto" w:fill="auto"/>
            <w:noWrap/>
            <w:vAlign w:val="center"/>
            <w:hideMark/>
          </w:tcPr>
          <w:p w14:paraId="22BE9115" w14:textId="77777777" w:rsidR="008352F5" w:rsidRPr="00435469" w:rsidRDefault="008352F5" w:rsidP="008352F5">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vAlign w:val="center"/>
            <w:hideMark/>
          </w:tcPr>
          <w:p w14:paraId="03D0AAAC" w14:textId="2E013719"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1.0 (0.76 - 1.3)</w:t>
            </w:r>
          </w:p>
        </w:tc>
        <w:tc>
          <w:tcPr>
            <w:tcW w:w="2409" w:type="dxa"/>
            <w:tcBorders>
              <w:top w:val="nil"/>
              <w:left w:val="nil"/>
              <w:bottom w:val="single" w:sz="8" w:space="0" w:color="auto"/>
              <w:right w:val="nil"/>
            </w:tcBorders>
            <w:shd w:val="clear" w:color="auto" w:fill="auto"/>
            <w:noWrap/>
          </w:tcPr>
          <w:p w14:paraId="77304C5E" w14:textId="474CC26E" w:rsidR="008352F5" w:rsidRPr="00435469" w:rsidRDefault="008352F5" w:rsidP="008352F5">
            <w:pPr>
              <w:spacing w:after="0" w:line="240" w:lineRule="auto"/>
              <w:jc w:val="center"/>
              <w:rPr>
                <w:rFonts w:eastAsia="Times New Roman" w:cs="Times New Roman"/>
                <w:sz w:val="16"/>
                <w:szCs w:val="16"/>
                <w:lang w:val="en-ZA" w:eastAsia="en-ZA"/>
              </w:rPr>
            </w:pPr>
          </w:p>
        </w:tc>
      </w:tr>
      <w:tr w:rsidR="008352F5" w:rsidRPr="00435469" w14:paraId="679833CB" w14:textId="77777777" w:rsidTr="00363677">
        <w:trPr>
          <w:trHeight w:val="269"/>
        </w:trPr>
        <w:tc>
          <w:tcPr>
            <w:tcW w:w="5245" w:type="dxa"/>
            <w:tcBorders>
              <w:top w:val="nil"/>
              <w:left w:val="nil"/>
              <w:bottom w:val="single" w:sz="8" w:space="0" w:color="auto"/>
              <w:right w:val="nil"/>
            </w:tcBorders>
            <w:shd w:val="clear" w:color="auto" w:fill="auto"/>
            <w:hideMark/>
          </w:tcPr>
          <w:p w14:paraId="67BED526" w14:textId="77777777" w:rsidR="008352F5" w:rsidRPr="00435469" w:rsidRDefault="008352F5" w:rsidP="008352F5">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The annual rate of health-seeking in males due to TB-like symptoms</w:t>
            </w:r>
          </w:p>
        </w:tc>
        <w:tc>
          <w:tcPr>
            <w:tcW w:w="1836" w:type="dxa"/>
            <w:tcBorders>
              <w:top w:val="nil"/>
              <w:left w:val="nil"/>
              <w:bottom w:val="single" w:sz="8" w:space="0" w:color="auto"/>
              <w:right w:val="nil"/>
            </w:tcBorders>
            <w:shd w:val="clear" w:color="auto" w:fill="auto"/>
            <w:noWrap/>
            <w:vAlign w:val="center"/>
            <w:hideMark/>
          </w:tcPr>
          <w:p w14:paraId="1F0413AF"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0.22</w:t>
            </w:r>
          </w:p>
        </w:tc>
        <w:tc>
          <w:tcPr>
            <w:tcW w:w="857" w:type="dxa"/>
            <w:tcBorders>
              <w:top w:val="nil"/>
              <w:left w:val="nil"/>
              <w:bottom w:val="single" w:sz="8" w:space="0" w:color="auto"/>
              <w:right w:val="nil"/>
            </w:tcBorders>
            <w:shd w:val="clear" w:color="auto" w:fill="auto"/>
            <w:noWrap/>
            <w:vAlign w:val="center"/>
            <w:hideMark/>
          </w:tcPr>
          <w:p w14:paraId="7A73E43B"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0.15</w:t>
            </w:r>
          </w:p>
        </w:tc>
        <w:tc>
          <w:tcPr>
            <w:tcW w:w="1985" w:type="dxa"/>
            <w:tcBorders>
              <w:top w:val="nil"/>
              <w:left w:val="nil"/>
              <w:bottom w:val="single" w:sz="8" w:space="0" w:color="auto"/>
              <w:right w:val="nil"/>
            </w:tcBorders>
            <w:shd w:val="clear" w:color="auto" w:fill="auto"/>
            <w:noWrap/>
            <w:vAlign w:val="center"/>
            <w:hideMark/>
          </w:tcPr>
          <w:p w14:paraId="4B07AC76" w14:textId="77777777" w:rsidR="008352F5" w:rsidRPr="00435469" w:rsidRDefault="008352F5" w:rsidP="008352F5">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vAlign w:val="center"/>
            <w:hideMark/>
          </w:tcPr>
          <w:p w14:paraId="006FFC9E" w14:textId="7373809F"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0.196 (0.163 - 0.224)</w:t>
            </w:r>
          </w:p>
        </w:tc>
        <w:tc>
          <w:tcPr>
            <w:tcW w:w="2409" w:type="dxa"/>
            <w:tcBorders>
              <w:top w:val="nil"/>
              <w:left w:val="nil"/>
              <w:bottom w:val="single" w:sz="8" w:space="0" w:color="auto"/>
              <w:right w:val="nil"/>
            </w:tcBorders>
            <w:shd w:val="clear" w:color="auto" w:fill="auto"/>
            <w:noWrap/>
            <w:vAlign w:val="center"/>
          </w:tcPr>
          <w:p w14:paraId="633AF364" w14:textId="77777777" w:rsidR="008352F5" w:rsidRPr="00435469" w:rsidRDefault="008352F5" w:rsidP="008352F5">
            <w:pPr>
              <w:spacing w:after="0" w:line="240" w:lineRule="auto"/>
              <w:jc w:val="center"/>
              <w:rPr>
                <w:rFonts w:eastAsia="Times New Roman" w:cs="Times New Roman"/>
                <w:sz w:val="16"/>
                <w:szCs w:val="16"/>
                <w:lang w:val="en-ZA" w:eastAsia="en-ZA"/>
              </w:rPr>
            </w:pPr>
          </w:p>
        </w:tc>
      </w:tr>
      <w:tr w:rsidR="008352F5" w:rsidRPr="00435469" w14:paraId="5ED28D36" w14:textId="77777777" w:rsidTr="00363677">
        <w:trPr>
          <w:trHeight w:val="389"/>
        </w:trPr>
        <w:tc>
          <w:tcPr>
            <w:tcW w:w="5245" w:type="dxa"/>
            <w:tcBorders>
              <w:top w:val="nil"/>
              <w:left w:val="nil"/>
              <w:bottom w:val="single" w:sz="8" w:space="0" w:color="auto"/>
              <w:right w:val="nil"/>
            </w:tcBorders>
            <w:shd w:val="clear" w:color="auto" w:fill="auto"/>
            <w:hideMark/>
          </w:tcPr>
          <w:p w14:paraId="5507F0B3" w14:textId="77777777" w:rsidR="008352F5" w:rsidRPr="00435469" w:rsidRDefault="008352F5" w:rsidP="008352F5">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The proportion of active TB cases seeking treatment who are treated empirically before any microbiological test is done</w:t>
            </w:r>
          </w:p>
        </w:tc>
        <w:tc>
          <w:tcPr>
            <w:tcW w:w="1836" w:type="dxa"/>
            <w:tcBorders>
              <w:top w:val="nil"/>
              <w:left w:val="nil"/>
              <w:bottom w:val="single" w:sz="8" w:space="0" w:color="auto"/>
              <w:right w:val="nil"/>
            </w:tcBorders>
            <w:shd w:val="clear" w:color="auto" w:fill="auto"/>
            <w:noWrap/>
            <w:hideMark/>
          </w:tcPr>
          <w:p w14:paraId="2CA9E9D5"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sz w:val="16"/>
                <w:szCs w:val="16"/>
              </w:rPr>
              <w:t>0.125</w:t>
            </w:r>
          </w:p>
        </w:tc>
        <w:tc>
          <w:tcPr>
            <w:tcW w:w="857" w:type="dxa"/>
            <w:tcBorders>
              <w:top w:val="nil"/>
              <w:left w:val="nil"/>
              <w:bottom w:val="single" w:sz="8" w:space="0" w:color="auto"/>
              <w:right w:val="nil"/>
            </w:tcBorders>
            <w:shd w:val="clear" w:color="auto" w:fill="auto"/>
            <w:noWrap/>
            <w:hideMark/>
          </w:tcPr>
          <w:p w14:paraId="0D7C4BF3"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sz w:val="16"/>
                <w:szCs w:val="16"/>
              </w:rPr>
              <w:t>0.144</w:t>
            </w:r>
          </w:p>
        </w:tc>
        <w:tc>
          <w:tcPr>
            <w:tcW w:w="1985" w:type="dxa"/>
            <w:tcBorders>
              <w:top w:val="nil"/>
              <w:left w:val="nil"/>
              <w:bottom w:val="single" w:sz="8" w:space="0" w:color="auto"/>
              <w:right w:val="nil"/>
            </w:tcBorders>
            <w:shd w:val="clear" w:color="auto" w:fill="auto"/>
            <w:noWrap/>
            <w:vAlign w:val="center"/>
            <w:hideMark/>
          </w:tcPr>
          <w:p w14:paraId="747A6C43" w14:textId="77777777" w:rsidR="008352F5" w:rsidRPr="00435469" w:rsidRDefault="008352F5" w:rsidP="008352F5">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hideMark/>
          </w:tcPr>
          <w:p w14:paraId="17982F04" w14:textId="57119F23"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0.068 (0.046 - 0.092)</w:t>
            </w:r>
          </w:p>
        </w:tc>
        <w:tc>
          <w:tcPr>
            <w:tcW w:w="2409" w:type="dxa"/>
            <w:tcBorders>
              <w:top w:val="nil"/>
              <w:left w:val="nil"/>
              <w:bottom w:val="single" w:sz="8" w:space="0" w:color="auto"/>
              <w:right w:val="nil"/>
            </w:tcBorders>
            <w:shd w:val="clear" w:color="auto" w:fill="auto"/>
            <w:noWrap/>
            <w:vAlign w:val="center"/>
          </w:tcPr>
          <w:p w14:paraId="44507CDA" w14:textId="77777777" w:rsidR="008352F5" w:rsidRPr="00435469" w:rsidRDefault="008352F5" w:rsidP="008352F5">
            <w:pPr>
              <w:spacing w:after="0" w:line="240" w:lineRule="auto"/>
              <w:jc w:val="center"/>
              <w:rPr>
                <w:rFonts w:eastAsia="Times New Roman" w:cs="Times New Roman"/>
                <w:sz w:val="16"/>
                <w:szCs w:val="16"/>
                <w:lang w:val="en-ZA" w:eastAsia="en-ZA"/>
              </w:rPr>
            </w:pPr>
          </w:p>
        </w:tc>
      </w:tr>
      <w:tr w:rsidR="008352F5" w:rsidRPr="00435469" w14:paraId="1D5B46F0" w14:textId="77777777" w:rsidTr="00363677">
        <w:trPr>
          <w:trHeight w:val="389"/>
        </w:trPr>
        <w:tc>
          <w:tcPr>
            <w:tcW w:w="5245" w:type="dxa"/>
            <w:tcBorders>
              <w:top w:val="nil"/>
              <w:left w:val="nil"/>
              <w:bottom w:val="single" w:sz="8" w:space="0" w:color="auto"/>
              <w:right w:val="nil"/>
            </w:tcBorders>
            <w:shd w:val="clear" w:color="auto" w:fill="auto"/>
            <w:hideMark/>
          </w:tcPr>
          <w:p w14:paraId="4E803E89" w14:textId="77777777" w:rsidR="008352F5" w:rsidRPr="00435469" w:rsidRDefault="008352F5" w:rsidP="008352F5">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 xml:space="preserve">The proportion of smear-negative TB cases which are treated empirically if they initially screened negative smear test  </w:t>
            </w:r>
          </w:p>
        </w:tc>
        <w:tc>
          <w:tcPr>
            <w:tcW w:w="1836" w:type="dxa"/>
            <w:tcBorders>
              <w:top w:val="nil"/>
              <w:left w:val="nil"/>
              <w:bottom w:val="single" w:sz="8" w:space="0" w:color="auto"/>
              <w:right w:val="nil"/>
            </w:tcBorders>
            <w:shd w:val="clear" w:color="auto" w:fill="auto"/>
            <w:noWrap/>
            <w:hideMark/>
          </w:tcPr>
          <w:p w14:paraId="28EBF985"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sz w:val="16"/>
                <w:szCs w:val="16"/>
              </w:rPr>
              <w:t>0.33</w:t>
            </w:r>
          </w:p>
        </w:tc>
        <w:tc>
          <w:tcPr>
            <w:tcW w:w="857" w:type="dxa"/>
            <w:tcBorders>
              <w:top w:val="nil"/>
              <w:left w:val="nil"/>
              <w:bottom w:val="single" w:sz="8" w:space="0" w:color="auto"/>
              <w:right w:val="nil"/>
            </w:tcBorders>
            <w:shd w:val="clear" w:color="auto" w:fill="auto"/>
            <w:noWrap/>
            <w:hideMark/>
          </w:tcPr>
          <w:p w14:paraId="7FD01E6E"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sz w:val="16"/>
                <w:szCs w:val="16"/>
              </w:rPr>
              <w:t>0.236</w:t>
            </w:r>
          </w:p>
        </w:tc>
        <w:tc>
          <w:tcPr>
            <w:tcW w:w="1985" w:type="dxa"/>
            <w:tcBorders>
              <w:top w:val="nil"/>
              <w:left w:val="nil"/>
              <w:bottom w:val="single" w:sz="8" w:space="0" w:color="auto"/>
              <w:right w:val="nil"/>
            </w:tcBorders>
            <w:shd w:val="clear" w:color="auto" w:fill="auto"/>
            <w:noWrap/>
            <w:vAlign w:val="center"/>
            <w:hideMark/>
          </w:tcPr>
          <w:p w14:paraId="6E2C6E39" w14:textId="77777777" w:rsidR="008352F5" w:rsidRPr="00435469" w:rsidRDefault="008352F5" w:rsidP="008352F5">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hideMark/>
          </w:tcPr>
          <w:p w14:paraId="398D821C" w14:textId="20414AFA"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0.28 (0.222 - 0.353)</w:t>
            </w:r>
          </w:p>
        </w:tc>
        <w:tc>
          <w:tcPr>
            <w:tcW w:w="2409" w:type="dxa"/>
            <w:tcBorders>
              <w:top w:val="nil"/>
              <w:left w:val="nil"/>
              <w:bottom w:val="single" w:sz="8" w:space="0" w:color="auto"/>
              <w:right w:val="nil"/>
            </w:tcBorders>
            <w:shd w:val="clear" w:color="auto" w:fill="auto"/>
            <w:noWrap/>
            <w:vAlign w:val="center"/>
          </w:tcPr>
          <w:p w14:paraId="04C53A53" w14:textId="77777777" w:rsidR="008352F5" w:rsidRPr="00435469" w:rsidRDefault="008352F5" w:rsidP="008352F5">
            <w:pPr>
              <w:spacing w:after="0" w:line="240" w:lineRule="auto"/>
              <w:jc w:val="center"/>
              <w:rPr>
                <w:rFonts w:eastAsia="Times New Roman" w:cs="Times New Roman"/>
                <w:sz w:val="16"/>
                <w:szCs w:val="16"/>
                <w:lang w:val="en-ZA" w:eastAsia="en-ZA"/>
              </w:rPr>
            </w:pPr>
          </w:p>
        </w:tc>
      </w:tr>
      <w:tr w:rsidR="008352F5" w:rsidRPr="00435469" w14:paraId="3C9D4BDA" w14:textId="77777777" w:rsidTr="00363677">
        <w:trPr>
          <w:trHeight w:val="389"/>
        </w:trPr>
        <w:tc>
          <w:tcPr>
            <w:tcW w:w="5245" w:type="dxa"/>
            <w:tcBorders>
              <w:top w:val="nil"/>
              <w:left w:val="nil"/>
              <w:bottom w:val="single" w:sz="8" w:space="0" w:color="auto"/>
              <w:right w:val="nil"/>
            </w:tcBorders>
            <w:shd w:val="clear" w:color="auto" w:fill="auto"/>
            <w:hideMark/>
          </w:tcPr>
          <w:p w14:paraId="51BD3549" w14:textId="77777777" w:rsidR="008352F5" w:rsidRPr="00435469" w:rsidRDefault="008352F5" w:rsidP="008352F5">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Relative rate of empirical treatment if not seeking treatment because of TB symptoms</w:t>
            </w:r>
          </w:p>
        </w:tc>
        <w:tc>
          <w:tcPr>
            <w:tcW w:w="1836" w:type="dxa"/>
            <w:tcBorders>
              <w:top w:val="nil"/>
              <w:left w:val="nil"/>
              <w:bottom w:val="single" w:sz="8" w:space="0" w:color="auto"/>
              <w:right w:val="nil"/>
            </w:tcBorders>
            <w:shd w:val="clear" w:color="auto" w:fill="auto"/>
            <w:noWrap/>
            <w:vAlign w:val="center"/>
            <w:hideMark/>
          </w:tcPr>
          <w:p w14:paraId="62B21206"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0.5</w:t>
            </w:r>
          </w:p>
        </w:tc>
        <w:tc>
          <w:tcPr>
            <w:tcW w:w="857" w:type="dxa"/>
            <w:tcBorders>
              <w:top w:val="nil"/>
              <w:left w:val="nil"/>
              <w:bottom w:val="single" w:sz="8" w:space="0" w:color="auto"/>
              <w:right w:val="nil"/>
            </w:tcBorders>
            <w:shd w:val="clear" w:color="auto" w:fill="auto"/>
            <w:noWrap/>
            <w:vAlign w:val="center"/>
            <w:hideMark/>
          </w:tcPr>
          <w:p w14:paraId="646A6E95"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0.289</w:t>
            </w:r>
          </w:p>
        </w:tc>
        <w:tc>
          <w:tcPr>
            <w:tcW w:w="1985" w:type="dxa"/>
            <w:tcBorders>
              <w:top w:val="nil"/>
              <w:left w:val="nil"/>
              <w:bottom w:val="single" w:sz="8" w:space="0" w:color="auto"/>
              <w:right w:val="nil"/>
            </w:tcBorders>
            <w:shd w:val="clear" w:color="auto" w:fill="auto"/>
            <w:noWrap/>
            <w:vAlign w:val="center"/>
            <w:hideMark/>
          </w:tcPr>
          <w:p w14:paraId="62213460" w14:textId="77777777" w:rsidR="008352F5" w:rsidRPr="00435469" w:rsidRDefault="008352F5" w:rsidP="008352F5">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hideMark/>
          </w:tcPr>
          <w:p w14:paraId="2EE33672" w14:textId="2CD9E11E"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cs="Times New Roman"/>
                <w:sz w:val="16"/>
                <w:szCs w:val="16"/>
              </w:rPr>
              <w:t>0.031 (0.017 - 0.051)</w:t>
            </w:r>
          </w:p>
        </w:tc>
        <w:tc>
          <w:tcPr>
            <w:tcW w:w="2409" w:type="dxa"/>
            <w:tcBorders>
              <w:top w:val="nil"/>
              <w:left w:val="nil"/>
              <w:bottom w:val="single" w:sz="8" w:space="0" w:color="auto"/>
              <w:right w:val="nil"/>
            </w:tcBorders>
            <w:shd w:val="clear" w:color="auto" w:fill="auto"/>
            <w:noWrap/>
            <w:vAlign w:val="center"/>
          </w:tcPr>
          <w:p w14:paraId="5DAC78A5" w14:textId="77777777" w:rsidR="008352F5" w:rsidRPr="00435469" w:rsidRDefault="008352F5" w:rsidP="008352F5">
            <w:pPr>
              <w:spacing w:after="0" w:line="240" w:lineRule="auto"/>
              <w:jc w:val="center"/>
              <w:rPr>
                <w:rFonts w:eastAsia="Times New Roman" w:cs="Times New Roman"/>
                <w:sz w:val="16"/>
                <w:szCs w:val="16"/>
                <w:lang w:val="en-ZA" w:eastAsia="en-ZA"/>
              </w:rPr>
            </w:pPr>
          </w:p>
        </w:tc>
      </w:tr>
      <w:tr w:rsidR="008352F5" w:rsidRPr="00435469" w14:paraId="442D6F45" w14:textId="77777777" w:rsidTr="00363677">
        <w:trPr>
          <w:trHeight w:val="269"/>
        </w:trPr>
        <w:tc>
          <w:tcPr>
            <w:tcW w:w="5245" w:type="dxa"/>
            <w:tcBorders>
              <w:top w:val="nil"/>
              <w:left w:val="nil"/>
              <w:bottom w:val="single" w:sz="8" w:space="0" w:color="auto"/>
              <w:right w:val="nil"/>
            </w:tcBorders>
            <w:shd w:val="clear" w:color="auto" w:fill="auto"/>
            <w:hideMark/>
          </w:tcPr>
          <w:p w14:paraId="7973B1F9" w14:textId="77777777" w:rsidR="008352F5" w:rsidRPr="00435469" w:rsidRDefault="008352F5" w:rsidP="008352F5">
            <w:pPr>
              <w:spacing w:after="0" w:line="240" w:lineRule="auto"/>
              <w:rPr>
                <w:rFonts w:eastAsia="Times New Roman" w:cs="Times New Roman"/>
                <w:sz w:val="16"/>
                <w:szCs w:val="16"/>
                <w:lang w:val="en-ZA" w:eastAsia="en-ZA"/>
              </w:rPr>
            </w:pPr>
            <w:r w:rsidRPr="00435469">
              <w:rPr>
                <w:rFonts w:eastAsia="Times New Roman" w:cs="Times New Roman"/>
                <w:sz w:val="16"/>
                <w:szCs w:val="16"/>
                <w:lang w:eastAsia="en-ZA"/>
              </w:rPr>
              <w:t>Relative rate empirical treatment if symptoms are not due to TB</w:t>
            </w:r>
          </w:p>
        </w:tc>
        <w:tc>
          <w:tcPr>
            <w:tcW w:w="1836" w:type="dxa"/>
            <w:tcBorders>
              <w:top w:val="nil"/>
              <w:left w:val="nil"/>
              <w:bottom w:val="single" w:sz="8" w:space="0" w:color="auto"/>
              <w:right w:val="nil"/>
            </w:tcBorders>
            <w:shd w:val="clear" w:color="auto" w:fill="auto"/>
            <w:noWrap/>
            <w:vAlign w:val="center"/>
            <w:hideMark/>
          </w:tcPr>
          <w:p w14:paraId="667F9E1B"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0.5</w:t>
            </w:r>
          </w:p>
        </w:tc>
        <w:tc>
          <w:tcPr>
            <w:tcW w:w="857" w:type="dxa"/>
            <w:tcBorders>
              <w:top w:val="nil"/>
              <w:left w:val="nil"/>
              <w:bottom w:val="single" w:sz="8" w:space="0" w:color="auto"/>
              <w:right w:val="nil"/>
            </w:tcBorders>
            <w:shd w:val="clear" w:color="auto" w:fill="auto"/>
            <w:noWrap/>
            <w:vAlign w:val="center"/>
            <w:hideMark/>
          </w:tcPr>
          <w:p w14:paraId="48E16D5D" w14:textId="77777777"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t>0.289</w:t>
            </w:r>
          </w:p>
        </w:tc>
        <w:tc>
          <w:tcPr>
            <w:tcW w:w="1985" w:type="dxa"/>
            <w:tcBorders>
              <w:top w:val="nil"/>
              <w:left w:val="nil"/>
              <w:bottom w:val="single" w:sz="8" w:space="0" w:color="auto"/>
              <w:right w:val="nil"/>
            </w:tcBorders>
            <w:shd w:val="clear" w:color="auto" w:fill="auto"/>
            <w:noWrap/>
            <w:vAlign w:val="center"/>
            <w:hideMark/>
          </w:tcPr>
          <w:p w14:paraId="0B2D76C9" w14:textId="77777777" w:rsidR="008352F5" w:rsidRPr="00435469" w:rsidRDefault="008352F5" w:rsidP="008352F5">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hideMark/>
          </w:tcPr>
          <w:p w14:paraId="6A32A302" w14:textId="722E026D" w:rsidR="008352F5" w:rsidRPr="00435469" w:rsidRDefault="008352F5" w:rsidP="008352F5">
            <w:pPr>
              <w:spacing w:after="0" w:line="240" w:lineRule="auto"/>
              <w:jc w:val="center"/>
              <w:rPr>
                <w:rFonts w:eastAsia="Times New Roman" w:cs="Times New Roman"/>
                <w:sz w:val="16"/>
                <w:szCs w:val="16"/>
                <w:lang w:val="en-ZA" w:eastAsia="en-ZA"/>
              </w:rPr>
            </w:pPr>
            <w:r w:rsidRPr="00435469">
              <w:rPr>
                <w:rFonts w:cs="Times New Roman"/>
                <w:sz w:val="16"/>
                <w:szCs w:val="16"/>
              </w:rPr>
              <w:t>0.0014 (0.0005 - 0.0029)</w:t>
            </w:r>
          </w:p>
        </w:tc>
        <w:tc>
          <w:tcPr>
            <w:tcW w:w="2409" w:type="dxa"/>
            <w:tcBorders>
              <w:top w:val="nil"/>
              <w:left w:val="nil"/>
              <w:bottom w:val="single" w:sz="8" w:space="0" w:color="auto"/>
              <w:right w:val="nil"/>
            </w:tcBorders>
            <w:shd w:val="clear" w:color="auto" w:fill="auto"/>
            <w:noWrap/>
            <w:vAlign w:val="center"/>
          </w:tcPr>
          <w:p w14:paraId="33A46117" w14:textId="77777777" w:rsidR="008352F5" w:rsidRPr="00435469" w:rsidRDefault="008352F5" w:rsidP="008352F5">
            <w:pPr>
              <w:spacing w:after="0" w:line="240" w:lineRule="auto"/>
              <w:jc w:val="center"/>
              <w:rPr>
                <w:rFonts w:eastAsia="Times New Roman" w:cs="Times New Roman"/>
                <w:sz w:val="16"/>
                <w:szCs w:val="16"/>
                <w:lang w:val="en-ZA" w:eastAsia="en-ZA"/>
              </w:rPr>
            </w:pPr>
          </w:p>
        </w:tc>
      </w:tr>
      <w:tr w:rsidR="008352F5" w:rsidRPr="00435469" w14:paraId="26D3251E" w14:textId="77777777" w:rsidTr="00363677">
        <w:trPr>
          <w:trHeight w:val="269"/>
        </w:trPr>
        <w:tc>
          <w:tcPr>
            <w:tcW w:w="5245" w:type="dxa"/>
            <w:tcBorders>
              <w:top w:val="nil"/>
              <w:left w:val="nil"/>
              <w:bottom w:val="single" w:sz="8" w:space="0" w:color="auto"/>
              <w:right w:val="nil"/>
            </w:tcBorders>
            <w:shd w:val="clear" w:color="auto" w:fill="auto"/>
          </w:tcPr>
          <w:p w14:paraId="1E128196" w14:textId="77777777" w:rsidR="008352F5" w:rsidRPr="00435469" w:rsidRDefault="008352F5" w:rsidP="008352F5">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Relative rate of health-seeking in women, compared to men</w:t>
            </w:r>
          </w:p>
        </w:tc>
        <w:tc>
          <w:tcPr>
            <w:tcW w:w="1836" w:type="dxa"/>
            <w:tcBorders>
              <w:top w:val="nil"/>
              <w:left w:val="nil"/>
              <w:bottom w:val="single" w:sz="8" w:space="0" w:color="auto"/>
              <w:right w:val="nil"/>
            </w:tcBorders>
            <w:shd w:val="clear" w:color="auto" w:fill="auto"/>
            <w:noWrap/>
            <w:vAlign w:val="center"/>
          </w:tcPr>
          <w:p w14:paraId="470210F6" w14:textId="77777777" w:rsidR="008352F5" w:rsidRPr="00435469" w:rsidRDefault="008352F5" w:rsidP="008352F5">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1.55</w:t>
            </w:r>
          </w:p>
        </w:tc>
        <w:tc>
          <w:tcPr>
            <w:tcW w:w="857" w:type="dxa"/>
            <w:tcBorders>
              <w:top w:val="nil"/>
              <w:left w:val="nil"/>
              <w:bottom w:val="single" w:sz="8" w:space="0" w:color="auto"/>
              <w:right w:val="nil"/>
            </w:tcBorders>
            <w:shd w:val="clear" w:color="auto" w:fill="auto"/>
            <w:noWrap/>
            <w:vAlign w:val="center"/>
          </w:tcPr>
          <w:p w14:paraId="3551936C" w14:textId="77777777" w:rsidR="008352F5" w:rsidRPr="00435469" w:rsidRDefault="008352F5" w:rsidP="008352F5">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0.17</w:t>
            </w:r>
          </w:p>
        </w:tc>
        <w:tc>
          <w:tcPr>
            <w:tcW w:w="1985" w:type="dxa"/>
            <w:tcBorders>
              <w:top w:val="nil"/>
              <w:left w:val="nil"/>
              <w:bottom w:val="single" w:sz="8" w:space="0" w:color="auto"/>
              <w:right w:val="nil"/>
            </w:tcBorders>
            <w:shd w:val="clear" w:color="auto" w:fill="auto"/>
            <w:noWrap/>
            <w:vAlign w:val="center"/>
          </w:tcPr>
          <w:p w14:paraId="159158D9" w14:textId="77777777" w:rsidR="008352F5" w:rsidRPr="00435469" w:rsidRDefault="008352F5" w:rsidP="008352F5">
            <w:pPr>
              <w:spacing w:after="0" w:line="240" w:lineRule="auto"/>
              <w:jc w:val="center"/>
              <w:rPr>
                <w:rFonts w:eastAsia="Times New Roman" w:cs="Times New Roman"/>
                <w:sz w:val="16"/>
                <w:szCs w:val="16"/>
                <w:lang w:eastAsia="en-ZA"/>
              </w:rPr>
            </w:pPr>
          </w:p>
        </w:tc>
        <w:tc>
          <w:tcPr>
            <w:tcW w:w="1843" w:type="dxa"/>
            <w:tcBorders>
              <w:top w:val="nil"/>
              <w:left w:val="nil"/>
              <w:bottom w:val="single" w:sz="8" w:space="0" w:color="auto"/>
              <w:right w:val="nil"/>
            </w:tcBorders>
            <w:shd w:val="clear" w:color="auto" w:fill="auto"/>
            <w:noWrap/>
            <w:vAlign w:val="center"/>
          </w:tcPr>
          <w:p w14:paraId="040A42AB" w14:textId="6BF3D2AB" w:rsidR="008352F5" w:rsidRPr="00435469" w:rsidRDefault="008352F5" w:rsidP="008352F5">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1.376 (1.2884 - 1.475)</w:t>
            </w:r>
          </w:p>
        </w:tc>
        <w:tc>
          <w:tcPr>
            <w:tcW w:w="2409" w:type="dxa"/>
            <w:tcBorders>
              <w:top w:val="nil"/>
              <w:left w:val="nil"/>
              <w:bottom w:val="single" w:sz="8" w:space="0" w:color="auto"/>
              <w:right w:val="nil"/>
            </w:tcBorders>
            <w:shd w:val="clear" w:color="auto" w:fill="auto"/>
            <w:noWrap/>
            <w:vAlign w:val="center"/>
          </w:tcPr>
          <w:p w14:paraId="18AC58B0" w14:textId="77777777" w:rsidR="008352F5" w:rsidRPr="00435469" w:rsidRDefault="008352F5" w:rsidP="008352F5">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sym w:font="Wingdings" w:char="F0FC"/>
            </w:r>
          </w:p>
        </w:tc>
      </w:tr>
      <w:tr w:rsidR="008352F5" w:rsidRPr="00435469" w14:paraId="6E12D400" w14:textId="77777777" w:rsidTr="00363677">
        <w:trPr>
          <w:trHeight w:val="269"/>
        </w:trPr>
        <w:tc>
          <w:tcPr>
            <w:tcW w:w="5245" w:type="dxa"/>
            <w:tcBorders>
              <w:top w:val="nil"/>
              <w:left w:val="nil"/>
              <w:bottom w:val="single" w:sz="8" w:space="0" w:color="auto"/>
              <w:right w:val="nil"/>
            </w:tcBorders>
            <w:shd w:val="clear" w:color="auto" w:fill="auto"/>
          </w:tcPr>
          <w:p w14:paraId="0D43A6D3" w14:textId="77777777" w:rsidR="008352F5" w:rsidRPr="00435469" w:rsidRDefault="008352F5" w:rsidP="008352F5">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lastRenderedPageBreak/>
              <w:t>Relative rate of health-seeking in HIV-positive compared to HIV-negative individuals</w:t>
            </w:r>
          </w:p>
        </w:tc>
        <w:tc>
          <w:tcPr>
            <w:tcW w:w="1836" w:type="dxa"/>
            <w:tcBorders>
              <w:top w:val="nil"/>
              <w:left w:val="nil"/>
              <w:bottom w:val="single" w:sz="8" w:space="0" w:color="auto"/>
              <w:right w:val="nil"/>
            </w:tcBorders>
            <w:shd w:val="clear" w:color="auto" w:fill="auto"/>
            <w:noWrap/>
            <w:vAlign w:val="center"/>
          </w:tcPr>
          <w:p w14:paraId="7763A598" w14:textId="77777777" w:rsidR="008352F5" w:rsidRPr="00435469" w:rsidRDefault="008352F5" w:rsidP="008352F5">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w:t>
            </w:r>
          </w:p>
        </w:tc>
        <w:tc>
          <w:tcPr>
            <w:tcW w:w="857" w:type="dxa"/>
            <w:tcBorders>
              <w:top w:val="nil"/>
              <w:left w:val="nil"/>
              <w:bottom w:val="single" w:sz="8" w:space="0" w:color="auto"/>
              <w:right w:val="nil"/>
            </w:tcBorders>
            <w:shd w:val="clear" w:color="auto" w:fill="auto"/>
            <w:noWrap/>
            <w:vAlign w:val="center"/>
          </w:tcPr>
          <w:p w14:paraId="44D4BA38" w14:textId="77777777" w:rsidR="008352F5" w:rsidRPr="00435469" w:rsidRDefault="008352F5" w:rsidP="008352F5">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w:t>
            </w:r>
          </w:p>
        </w:tc>
        <w:tc>
          <w:tcPr>
            <w:tcW w:w="1985" w:type="dxa"/>
            <w:tcBorders>
              <w:top w:val="nil"/>
              <w:left w:val="nil"/>
              <w:bottom w:val="single" w:sz="8" w:space="0" w:color="auto"/>
              <w:right w:val="nil"/>
            </w:tcBorders>
            <w:shd w:val="clear" w:color="auto" w:fill="auto"/>
            <w:noWrap/>
            <w:vAlign w:val="center"/>
          </w:tcPr>
          <w:p w14:paraId="2FF8D5E1" w14:textId="77777777" w:rsidR="008352F5" w:rsidRPr="00435469" w:rsidRDefault="008352F5" w:rsidP="008352F5">
            <w:pPr>
              <w:spacing w:after="0" w:line="240" w:lineRule="auto"/>
              <w:jc w:val="center"/>
              <w:rPr>
                <w:rFonts w:eastAsia="Times New Roman" w:cs="Times New Roman"/>
                <w:sz w:val="16"/>
                <w:szCs w:val="16"/>
                <w:lang w:eastAsia="en-ZA"/>
              </w:rPr>
            </w:pPr>
          </w:p>
        </w:tc>
        <w:tc>
          <w:tcPr>
            <w:tcW w:w="1843" w:type="dxa"/>
            <w:tcBorders>
              <w:top w:val="nil"/>
              <w:left w:val="nil"/>
              <w:bottom w:val="single" w:sz="8" w:space="0" w:color="auto"/>
              <w:right w:val="nil"/>
            </w:tcBorders>
            <w:shd w:val="clear" w:color="auto" w:fill="auto"/>
            <w:noWrap/>
            <w:vAlign w:val="center"/>
          </w:tcPr>
          <w:p w14:paraId="7831E2EA" w14:textId="2242132E" w:rsidR="008352F5" w:rsidRPr="00435469" w:rsidRDefault="008352F5" w:rsidP="008352F5">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4.27 (3.72 - 5.12)</w:t>
            </w:r>
          </w:p>
        </w:tc>
        <w:tc>
          <w:tcPr>
            <w:tcW w:w="2409" w:type="dxa"/>
            <w:tcBorders>
              <w:top w:val="nil"/>
              <w:left w:val="nil"/>
              <w:bottom w:val="single" w:sz="8" w:space="0" w:color="auto"/>
              <w:right w:val="nil"/>
            </w:tcBorders>
            <w:shd w:val="clear" w:color="auto" w:fill="auto"/>
            <w:noWrap/>
            <w:vAlign w:val="center"/>
          </w:tcPr>
          <w:p w14:paraId="2CDB2478" w14:textId="77777777" w:rsidR="008352F5" w:rsidRPr="00435469" w:rsidRDefault="008352F5" w:rsidP="008352F5">
            <w:pPr>
              <w:spacing w:after="0" w:line="240" w:lineRule="auto"/>
              <w:jc w:val="center"/>
              <w:rPr>
                <w:rFonts w:eastAsia="Times New Roman" w:cs="Times New Roman"/>
                <w:sz w:val="16"/>
                <w:szCs w:val="16"/>
                <w:lang w:eastAsia="en-ZA"/>
              </w:rPr>
            </w:pPr>
          </w:p>
        </w:tc>
      </w:tr>
      <w:tr w:rsidR="00C877FD" w:rsidRPr="00435469" w14:paraId="5A836481" w14:textId="77777777" w:rsidTr="00363677">
        <w:trPr>
          <w:trHeight w:val="269"/>
        </w:trPr>
        <w:tc>
          <w:tcPr>
            <w:tcW w:w="5245" w:type="dxa"/>
            <w:tcBorders>
              <w:top w:val="nil"/>
              <w:left w:val="nil"/>
              <w:bottom w:val="single" w:sz="8" w:space="0" w:color="auto"/>
              <w:right w:val="nil"/>
            </w:tcBorders>
            <w:shd w:val="clear" w:color="auto" w:fill="auto"/>
          </w:tcPr>
          <w:p w14:paraId="635BFDFB" w14:textId="04ADC51B" w:rsidR="00C877FD" w:rsidRPr="00435469" w:rsidRDefault="00C877FD" w:rsidP="00C877FD">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Relative rate of screening in TB patients seeking treatment for TB symptoms, compared to those seeking treatment for other conditions: initial</w:t>
            </w:r>
          </w:p>
        </w:tc>
        <w:tc>
          <w:tcPr>
            <w:tcW w:w="1836" w:type="dxa"/>
            <w:tcBorders>
              <w:top w:val="nil"/>
              <w:left w:val="nil"/>
              <w:bottom w:val="single" w:sz="8" w:space="0" w:color="auto"/>
              <w:right w:val="nil"/>
            </w:tcBorders>
            <w:shd w:val="clear" w:color="auto" w:fill="auto"/>
            <w:noWrap/>
            <w:vAlign w:val="center"/>
          </w:tcPr>
          <w:p w14:paraId="5B2B7B4C" w14:textId="77777777" w:rsidR="00C877FD" w:rsidRPr="00435469" w:rsidRDefault="00C877FD" w:rsidP="00C877FD">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8.71</w:t>
            </w:r>
          </w:p>
        </w:tc>
        <w:tc>
          <w:tcPr>
            <w:tcW w:w="857" w:type="dxa"/>
            <w:tcBorders>
              <w:top w:val="nil"/>
              <w:left w:val="nil"/>
              <w:bottom w:val="single" w:sz="8" w:space="0" w:color="auto"/>
              <w:right w:val="nil"/>
            </w:tcBorders>
            <w:shd w:val="clear" w:color="auto" w:fill="auto"/>
            <w:noWrap/>
            <w:vAlign w:val="center"/>
          </w:tcPr>
          <w:p w14:paraId="2E25E8C7" w14:textId="77777777" w:rsidR="00C877FD" w:rsidRPr="00435469" w:rsidRDefault="00C877FD" w:rsidP="00C877FD">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2.5</w:t>
            </w:r>
          </w:p>
        </w:tc>
        <w:tc>
          <w:tcPr>
            <w:tcW w:w="1985" w:type="dxa"/>
            <w:tcBorders>
              <w:top w:val="nil"/>
              <w:left w:val="nil"/>
              <w:bottom w:val="single" w:sz="8" w:space="0" w:color="auto"/>
              <w:right w:val="nil"/>
            </w:tcBorders>
            <w:shd w:val="clear" w:color="auto" w:fill="auto"/>
            <w:noWrap/>
            <w:vAlign w:val="center"/>
          </w:tcPr>
          <w:p w14:paraId="7F5FEFC8" w14:textId="77777777" w:rsidR="00C877FD" w:rsidRPr="00435469" w:rsidRDefault="00C877FD" w:rsidP="00C877FD">
            <w:pPr>
              <w:spacing w:after="0" w:line="240" w:lineRule="auto"/>
              <w:jc w:val="center"/>
              <w:rPr>
                <w:rFonts w:eastAsia="Times New Roman" w:cs="Times New Roman"/>
                <w:sz w:val="16"/>
                <w:szCs w:val="16"/>
                <w:lang w:eastAsia="en-ZA"/>
              </w:rPr>
            </w:pPr>
          </w:p>
        </w:tc>
        <w:tc>
          <w:tcPr>
            <w:tcW w:w="1843" w:type="dxa"/>
            <w:tcBorders>
              <w:top w:val="nil"/>
              <w:left w:val="nil"/>
              <w:bottom w:val="single" w:sz="8" w:space="0" w:color="auto"/>
              <w:right w:val="nil"/>
            </w:tcBorders>
            <w:shd w:val="clear" w:color="auto" w:fill="auto"/>
            <w:noWrap/>
            <w:vAlign w:val="center"/>
          </w:tcPr>
          <w:p w14:paraId="1E7ED587" w14:textId="506AE89A" w:rsidR="00C877FD" w:rsidRPr="00435469" w:rsidRDefault="00C877FD" w:rsidP="00C877FD">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11.10 (9.73 - 12.47)</w:t>
            </w:r>
          </w:p>
        </w:tc>
        <w:tc>
          <w:tcPr>
            <w:tcW w:w="2409" w:type="dxa"/>
            <w:tcBorders>
              <w:top w:val="nil"/>
              <w:left w:val="nil"/>
              <w:bottom w:val="single" w:sz="8" w:space="0" w:color="auto"/>
              <w:right w:val="nil"/>
            </w:tcBorders>
            <w:shd w:val="clear" w:color="auto" w:fill="auto"/>
            <w:noWrap/>
            <w:vAlign w:val="center"/>
          </w:tcPr>
          <w:p w14:paraId="02D257EA" w14:textId="77777777" w:rsidR="00C877FD" w:rsidRPr="00435469" w:rsidRDefault="00C877FD" w:rsidP="00C877FD">
            <w:pPr>
              <w:spacing w:after="0" w:line="240" w:lineRule="auto"/>
              <w:jc w:val="center"/>
              <w:rPr>
                <w:rFonts w:eastAsia="Times New Roman" w:cs="Times New Roman"/>
                <w:sz w:val="16"/>
                <w:szCs w:val="16"/>
                <w:lang w:eastAsia="en-ZA"/>
              </w:rPr>
            </w:pPr>
          </w:p>
        </w:tc>
      </w:tr>
      <w:tr w:rsidR="00C877FD" w:rsidRPr="00435469" w14:paraId="698B9C12" w14:textId="77777777" w:rsidTr="00363677">
        <w:trPr>
          <w:trHeight w:val="269"/>
        </w:trPr>
        <w:tc>
          <w:tcPr>
            <w:tcW w:w="5245" w:type="dxa"/>
            <w:tcBorders>
              <w:top w:val="nil"/>
              <w:left w:val="nil"/>
              <w:bottom w:val="single" w:sz="8" w:space="0" w:color="auto"/>
              <w:right w:val="nil"/>
            </w:tcBorders>
            <w:shd w:val="clear" w:color="auto" w:fill="auto"/>
          </w:tcPr>
          <w:p w14:paraId="7DB3810E" w14:textId="65531EF0" w:rsidR="00C877FD" w:rsidRPr="00435469" w:rsidRDefault="00C877FD" w:rsidP="00C877FD">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Relative rate of screening in TB patients seeking treatment for TB symptoms, compared to those seeking treatment for other conditions: ultimate</w:t>
            </w:r>
          </w:p>
        </w:tc>
        <w:tc>
          <w:tcPr>
            <w:tcW w:w="1836" w:type="dxa"/>
            <w:tcBorders>
              <w:top w:val="nil"/>
              <w:left w:val="nil"/>
              <w:bottom w:val="single" w:sz="8" w:space="0" w:color="auto"/>
              <w:right w:val="nil"/>
            </w:tcBorders>
            <w:shd w:val="clear" w:color="auto" w:fill="auto"/>
            <w:noWrap/>
            <w:vAlign w:val="center"/>
          </w:tcPr>
          <w:p w14:paraId="6A6ADEE9" w14:textId="77777777" w:rsidR="00C877FD" w:rsidRPr="00435469" w:rsidRDefault="00C877FD" w:rsidP="00C877FD">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4</w:t>
            </w:r>
          </w:p>
        </w:tc>
        <w:tc>
          <w:tcPr>
            <w:tcW w:w="857" w:type="dxa"/>
            <w:tcBorders>
              <w:top w:val="nil"/>
              <w:left w:val="nil"/>
              <w:bottom w:val="single" w:sz="8" w:space="0" w:color="auto"/>
              <w:right w:val="nil"/>
            </w:tcBorders>
            <w:shd w:val="clear" w:color="auto" w:fill="auto"/>
            <w:noWrap/>
            <w:vAlign w:val="center"/>
          </w:tcPr>
          <w:p w14:paraId="20F66EFB" w14:textId="77777777" w:rsidR="00C877FD" w:rsidRPr="00435469" w:rsidRDefault="00C877FD" w:rsidP="00C877FD">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1.2</w:t>
            </w:r>
          </w:p>
        </w:tc>
        <w:tc>
          <w:tcPr>
            <w:tcW w:w="1985" w:type="dxa"/>
            <w:tcBorders>
              <w:top w:val="nil"/>
              <w:left w:val="nil"/>
              <w:bottom w:val="single" w:sz="8" w:space="0" w:color="auto"/>
              <w:right w:val="nil"/>
            </w:tcBorders>
            <w:shd w:val="clear" w:color="auto" w:fill="auto"/>
            <w:noWrap/>
            <w:vAlign w:val="center"/>
          </w:tcPr>
          <w:p w14:paraId="290C60F6" w14:textId="77777777" w:rsidR="00C877FD" w:rsidRPr="00435469" w:rsidRDefault="00C877FD" w:rsidP="00C877FD">
            <w:pPr>
              <w:spacing w:after="0" w:line="240" w:lineRule="auto"/>
              <w:jc w:val="center"/>
              <w:rPr>
                <w:rFonts w:eastAsia="Times New Roman" w:cs="Times New Roman"/>
                <w:sz w:val="16"/>
                <w:szCs w:val="16"/>
                <w:lang w:eastAsia="en-ZA"/>
              </w:rPr>
            </w:pPr>
          </w:p>
        </w:tc>
        <w:tc>
          <w:tcPr>
            <w:tcW w:w="1843" w:type="dxa"/>
            <w:tcBorders>
              <w:top w:val="nil"/>
              <w:left w:val="nil"/>
              <w:bottom w:val="single" w:sz="8" w:space="0" w:color="auto"/>
              <w:right w:val="nil"/>
            </w:tcBorders>
            <w:shd w:val="clear" w:color="auto" w:fill="auto"/>
            <w:noWrap/>
            <w:vAlign w:val="center"/>
          </w:tcPr>
          <w:p w14:paraId="5AF085AC" w14:textId="74FD38EE" w:rsidR="00C877FD" w:rsidRPr="00435469" w:rsidRDefault="00C877FD" w:rsidP="00C877FD">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3.84 (3.27 - 4.52)</w:t>
            </w:r>
          </w:p>
        </w:tc>
        <w:tc>
          <w:tcPr>
            <w:tcW w:w="2409" w:type="dxa"/>
            <w:tcBorders>
              <w:top w:val="nil"/>
              <w:left w:val="nil"/>
              <w:bottom w:val="single" w:sz="8" w:space="0" w:color="auto"/>
              <w:right w:val="nil"/>
            </w:tcBorders>
            <w:shd w:val="clear" w:color="auto" w:fill="auto"/>
            <w:noWrap/>
            <w:vAlign w:val="center"/>
          </w:tcPr>
          <w:p w14:paraId="5844FC30" w14:textId="77777777" w:rsidR="00C877FD" w:rsidRPr="00435469" w:rsidRDefault="00C877FD" w:rsidP="00C877FD">
            <w:pPr>
              <w:spacing w:after="0" w:line="240" w:lineRule="auto"/>
              <w:jc w:val="center"/>
              <w:rPr>
                <w:rFonts w:eastAsia="Times New Roman" w:cs="Times New Roman"/>
                <w:sz w:val="16"/>
                <w:szCs w:val="16"/>
                <w:lang w:eastAsia="en-ZA"/>
              </w:rPr>
            </w:pPr>
          </w:p>
        </w:tc>
      </w:tr>
      <w:tr w:rsidR="0061685C" w:rsidRPr="00435469" w14:paraId="5C7DBA4F" w14:textId="77777777" w:rsidTr="00363677">
        <w:trPr>
          <w:trHeight w:val="269"/>
        </w:trPr>
        <w:tc>
          <w:tcPr>
            <w:tcW w:w="5245" w:type="dxa"/>
            <w:tcBorders>
              <w:top w:val="nil"/>
              <w:left w:val="nil"/>
              <w:bottom w:val="single" w:sz="8" w:space="0" w:color="auto"/>
              <w:right w:val="nil"/>
            </w:tcBorders>
            <w:shd w:val="clear" w:color="auto" w:fill="auto"/>
          </w:tcPr>
          <w:p w14:paraId="2BEF4831" w14:textId="77777777" w:rsidR="00B26BA1" w:rsidRPr="00435469" w:rsidRDefault="00B26BA1" w:rsidP="003440F2">
            <w:pPr>
              <w:spacing w:after="0" w:line="240" w:lineRule="auto"/>
              <w:rPr>
                <w:rFonts w:eastAsia="Times New Roman" w:cs="Times New Roman"/>
                <w:sz w:val="16"/>
                <w:szCs w:val="16"/>
                <w:lang w:eastAsia="en-ZA"/>
              </w:rPr>
            </w:pPr>
            <w:r w:rsidRPr="00435469">
              <w:rPr>
                <w:rFonts w:eastAsia="Times New Roman" w:cs="Times New Roman"/>
                <w:sz w:val="16"/>
                <w:szCs w:val="16"/>
                <w:lang w:eastAsia="en-ZA"/>
              </w:rPr>
              <w:t>Increase in TB mortality rate per 10-year increase in age</w:t>
            </w:r>
          </w:p>
        </w:tc>
        <w:tc>
          <w:tcPr>
            <w:tcW w:w="1836" w:type="dxa"/>
            <w:tcBorders>
              <w:top w:val="nil"/>
              <w:left w:val="nil"/>
              <w:bottom w:val="single" w:sz="8" w:space="0" w:color="auto"/>
              <w:right w:val="nil"/>
            </w:tcBorders>
            <w:shd w:val="clear" w:color="auto" w:fill="auto"/>
            <w:noWrap/>
            <w:vAlign w:val="center"/>
          </w:tcPr>
          <w:p w14:paraId="15B137A0" w14:textId="77777777" w:rsidR="00B26BA1" w:rsidRPr="00435469" w:rsidRDefault="00B26BA1" w:rsidP="003440F2">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1.4</w:t>
            </w:r>
          </w:p>
        </w:tc>
        <w:tc>
          <w:tcPr>
            <w:tcW w:w="857" w:type="dxa"/>
            <w:tcBorders>
              <w:top w:val="nil"/>
              <w:left w:val="nil"/>
              <w:bottom w:val="single" w:sz="8" w:space="0" w:color="auto"/>
              <w:right w:val="nil"/>
            </w:tcBorders>
            <w:shd w:val="clear" w:color="auto" w:fill="auto"/>
            <w:noWrap/>
            <w:vAlign w:val="center"/>
          </w:tcPr>
          <w:p w14:paraId="4AAFB4F7" w14:textId="77777777" w:rsidR="00B26BA1" w:rsidRPr="00435469" w:rsidRDefault="00B26BA1" w:rsidP="003440F2">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t>0.1</w:t>
            </w:r>
          </w:p>
        </w:tc>
        <w:tc>
          <w:tcPr>
            <w:tcW w:w="1985" w:type="dxa"/>
            <w:tcBorders>
              <w:top w:val="nil"/>
              <w:left w:val="nil"/>
              <w:bottom w:val="single" w:sz="8" w:space="0" w:color="auto"/>
              <w:right w:val="nil"/>
            </w:tcBorders>
            <w:shd w:val="clear" w:color="auto" w:fill="auto"/>
            <w:noWrap/>
            <w:vAlign w:val="center"/>
          </w:tcPr>
          <w:p w14:paraId="51BE3847" w14:textId="77777777" w:rsidR="00B26BA1" w:rsidRPr="00435469" w:rsidRDefault="00B26BA1" w:rsidP="003440F2">
            <w:pPr>
              <w:spacing w:after="0" w:line="240" w:lineRule="auto"/>
              <w:jc w:val="center"/>
              <w:rPr>
                <w:rFonts w:eastAsia="Times New Roman" w:cs="Times New Roman"/>
                <w:sz w:val="16"/>
                <w:szCs w:val="16"/>
                <w:lang w:eastAsia="en-ZA"/>
              </w:rPr>
            </w:pPr>
          </w:p>
        </w:tc>
        <w:tc>
          <w:tcPr>
            <w:tcW w:w="1843" w:type="dxa"/>
            <w:tcBorders>
              <w:top w:val="nil"/>
              <w:left w:val="nil"/>
              <w:bottom w:val="single" w:sz="8" w:space="0" w:color="auto"/>
              <w:right w:val="nil"/>
            </w:tcBorders>
            <w:shd w:val="clear" w:color="auto" w:fill="auto"/>
            <w:noWrap/>
            <w:vAlign w:val="center"/>
          </w:tcPr>
          <w:p w14:paraId="0981DFC0" w14:textId="77777777" w:rsidR="00B26BA1" w:rsidRPr="00435469" w:rsidRDefault="00B26BA1" w:rsidP="003440F2">
            <w:pPr>
              <w:spacing w:after="0" w:line="240" w:lineRule="auto"/>
              <w:jc w:val="center"/>
              <w:rPr>
                <w:rFonts w:eastAsia="Times New Roman" w:cs="Times New Roman"/>
                <w:sz w:val="16"/>
                <w:szCs w:val="16"/>
                <w:lang w:eastAsia="en-ZA"/>
              </w:rPr>
            </w:pPr>
          </w:p>
        </w:tc>
        <w:tc>
          <w:tcPr>
            <w:tcW w:w="2409" w:type="dxa"/>
            <w:tcBorders>
              <w:top w:val="nil"/>
              <w:left w:val="nil"/>
              <w:bottom w:val="single" w:sz="8" w:space="0" w:color="auto"/>
              <w:right w:val="nil"/>
            </w:tcBorders>
            <w:shd w:val="clear" w:color="auto" w:fill="auto"/>
            <w:noWrap/>
            <w:vAlign w:val="center"/>
          </w:tcPr>
          <w:p w14:paraId="56718810" w14:textId="77777777" w:rsidR="00B26BA1" w:rsidRPr="00435469" w:rsidRDefault="00B26BA1" w:rsidP="003440F2">
            <w:pPr>
              <w:spacing w:after="0" w:line="240" w:lineRule="auto"/>
              <w:jc w:val="center"/>
              <w:rPr>
                <w:rFonts w:eastAsia="Times New Roman" w:cs="Times New Roman"/>
                <w:sz w:val="16"/>
                <w:szCs w:val="16"/>
                <w:lang w:eastAsia="en-ZA"/>
              </w:rPr>
            </w:pPr>
            <w:r w:rsidRPr="00435469">
              <w:rPr>
                <w:rFonts w:eastAsia="Times New Roman" w:cs="Times New Roman"/>
                <w:sz w:val="16"/>
                <w:szCs w:val="16"/>
                <w:lang w:eastAsia="en-ZA"/>
              </w:rPr>
              <w:sym w:font="Wingdings" w:char="F0FC"/>
            </w:r>
          </w:p>
        </w:tc>
      </w:tr>
      <w:tr w:rsidR="0061685C" w:rsidRPr="00435469" w14:paraId="15BFE0C8" w14:textId="77777777" w:rsidTr="00363677">
        <w:trPr>
          <w:trHeight w:val="269"/>
        </w:trPr>
        <w:tc>
          <w:tcPr>
            <w:tcW w:w="5245" w:type="dxa"/>
            <w:tcBorders>
              <w:top w:val="nil"/>
              <w:left w:val="nil"/>
              <w:bottom w:val="single" w:sz="8" w:space="0" w:color="auto"/>
              <w:right w:val="nil"/>
            </w:tcBorders>
            <w:shd w:val="clear" w:color="auto" w:fill="auto"/>
            <w:hideMark/>
          </w:tcPr>
          <w:p w14:paraId="690C7346" w14:textId="77777777" w:rsidR="00B26BA1" w:rsidRPr="00435469" w:rsidRDefault="00B26BA1" w:rsidP="003440F2">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Increase in TB incidence due to alcohol misuse</w:t>
            </w:r>
          </w:p>
        </w:tc>
        <w:tc>
          <w:tcPr>
            <w:tcW w:w="1836" w:type="dxa"/>
            <w:tcBorders>
              <w:top w:val="nil"/>
              <w:left w:val="nil"/>
              <w:bottom w:val="single" w:sz="8" w:space="0" w:color="auto"/>
              <w:right w:val="nil"/>
            </w:tcBorders>
            <w:shd w:val="clear" w:color="auto" w:fill="auto"/>
            <w:noWrap/>
            <w:vAlign w:val="center"/>
            <w:hideMark/>
          </w:tcPr>
          <w:p w14:paraId="1DAF265D"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1.94</w:t>
            </w:r>
          </w:p>
        </w:tc>
        <w:tc>
          <w:tcPr>
            <w:tcW w:w="857" w:type="dxa"/>
            <w:tcBorders>
              <w:top w:val="nil"/>
              <w:left w:val="nil"/>
              <w:bottom w:val="single" w:sz="8" w:space="0" w:color="auto"/>
              <w:right w:val="nil"/>
            </w:tcBorders>
            <w:shd w:val="clear" w:color="auto" w:fill="auto"/>
            <w:noWrap/>
            <w:vAlign w:val="center"/>
            <w:hideMark/>
          </w:tcPr>
          <w:p w14:paraId="635F80C5"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0.65</w:t>
            </w:r>
          </w:p>
        </w:tc>
        <w:tc>
          <w:tcPr>
            <w:tcW w:w="1985" w:type="dxa"/>
            <w:tcBorders>
              <w:top w:val="nil"/>
              <w:left w:val="nil"/>
              <w:bottom w:val="single" w:sz="8" w:space="0" w:color="auto"/>
              <w:right w:val="nil"/>
            </w:tcBorders>
            <w:shd w:val="clear" w:color="auto" w:fill="auto"/>
            <w:noWrap/>
            <w:vAlign w:val="center"/>
            <w:hideMark/>
          </w:tcPr>
          <w:p w14:paraId="61DBEE3D" w14:textId="77777777" w:rsidR="00B26BA1" w:rsidRPr="00435469" w:rsidRDefault="00B26BA1" w:rsidP="003440F2">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vAlign w:val="center"/>
            <w:hideMark/>
          </w:tcPr>
          <w:p w14:paraId="4D4F90D9" w14:textId="77777777" w:rsidR="00B26BA1" w:rsidRPr="00435469" w:rsidRDefault="00B26BA1" w:rsidP="003440F2">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0074A3E3"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sym w:font="Wingdings" w:char="F0FC"/>
            </w:r>
          </w:p>
        </w:tc>
      </w:tr>
      <w:tr w:rsidR="0061685C" w:rsidRPr="00435469" w14:paraId="70FA0588" w14:textId="77777777" w:rsidTr="00363677">
        <w:trPr>
          <w:trHeight w:val="269"/>
        </w:trPr>
        <w:tc>
          <w:tcPr>
            <w:tcW w:w="5245" w:type="dxa"/>
            <w:tcBorders>
              <w:top w:val="nil"/>
              <w:left w:val="nil"/>
              <w:bottom w:val="single" w:sz="8" w:space="0" w:color="auto"/>
              <w:right w:val="nil"/>
            </w:tcBorders>
            <w:shd w:val="clear" w:color="auto" w:fill="auto"/>
            <w:hideMark/>
          </w:tcPr>
          <w:p w14:paraId="7D1F1DAA" w14:textId="77777777" w:rsidR="00B26BA1" w:rsidRPr="00435469" w:rsidRDefault="00B26BA1" w:rsidP="003440F2">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Increase in TB incidence due to diabetes (HbA1c &gt; 6.5%)</w:t>
            </w:r>
          </w:p>
        </w:tc>
        <w:tc>
          <w:tcPr>
            <w:tcW w:w="1836" w:type="dxa"/>
            <w:tcBorders>
              <w:top w:val="nil"/>
              <w:left w:val="nil"/>
              <w:bottom w:val="single" w:sz="8" w:space="0" w:color="auto"/>
              <w:right w:val="nil"/>
            </w:tcBorders>
            <w:shd w:val="clear" w:color="auto" w:fill="auto"/>
            <w:noWrap/>
            <w:vAlign w:val="center"/>
            <w:hideMark/>
          </w:tcPr>
          <w:p w14:paraId="2DC1F344"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2.59</w:t>
            </w:r>
          </w:p>
        </w:tc>
        <w:tc>
          <w:tcPr>
            <w:tcW w:w="857" w:type="dxa"/>
            <w:tcBorders>
              <w:top w:val="nil"/>
              <w:left w:val="nil"/>
              <w:bottom w:val="single" w:sz="8" w:space="0" w:color="auto"/>
              <w:right w:val="nil"/>
            </w:tcBorders>
            <w:shd w:val="clear" w:color="auto" w:fill="auto"/>
            <w:noWrap/>
            <w:vAlign w:val="center"/>
            <w:hideMark/>
          </w:tcPr>
          <w:p w14:paraId="049E342D"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0.83</w:t>
            </w:r>
          </w:p>
        </w:tc>
        <w:tc>
          <w:tcPr>
            <w:tcW w:w="1985" w:type="dxa"/>
            <w:tcBorders>
              <w:top w:val="nil"/>
              <w:left w:val="nil"/>
              <w:bottom w:val="single" w:sz="8" w:space="0" w:color="auto"/>
              <w:right w:val="nil"/>
            </w:tcBorders>
            <w:shd w:val="clear" w:color="auto" w:fill="auto"/>
            <w:noWrap/>
            <w:vAlign w:val="center"/>
            <w:hideMark/>
          </w:tcPr>
          <w:p w14:paraId="444445DD" w14:textId="77777777" w:rsidR="00B26BA1" w:rsidRPr="00435469" w:rsidRDefault="00B26BA1" w:rsidP="003440F2">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vAlign w:val="center"/>
            <w:hideMark/>
          </w:tcPr>
          <w:p w14:paraId="0A390CE0" w14:textId="77777777" w:rsidR="00B26BA1" w:rsidRPr="00435469" w:rsidRDefault="00B26BA1" w:rsidP="003440F2">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49AF9BD5"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sym w:font="Wingdings" w:char="F0FC"/>
            </w:r>
          </w:p>
        </w:tc>
      </w:tr>
      <w:tr w:rsidR="0061685C" w:rsidRPr="00435469" w14:paraId="7E15DF49" w14:textId="77777777" w:rsidTr="00363677">
        <w:trPr>
          <w:trHeight w:val="269"/>
        </w:trPr>
        <w:tc>
          <w:tcPr>
            <w:tcW w:w="5245" w:type="dxa"/>
            <w:tcBorders>
              <w:top w:val="nil"/>
              <w:left w:val="nil"/>
              <w:bottom w:val="single" w:sz="8" w:space="0" w:color="auto"/>
              <w:right w:val="nil"/>
            </w:tcBorders>
            <w:shd w:val="clear" w:color="auto" w:fill="auto"/>
            <w:hideMark/>
          </w:tcPr>
          <w:p w14:paraId="42B3135D" w14:textId="77777777" w:rsidR="00B26BA1" w:rsidRPr="00435469" w:rsidRDefault="00B26BA1" w:rsidP="003440F2">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Increase in TB risk if currently smoking</w:t>
            </w:r>
          </w:p>
        </w:tc>
        <w:tc>
          <w:tcPr>
            <w:tcW w:w="1836" w:type="dxa"/>
            <w:tcBorders>
              <w:top w:val="nil"/>
              <w:left w:val="nil"/>
              <w:bottom w:val="single" w:sz="8" w:space="0" w:color="auto"/>
              <w:right w:val="nil"/>
            </w:tcBorders>
            <w:shd w:val="clear" w:color="auto" w:fill="auto"/>
            <w:noWrap/>
            <w:vAlign w:val="center"/>
            <w:hideMark/>
          </w:tcPr>
          <w:p w14:paraId="6AFAB26C"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0.47</w:t>
            </w:r>
          </w:p>
        </w:tc>
        <w:tc>
          <w:tcPr>
            <w:tcW w:w="857" w:type="dxa"/>
            <w:tcBorders>
              <w:top w:val="nil"/>
              <w:left w:val="nil"/>
              <w:bottom w:val="single" w:sz="8" w:space="0" w:color="auto"/>
              <w:right w:val="nil"/>
            </w:tcBorders>
            <w:shd w:val="clear" w:color="auto" w:fill="auto"/>
            <w:noWrap/>
            <w:vAlign w:val="center"/>
            <w:hideMark/>
          </w:tcPr>
          <w:p w14:paraId="2E9BB8B2"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0.39</w:t>
            </w:r>
          </w:p>
        </w:tc>
        <w:tc>
          <w:tcPr>
            <w:tcW w:w="1985" w:type="dxa"/>
            <w:tcBorders>
              <w:top w:val="nil"/>
              <w:left w:val="nil"/>
              <w:bottom w:val="single" w:sz="8" w:space="0" w:color="auto"/>
              <w:right w:val="nil"/>
            </w:tcBorders>
            <w:shd w:val="clear" w:color="auto" w:fill="auto"/>
            <w:noWrap/>
            <w:vAlign w:val="center"/>
            <w:hideMark/>
          </w:tcPr>
          <w:p w14:paraId="27094807" w14:textId="77777777" w:rsidR="00B26BA1" w:rsidRPr="00435469" w:rsidRDefault="00B26BA1" w:rsidP="003440F2">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vAlign w:val="center"/>
            <w:hideMark/>
          </w:tcPr>
          <w:p w14:paraId="2A1CF356" w14:textId="77777777" w:rsidR="00B26BA1" w:rsidRPr="00435469" w:rsidRDefault="00B26BA1" w:rsidP="003440F2">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33AFE5F6"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sym w:font="Wingdings" w:char="F0FC"/>
            </w:r>
          </w:p>
        </w:tc>
      </w:tr>
      <w:tr w:rsidR="0061685C" w:rsidRPr="00435469" w14:paraId="700175CF" w14:textId="77777777" w:rsidTr="00363677">
        <w:trPr>
          <w:trHeight w:val="269"/>
        </w:trPr>
        <w:tc>
          <w:tcPr>
            <w:tcW w:w="5245" w:type="dxa"/>
            <w:tcBorders>
              <w:top w:val="nil"/>
              <w:left w:val="nil"/>
              <w:bottom w:val="single" w:sz="8" w:space="0" w:color="auto"/>
              <w:right w:val="nil"/>
            </w:tcBorders>
            <w:shd w:val="clear" w:color="auto" w:fill="auto"/>
            <w:hideMark/>
          </w:tcPr>
          <w:p w14:paraId="2823FA51" w14:textId="77777777" w:rsidR="00B26BA1" w:rsidRPr="00435469" w:rsidRDefault="00B26BA1" w:rsidP="003440F2">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Increase in TB risk per 10-year increase in duration of smoking</w:t>
            </w:r>
          </w:p>
        </w:tc>
        <w:tc>
          <w:tcPr>
            <w:tcW w:w="1836" w:type="dxa"/>
            <w:tcBorders>
              <w:top w:val="nil"/>
              <w:left w:val="nil"/>
              <w:bottom w:val="single" w:sz="8" w:space="0" w:color="auto"/>
              <w:right w:val="nil"/>
            </w:tcBorders>
            <w:shd w:val="clear" w:color="auto" w:fill="auto"/>
            <w:noWrap/>
            <w:vAlign w:val="center"/>
            <w:hideMark/>
          </w:tcPr>
          <w:p w14:paraId="0746C694"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0.38</w:t>
            </w:r>
          </w:p>
        </w:tc>
        <w:tc>
          <w:tcPr>
            <w:tcW w:w="857" w:type="dxa"/>
            <w:tcBorders>
              <w:top w:val="nil"/>
              <w:left w:val="nil"/>
              <w:bottom w:val="single" w:sz="8" w:space="0" w:color="auto"/>
              <w:right w:val="nil"/>
            </w:tcBorders>
            <w:shd w:val="clear" w:color="auto" w:fill="auto"/>
            <w:noWrap/>
            <w:vAlign w:val="center"/>
            <w:hideMark/>
          </w:tcPr>
          <w:p w14:paraId="413CC461"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0.12</w:t>
            </w:r>
          </w:p>
        </w:tc>
        <w:tc>
          <w:tcPr>
            <w:tcW w:w="1985" w:type="dxa"/>
            <w:tcBorders>
              <w:top w:val="nil"/>
              <w:left w:val="nil"/>
              <w:bottom w:val="single" w:sz="8" w:space="0" w:color="auto"/>
              <w:right w:val="nil"/>
            </w:tcBorders>
            <w:shd w:val="clear" w:color="auto" w:fill="auto"/>
            <w:noWrap/>
            <w:vAlign w:val="center"/>
            <w:hideMark/>
          </w:tcPr>
          <w:p w14:paraId="534681F2" w14:textId="77777777" w:rsidR="00B26BA1" w:rsidRPr="00435469" w:rsidRDefault="00B26BA1" w:rsidP="003440F2">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vAlign w:val="center"/>
            <w:hideMark/>
          </w:tcPr>
          <w:p w14:paraId="52F41068" w14:textId="77777777" w:rsidR="00B26BA1" w:rsidRPr="00435469" w:rsidRDefault="00B26BA1" w:rsidP="003440F2">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78264A68"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sym w:font="Wingdings" w:char="F0FC"/>
            </w:r>
          </w:p>
        </w:tc>
      </w:tr>
      <w:tr w:rsidR="0061685C" w:rsidRPr="00435469" w14:paraId="0A6603A6" w14:textId="77777777" w:rsidTr="00363677">
        <w:trPr>
          <w:trHeight w:val="269"/>
        </w:trPr>
        <w:tc>
          <w:tcPr>
            <w:tcW w:w="5245" w:type="dxa"/>
            <w:tcBorders>
              <w:top w:val="nil"/>
              <w:left w:val="nil"/>
              <w:bottom w:val="single" w:sz="8" w:space="0" w:color="auto"/>
              <w:right w:val="nil"/>
            </w:tcBorders>
            <w:shd w:val="clear" w:color="auto" w:fill="auto"/>
            <w:hideMark/>
          </w:tcPr>
          <w:p w14:paraId="03117420" w14:textId="77777777" w:rsidR="00B26BA1" w:rsidRPr="00435469" w:rsidRDefault="00B26BA1" w:rsidP="003440F2">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Increase in TB risk due to low BMI</w:t>
            </w:r>
          </w:p>
        </w:tc>
        <w:tc>
          <w:tcPr>
            <w:tcW w:w="1836" w:type="dxa"/>
            <w:tcBorders>
              <w:top w:val="nil"/>
              <w:left w:val="nil"/>
              <w:bottom w:val="single" w:sz="8" w:space="0" w:color="auto"/>
              <w:right w:val="nil"/>
            </w:tcBorders>
            <w:shd w:val="clear" w:color="auto" w:fill="auto"/>
            <w:noWrap/>
            <w:vAlign w:val="center"/>
            <w:hideMark/>
          </w:tcPr>
          <w:p w14:paraId="4FA08EB8"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0.8</w:t>
            </w:r>
          </w:p>
        </w:tc>
        <w:tc>
          <w:tcPr>
            <w:tcW w:w="857" w:type="dxa"/>
            <w:tcBorders>
              <w:top w:val="nil"/>
              <w:left w:val="nil"/>
              <w:bottom w:val="single" w:sz="8" w:space="0" w:color="auto"/>
              <w:right w:val="nil"/>
            </w:tcBorders>
            <w:shd w:val="clear" w:color="auto" w:fill="auto"/>
            <w:noWrap/>
            <w:vAlign w:val="center"/>
            <w:hideMark/>
          </w:tcPr>
          <w:p w14:paraId="5D90114B"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0.25</w:t>
            </w:r>
          </w:p>
        </w:tc>
        <w:tc>
          <w:tcPr>
            <w:tcW w:w="1985" w:type="dxa"/>
            <w:tcBorders>
              <w:top w:val="nil"/>
              <w:left w:val="nil"/>
              <w:bottom w:val="single" w:sz="8" w:space="0" w:color="auto"/>
              <w:right w:val="nil"/>
            </w:tcBorders>
            <w:shd w:val="clear" w:color="auto" w:fill="auto"/>
            <w:noWrap/>
            <w:vAlign w:val="center"/>
            <w:hideMark/>
          </w:tcPr>
          <w:p w14:paraId="7AF46307" w14:textId="77777777" w:rsidR="00B26BA1" w:rsidRPr="00435469" w:rsidRDefault="00B26BA1" w:rsidP="003440F2">
            <w:pPr>
              <w:spacing w:after="0" w:line="240" w:lineRule="auto"/>
              <w:jc w:val="center"/>
              <w:rPr>
                <w:rFonts w:eastAsia="Times New Roman" w:cs="Times New Roman"/>
                <w:sz w:val="16"/>
                <w:szCs w:val="16"/>
                <w:lang w:val="en-ZA" w:eastAsia="en-ZA"/>
              </w:rPr>
            </w:pPr>
          </w:p>
        </w:tc>
        <w:tc>
          <w:tcPr>
            <w:tcW w:w="1843" w:type="dxa"/>
            <w:tcBorders>
              <w:top w:val="nil"/>
              <w:left w:val="nil"/>
              <w:bottom w:val="single" w:sz="8" w:space="0" w:color="auto"/>
              <w:right w:val="nil"/>
            </w:tcBorders>
            <w:shd w:val="clear" w:color="auto" w:fill="auto"/>
            <w:noWrap/>
            <w:vAlign w:val="center"/>
            <w:hideMark/>
          </w:tcPr>
          <w:p w14:paraId="0C87FC42" w14:textId="77777777" w:rsidR="00B26BA1" w:rsidRPr="00435469" w:rsidRDefault="00B26BA1" w:rsidP="003440F2">
            <w:pPr>
              <w:spacing w:after="0" w:line="240" w:lineRule="auto"/>
              <w:jc w:val="center"/>
              <w:rPr>
                <w:rFonts w:eastAsia="Times New Roman" w:cs="Times New Roman"/>
                <w:sz w:val="16"/>
                <w:szCs w:val="16"/>
                <w:lang w:val="en-ZA" w:eastAsia="en-ZA"/>
              </w:rPr>
            </w:pPr>
          </w:p>
        </w:tc>
        <w:tc>
          <w:tcPr>
            <w:tcW w:w="2409" w:type="dxa"/>
            <w:tcBorders>
              <w:top w:val="nil"/>
              <w:left w:val="nil"/>
              <w:bottom w:val="single" w:sz="8" w:space="0" w:color="auto"/>
              <w:right w:val="nil"/>
            </w:tcBorders>
            <w:shd w:val="clear" w:color="auto" w:fill="auto"/>
            <w:noWrap/>
            <w:vAlign w:val="center"/>
          </w:tcPr>
          <w:p w14:paraId="57E51511" w14:textId="77777777" w:rsidR="00B26BA1" w:rsidRPr="00435469" w:rsidRDefault="00B26BA1" w:rsidP="003440F2">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eastAsia="en-ZA"/>
              </w:rPr>
              <w:sym w:font="Wingdings" w:char="F0FC"/>
            </w:r>
          </w:p>
        </w:tc>
      </w:tr>
    </w:tbl>
    <w:bookmarkEnd w:id="315"/>
    <w:p w14:paraId="6E1C3DC7" w14:textId="18A697C7" w:rsidR="00D62C44" w:rsidRPr="00435469" w:rsidRDefault="00727C17" w:rsidP="00955FFB">
      <w:pPr>
        <w:spacing w:line="240" w:lineRule="auto"/>
        <w:rPr>
          <w:sz w:val="20"/>
          <w:szCs w:val="20"/>
        </w:rPr>
      </w:pPr>
      <w:r w:rsidRPr="00435469">
        <w:rPr>
          <w:rFonts w:eastAsia="Times New Roman" w:cs="Times New Roman"/>
          <w:sz w:val="20"/>
          <w:szCs w:val="20"/>
          <w:lang w:val="en-ZA" w:eastAsia="en-ZA"/>
        </w:rPr>
        <w:t xml:space="preserve">ART=antiretroviral therapy; BMI=body mass index. TB=tuberculosis. </w:t>
      </w:r>
      <w:r w:rsidRPr="00435469">
        <w:rPr>
          <w:sz w:val="20"/>
          <w:szCs w:val="20"/>
        </w:rPr>
        <w:t xml:space="preserve">Ticks indicate the parameters which were varied in the respective steps. </w:t>
      </w:r>
    </w:p>
    <w:p w14:paraId="3FFE38EE" w14:textId="77777777" w:rsidR="00B14AD6" w:rsidRPr="00435469" w:rsidRDefault="00B14AD6" w:rsidP="00955FFB">
      <w:pPr>
        <w:spacing w:line="240" w:lineRule="auto"/>
        <w:rPr>
          <w:sz w:val="20"/>
          <w:szCs w:val="20"/>
        </w:rPr>
      </w:pPr>
    </w:p>
    <w:p w14:paraId="62D77615" w14:textId="77777777" w:rsidR="00706B3B" w:rsidRPr="00435469" w:rsidRDefault="00706B3B">
      <w:pPr>
        <w:spacing w:after="160" w:line="259" w:lineRule="auto"/>
        <w:rPr>
          <w:sz w:val="20"/>
          <w:szCs w:val="20"/>
        </w:rPr>
      </w:pPr>
    </w:p>
    <w:p w14:paraId="59F3E868" w14:textId="28A5270A" w:rsidR="009E59FA" w:rsidRPr="00435469" w:rsidRDefault="009E59FA">
      <w:pPr>
        <w:spacing w:after="160" w:line="259" w:lineRule="auto"/>
        <w:rPr>
          <w:sz w:val="20"/>
          <w:szCs w:val="20"/>
        </w:rPr>
        <w:sectPr w:rsidR="009E59FA" w:rsidRPr="00435469" w:rsidSect="00706B3B">
          <w:pgSz w:w="15840" w:h="12240" w:orient="landscape"/>
          <w:pgMar w:top="1797" w:right="1440" w:bottom="1797" w:left="1440" w:header="720" w:footer="720" w:gutter="0"/>
          <w:cols w:space="720"/>
          <w:docGrid w:linePitch="360"/>
        </w:sectPr>
      </w:pPr>
    </w:p>
    <w:p w14:paraId="5D54866A" w14:textId="6EF1FD50" w:rsidR="00112D80" w:rsidRPr="00435469" w:rsidRDefault="00112D80" w:rsidP="00776102">
      <w:pPr>
        <w:tabs>
          <w:tab w:val="left" w:pos="1440"/>
        </w:tabs>
        <w:spacing w:after="160" w:line="259" w:lineRule="auto"/>
        <w:rPr>
          <w:sz w:val="20"/>
          <w:szCs w:val="20"/>
        </w:rPr>
      </w:pPr>
      <w:r w:rsidRPr="00435469">
        <w:rPr>
          <w:rFonts w:cs="Times New Roman"/>
          <w:sz w:val="20"/>
          <w:szCs w:val="20"/>
        </w:rPr>
        <w:lastRenderedPageBreak/>
        <w:t>In</w:t>
      </w:r>
      <w:r w:rsidR="00C232C0" w:rsidRPr="00435469">
        <w:rPr>
          <w:rFonts w:cs="Times New Roman"/>
          <w:sz w:val="20"/>
          <w:szCs w:val="20"/>
        </w:rPr>
        <w:t xml:space="preserve"> this</w:t>
      </w:r>
      <w:r w:rsidRPr="00435469">
        <w:rPr>
          <w:rFonts w:cs="Times New Roman"/>
          <w:sz w:val="20"/>
          <w:szCs w:val="20"/>
        </w:rPr>
        <w:t xml:space="preserve"> </w:t>
      </w:r>
      <w:r w:rsidR="00F71D1A" w:rsidRPr="00435469">
        <w:rPr>
          <w:rFonts w:cs="Times New Roman"/>
          <w:sz w:val="20"/>
          <w:szCs w:val="20"/>
        </w:rPr>
        <w:t>section</w:t>
      </w:r>
      <w:r w:rsidRPr="00435469">
        <w:rPr>
          <w:rFonts w:cs="Times New Roman"/>
          <w:sz w:val="20"/>
          <w:szCs w:val="20"/>
        </w:rPr>
        <w:t xml:space="preserve"> we describe the likelihood functions to represent the goodness of fit to the calibration targets. The model calibration targets included the n</w:t>
      </w:r>
      <w:r w:rsidRPr="00435469">
        <w:rPr>
          <w:sz w:val="20"/>
          <w:szCs w:val="20"/>
        </w:rPr>
        <w:t>umbers of recorded TB deaths; numbers of TB cases initiated on TB treatment; the proportion of cases in the electronic TB register that are HIV-positive</w:t>
      </w:r>
      <w:r w:rsidRPr="00435469">
        <w:rPr>
          <w:rFonts w:cs="Times New Roman"/>
          <w:sz w:val="20"/>
          <w:szCs w:val="20"/>
        </w:rPr>
        <w:t xml:space="preserve">; </w:t>
      </w:r>
      <w:r w:rsidR="001F4A3A" w:rsidRPr="00435469">
        <w:rPr>
          <w:rFonts w:cs="Times New Roman"/>
          <w:sz w:val="20"/>
          <w:szCs w:val="20"/>
        </w:rPr>
        <w:t xml:space="preserve">the </w:t>
      </w:r>
      <w:r w:rsidRPr="00435469">
        <w:rPr>
          <w:sz w:val="20"/>
          <w:szCs w:val="20"/>
        </w:rPr>
        <w:t xml:space="preserve">proportion </w:t>
      </w:r>
      <w:r w:rsidR="00A21A68" w:rsidRPr="00435469">
        <w:rPr>
          <w:sz w:val="20"/>
          <w:szCs w:val="20"/>
        </w:rPr>
        <w:t>patients dying</w:t>
      </w:r>
      <w:r w:rsidRPr="00435469">
        <w:rPr>
          <w:sz w:val="20"/>
          <w:szCs w:val="20"/>
        </w:rPr>
        <w:t xml:space="preserve"> during TB treatment recorded in the electronic TB register; </w:t>
      </w:r>
      <w:r w:rsidR="00471F0D" w:rsidRPr="00435469">
        <w:rPr>
          <w:sz w:val="20"/>
          <w:szCs w:val="20"/>
        </w:rPr>
        <w:t xml:space="preserve">the </w:t>
      </w:r>
      <w:r w:rsidRPr="00435469">
        <w:rPr>
          <w:sz w:val="20"/>
          <w:szCs w:val="20"/>
        </w:rPr>
        <w:t xml:space="preserve">number of laboratory tuberculosis tests </w:t>
      </w:r>
      <w:r w:rsidRPr="00435469">
        <w:rPr>
          <w:rFonts w:eastAsia="Times New Roman" w:cs="Times New Roman"/>
          <w:sz w:val="20"/>
          <w:szCs w:val="20"/>
          <w:lang w:eastAsia="en-ZA"/>
        </w:rPr>
        <w:fldChar w:fldCharType="begin" w:fldLock="1"/>
      </w:r>
      <w:r w:rsidR="00A142FF" w:rsidRPr="00435469">
        <w:rPr>
          <w:rFonts w:eastAsia="Times New Roman" w:cs="Times New Roman"/>
          <w:sz w:val="20"/>
          <w:szCs w:val="20"/>
          <w:lang w:eastAsia="en-ZA"/>
        </w:rPr>
        <w:instrText>ADDIN CSL_CITATION {"citationItems":[{"id":"ITEM-1","itemData":{"DOI":"10.1016/S1473-3099(15)00147-4","ISBN":"1474-4457 (Electronic) 1473-3099 (Linking)","ISSN":"14744457","PMID":"26112077","abstract":"Background: South Africa has the highest incidence of tuberculosis in the world, largely resulting from a high population prevalence of HIV infection. We investigated the incidence of microbiologically confirmed pulmonary tuberculosis, and new cases of pulmonary tuberculosis registered for treatment, nationally and provincially in South Africa from 2004 to 2012, during which time there were changes in antiretroviral therapy (ART) coverage among individuals with HIV infection. Methods: We identified cases of microbiologically confirmed pulmonary tuberculosis from 2004 to 2012 from the National Health Laboratory Service Corporate Data Warehouse. New cases registered for treatment were identified from National Department of Health electronic registries. A time series analysis, using autoregressive models, was undertaken on incidence of microbiologically confirmed pulmonary disease nationally and provincially; this trend was also examined relative to ART coverage of adults with HIV infection. Findings: During the 9-year period, 3 523 371 cases of microbiologically confirmed pulmonary tuberculosis were recorded nationally. Annual incidence (per 100 000 population) increased from 650 (95% CI 648-652) in 2004 to 848 (845-850) in 2008, declining to 774 (771-776) by 2012 (9% decrease from 2008 to 2012). Incidence varied by age-group, sex, and province. There was an inverse association between incidence of microbiologically confirmed disease and ART coverage among HIV-infected individuals nationally and provincially. Trends in incidence of tuberculosis cases registered for treatment mirrored those of microbiologically confirmed cases nationally and provincially; however, incidence of microbiologically confirmed cases was consistently higher than cases registered for treatment nationally and in seven of nine provinces. Interpretation: Since its peak in 2008, the incidence of microbiologically confirmed pulmonary tuberculosis in South Africa had declined by 2012; this decline is associated with an increase in ART coverage. Future integration of registries for microbiologically confirmed cases and new cases registered for treatment would improve the assessment of the burden of pulmonary tuberculosis in South Africa. Funding: National Institute for Communicable Diseases: Division of the National Health Laboratory Service, South Africa.","author":[{"dropping-particle":"","family":"Nanoo","given":"Ananta","non-dropping-particle":"","parse-names":false,"suffix":""},{"dropping-particle":"","family":"Izu","given":"Alane","non-dropping-particle":"","parse-names":false,"suffix":""},{"dropping-particle":"","family":"Ismail","given":"Nazir A.","non-dropping-particle":"","parse-names":false,"suffix":""},{"dropping-particle":"","family":"Ihekweazu","given":"Chikwe","non-dropping-particle":"","parse-names":false,"suffix":""},{"dropping-particle":"","family":"Abubakar","given":"Ibrahim","non-dropping-particle":"","parse-names":false,"suffix":""},{"dropping-particle":"","family":"Mametja","given":"David","non-dropping-particle":"","parse-names":false,"suffix":""},{"dropping-particle":"","family":"Madhi","given":"Shabir A.","non-dropping-particle":"","parse-names":false,"suffix":""}],"container-title":"The Lancet Infectious Diseases","id":"ITEM-1","issue":"9","issued":{"date-parts":[["2015"]]},"page":"1066-1076","publisher":"Elsevier Ltd","title":"Nationwide and regional incidence of microbiologically confirmed pulmonary tuberculosis in South Africa, 2004-12: A time series analysis","type":"article-journal","volume":"15"},"uris":["http://www.mendeley.com/documents/?uuid=4ddc49e3-1211-47ad-972c-b7877933ac26"]}],"mendeley":{"formattedCitation":"(54)","plainTextFormattedCitation":"(54)","previouslyFormattedCitation":"(54)"},"properties":{"noteIndex":0},"schema":"https://github.com/citation-style-language/schema/raw/master/csl-citation.json"}</w:instrText>
      </w:r>
      <w:r w:rsidRPr="00435469">
        <w:rPr>
          <w:rFonts w:eastAsia="Times New Roman" w:cs="Times New Roman"/>
          <w:sz w:val="20"/>
          <w:szCs w:val="20"/>
          <w:lang w:eastAsia="en-ZA"/>
        </w:rPr>
        <w:fldChar w:fldCharType="separate"/>
      </w:r>
      <w:r w:rsidR="0016391D" w:rsidRPr="00435469">
        <w:rPr>
          <w:rFonts w:eastAsia="Times New Roman" w:cs="Times New Roman"/>
          <w:noProof/>
          <w:sz w:val="20"/>
          <w:szCs w:val="20"/>
          <w:lang w:eastAsia="en-ZA"/>
        </w:rPr>
        <w:t>(54)</w:t>
      </w:r>
      <w:r w:rsidRPr="00435469">
        <w:rPr>
          <w:rFonts w:eastAsia="Times New Roman" w:cs="Times New Roman"/>
          <w:sz w:val="20"/>
          <w:szCs w:val="20"/>
          <w:lang w:eastAsia="en-ZA"/>
        </w:rPr>
        <w:fldChar w:fldCharType="end"/>
      </w:r>
      <w:r w:rsidRPr="00435469">
        <w:rPr>
          <w:rFonts w:eastAsia="Times New Roman" w:cs="Times New Roman"/>
          <w:sz w:val="20"/>
          <w:szCs w:val="20"/>
          <w:lang w:eastAsia="en-ZA"/>
        </w:rPr>
        <w:t xml:space="preserve"> </w:t>
      </w:r>
      <w:r w:rsidRPr="00435469">
        <w:rPr>
          <w:sz w:val="20"/>
          <w:szCs w:val="20"/>
        </w:rPr>
        <w:t xml:space="preserve">and the prevalence of TB </w:t>
      </w:r>
      <w:r w:rsidRPr="00435469">
        <w:rPr>
          <w:rFonts w:cs="Times New Roman"/>
          <w:sz w:val="20"/>
          <w:szCs w:val="20"/>
          <w:lang w:val="en-ZA"/>
        </w:rPr>
        <w:fldChar w:fldCharType="begin" w:fldLock="1"/>
      </w:r>
      <w:r w:rsidR="002F049E" w:rsidRPr="00435469">
        <w:rPr>
          <w:rFonts w:cs="Times New Roman"/>
          <w:sz w:val="20"/>
          <w:szCs w:val="20"/>
          <w:lang w:val="en-ZA"/>
        </w:rPr>
        <w:instrText>ADDIN CSL_CITATION {"citationItems":[{"id":"ITEM-1","itemData":{"DOI":"10.1080/1560221031000112230","ISSN":"1560-2214","author":[{"dropping-particle":"","family":"Department of Health","given":"","non-dropping-particle":"","parse-names":false,"suffix":""}],"id":"ITEM-1","issued":{"date-parts":[["2021"]]},"publisher-place":"Pretoria, South Africa","title":"The First National Tuberculosis Prevalence Survey: South Africa 2018","type":"report"},"uris":["http://www.mendeley.com/documents/?uuid=7c5ac305-ecca-436d-afad-2436630ed1ec"]}],"mendeley":{"formattedCitation":"(48)","plainTextFormattedCitation":"(48)","previouslyFormattedCitation":"(48)"},"properties":{"noteIndex":0},"schema":"https://github.com/citation-style-language/schema/raw/master/csl-citation.json"}</w:instrText>
      </w:r>
      <w:r w:rsidRPr="00435469">
        <w:rPr>
          <w:rFonts w:cs="Times New Roman"/>
          <w:sz w:val="20"/>
          <w:szCs w:val="20"/>
          <w:lang w:val="en-ZA"/>
        </w:rPr>
        <w:fldChar w:fldCharType="separate"/>
      </w:r>
      <w:r w:rsidR="0063047A" w:rsidRPr="00435469">
        <w:rPr>
          <w:rFonts w:cs="Times New Roman"/>
          <w:noProof/>
          <w:sz w:val="20"/>
          <w:szCs w:val="20"/>
          <w:lang w:val="en-ZA"/>
        </w:rPr>
        <w:t>(48)</w:t>
      </w:r>
      <w:r w:rsidRPr="00435469">
        <w:rPr>
          <w:rFonts w:cs="Times New Roman"/>
          <w:sz w:val="20"/>
          <w:szCs w:val="20"/>
          <w:lang w:val="en-ZA"/>
        </w:rPr>
        <w:fldChar w:fldCharType="end"/>
      </w:r>
      <w:r w:rsidRPr="00435469">
        <w:rPr>
          <w:sz w:val="20"/>
          <w:szCs w:val="20"/>
        </w:rPr>
        <w:t xml:space="preserve">. </w:t>
      </w:r>
    </w:p>
    <w:p w14:paraId="1CF2254D" w14:textId="6AEE3DAC" w:rsidR="005757C6" w:rsidRPr="00435469" w:rsidRDefault="00FC358C" w:rsidP="00955FFB">
      <w:pPr>
        <w:pStyle w:val="Heading3"/>
        <w:numPr>
          <w:ilvl w:val="2"/>
          <w:numId w:val="18"/>
        </w:numPr>
        <w:rPr>
          <w:color w:val="auto"/>
          <w:sz w:val="20"/>
          <w:szCs w:val="20"/>
        </w:rPr>
      </w:pPr>
      <w:bookmarkStart w:id="316" w:name="_Toc89683418"/>
      <w:r w:rsidRPr="00435469">
        <w:rPr>
          <w:color w:val="auto"/>
          <w:sz w:val="20"/>
          <w:szCs w:val="20"/>
        </w:rPr>
        <w:t xml:space="preserve"> </w:t>
      </w:r>
      <w:bookmarkStart w:id="317" w:name="_Toc103252957"/>
      <w:r w:rsidR="005757C6" w:rsidRPr="00435469">
        <w:rPr>
          <w:color w:val="auto"/>
          <w:sz w:val="20"/>
          <w:szCs w:val="20"/>
        </w:rPr>
        <w:t>The likelihood for recorded number of tuberculosis death</w:t>
      </w:r>
      <w:bookmarkEnd w:id="316"/>
      <w:r w:rsidR="005757C6" w:rsidRPr="00435469">
        <w:rPr>
          <w:color w:val="auto"/>
          <w:sz w:val="20"/>
          <w:szCs w:val="20"/>
        </w:rPr>
        <w:t>s</w:t>
      </w:r>
      <w:bookmarkEnd w:id="317"/>
    </w:p>
    <w:p w14:paraId="108DBC2A" w14:textId="6E528796" w:rsidR="005757C6" w:rsidRPr="00435469" w:rsidRDefault="00091D7D" w:rsidP="00955FFB">
      <w:pPr>
        <w:pStyle w:val="Heading4"/>
        <w:numPr>
          <w:ilvl w:val="0"/>
          <w:numId w:val="19"/>
        </w:numPr>
        <w:rPr>
          <w:sz w:val="20"/>
          <w:szCs w:val="20"/>
        </w:rPr>
      </w:pPr>
      <w:r w:rsidRPr="00435469">
        <w:rPr>
          <w:sz w:val="20"/>
          <w:szCs w:val="20"/>
        </w:rPr>
        <w:t xml:space="preserve">Adjusting </w:t>
      </w:r>
      <w:r w:rsidR="005757C6" w:rsidRPr="00435469">
        <w:rPr>
          <w:sz w:val="20"/>
          <w:szCs w:val="20"/>
        </w:rPr>
        <w:t xml:space="preserve">the mortality data </w:t>
      </w:r>
    </w:p>
    <w:p w14:paraId="28784BC9" w14:textId="77777777" w:rsidR="005757C6" w:rsidRPr="00435469" w:rsidRDefault="005757C6" w:rsidP="00955FFB">
      <w:pPr>
        <w:spacing w:line="240" w:lineRule="auto"/>
        <w:rPr>
          <w:rFonts w:cs="Times New Roman"/>
          <w:sz w:val="20"/>
          <w:szCs w:val="20"/>
        </w:rPr>
      </w:pPr>
      <w:r w:rsidRPr="00435469">
        <w:rPr>
          <w:rFonts w:cs="Times New Roman"/>
          <w:sz w:val="20"/>
          <w:szCs w:val="20"/>
        </w:rPr>
        <w:t>To get the number of recorded deaths on the South African vital register, we considered deaths where TB is the underlying cause of death. These TB deaths are broadly classified using the codes A15-19. We also included deaths for which HIV was recorded as the broad underlying cause of death (codes B20-B24), and TB is listed as a contributing cause of death (i.e., HIV underlying cause AND TB is either first, second, third, or fourth contributing cause of death). For TB deaths with unknown/unspecified age and sex, we adjusted by proportionally distributing the unknown age and sex deaths to the age and sex categories in which TB deaths were recorded most frequently.</w:t>
      </w:r>
    </w:p>
    <w:p w14:paraId="2A001E29" w14:textId="77777777" w:rsidR="005757C6" w:rsidRPr="00435469" w:rsidRDefault="005757C6" w:rsidP="00955FFB">
      <w:pPr>
        <w:spacing w:line="240" w:lineRule="auto"/>
        <w:rPr>
          <w:rFonts w:cs="Times New Roman"/>
          <w:sz w:val="20"/>
          <w:szCs w:val="20"/>
        </w:rPr>
      </w:pPr>
      <w:r w:rsidRPr="00435469">
        <w:rPr>
          <w:rFonts w:cs="Times New Roman"/>
          <w:sz w:val="20"/>
          <w:szCs w:val="20"/>
        </w:rPr>
        <w:t xml:space="preserve">We also adjusted for 1) incomplete reporting of deaths (the deaths that do not get documented) and 2) ill-defined causes of deaths. To adjust for the incompleteness of reported deaths, we applied age-specific completeness proportions previously computed by Johnson et al., which change over time </w:t>
      </w:r>
      <w:r w:rsidRPr="00435469">
        <w:rPr>
          <w:rFonts w:cs="Times New Roman"/>
          <w:sz w:val="20"/>
          <w:szCs w:val="20"/>
        </w:rPr>
        <w:fldChar w:fldCharType="begin" w:fldLock="1"/>
      </w:r>
      <w:r w:rsidRPr="00435469">
        <w:rPr>
          <w:rFonts w:cs="Times New Roman"/>
          <w:sz w:val="20"/>
          <w:szCs w:val="20"/>
        </w:rPr>
        <w:instrText>ADDIN CSL_CITATION {"citationItems":[{"id":"ITEM-1","itemData":{"author":[{"dropping-particle":"","family":"Johnson","given":"L","non-dropping-particle":"","parse-names":false,"suffix":""},{"dropping-particle":"","family":"Dorrington","given":"R","non-dropping-particle":"","parse-names":false,"suffix":""}],"id":"ITEM-1","issued":{"date-parts":[["2018"]]},"number-of-pages":"1-164","title":"Thembisa version 4.1: A model for evaluating the impact of HIV/AIDS in South Africa","type":"report"},"uris":["http://www.mendeley.com/documents/?uuid=fdc110ae-19dd-44a8-aef9-35f206152ed7"]}],"mendeley":{"formattedCitation":"(4)","plainTextFormattedCitation":"(4)","previouslyFormattedCitation":"(4)"},"properties":{"noteIndex":0},"schema":"https://github.com/citation-style-language/schema/raw/master/csl-citation.json"}</w:instrText>
      </w:r>
      <w:r w:rsidRPr="00435469">
        <w:rPr>
          <w:rFonts w:cs="Times New Roman"/>
          <w:sz w:val="20"/>
          <w:szCs w:val="20"/>
        </w:rPr>
        <w:fldChar w:fldCharType="separate"/>
      </w:r>
      <w:r w:rsidRPr="00435469">
        <w:rPr>
          <w:rFonts w:cs="Times New Roman"/>
          <w:noProof/>
          <w:sz w:val="20"/>
          <w:szCs w:val="20"/>
        </w:rPr>
        <w:t>(4)</w:t>
      </w:r>
      <w:r w:rsidRPr="00435469">
        <w:rPr>
          <w:rFonts w:cs="Times New Roman"/>
          <w:sz w:val="20"/>
          <w:szCs w:val="20"/>
        </w:rPr>
        <w:fldChar w:fldCharType="end"/>
      </w:r>
      <w:r w:rsidRPr="00435469">
        <w:rPr>
          <w:rFonts w:cs="Times New Roman"/>
          <w:sz w:val="20"/>
          <w:szCs w:val="20"/>
        </w:rPr>
        <w:t>. ICD codes R00-R99 represents missing and garbage codes. For each sex and 5-year age group, the total adjusted number of TB deaths was computed using the following expression:</w:t>
      </w:r>
    </w:p>
    <w:p w14:paraId="6191D0F3" w14:textId="77777777" w:rsidR="005757C6" w:rsidRPr="00435469" w:rsidRDefault="00000000" w:rsidP="00955FFB">
      <w:pPr>
        <w:spacing w:line="240" w:lineRule="auto"/>
        <w:rPr>
          <w:rFonts w:cs="Times New Roman"/>
          <w:sz w:val="20"/>
          <w:szCs w:val="20"/>
        </w:rPr>
      </w:pPr>
      <m:oMathPara>
        <m:oMath>
          <m:f>
            <m:fPr>
              <m:ctrlPr>
                <w:rPr>
                  <w:rFonts w:ascii="Cambria Math" w:hAnsi="Cambria Math" w:cs="Times New Roman"/>
                  <w:i/>
                  <w:sz w:val="20"/>
                  <w:szCs w:val="20"/>
                </w:rPr>
              </m:ctrlPr>
            </m:fPr>
            <m:num>
              <m:r>
                <w:rPr>
                  <w:rFonts w:ascii="Cambria Math" w:hAnsi="Cambria Math" w:cs="Times New Roman"/>
                  <w:sz w:val="20"/>
                  <w:szCs w:val="20"/>
                </w:rPr>
                <m:t>T+H</m:t>
              </m:r>
            </m:num>
            <m:den>
              <m:d>
                <m:dPr>
                  <m:ctrlPr>
                    <w:rPr>
                      <w:rFonts w:ascii="Cambria Math" w:hAnsi="Cambria Math" w:cs="Times New Roman"/>
                      <w:i/>
                      <w:sz w:val="20"/>
                      <w:szCs w:val="20"/>
                    </w:rPr>
                  </m:ctrlPr>
                </m:dPr>
                <m:e>
                  <m:r>
                    <w:rPr>
                      <w:rFonts w:ascii="Cambria Math" w:hAnsi="Cambria Math" w:cs="Times New Roman"/>
                      <w:sz w:val="20"/>
                      <w:szCs w:val="20"/>
                    </w:rPr>
                    <m:t>1-</m:t>
                  </m:r>
                  <m:f>
                    <m:fPr>
                      <m:ctrlPr>
                        <w:rPr>
                          <w:rFonts w:ascii="Cambria Math" w:hAnsi="Cambria Math" w:cs="Times New Roman"/>
                          <w:i/>
                          <w:sz w:val="20"/>
                          <w:szCs w:val="20"/>
                        </w:rPr>
                      </m:ctrlPr>
                    </m:fPr>
                    <m:num>
                      <m:r>
                        <w:rPr>
                          <w:rFonts w:ascii="Cambria Math" w:hAnsi="Cambria Math" w:cs="Times New Roman"/>
                          <w:sz w:val="20"/>
                          <w:szCs w:val="20"/>
                        </w:rPr>
                        <m:t>M</m:t>
                      </m:r>
                    </m:num>
                    <m:den>
                      <m:r>
                        <w:rPr>
                          <w:rFonts w:ascii="Cambria Math" w:hAnsi="Cambria Math" w:cs="Times New Roman"/>
                          <w:sz w:val="20"/>
                          <w:szCs w:val="20"/>
                        </w:rPr>
                        <m:t>N</m:t>
                      </m:r>
                    </m:den>
                  </m:f>
                </m:e>
              </m:d>
              <m:r>
                <w:rPr>
                  <w:rFonts w:ascii="Cambria Math" w:hAnsi="Cambria Math" w:cs="Times New Roman"/>
                  <w:sz w:val="20"/>
                  <w:szCs w:val="20"/>
                </w:rPr>
                <m:t>C</m:t>
              </m:r>
            </m:den>
          </m:f>
        </m:oMath>
      </m:oMathPara>
    </w:p>
    <w:p w14:paraId="3209F41D" w14:textId="70C60F6A" w:rsidR="005757C6" w:rsidRPr="00435469" w:rsidRDefault="005757C6" w:rsidP="00955FFB">
      <w:pPr>
        <w:spacing w:line="240" w:lineRule="auto"/>
        <w:rPr>
          <w:rFonts w:cs="Times New Roman"/>
          <w:sz w:val="20"/>
          <w:szCs w:val="20"/>
        </w:rPr>
      </w:pPr>
      <w:r w:rsidRPr="00435469">
        <w:rPr>
          <w:rFonts w:cs="Times New Roman"/>
          <w:sz w:val="20"/>
          <w:szCs w:val="20"/>
        </w:rPr>
        <w:t>where T is the number of deaths for which TB (A15-19) is the recorded underlying cause of death. H is the total number of deaths for which HIV (B20-B24) is recorded as the underlying cause of death and TB is recorded as a contributing cause of death (</w:t>
      </w:r>
      <w:proofErr w:type="gramStart"/>
      <w:r w:rsidRPr="00435469">
        <w:rPr>
          <w:rFonts w:cs="Times New Roman"/>
          <w:sz w:val="20"/>
          <w:szCs w:val="20"/>
        </w:rPr>
        <w:t>i.e.</w:t>
      </w:r>
      <w:proofErr w:type="gramEnd"/>
      <w:r w:rsidRPr="00435469">
        <w:rPr>
          <w:rFonts w:cs="Times New Roman"/>
          <w:sz w:val="20"/>
          <w:szCs w:val="20"/>
        </w:rPr>
        <w:t xml:space="preserve"> TB (A15-19) is Cause A or Cause B or Cause C or Cause D). N represents all the deaths recorded in the vital register. M represents the missing and garbage code. C represents completeness, which is the proportion of deaths that get recorded. This completeness ratio was computed as a ratio of the recorded SA deaths (N) and the total number of deaths produced by the </w:t>
      </w:r>
      <w:proofErr w:type="spellStart"/>
      <w:r w:rsidRPr="00435469">
        <w:rPr>
          <w:rFonts w:cs="Times New Roman"/>
          <w:sz w:val="20"/>
          <w:szCs w:val="20"/>
        </w:rPr>
        <w:t>Thembisa</w:t>
      </w:r>
      <w:proofErr w:type="spellEnd"/>
      <w:r w:rsidR="00F33C9C" w:rsidRPr="00435469">
        <w:rPr>
          <w:rFonts w:cs="Times New Roman"/>
          <w:sz w:val="20"/>
          <w:szCs w:val="20"/>
        </w:rPr>
        <w:t xml:space="preserve"> 4.</w:t>
      </w:r>
      <w:r w:rsidR="00B82969" w:rsidRPr="00435469">
        <w:rPr>
          <w:rFonts w:cs="Times New Roman"/>
          <w:sz w:val="20"/>
          <w:szCs w:val="20"/>
        </w:rPr>
        <w:t>1</w:t>
      </w:r>
      <w:r w:rsidRPr="00435469">
        <w:rPr>
          <w:rFonts w:cs="Times New Roman"/>
          <w:sz w:val="20"/>
          <w:szCs w:val="20"/>
        </w:rPr>
        <w:t xml:space="preserve"> model (O)</w:t>
      </w:r>
      <w:r w:rsidR="00D01CEF" w:rsidRPr="00435469">
        <w:rPr>
          <w:rFonts w:cs="Times New Roman"/>
          <w:sz w:val="20"/>
          <w:szCs w:val="20"/>
        </w:rPr>
        <w:t xml:space="preserve"> </w:t>
      </w:r>
      <w:r w:rsidR="0010579F" w:rsidRPr="00435469">
        <w:rPr>
          <w:rFonts w:cs="Times New Roman"/>
          <w:sz w:val="20"/>
          <w:szCs w:val="20"/>
        </w:rPr>
        <w:t>(</w:t>
      </w:r>
      <w:r w:rsidR="0010579F" w:rsidRPr="00435469">
        <w:rPr>
          <w:rFonts w:cs="Times New Roman"/>
          <w:sz w:val="20"/>
          <w:szCs w:val="20"/>
        </w:rPr>
        <w:fldChar w:fldCharType="begin"/>
      </w:r>
      <w:r w:rsidR="0010579F" w:rsidRPr="00435469">
        <w:rPr>
          <w:rFonts w:cs="Times New Roman"/>
          <w:sz w:val="20"/>
          <w:szCs w:val="20"/>
        </w:rPr>
        <w:instrText xml:space="preserve"> REF _Ref100004514 \h </w:instrText>
      </w:r>
      <w:r w:rsidR="00955FFB" w:rsidRPr="00435469">
        <w:rPr>
          <w:rFonts w:cs="Times New Roman"/>
          <w:sz w:val="20"/>
          <w:szCs w:val="20"/>
        </w:rPr>
        <w:instrText xml:space="preserve"> \* MERGEFORMAT </w:instrText>
      </w:r>
      <w:r w:rsidR="0010579F" w:rsidRPr="00435469">
        <w:rPr>
          <w:rFonts w:cs="Times New Roman"/>
          <w:sz w:val="20"/>
          <w:szCs w:val="20"/>
        </w:rPr>
      </w:r>
      <w:r w:rsidR="0010579F"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21</w:t>
      </w:r>
      <w:r w:rsidR="0010579F" w:rsidRPr="00435469">
        <w:rPr>
          <w:rFonts w:cs="Times New Roman"/>
          <w:sz w:val="20"/>
          <w:szCs w:val="20"/>
        </w:rPr>
        <w:fldChar w:fldCharType="end"/>
      </w:r>
      <w:r w:rsidR="0010579F" w:rsidRPr="00435469">
        <w:rPr>
          <w:rFonts w:cs="Times New Roman"/>
          <w:sz w:val="20"/>
          <w:szCs w:val="20"/>
        </w:rPr>
        <w:t>)</w:t>
      </w:r>
      <w:r w:rsidR="00B82969" w:rsidRPr="00435469">
        <w:rPr>
          <w:rFonts w:cs="Times New Roman"/>
          <w:sz w:val="20"/>
          <w:szCs w:val="20"/>
        </w:rPr>
        <w:t xml:space="preserve"> </w:t>
      </w:r>
      <w:r w:rsidR="006744BD" w:rsidRPr="00435469">
        <w:rPr>
          <w:rFonts w:cs="Times New Roman"/>
          <w:sz w:val="20"/>
          <w:szCs w:val="20"/>
        </w:rPr>
        <w:fldChar w:fldCharType="begin" w:fldLock="1"/>
      </w:r>
      <w:r w:rsidR="002D5D0A" w:rsidRPr="00435469">
        <w:rPr>
          <w:rFonts w:cs="Times New Roman"/>
          <w:sz w:val="20"/>
          <w:szCs w:val="20"/>
        </w:rPr>
        <w:instrText>ADDIN CSL_CITATION {"citationItems":[{"id":"ITEM-1","itemData":{"author":[{"dropping-particle":"","family":"Johnson","given":"L","non-dropping-particle":"","parse-names":false,"suffix":""},{"dropping-particle":"","family":"Dorrington","given":"R","non-dropping-particle":"","parse-names":false,"suffix":""}],"id":"ITEM-1","issued":{"date-parts":[["2018"]]},"number-of-pages":"1-164","title":"Thembisa version 4.1: A model for evaluating the impact of HIV/AIDS in South Africa","type":"report"},"uris":["http://www.mendeley.com/documents/?uuid=fdc110ae-19dd-44a8-aef9-35f206152ed7"]}],"mendeley":{"formattedCitation":"(4)","plainTextFormattedCitation":"(4)","previouslyFormattedCitation":"(4)"},"properties":{"noteIndex":0},"schema":"https://github.com/citation-style-language/schema/raw/master/csl-citation.json"}</w:instrText>
      </w:r>
      <w:r w:rsidR="006744BD" w:rsidRPr="00435469">
        <w:rPr>
          <w:rFonts w:cs="Times New Roman"/>
          <w:sz w:val="20"/>
          <w:szCs w:val="20"/>
        </w:rPr>
        <w:fldChar w:fldCharType="separate"/>
      </w:r>
      <w:r w:rsidR="006744BD" w:rsidRPr="00435469">
        <w:rPr>
          <w:rFonts w:cs="Times New Roman"/>
          <w:noProof/>
          <w:sz w:val="20"/>
          <w:szCs w:val="20"/>
        </w:rPr>
        <w:t>(4)</w:t>
      </w:r>
      <w:r w:rsidR="006744BD" w:rsidRPr="00435469">
        <w:rPr>
          <w:rFonts w:cs="Times New Roman"/>
          <w:sz w:val="20"/>
          <w:szCs w:val="20"/>
        </w:rPr>
        <w:fldChar w:fldCharType="end"/>
      </w:r>
      <w:r w:rsidR="00D01CEF" w:rsidRPr="00435469">
        <w:rPr>
          <w:rFonts w:cs="Times New Roman"/>
          <w:sz w:val="20"/>
          <w:szCs w:val="20"/>
        </w:rPr>
        <w:t xml:space="preserve">. </w:t>
      </w:r>
      <w:r w:rsidR="005B468F" w:rsidRPr="00435469">
        <w:rPr>
          <w:rFonts w:cs="Times New Roman"/>
          <w:sz w:val="20"/>
          <w:szCs w:val="20"/>
        </w:rPr>
        <w:t>These adjustments are shown in</w:t>
      </w:r>
      <w:r w:rsidR="00D17624" w:rsidRPr="00435469">
        <w:rPr>
          <w:rFonts w:cs="Times New Roman"/>
          <w:sz w:val="20"/>
          <w:szCs w:val="20"/>
        </w:rPr>
        <w:t xml:space="preserve"> </w:t>
      </w:r>
      <w:r w:rsidR="00D17624" w:rsidRPr="00435469">
        <w:rPr>
          <w:rFonts w:cs="Times New Roman"/>
          <w:sz w:val="20"/>
          <w:szCs w:val="20"/>
        </w:rPr>
        <w:fldChar w:fldCharType="begin"/>
      </w:r>
      <w:r w:rsidR="00D17624" w:rsidRPr="00435469">
        <w:rPr>
          <w:rFonts w:cs="Times New Roman"/>
          <w:sz w:val="20"/>
          <w:szCs w:val="20"/>
        </w:rPr>
        <w:instrText xml:space="preserve"> REF _Ref100004514 \h </w:instrText>
      </w:r>
      <w:r w:rsidR="00955FFB" w:rsidRPr="00435469">
        <w:rPr>
          <w:rFonts w:cs="Times New Roman"/>
          <w:sz w:val="20"/>
          <w:szCs w:val="20"/>
        </w:rPr>
        <w:instrText xml:space="preserve"> \* MERGEFORMAT </w:instrText>
      </w:r>
      <w:r w:rsidR="00D17624" w:rsidRPr="00435469">
        <w:rPr>
          <w:rFonts w:cs="Times New Roman"/>
          <w:sz w:val="20"/>
          <w:szCs w:val="20"/>
        </w:rPr>
      </w:r>
      <w:r w:rsidR="00D17624"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21</w:t>
      </w:r>
      <w:r w:rsidR="00D17624" w:rsidRPr="00435469">
        <w:rPr>
          <w:rFonts w:cs="Times New Roman"/>
          <w:sz w:val="20"/>
          <w:szCs w:val="20"/>
        </w:rPr>
        <w:fldChar w:fldCharType="end"/>
      </w:r>
      <w:r w:rsidR="0033730E" w:rsidRPr="00435469">
        <w:rPr>
          <w:rFonts w:cs="Times New Roman"/>
          <w:sz w:val="20"/>
          <w:szCs w:val="20"/>
        </w:rPr>
        <w:t xml:space="preserve">, </w:t>
      </w:r>
      <w:r w:rsidR="005B468F" w:rsidRPr="00435469">
        <w:rPr>
          <w:rFonts w:cs="Times New Roman"/>
          <w:sz w:val="20"/>
          <w:szCs w:val="20"/>
        </w:rPr>
        <w:t xml:space="preserve">and </w:t>
      </w:r>
      <w:r w:rsidR="002B58E2" w:rsidRPr="00435469">
        <w:rPr>
          <w:rFonts w:cs="Times New Roman"/>
          <w:sz w:val="20"/>
          <w:szCs w:val="20"/>
        </w:rPr>
        <w:t>the l</w:t>
      </w:r>
      <w:r w:rsidRPr="00435469">
        <w:rPr>
          <w:rFonts w:cs="Times New Roman"/>
          <w:sz w:val="20"/>
          <w:szCs w:val="20"/>
        </w:rPr>
        <w:t>ast</w:t>
      </w:r>
      <w:r w:rsidR="009B3D27" w:rsidRPr="00435469">
        <w:rPr>
          <w:rFonts w:cs="Times New Roman"/>
          <w:sz w:val="20"/>
          <w:szCs w:val="20"/>
        </w:rPr>
        <w:t xml:space="preserve"> column </w:t>
      </w:r>
      <w:r w:rsidR="002B58E2" w:rsidRPr="00435469">
        <w:rPr>
          <w:rFonts w:cs="Times New Roman"/>
          <w:sz w:val="20"/>
          <w:szCs w:val="20"/>
        </w:rPr>
        <w:t xml:space="preserve">(Y) </w:t>
      </w:r>
      <w:r w:rsidRPr="00435469">
        <w:rPr>
          <w:rFonts w:cs="Times New Roman"/>
          <w:sz w:val="20"/>
          <w:szCs w:val="20"/>
        </w:rPr>
        <w:t xml:space="preserve">represents the total adjusted deaths. </w:t>
      </w:r>
    </w:p>
    <w:p w14:paraId="42E6BD59" w14:textId="6F2885C4" w:rsidR="005757C6" w:rsidRPr="00435469" w:rsidRDefault="005757C6" w:rsidP="00955FFB">
      <w:pPr>
        <w:pStyle w:val="3CaptionAbove"/>
        <w:rPr>
          <w:sz w:val="20"/>
          <w:szCs w:val="20"/>
        </w:rPr>
      </w:pPr>
      <w:bookmarkStart w:id="318" w:name="_Toc103253002"/>
      <w:r w:rsidRPr="00435469">
        <w:rPr>
          <w:sz w:val="20"/>
          <w:szCs w:val="20"/>
        </w:rPr>
        <w:lastRenderedPageBreak/>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5</w:t>
      </w:r>
      <w:r w:rsidRPr="00435469">
        <w:rPr>
          <w:sz w:val="20"/>
          <w:szCs w:val="20"/>
        </w:rPr>
        <w:fldChar w:fldCharType="end"/>
      </w:r>
      <w:r w:rsidRPr="00435469">
        <w:rPr>
          <w:sz w:val="20"/>
          <w:szCs w:val="20"/>
        </w:rPr>
        <w:t xml:space="preserve">: Flow for </w:t>
      </w:r>
      <w:r w:rsidR="00091D7D" w:rsidRPr="00435469">
        <w:rPr>
          <w:sz w:val="20"/>
          <w:szCs w:val="20"/>
        </w:rPr>
        <w:t xml:space="preserve">adjusting </w:t>
      </w:r>
      <w:r w:rsidRPr="00435469">
        <w:rPr>
          <w:sz w:val="20"/>
          <w:szCs w:val="20"/>
        </w:rPr>
        <w:t>mortality data from the vital register</w:t>
      </w:r>
      <w:bookmarkEnd w:id="318"/>
    </w:p>
    <w:p w14:paraId="7EAE1EFC" w14:textId="293FFA57" w:rsidR="002C3591" w:rsidRPr="00435469" w:rsidRDefault="008F4C5F" w:rsidP="00955FFB">
      <w:pPr>
        <w:spacing w:line="240" w:lineRule="auto"/>
        <w:rPr>
          <w:rFonts w:cs="Times New Roman"/>
          <w:sz w:val="20"/>
          <w:szCs w:val="20"/>
        </w:rPr>
      </w:pPr>
      <w:r w:rsidRPr="00435469">
        <w:rPr>
          <w:noProof/>
          <w:sz w:val="20"/>
          <w:szCs w:val="20"/>
        </w:rPr>
        <mc:AlternateContent>
          <mc:Choice Requires="wpg">
            <w:drawing>
              <wp:inline distT="0" distB="0" distL="0" distR="0" wp14:anchorId="653809D8" wp14:editId="38517D48">
                <wp:extent cx="5410200" cy="6895465"/>
                <wp:effectExtent l="9525" t="10795" r="9525" b="889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6895465"/>
                          <a:chOff x="0" y="0"/>
                          <a:chExt cx="47529" cy="79087"/>
                        </a:xfrm>
                      </wpg:grpSpPr>
                      <wps:wsp>
                        <wps:cNvPr id="5" name="Rectangle 5"/>
                        <wps:cNvSpPr>
                          <a:spLocks noChangeArrowheads="1"/>
                        </wps:cNvSpPr>
                        <wps:spPr bwMode="auto">
                          <a:xfrm>
                            <a:off x="12242" y="68895"/>
                            <a:ext cx="24575" cy="10192"/>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137B0874" w14:textId="77777777" w:rsidR="005757C6" w:rsidRDefault="005757C6" w:rsidP="005757C6">
                              <w:pPr>
                                <w:spacing w:line="276" w:lineRule="auto"/>
                                <w:jc w:val="center"/>
                                <w:rPr>
                                  <w:rFonts w:cs="Times New Roman"/>
                                  <w:b/>
                                  <w:bCs/>
                                  <w:sz w:val="20"/>
                                  <w:szCs w:val="20"/>
                                </w:rPr>
                              </w:pPr>
                              <w:r>
                                <w:rPr>
                                  <w:rFonts w:cs="Times New Roman"/>
                                  <w:b/>
                                  <w:bCs/>
                                  <w:sz w:val="20"/>
                                  <w:szCs w:val="20"/>
                                </w:rPr>
                                <w:t>Overall adjustment</w:t>
                              </w:r>
                            </w:p>
                            <w:p w14:paraId="72001152" w14:textId="28548FF0" w:rsidR="005757C6" w:rsidRDefault="0033730E" w:rsidP="005757C6">
                              <w:pPr>
                                <w:spacing w:line="276" w:lineRule="auto"/>
                                <w:rPr>
                                  <w:rFonts w:cs="Times New Roman"/>
                                  <w:sz w:val="18"/>
                                  <w:szCs w:val="18"/>
                                </w:rPr>
                              </w:pPr>
                              <m:oMathPara>
                                <m:oMath>
                                  <m:r>
                                    <w:rPr>
                                      <w:rFonts w:ascii="Cambria Math" w:hAnsi="Cambria Math" w:cs="Times New Roman"/>
                                    </w:rPr>
                                    <m:t>Y=</m:t>
                                  </m:r>
                                  <m:f>
                                    <m:fPr>
                                      <m:ctrlPr>
                                        <w:rPr>
                                          <w:rFonts w:ascii="Cambria Math" w:hAnsi="Cambria Math" w:cs="Times New Roman"/>
                                          <w:i/>
                                        </w:rPr>
                                      </m:ctrlPr>
                                    </m:fPr>
                                    <m:num>
                                      <m:r>
                                        <w:rPr>
                                          <w:rFonts w:ascii="Cambria Math" w:hAnsi="Cambria Math" w:cs="Times New Roman"/>
                                          <w:sz w:val="20"/>
                                          <w:szCs w:val="20"/>
                                        </w:rPr>
                                        <m:t>T+H</m:t>
                                      </m:r>
                                    </m:num>
                                    <m:den>
                                      <m:d>
                                        <m:dPr>
                                          <m:ctrlPr>
                                            <w:rPr>
                                              <w:rFonts w:ascii="Cambria Math" w:hAnsi="Cambria Math" w:cs="Times New Roman"/>
                                              <w:i/>
                                            </w:rPr>
                                          </m:ctrlPr>
                                        </m:dPr>
                                        <m:e>
                                          <m:r>
                                            <w:rPr>
                                              <w:rFonts w:ascii="Cambria Math" w:hAnsi="Cambria Math" w:cs="Times New Roman"/>
                                              <w:sz w:val="20"/>
                                              <w:szCs w:val="20"/>
                                            </w:rPr>
                                            <m:t>1-</m:t>
                                          </m:r>
                                          <m:f>
                                            <m:fPr>
                                              <m:ctrlPr>
                                                <w:rPr>
                                                  <w:rFonts w:ascii="Cambria Math" w:hAnsi="Cambria Math" w:cs="Times New Roman"/>
                                                  <w:i/>
                                                </w:rPr>
                                              </m:ctrlPr>
                                            </m:fPr>
                                            <m:num>
                                              <m:r>
                                                <w:rPr>
                                                  <w:rFonts w:ascii="Cambria Math" w:hAnsi="Cambria Math" w:cs="Times New Roman"/>
                                                  <w:sz w:val="20"/>
                                                  <w:szCs w:val="20"/>
                                                </w:rPr>
                                                <m:t>M</m:t>
                                              </m:r>
                                            </m:num>
                                            <m:den>
                                              <m:r>
                                                <w:rPr>
                                                  <w:rFonts w:ascii="Cambria Math" w:hAnsi="Cambria Math" w:cs="Times New Roman"/>
                                                  <w:sz w:val="20"/>
                                                  <w:szCs w:val="20"/>
                                                </w:rPr>
                                                <m:t>N</m:t>
                                              </m:r>
                                            </m:den>
                                          </m:f>
                                        </m:e>
                                      </m:d>
                                      <m:r>
                                        <w:rPr>
                                          <w:rFonts w:ascii="Cambria Math" w:hAnsi="Cambria Math" w:cs="Times New Roman"/>
                                          <w:sz w:val="20"/>
                                          <w:szCs w:val="20"/>
                                        </w:rPr>
                                        <m:t>C</m:t>
                                      </m:r>
                                    </m:den>
                                  </m:f>
                                </m:oMath>
                              </m:oMathPara>
                            </w:p>
                          </w:txbxContent>
                        </wps:txbx>
                        <wps:bodyPr rot="0" vert="horz" wrap="square" lIns="91440" tIns="45720" rIns="91440" bIns="45720" anchor="ctr" anchorCtr="0" upright="1">
                          <a:noAutofit/>
                        </wps:bodyPr>
                      </wps:wsp>
                      <wpg:grpSp>
                        <wpg:cNvPr id="9" name="Group 15"/>
                        <wpg:cNvGrpSpPr>
                          <a:grpSpLocks/>
                        </wpg:cNvGrpSpPr>
                        <wpg:grpSpPr bwMode="auto">
                          <a:xfrm>
                            <a:off x="0" y="0"/>
                            <a:ext cx="47529" cy="64535"/>
                            <a:chOff x="0" y="0"/>
                            <a:chExt cx="47529" cy="64535"/>
                          </a:xfrm>
                        </wpg:grpSpPr>
                        <wps:wsp>
                          <wps:cNvPr id="11" name="Rectangle 4"/>
                          <wps:cNvSpPr>
                            <a:spLocks noChangeArrowheads="1"/>
                          </wps:cNvSpPr>
                          <wps:spPr bwMode="auto">
                            <a:xfrm>
                              <a:off x="9747" y="0"/>
                              <a:ext cx="25527" cy="981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6F491D3F" w14:textId="77777777" w:rsidR="005757C6" w:rsidRDefault="005757C6" w:rsidP="005757C6">
                                <w:pPr>
                                  <w:spacing w:line="276" w:lineRule="auto"/>
                                  <w:jc w:val="center"/>
                                  <w:rPr>
                                    <w:rFonts w:cs="Times New Roman"/>
                                    <w:b/>
                                    <w:bCs/>
                                    <w:sz w:val="18"/>
                                    <w:szCs w:val="18"/>
                                  </w:rPr>
                                </w:pPr>
                                <w:r>
                                  <w:rPr>
                                    <w:rFonts w:cs="Times New Roman"/>
                                    <w:b/>
                                    <w:bCs/>
                                    <w:sz w:val="18"/>
                                    <w:szCs w:val="18"/>
                                  </w:rPr>
                                  <w:t>Extracted mortality data from Stats SA database</w:t>
                                </w:r>
                              </w:p>
                              <w:p w14:paraId="62F3E4E2" w14:textId="77777777" w:rsidR="005757C6" w:rsidRDefault="00000000" w:rsidP="005757C6">
                                <w:pPr>
                                  <w:spacing w:line="276" w:lineRule="auto"/>
                                  <w:jc w:val="center"/>
                                  <w:rPr>
                                    <w:rFonts w:cs="Times New Roman"/>
                                    <w:sz w:val="18"/>
                                    <w:szCs w:val="18"/>
                                    <w:u w:val="single"/>
                                    <w:lang w:val="en-GB"/>
                                  </w:rPr>
                                </w:pPr>
                                <w:hyperlink r:id="rId16" w:history="1">
                                  <w:r w:rsidR="005757C6">
                                    <w:rPr>
                                      <w:rStyle w:val="Hyperlink"/>
                                      <w:rFonts w:cs="Times New Roman"/>
                                      <w:sz w:val="18"/>
                                      <w:szCs w:val="18"/>
                                    </w:rPr>
                                    <w:t>http://nesstar.statssa.gov.za:8282/webview/</w:t>
                                  </w:r>
                                </w:hyperlink>
                              </w:p>
                              <w:p w14:paraId="41A09AA0" w14:textId="77777777" w:rsidR="005757C6" w:rsidRDefault="005757C6" w:rsidP="005757C6">
                                <w:pPr>
                                  <w:jc w:val="center"/>
                                  <w:rPr>
                                    <w:rFonts w:cs="Times New Roman"/>
                                  </w:rPr>
                                </w:pPr>
                              </w:p>
                            </w:txbxContent>
                          </wps:txbx>
                          <wps:bodyPr rot="0" vert="horz" wrap="square" lIns="91440" tIns="45720" rIns="91440" bIns="45720" anchor="ctr" anchorCtr="0" upright="1">
                            <a:noAutofit/>
                          </wps:bodyPr>
                        </wps:wsp>
                        <wps:wsp>
                          <wps:cNvPr id="12" name="Rectangle 10"/>
                          <wps:cNvSpPr>
                            <a:spLocks noChangeArrowheads="1"/>
                          </wps:cNvSpPr>
                          <wps:spPr bwMode="auto">
                            <a:xfrm>
                              <a:off x="0" y="15096"/>
                              <a:ext cx="47529" cy="18764"/>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6FEB6CAA" w14:textId="77777777" w:rsidR="005757C6" w:rsidRDefault="005757C6" w:rsidP="005757C6">
                                <w:pPr>
                                  <w:spacing w:line="240" w:lineRule="auto"/>
                                  <w:jc w:val="center"/>
                                  <w:rPr>
                                    <w:rFonts w:cs="Times New Roman"/>
                                    <w:b/>
                                    <w:bCs/>
                                    <w:sz w:val="18"/>
                                    <w:szCs w:val="18"/>
                                  </w:rPr>
                                </w:pPr>
                                <w:r>
                                  <w:rPr>
                                    <w:rFonts w:cs="Times New Roman"/>
                                    <w:b/>
                                    <w:bCs/>
                                    <w:sz w:val="18"/>
                                    <w:szCs w:val="18"/>
                                  </w:rPr>
                                  <w:t>Variables extracted</w:t>
                                </w:r>
                              </w:p>
                              <w:p w14:paraId="35B4A70D" w14:textId="77777777" w:rsidR="005757C6" w:rsidRDefault="005757C6" w:rsidP="005757C6">
                                <w:pPr>
                                  <w:spacing w:line="240" w:lineRule="auto"/>
                                  <w:rPr>
                                    <w:rFonts w:cs="Times New Roman"/>
                                    <w:sz w:val="18"/>
                                    <w:szCs w:val="18"/>
                                    <w:lang w:val="en-GB"/>
                                  </w:rPr>
                                </w:pPr>
                                <w:r>
                                  <w:rPr>
                                    <w:rFonts w:cs="Times New Roman"/>
                                    <w:b/>
                                    <w:bCs/>
                                    <w:sz w:val="18"/>
                                    <w:szCs w:val="18"/>
                                  </w:rPr>
                                  <w:t>T:</w:t>
                                </w:r>
                                <w:r>
                                  <w:rPr>
                                    <w:rFonts w:cs="Times New Roman"/>
                                    <w:sz w:val="18"/>
                                    <w:szCs w:val="18"/>
                                  </w:rPr>
                                  <w:t xml:space="preserve"> TB (</w:t>
                                </w:r>
                                <w:r>
                                  <w:rPr>
                                    <w:rFonts w:cs="Times New Roman"/>
                                    <w:sz w:val="18"/>
                                    <w:szCs w:val="18"/>
                                    <w:lang w:val="en-GB"/>
                                  </w:rPr>
                                  <w:t>ICD codes A15-A19</w:t>
                                </w:r>
                                <w:r>
                                  <w:rPr>
                                    <w:rFonts w:cs="Times New Roman"/>
                                    <w:sz w:val="18"/>
                                    <w:szCs w:val="18"/>
                                  </w:rPr>
                                  <w:t>) deaths, the main cause of death</w:t>
                                </w:r>
                                <w:r>
                                  <w:rPr>
                                    <w:rFonts w:cs="Times New Roman"/>
                                    <w:sz w:val="18"/>
                                    <w:szCs w:val="18"/>
                                    <w:lang w:val="en-GB"/>
                                  </w:rPr>
                                  <w:t>.</w:t>
                                </w:r>
                              </w:p>
                              <w:p w14:paraId="6E7969C6" w14:textId="77777777" w:rsidR="005757C6" w:rsidRDefault="005757C6" w:rsidP="005757C6">
                                <w:pPr>
                                  <w:spacing w:line="240" w:lineRule="auto"/>
                                  <w:rPr>
                                    <w:rFonts w:cs="Times New Roman"/>
                                    <w:sz w:val="18"/>
                                    <w:szCs w:val="18"/>
                                    <w:lang w:val="en-GB"/>
                                  </w:rPr>
                                </w:pPr>
                                <w:r>
                                  <w:rPr>
                                    <w:rFonts w:cs="Times New Roman"/>
                                    <w:b/>
                                    <w:bCs/>
                                    <w:sz w:val="18"/>
                                    <w:szCs w:val="18"/>
                                    <w:lang w:val="en-GB"/>
                                  </w:rPr>
                                  <w:t>H:</w:t>
                                </w:r>
                                <w:r>
                                  <w:rPr>
                                    <w:rFonts w:cs="Times New Roman"/>
                                    <w:sz w:val="18"/>
                                    <w:szCs w:val="18"/>
                                    <w:lang w:val="en-GB"/>
                                  </w:rPr>
                                  <w:t xml:space="preserve"> HIV </w:t>
                                </w:r>
                                <w:r>
                                  <w:rPr>
                                    <w:rFonts w:cs="Times New Roman"/>
                                    <w:sz w:val="18"/>
                                    <w:szCs w:val="18"/>
                                  </w:rPr>
                                  <w:t xml:space="preserve">(ICD codes B20-B24) </w:t>
                                </w:r>
                                <w:r>
                                  <w:rPr>
                                    <w:rFonts w:cs="Times New Roman"/>
                                    <w:sz w:val="18"/>
                                    <w:szCs w:val="18"/>
                                    <w:lang w:val="en-GB"/>
                                  </w:rPr>
                                  <w:t>is the underlying cause of death, TB listed as 1</w:t>
                                </w:r>
                                <w:r>
                                  <w:rPr>
                                    <w:rFonts w:cs="Times New Roman"/>
                                    <w:sz w:val="18"/>
                                    <w:szCs w:val="18"/>
                                    <w:vertAlign w:val="superscript"/>
                                    <w:lang w:val="en-GB"/>
                                  </w:rPr>
                                  <w:t>st</w:t>
                                </w:r>
                                <w:r>
                                  <w:rPr>
                                    <w:rFonts w:cs="Times New Roman"/>
                                    <w:sz w:val="18"/>
                                    <w:szCs w:val="18"/>
                                    <w:lang w:val="en-GB"/>
                                  </w:rPr>
                                  <w:t>, 2</w:t>
                                </w:r>
                                <w:r>
                                  <w:rPr>
                                    <w:rFonts w:cs="Times New Roman"/>
                                    <w:sz w:val="18"/>
                                    <w:szCs w:val="18"/>
                                    <w:vertAlign w:val="superscript"/>
                                    <w:lang w:val="en-GB"/>
                                  </w:rPr>
                                  <w:t>nd</w:t>
                                </w:r>
                                <w:r>
                                  <w:rPr>
                                    <w:rFonts w:cs="Times New Roman"/>
                                    <w:sz w:val="18"/>
                                    <w:szCs w:val="18"/>
                                    <w:lang w:val="en-GB"/>
                                  </w:rPr>
                                  <w:t>, 3</w:t>
                                </w:r>
                                <w:r>
                                  <w:rPr>
                                    <w:rFonts w:cs="Times New Roman"/>
                                    <w:sz w:val="18"/>
                                    <w:szCs w:val="18"/>
                                    <w:vertAlign w:val="superscript"/>
                                    <w:lang w:val="en-GB"/>
                                  </w:rPr>
                                  <w:t>rd</w:t>
                                </w:r>
                                <w:r>
                                  <w:rPr>
                                    <w:rFonts w:cs="Times New Roman"/>
                                    <w:sz w:val="18"/>
                                    <w:szCs w:val="18"/>
                                    <w:lang w:val="en-GB"/>
                                  </w:rPr>
                                  <w:t xml:space="preserve"> or 4</w:t>
                                </w:r>
                                <w:r>
                                  <w:rPr>
                                    <w:rFonts w:cs="Times New Roman"/>
                                    <w:sz w:val="18"/>
                                    <w:szCs w:val="18"/>
                                    <w:vertAlign w:val="superscript"/>
                                    <w:lang w:val="en-GB"/>
                                  </w:rPr>
                                  <w:t>th</w:t>
                                </w:r>
                                <w:r>
                                  <w:rPr>
                                    <w:rFonts w:cs="Times New Roman"/>
                                    <w:sz w:val="18"/>
                                    <w:szCs w:val="18"/>
                                    <w:lang w:val="en-GB"/>
                                  </w:rPr>
                                  <w:t xml:space="preserve"> contributing cause. </w:t>
                                </w:r>
                              </w:p>
                              <w:p w14:paraId="42DBB8C8" w14:textId="77777777" w:rsidR="005757C6" w:rsidRDefault="005757C6" w:rsidP="005757C6">
                                <w:pPr>
                                  <w:spacing w:line="240" w:lineRule="auto"/>
                                  <w:rPr>
                                    <w:rFonts w:cs="Times New Roman"/>
                                    <w:sz w:val="18"/>
                                    <w:szCs w:val="18"/>
                                  </w:rPr>
                                </w:pPr>
                                <w:r>
                                  <w:rPr>
                                    <w:rFonts w:cs="Times New Roman"/>
                                    <w:b/>
                                    <w:bCs/>
                                    <w:sz w:val="18"/>
                                    <w:szCs w:val="18"/>
                                  </w:rPr>
                                  <w:t>M:</w:t>
                                </w:r>
                                <w:r>
                                  <w:rPr>
                                    <w:rFonts w:cs="Times New Roman"/>
                                    <w:sz w:val="18"/>
                                    <w:szCs w:val="18"/>
                                  </w:rPr>
                                  <w:t xml:space="preserve"> missing and garbage code (ICD codes R00-R99).</w:t>
                                </w:r>
                              </w:p>
                              <w:p w14:paraId="024CA135" w14:textId="77777777" w:rsidR="005757C6" w:rsidRDefault="005757C6" w:rsidP="005757C6">
                                <w:pPr>
                                  <w:spacing w:line="240" w:lineRule="auto"/>
                                  <w:rPr>
                                    <w:rFonts w:cs="Times New Roman"/>
                                    <w:sz w:val="18"/>
                                    <w:szCs w:val="18"/>
                                  </w:rPr>
                                </w:pPr>
                                <w:r>
                                  <w:rPr>
                                    <w:rFonts w:cs="Times New Roman"/>
                                    <w:sz w:val="18"/>
                                    <w:szCs w:val="18"/>
                                  </w:rPr>
                                  <w:t>Additional fields: age, sex, years: 1997 – 2016</w:t>
                                </w:r>
                              </w:p>
                              <w:p w14:paraId="50D12BD8" w14:textId="5D8FB62A" w:rsidR="005757C6" w:rsidRDefault="005757C6" w:rsidP="005757C6">
                                <w:pPr>
                                  <w:spacing w:line="240" w:lineRule="auto"/>
                                  <w:rPr>
                                    <w:rFonts w:cs="Times New Roman"/>
                                    <w:sz w:val="18"/>
                                    <w:szCs w:val="18"/>
                                  </w:rPr>
                                </w:pPr>
                              </w:p>
                            </w:txbxContent>
                          </wps:txbx>
                          <wps:bodyPr rot="0" vert="horz" wrap="square" lIns="91440" tIns="45720" rIns="91440" bIns="45720" anchor="ctr" anchorCtr="0" upright="1">
                            <a:noAutofit/>
                          </wps:bodyPr>
                        </wps:wsp>
                        <wps:wsp>
                          <wps:cNvPr id="13" name="Rectangle 9"/>
                          <wps:cNvSpPr>
                            <a:spLocks noChangeArrowheads="1"/>
                          </wps:cNvSpPr>
                          <wps:spPr bwMode="auto">
                            <a:xfrm>
                              <a:off x="12767" y="38732"/>
                              <a:ext cx="22002" cy="7144"/>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289605F1" w14:textId="77777777" w:rsidR="005757C6" w:rsidRDefault="005757C6" w:rsidP="005757C6">
                                <w:pPr>
                                  <w:spacing w:line="240" w:lineRule="auto"/>
                                  <w:jc w:val="center"/>
                                  <w:rPr>
                                    <w:rFonts w:cs="Times New Roman"/>
                                    <w:b/>
                                    <w:bCs/>
                                    <w:sz w:val="18"/>
                                    <w:szCs w:val="18"/>
                                  </w:rPr>
                                </w:pPr>
                                <w:r>
                                  <w:rPr>
                                    <w:rFonts w:cs="Times New Roman"/>
                                    <w:b/>
                                    <w:bCs/>
                                    <w:sz w:val="18"/>
                                    <w:szCs w:val="18"/>
                                  </w:rPr>
                                  <w:t xml:space="preserve">Proportional distribution of unspecified age and sex. </w:t>
                                </w:r>
                              </w:p>
                              <w:p w14:paraId="1E6EBFED" w14:textId="6D4C639D" w:rsidR="005757C6" w:rsidRDefault="005757C6" w:rsidP="005757C6">
                                <w:pPr>
                                  <w:spacing w:line="240" w:lineRule="auto"/>
                                  <w:jc w:val="center"/>
                                  <w:rPr>
                                    <w:rFonts w:cs="Times New Roman"/>
                                    <w:b/>
                                    <w:bCs/>
                                    <w:sz w:val="18"/>
                                    <w:szCs w:val="18"/>
                                    <w:lang w:val="en-GB"/>
                                  </w:rPr>
                                </w:pPr>
                              </w:p>
                            </w:txbxContent>
                          </wps:txbx>
                          <wps:bodyPr rot="0" vert="horz" wrap="square" lIns="91440" tIns="45720" rIns="91440" bIns="45720" anchor="ctr" anchorCtr="0" upright="1">
                            <a:noAutofit/>
                          </wps:bodyPr>
                        </wps:wsp>
                        <wps:wsp>
                          <wps:cNvPr id="14" name="Rectangle 8"/>
                          <wps:cNvSpPr>
                            <a:spLocks noChangeArrowheads="1"/>
                          </wps:cNvSpPr>
                          <wps:spPr bwMode="auto">
                            <a:xfrm>
                              <a:off x="5846" y="51068"/>
                              <a:ext cx="35879" cy="13467"/>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4E48F9BE" w14:textId="77777777" w:rsidR="005757C6" w:rsidRDefault="005757C6" w:rsidP="005757C6">
                                <w:pPr>
                                  <w:spacing w:line="276" w:lineRule="auto"/>
                                  <w:jc w:val="center"/>
                                  <w:rPr>
                                    <w:rFonts w:cs="Times New Roman"/>
                                    <w:b/>
                                    <w:bCs/>
                                    <w:sz w:val="18"/>
                                    <w:szCs w:val="18"/>
                                  </w:rPr>
                                </w:pPr>
                                <w:r>
                                  <w:rPr>
                                    <w:rFonts w:cs="Times New Roman"/>
                                    <w:b/>
                                    <w:bCs/>
                                    <w:sz w:val="18"/>
                                    <w:szCs w:val="18"/>
                                  </w:rPr>
                                  <w:t xml:space="preserve">Estimated completeness (C = N/O) </w:t>
                                </w:r>
                              </w:p>
                              <w:p w14:paraId="60A1DEA4" w14:textId="77777777" w:rsidR="005757C6" w:rsidRDefault="005757C6" w:rsidP="005757C6">
                                <w:pPr>
                                  <w:spacing w:line="240" w:lineRule="auto"/>
                                  <w:jc w:val="both"/>
                                  <w:rPr>
                                    <w:rFonts w:cs="Times New Roman"/>
                                    <w:sz w:val="18"/>
                                    <w:szCs w:val="18"/>
                                  </w:rPr>
                                </w:pPr>
                                <w:r>
                                  <w:rPr>
                                    <w:rFonts w:cs="Times New Roman"/>
                                    <w:b/>
                                    <w:bCs/>
                                    <w:sz w:val="18"/>
                                    <w:szCs w:val="18"/>
                                  </w:rPr>
                                  <w:t>N:</w:t>
                                </w:r>
                                <w:r>
                                  <w:rPr>
                                    <w:rFonts w:cs="Times New Roman"/>
                                    <w:sz w:val="18"/>
                                    <w:szCs w:val="18"/>
                                  </w:rPr>
                                  <w:t xml:space="preserve"> total (annual) number of deaths recorded in the vital register</w:t>
                                </w:r>
                              </w:p>
                              <w:p w14:paraId="3CE713A4" w14:textId="77777777" w:rsidR="005757C6" w:rsidRDefault="005757C6" w:rsidP="005757C6">
                                <w:pPr>
                                  <w:spacing w:line="276" w:lineRule="auto"/>
                                  <w:jc w:val="both"/>
                                  <w:rPr>
                                    <w:rFonts w:cs="Times New Roman"/>
                                    <w:sz w:val="18"/>
                                    <w:szCs w:val="18"/>
                                  </w:rPr>
                                </w:pPr>
                                <w:r>
                                  <w:rPr>
                                    <w:rFonts w:cs="Times New Roman"/>
                                    <w:b/>
                                    <w:bCs/>
                                    <w:sz w:val="18"/>
                                    <w:szCs w:val="18"/>
                                  </w:rPr>
                                  <w:t>O</w:t>
                                </w:r>
                                <w:r>
                                  <w:rPr>
                                    <w:rFonts w:cs="Times New Roman"/>
                                    <w:sz w:val="18"/>
                                    <w:szCs w:val="18"/>
                                  </w:rPr>
                                  <w:t xml:space="preserve">: estimated (annual) </w:t>
                                </w:r>
                                <w:r>
                                  <w:rPr>
                                    <w:rFonts w:cs="Times New Roman"/>
                                    <w:i/>
                                    <w:iCs/>
                                    <w:sz w:val="18"/>
                                    <w:szCs w:val="18"/>
                                  </w:rPr>
                                  <w:t>total</w:t>
                                </w:r>
                                <w:r>
                                  <w:rPr>
                                    <w:rFonts w:cs="Times New Roman"/>
                                    <w:sz w:val="18"/>
                                    <w:szCs w:val="18"/>
                                  </w:rPr>
                                  <w:t xml:space="preserve"> number of deaths (Thembisa)</w:t>
                                </w:r>
                              </w:p>
                              <w:p w14:paraId="07E96129" w14:textId="26966FA1" w:rsidR="005757C6" w:rsidRDefault="005757C6" w:rsidP="005757C6">
                                <w:pPr>
                                  <w:spacing w:line="276" w:lineRule="auto"/>
                                  <w:rPr>
                                    <w:rFonts w:cs="Times New Roman"/>
                                    <w:sz w:val="18"/>
                                    <w:szCs w:val="18"/>
                                  </w:rPr>
                                </w:pPr>
                              </w:p>
                            </w:txbxContent>
                          </wps:txbx>
                          <wps:bodyPr rot="0" vert="horz" wrap="square" lIns="91440" tIns="45720" rIns="91440" bIns="45720" anchor="ctr" anchorCtr="0" upright="1">
                            <a:noAutofit/>
                          </wps:bodyPr>
                        </wps:wsp>
                        <wps:wsp>
                          <wps:cNvPr id="15" name="Straight Arrow Connector 14"/>
                          <wps:cNvCnPr>
                            <a:cxnSpLocks noChangeShapeType="1"/>
                          </wps:cNvCnPr>
                          <wps:spPr bwMode="auto">
                            <a:xfrm>
                              <a:off x="22759" y="10869"/>
                              <a:ext cx="0" cy="323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5" name="Straight Arrow Connector 13"/>
                          <wps:cNvCnPr>
                            <a:cxnSpLocks noChangeShapeType="1"/>
                          </wps:cNvCnPr>
                          <wps:spPr bwMode="auto">
                            <a:xfrm>
                              <a:off x="23276" y="34505"/>
                              <a:ext cx="0" cy="3239"/>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6" name="Straight Arrow Connector 12"/>
                          <wps:cNvCnPr>
                            <a:cxnSpLocks noChangeShapeType="1"/>
                          </wps:cNvCnPr>
                          <wps:spPr bwMode="auto">
                            <a:xfrm>
                              <a:off x="23794" y="46841"/>
                              <a:ext cx="0" cy="323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29" name="Straight Arrow Connector 11"/>
                        <wps:cNvCnPr>
                          <a:cxnSpLocks noChangeShapeType="1"/>
                        </wps:cNvCnPr>
                        <wps:spPr bwMode="auto">
                          <a:xfrm>
                            <a:off x="24570" y="65043"/>
                            <a:ext cx="0" cy="323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653809D8" id="Group 3" o:spid="_x0000_s1026" style="width:426pt;height:542.95pt;mso-position-horizontal-relative:char;mso-position-vertical-relative:line" coordsize="47529,79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">
                <v:rect id="Rectangle 5" o:spid="_x0000_s1027" style="position:absolute;left:12242;top:68895;width:24575;height:10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" fillcolor="white [3201]" strokecolor="#4472c4 [3204]" strokeweight="1pt">
                  <v:textbox>
                    <w:txbxContent>
                      <w:p w14:paraId="137B0874" w14:textId="77777777" w:rsidR="005757C6" w:rsidRDefault="005757C6" w:rsidP="005757C6">
                        <w:pPr>
                          <w:spacing w:line="276" w:lineRule="auto"/>
                          <w:jc w:val="center"/>
                          <w:rPr>
                            <w:rFonts w:cs="Times New Roman"/>
                            <w:b/>
                            <w:bCs/>
                            <w:sz w:val="20"/>
                            <w:szCs w:val="20"/>
                          </w:rPr>
                        </w:pPr>
                        <w:r>
                          <w:rPr>
                            <w:rFonts w:cs="Times New Roman"/>
                            <w:b/>
                            <w:bCs/>
                            <w:sz w:val="20"/>
                            <w:szCs w:val="20"/>
                          </w:rPr>
                          <w:t>Overall adjustment</w:t>
                        </w:r>
                      </w:p>
                      <w:p w14:paraId="72001152" w14:textId="28548FF0" w:rsidR="005757C6" w:rsidRDefault="0033730E" w:rsidP="005757C6">
                        <w:pPr>
                          <w:spacing w:line="276" w:lineRule="auto"/>
                          <w:rPr>
                            <w:rFonts w:cs="Times New Roman"/>
                            <w:sz w:val="18"/>
                            <w:szCs w:val="18"/>
                          </w:rPr>
                        </w:pPr>
                        <m:oMathPara>
                          <m:oMath>
                            <m:r>
                              <w:rPr>
                                <w:rFonts w:ascii="Cambria Math" w:hAnsi="Cambria Math" w:cs="Times New Roman"/>
                              </w:rPr>
                              <m:t>Y=</m:t>
                            </m:r>
                            <m:f>
                              <m:fPr>
                                <m:ctrlPr>
                                  <w:rPr>
                                    <w:rFonts w:ascii="Cambria Math" w:hAnsi="Cambria Math" w:cs="Times New Roman"/>
                                    <w:i/>
                                  </w:rPr>
                                </m:ctrlPr>
                              </m:fPr>
                              <m:num>
                                <m:r>
                                  <w:rPr>
                                    <w:rFonts w:ascii="Cambria Math" w:hAnsi="Cambria Math" w:cs="Times New Roman"/>
                                    <w:sz w:val="20"/>
                                    <w:szCs w:val="20"/>
                                  </w:rPr>
                                  <m:t>T+H</m:t>
                                </m:r>
                              </m:num>
                              <m:den>
                                <m:d>
                                  <m:dPr>
                                    <m:ctrlPr>
                                      <w:rPr>
                                        <w:rFonts w:ascii="Cambria Math" w:hAnsi="Cambria Math" w:cs="Times New Roman"/>
                                        <w:i/>
                                      </w:rPr>
                                    </m:ctrlPr>
                                  </m:dPr>
                                  <m:e>
                                    <m:r>
                                      <w:rPr>
                                        <w:rFonts w:ascii="Cambria Math" w:hAnsi="Cambria Math" w:cs="Times New Roman"/>
                                        <w:sz w:val="20"/>
                                        <w:szCs w:val="20"/>
                                      </w:rPr>
                                      <m:t>1-</m:t>
                                    </m:r>
                                    <m:f>
                                      <m:fPr>
                                        <m:ctrlPr>
                                          <w:rPr>
                                            <w:rFonts w:ascii="Cambria Math" w:hAnsi="Cambria Math" w:cs="Times New Roman"/>
                                            <w:i/>
                                          </w:rPr>
                                        </m:ctrlPr>
                                      </m:fPr>
                                      <m:num>
                                        <m:r>
                                          <w:rPr>
                                            <w:rFonts w:ascii="Cambria Math" w:hAnsi="Cambria Math" w:cs="Times New Roman"/>
                                            <w:sz w:val="20"/>
                                            <w:szCs w:val="20"/>
                                          </w:rPr>
                                          <m:t>M</m:t>
                                        </m:r>
                                      </m:num>
                                      <m:den>
                                        <m:r>
                                          <w:rPr>
                                            <w:rFonts w:ascii="Cambria Math" w:hAnsi="Cambria Math" w:cs="Times New Roman"/>
                                            <w:sz w:val="20"/>
                                            <w:szCs w:val="20"/>
                                          </w:rPr>
                                          <m:t>N</m:t>
                                        </m:r>
                                      </m:den>
                                    </m:f>
                                  </m:e>
                                </m:d>
                                <m:r>
                                  <w:rPr>
                                    <w:rFonts w:ascii="Cambria Math" w:hAnsi="Cambria Math" w:cs="Times New Roman"/>
                                    <w:sz w:val="20"/>
                                    <w:szCs w:val="20"/>
                                  </w:rPr>
                                  <m:t>C</m:t>
                                </m:r>
                              </m:den>
                            </m:f>
                          </m:oMath>
                        </m:oMathPara>
                      </w:p>
                    </w:txbxContent>
                  </v:textbox>
                </v:rect>
                <v:group id="Group 15" o:spid="_x0000_s1028" style="position:absolute;width:47529;height:64535" coordsize="47529,6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4" o:spid="_x0000_s1029" style="position:absolute;left:9747;width:25527;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" fillcolor="white [3201]" strokecolor="#4472c4 [3204]" strokeweight="1pt">
                    <v:textbox>
                      <w:txbxContent>
                        <w:p w14:paraId="6F491D3F" w14:textId="77777777" w:rsidR="005757C6" w:rsidRDefault="005757C6" w:rsidP="005757C6">
                          <w:pPr>
                            <w:spacing w:line="276" w:lineRule="auto"/>
                            <w:jc w:val="center"/>
                            <w:rPr>
                              <w:rFonts w:cs="Times New Roman"/>
                              <w:b/>
                              <w:bCs/>
                              <w:sz w:val="18"/>
                              <w:szCs w:val="18"/>
                            </w:rPr>
                          </w:pPr>
                          <w:r>
                            <w:rPr>
                              <w:rFonts w:cs="Times New Roman"/>
                              <w:b/>
                              <w:bCs/>
                              <w:sz w:val="18"/>
                              <w:szCs w:val="18"/>
                            </w:rPr>
                            <w:t>Extracted mortality data from Stats SA database</w:t>
                          </w:r>
                        </w:p>
                        <w:p w14:paraId="62F3E4E2" w14:textId="77777777" w:rsidR="005757C6" w:rsidRDefault="00000000" w:rsidP="005757C6">
                          <w:pPr>
                            <w:spacing w:line="276" w:lineRule="auto"/>
                            <w:jc w:val="center"/>
                            <w:rPr>
                              <w:rFonts w:cs="Times New Roman"/>
                              <w:sz w:val="18"/>
                              <w:szCs w:val="18"/>
                              <w:u w:val="single"/>
                              <w:lang w:val="en-GB"/>
                            </w:rPr>
                          </w:pPr>
                          <w:hyperlink r:id="rId17" w:history="1">
                            <w:r w:rsidR="005757C6">
                              <w:rPr>
                                <w:rStyle w:val="Hyperlink"/>
                                <w:rFonts w:cs="Times New Roman"/>
                                <w:sz w:val="18"/>
                                <w:szCs w:val="18"/>
                              </w:rPr>
                              <w:t>http://nesstar.statssa.gov.za:8282/webview/</w:t>
                            </w:r>
                          </w:hyperlink>
                        </w:p>
                        <w:p w14:paraId="41A09AA0" w14:textId="77777777" w:rsidR="005757C6" w:rsidRDefault="005757C6" w:rsidP="005757C6">
                          <w:pPr>
                            <w:jc w:val="center"/>
                            <w:rPr>
                              <w:rFonts w:cs="Times New Roman"/>
                            </w:rPr>
                          </w:pPr>
                        </w:p>
                      </w:txbxContent>
                    </v:textbox>
                  </v:rect>
                  <v:rect id="Rectangle 10" o:spid="_x0000_s1030" style="position:absolute;top:15096;width:47529;height:18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" fillcolor="white [3201]" strokecolor="#4472c4 [3204]" strokeweight="1pt">
                    <v:textbox>
                      <w:txbxContent>
                        <w:p w14:paraId="6FEB6CAA" w14:textId="77777777" w:rsidR="005757C6" w:rsidRDefault="005757C6" w:rsidP="005757C6">
                          <w:pPr>
                            <w:spacing w:line="240" w:lineRule="auto"/>
                            <w:jc w:val="center"/>
                            <w:rPr>
                              <w:rFonts w:cs="Times New Roman"/>
                              <w:b/>
                              <w:bCs/>
                              <w:sz w:val="18"/>
                              <w:szCs w:val="18"/>
                            </w:rPr>
                          </w:pPr>
                          <w:r>
                            <w:rPr>
                              <w:rFonts w:cs="Times New Roman"/>
                              <w:b/>
                              <w:bCs/>
                              <w:sz w:val="18"/>
                              <w:szCs w:val="18"/>
                            </w:rPr>
                            <w:t>Variables extracted</w:t>
                          </w:r>
                        </w:p>
                        <w:p w14:paraId="35B4A70D" w14:textId="77777777" w:rsidR="005757C6" w:rsidRDefault="005757C6" w:rsidP="005757C6">
                          <w:pPr>
                            <w:spacing w:line="240" w:lineRule="auto"/>
                            <w:rPr>
                              <w:rFonts w:cs="Times New Roman"/>
                              <w:sz w:val="18"/>
                              <w:szCs w:val="18"/>
                              <w:lang w:val="en-GB"/>
                            </w:rPr>
                          </w:pPr>
                          <w:r>
                            <w:rPr>
                              <w:rFonts w:cs="Times New Roman"/>
                              <w:b/>
                              <w:bCs/>
                              <w:sz w:val="18"/>
                              <w:szCs w:val="18"/>
                            </w:rPr>
                            <w:t>T:</w:t>
                          </w:r>
                          <w:r>
                            <w:rPr>
                              <w:rFonts w:cs="Times New Roman"/>
                              <w:sz w:val="18"/>
                              <w:szCs w:val="18"/>
                            </w:rPr>
                            <w:t xml:space="preserve"> TB (</w:t>
                          </w:r>
                          <w:r>
                            <w:rPr>
                              <w:rFonts w:cs="Times New Roman"/>
                              <w:sz w:val="18"/>
                              <w:szCs w:val="18"/>
                              <w:lang w:val="en-GB"/>
                            </w:rPr>
                            <w:t>ICD codes A15-A19</w:t>
                          </w:r>
                          <w:r>
                            <w:rPr>
                              <w:rFonts w:cs="Times New Roman"/>
                              <w:sz w:val="18"/>
                              <w:szCs w:val="18"/>
                            </w:rPr>
                            <w:t>) deaths, the main cause of death</w:t>
                          </w:r>
                          <w:r>
                            <w:rPr>
                              <w:rFonts w:cs="Times New Roman"/>
                              <w:sz w:val="18"/>
                              <w:szCs w:val="18"/>
                              <w:lang w:val="en-GB"/>
                            </w:rPr>
                            <w:t>.</w:t>
                          </w:r>
                        </w:p>
                        <w:p w14:paraId="6E7969C6" w14:textId="77777777" w:rsidR="005757C6" w:rsidRDefault="005757C6" w:rsidP="005757C6">
                          <w:pPr>
                            <w:spacing w:line="240" w:lineRule="auto"/>
                            <w:rPr>
                              <w:rFonts w:cs="Times New Roman"/>
                              <w:sz w:val="18"/>
                              <w:szCs w:val="18"/>
                              <w:lang w:val="en-GB"/>
                            </w:rPr>
                          </w:pPr>
                          <w:r>
                            <w:rPr>
                              <w:rFonts w:cs="Times New Roman"/>
                              <w:b/>
                              <w:bCs/>
                              <w:sz w:val="18"/>
                              <w:szCs w:val="18"/>
                              <w:lang w:val="en-GB"/>
                            </w:rPr>
                            <w:t>H:</w:t>
                          </w:r>
                          <w:r>
                            <w:rPr>
                              <w:rFonts w:cs="Times New Roman"/>
                              <w:sz w:val="18"/>
                              <w:szCs w:val="18"/>
                              <w:lang w:val="en-GB"/>
                            </w:rPr>
                            <w:t xml:space="preserve"> HIV </w:t>
                          </w:r>
                          <w:r>
                            <w:rPr>
                              <w:rFonts w:cs="Times New Roman"/>
                              <w:sz w:val="18"/>
                              <w:szCs w:val="18"/>
                            </w:rPr>
                            <w:t xml:space="preserve">(ICD codes B20-B24) </w:t>
                          </w:r>
                          <w:r>
                            <w:rPr>
                              <w:rFonts w:cs="Times New Roman"/>
                              <w:sz w:val="18"/>
                              <w:szCs w:val="18"/>
                              <w:lang w:val="en-GB"/>
                            </w:rPr>
                            <w:t>is the underlying cause of death, TB listed as 1</w:t>
                          </w:r>
                          <w:r>
                            <w:rPr>
                              <w:rFonts w:cs="Times New Roman"/>
                              <w:sz w:val="18"/>
                              <w:szCs w:val="18"/>
                              <w:vertAlign w:val="superscript"/>
                              <w:lang w:val="en-GB"/>
                            </w:rPr>
                            <w:t>st</w:t>
                          </w:r>
                          <w:r>
                            <w:rPr>
                              <w:rFonts w:cs="Times New Roman"/>
                              <w:sz w:val="18"/>
                              <w:szCs w:val="18"/>
                              <w:lang w:val="en-GB"/>
                            </w:rPr>
                            <w:t>, 2</w:t>
                          </w:r>
                          <w:r>
                            <w:rPr>
                              <w:rFonts w:cs="Times New Roman"/>
                              <w:sz w:val="18"/>
                              <w:szCs w:val="18"/>
                              <w:vertAlign w:val="superscript"/>
                              <w:lang w:val="en-GB"/>
                            </w:rPr>
                            <w:t>nd</w:t>
                          </w:r>
                          <w:r>
                            <w:rPr>
                              <w:rFonts w:cs="Times New Roman"/>
                              <w:sz w:val="18"/>
                              <w:szCs w:val="18"/>
                              <w:lang w:val="en-GB"/>
                            </w:rPr>
                            <w:t>, 3</w:t>
                          </w:r>
                          <w:r>
                            <w:rPr>
                              <w:rFonts w:cs="Times New Roman"/>
                              <w:sz w:val="18"/>
                              <w:szCs w:val="18"/>
                              <w:vertAlign w:val="superscript"/>
                              <w:lang w:val="en-GB"/>
                            </w:rPr>
                            <w:t>rd</w:t>
                          </w:r>
                          <w:r>
                            <w:rPr>
                              <w:rFonts w:cs="Times New Roman"/>
                              <w:sz w:val="18"/>
                              <w:szCs w:val="18"/>
                              <w:lang w:val="en-GB"/>
                            </w:rPr>
                            <w:t xml:space="preserve"> or 4</w:t>
                          </w:r>
                          <w:r>
                            <w:rPr>
                              <w:rFonts w:cs="Times New Roman"/>
                              <w:sz w:val="18"/>
                              <w:szCs w:val="18"/>
                              <w:vertAlign w:val="superscript"/>
                              <w:lang w:val="en-GB"/>
                            </w:rPr>
                            <w:t>th</w:t>
                          </w:r>
                          <w:r>
                            <w:rPr>
                              <w:rFonts w:cs="Times New Roman"/>
                              <w:sz w:val="18"/>
                              <w:szCs w:val="18"/>
                              <w:lang w:val="en-GB"/>
                            </w:rPr>
                            <w:t xml:space="preserve"> contributing cause. </w:t>
                          </w:r>
                        </w:p>
                        <w:p w14:paraId="42DBB8C8" w14:textId="77777777" w:rsidR="005757C6" w:rsidRDefault="005757C6" w:rsidP="005757C6">
                          <w:pPr>
                            <w:spacing w:line="240" w:lineRule="auto"/>
                            <w:rPr>
                              <w:rFonts w:cs="Times New Roman"/>
                              <w:sz w:val="18"/>
                              <w:szCs w:val="18"/>
                            </w:rPr>
                          </w:pPr>
                          <w:r>
                            <w:rPr>
                              <w:rFonts w:cs="Times New Roman"/>
                              <w:b/>
                              <w:bCs/>
                              <w:sz w:val="18"/>
                              <w:szCs w:val="18"/>
                            </w:rPr>
                            <w:t>M:</w:t>
                          </w:r>
                          <w:r>
                            <w:rPr>
                              <w:rFonts w:cs="Times New Roman"/>
                              <w:sz w:val="18"/>
                              <w:szCs w:val="18"/>
                            </w:rPr>
                            <w:t xml:space="preserve"> missing and garbage code (ICD codes R00-R99).</w:t>
                          </w:r>
                        </w:p>
                        <w:p w14:paraId="024CA135" w14:textId="77777777" w:rsidR="005757C6" w:rsidRDefault="005757C6" w:rsidP="005757C6">
                          <w:pPr>
                            <w:spacing w:line="240" w:lineRule="auto"/>
                            <w:rPr>
                              <w:rFonts w:cs="Times New Roman"/>
                              <w:sz w:val="18"/>
                              <w:szCs w:val="18"/>
                            </w:rPr>
                          </w:pPr>
                          <w:r>
                            <w:rPr>
                              <w:rFonts w:cs="Times New Roman"/>
                              <w:sz w:val="18"/>
                              <w:szCs w:val="18"/>
                            </w:rPr>
                            <w:t>Additional fields: age, sex, years: 1997 – 2016</w:t>
                          </w:r>
                        </w:p>
                        <w:p w14:paraId="50D12BD8" w14:textId="5D8FB62A" w:rsidR="005757C6" w:rsidRDefault="005757C6" w:rsidP="005757C6">
                          <w:pPr>
                            <w:spacing w:line="240" w:lineRule="auto"/>
                            <w:rPr>
                              <w:rFonts w:cs="Times New Roman"/>
                              <w:sz w:val="18"/>
                              <w:szCs w:val="18"/>
                            </w:rPr>
                          </w:pPr>
                        </w:p>
                      </w:txbxContent>
                    </v:textbox>
                  </v:rect>
                  <v:rect id="Rectangle 9" o:spid="_x0000_s1031" style="position:absolute;left:12767;top:38732;width:22002;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" fillcolor="white [3201]" strokecolor="#4472c4 [3204]" strokeweight="1pt">
                    <v:textbox>
                      <w:txbxContent>
                        <w:p w14:paraId="289605F1" w14:textId="77777777" w:rsidR="005757C6" w:rsidRDefault="005757C6" w:rsidP="005757C6">
                          <w:pPr>
                            <w:spacing w:line="240" w:lineRule="auto"/>
                            <w:jc w:val="center"/>
                            <w:rPr>
                              <w:rFonts w:cs="Times New Roman"/>
                              <w:b/>
                              <w:bCs/>
                              <w:sz w:val="18"/>
                              <w:szCs w:val="18"/>
                            </w:rPr>
                          </w:pPr>
                          <w:r>
                            <w:rPr>
                              <w:rFonts w:cs="Times New Roman"/>
                              <w:b/>
                              <w:bCs/>
                              <w:sz w:val="18"/>
                              <w:szCs w:val="18"/>
                            </w:rPr>
                            <w:t xml:space="preserve">Proportional distribution of unspecified age and sex. </w:t>
                          </w:r>
                        </w:p>
                        <w:p w14:paraId="1E6EBFED" w14:textId="6D4C639D" w:rsidR="005757C6" w:rsidRDefault="005757C6" w:rsidP="005757C6">
                          <w:pPr>
                            <w:spacing w:line="240" w:lineRule="auto"/>
                            <w:jc w:val="center"/>
                            <w:rPr>
                              <w:rFonts w:cs="Times New Roman"/>
                              <w:b/>
                              <w:bCs/>
                              <w:sz w:val="18"/>
                              <w:szCs w:val="18"/>
                              <w:lang w:val="en-GB"/>
                            </w:rPr>
                          </w:pPr>
                        </w:p>
                      </w:txbxContent>
                    </v:textbox>
                  </v:rect>
                  <v:rect id="Rectangle 8" o:spid="_x0000_s1032" style="position:absolute;left:5846;top:51068;width:35879;height:1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" fillcolor="white [3201]" strokecolor="#4472c4 [3204]" strokeweight="1pt">
                    <v:textbox>
                      <w:txbxContent>
                        <w:p w14:paraId="4E48F9BE" w14:textId="77777777" w:rsidR="005757C6" w:rsidRDefault="005757C6" w:rsidP="005757C6">
                          <w:pPr>
                            <w:spacing w:line="276" w:lineRule="auto"/>
                            <w:jc w:val="center"/>
                            <w:rPr>
                              <w:rFonts w:cs="Times New Roman"/>
                              <w:b/>
                              <w:bCs/>
                              <w:sz w:val="18"/>
                              <w:szCs w:val="18"/>
                            </w:rPr>
                          </w:pPr>
                          <w:r>
                            <w:rPr>
                              <w:rFonts w:cs="Times New Roman"/>
                              <w:b/>
                              <w:bCs/>
                              <w:sz w:val="18"/>
                              <w:szCs w:val="18"/>
                            </w:rPr>
                            <w:t xml:space="preserve">Estimated completeness (C = N/O) </w:t>
                          </w:r>
                        </w:p>
                        <w:p w14:paraId="60A1DEA4" w14:textId="77777777" w:rsidR="005757C6" w:rsidRDefault="005757C6" w:rsidP="005757C6">
                          <w:pPr>
                            <w:spacing w:line="240" w:lineRule="auto"/>
                            <w:jc w:val="both"/>
                            <w:rPr>
                              <w:rFonts w:cs="Times New Roman"/>
                              <w:sz w:val="18"/>
                              <w:szCs w:val="18"/>
                            </w:rPr>
                          </w:pPr>
                          <w:r>
                            <w:rPr>
                              <w:rFonts w:cs="Times New Roman"/>
                              <w:b/>
                              <w:bCs/>
                              <w:sz w:val="18"/>
                              <w:szCs w:val="18"/>
                            </w:rPr>
                            <w:t>N:</w:t>
                          </w:r>
                          <w:r>
                            <w:rPr>
                              <w:rFonts w:cs="Times New Roman"/>
                              <w:sz w:val="18"/>
                              <w:szCs w:val="18"/>
                            </w:rPr>
                            <w:t xml:space="preserve"> total (annual) number of deaths recorded in the vital register</w:t>
                          </w:r>
                        </w:p>
                        <w:p w14:paraId="3CE713A4" w14:textId="77777777" w:rsidR="005757C6" w:rsidRDefault="005757C6" w:rsidP="005757C6">
                          <w:pPr>
                            <w:spacing w:line="276" w:lineRule="auto"/>
                            <w:jc w:val="both"/>
                            <w:rPr>
                              <w:rFonts w:cs="Times New Roman"/>
                              <w:sz w:val="18"/>
                              <w:szCs w:val="18"/>
                            </w:rPr>
                          </w:pPr>
                          <w:r>
                            <w:rPr>
                              <w:rFonts w:cs="Times New Roman"/>
                              <w:b/>
                              <w:bCs/>
                              <w:sz w:val="18"/>
                              <w:szCs w:val="18"/>
                            </w:rPr>
                            <w:t>O</w:t>
                          </w:r>
                          <w:r>
                            <w:rPr>
                              <w:rFonts w:cs="Times New Roman"/>
                              <w:sz w:val="18"/>
                              <w:szCs w:val="18"/>
                            </w:rPr>
                            <w:t xml:space="preserve">: estimated (annual) </w:t>
                          </w:r>
                          <w:r>
                            <w:rPr>
                              <w:rFonts w:cs="Times New Roman"/>
                              <w:i/>
                              <w:iCs/>
                              <w:sz w:val="18"/>
                              <w:szCs w:val="18"/>
                            </w:rPr>
                            <w:t>total</w:t>
                          </w:r>
                          <w:r>
                            <w:rPr>
                              <w:rFonts w:cs="Times New Roman"/>
                              <w:sz w:val="18"/>
                              <w:szCs w:val="18"/>
                            </w:rPr>
                            <w:t xml:space="preserve"> number of deaths (Thembisa)</w:t>
                          </w:r>
                        </w:p>
                        <w:p w14:paraId="07E96129" w14:textId="26966FA1" w:rsidR="005757C6" w:rsidRDefault="005757C6" w:rsidP="005757C6">
                          <w:pPr>
                            <w:spacing w:line="276" w:lineRule="auto"/>
                            <w:rPr>
                              <w:rFonts w:cs="Times New Roman"/>
                              <w:sz w:val="18"/>
                              <w:szCs w:val="18"/>
                            </w:rPr>
                          </w:pPr>
                        </w:p>
                      </w:txbxContent>
                    </v:textbox>
                  </v:rect>
                  <v:shapetype id="_x0000_t32" coordsize="21600,21600" o:spt="32" o:oned="t" path="m,l21600,21600e" filled="f">
                    <v:path arrowok="t" fillok="f" o:connecttype="none"/>
                    <o:lock v:ext="edit" shapetype="t"/>
                  </v:shapetype>
                  <v:shape id="Straight Arrow Connector 14" o:spid="_x0000_s1033" type="#_x0000_t32" style="position:absolute;left:22759;top:10869;width:0;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" strokecolor="#4472c4 [3204]" strokeweight=".5pt">
                    <v:stroke endarrow="block" joinstyle="miter"/>
                  </v:shape>
                  <v:shape id="Straight Arrow Connector 13" o:spid="_x0000_s1034" type="#_x0000_t32" style="position:absolute;left:23276;top:34505;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" strokecolor="#4472c4 [3204]" strokeweight=".5pt">
                    <v:stroke endarrow="block" joinstyle="miter"/>
                  </v:shape>
                  <v:shape id="Straight Arrow Connector 12" o:spid="_x0000_s1035" type="#_x0000_t32" style="position:absolute;left:23794;top:46841;width:0;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" strokecolor="#4472c4 [3204]" strokeweight=".5pt">
                    <v:stroke endarrow="block" joinstyle="miter"/>
                  </v:shape>
                </v:group>
                <v:shape id="Straight Arrow Connector 11" o:spid="_x0000_s1036" type="#_x0000_t32" style="position:absolute;left:24570;top:65043;width:0;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" strokecolor="#4472c4 [3204]" strokeweight=".5pt">
                  <v:stroke endarrow="block" joinstyle="miter"/>
                </v:shape>
                <w10:anchorlock/>
              </v:group>
            </w:pict>
          </mc:Fallback>
        </mc:AlternateContent>
      </w:r>
    </w:p>
    <w:p w14:paraId="3B1996C5" w14:textId="43ED38F0" w:rsidR="005757C6" w:rsidRPr="00435469" w:rsidRDefault="005757C6" w:rsidP="00955FFB">
      <w:pPr>
        <w:spacing w:line="240" w:lineRule="auto"/>
        <w:rPr>
          <w:rFonts w:cs="Times New Roman"/>
          <w:sz w:val="20"/>
          <w:szCs w:val="20"/>
        </w:rPr>
      </w:pPr>
      <w:r w:rsidRPr="00435469">
        <w:rPr>
          <w:rFonts w:cs="Times New Roman"/>
          <w:sz w:val="20"/>
          <w:szCs w:val="20"/>
        </w:rPr>
        <w:br w:type="page"/>
      </w:r>
    </w:p>
    <w:p w14:paraId="5FB9C7C0" w14:textId="6757D7E4" w:rsidR="005757C6" w:rsidRPr="00435469" w:rsidRDefault="005757C6" w:rsidP="00955FFB">
      <w:pPr>
        <w:pStyle w:val="3CaptionBelowwithNote"/>
        <w:rPr>
          <w:rFonts w:cs="Times New Roman"/>
          <w:sz w:val="20"/>
          <w:szCs w:val="20"/>
        </w:rPr>
      </w:pPr>
      <w:bookmarkStart w:id="319" w:name="_Ref100004514"/>
      <w:bookmarkStart w:id="320" w:name="_Toc103253674"/>
      <w:r w:rsidRPr="00435469">
        <w:rPr>
          <w:sz w:val="20"/>
          <w:szCs w:val="20"/>
        </w:rPr>
        <w:lastRenderedPageBreak/>
        <w:t xml:space="preserve">Table </w:t>
      </w:r>
      <w:r w:rsidRPr="00435469">
        <w:rPr>
          <w:sz w:val="20"/>
          <w:szCs w:val="20"/>
        </w:rPr>
        <w:fldChar w:fldCharType="begin"/>
      </w:r>
      <w:r w:rsidRPr="00435469">
        <w:rPr>
          <w:sz w:val="20"/>
          <w:szCs w:val="20"/>
        </w:rPr>
        <w:instrText xml:space="preserve"> SEQ Table \* ARABIC </w:instrText>
      </w:r>
      <w:r w:rsidRPr="00435469">
        <w:rPr>
          <w:sz w:val="20"/>
          <w:szCs w:val="20"/>
        </w:rPr>
        <w:fldChar w:fldCharType="separate"/>
      </w:r>
      <w:r w:rsidR="00186C2F" w:rsidRPr="00435469">
        <w:rPr>
          <w:sz w:val="20"/>
          <w:szCs w:val="20"/>
        </w:rPr>
        <w:t>21</w:t>
      </w:r>
      <w:r w:rsidRPr="00435469">
        <w:rPr>
          <w:sz w:val="20"/>
          <w:szCs w:val="20"/>
        </w:rPr>
        <w:fldChar w:fldCharType="end"/>
      </w:r>
      <w:bookmarkEnd w:id="319"/>
      <w:r w:rsidRPr="00435469">
        <w:rPr>
          <w:sz w:val="20"/>
          <w:szCs w:val="20"/>
        </w:rPr>
        <w:t>: Number of tuberculosis deaths and adjustments</w:t>
      </w:r>
      <w:bookmarkEnd w:id="320"/>
    </w:p>
    <w:tbl>
      <w:tblPr>
        <w:tblW w:w="9930" w:type="dxa"/>
        <w:tblLayout w:type="fixed"/>
        <w:tblLook w:val="04A0" w:firstRow="1" w:lastRow="0" w:firstColumn="1" w:lastColumn="0" w:noHBand="0" w:noVBand="1"/>
      </w:tblPr>
      <w:tblGrid>
        <w:gridCol w:w="838"/>
        <w:gridCol w:w="1166"/>
        <w:gridCol w:w="1492"/>
        <w:gridCol w:w="1413"/>
        <w:gridCol w:w="979"/>
        <w:gridCol w:w="1046"/>
        <w:gridCol w:w="1486"/>
        <w:gridCol w:w="1510"/>
      </w:tblGrid>
      <w:tr w:rsidR="0061685C" w:rsidRPr="00435469" w14:paraId="6BE12CEF" w14:textId="77777777" w:rsidTr="005757C6">
        <w:trPr>
          <w:trHeight w:val="933"/>
        </w:trPr>
        <w:tc>
          <w:tcPr>
            <w:tcW w:w="837" w:type="dxa"/>
            <w:tcBorders>
              <w:top w:val="single" w:sz="4" w:space="0" w:color="auto"/>
              <w:left w:val="nil"/>
              <w:bottom w:val="single" w:sz="4" w:space="0" w:color="auto"/>
              <w:right w:val="nil"/>
            </w:tcBorders>
            <w:vAlign w:val="center"/>
            <w:hideMark/>
          </w:tcPr>
          <w:p w14:paraId="7530F5D3"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Death year</w:t>
            </w:r>
          </w:p>
        </w:tc>
        <w:tc>
          <w:tcPr>
            <w:tcW w:w="1167" w:type="dxa"/>
            <w:tcBorders>
              <w:top w:val="single" w:sz="4" w:space="0" w:color="auto"/>
              <w:left w:val="nil"/>
              <w:bottom w:val="single" w:sz="4" w:space="0" w:color="auto"/>
              <w:right w:val="nil"/>
            </w:tcBorders>
            <w:vAlign w:val="center"/>
            <w:hideMark/>
          </w:tcPr>
          <w:p w14:paraId="7253A120"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TB Underlying cause of death</w:t>
            </w:r>
          </w:p>
          <w:p w14:paraId="0D594409"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(T)</w:t>
            </w:r>
          </w:p>
        </w:tc>
        <w:tc>
          <w:tcPr>
            <w:tcW w:w="1493" w:type="dxa"/>
            <w:tcBorders>
              <w:top w:val="single" w:sz="4" w:space="0" w:color="auto"/>
              <w:left w:val="nil"/>
              <w:bottom w:val="single" w:sz="4" w:space="0" w:color="auto"/>
              <w:right w:val="nil"/>
            </w:tcBorders>
            <w:vAlign w:val="center"/>
            <w:hideMark/>
          </w:tcPr>
          <w:p w14:paraId="3493C70A"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HIV is the underlying cause, and TB contributing</w:t>
            </w:r>
          </w:p>
          <w:p w14:paraId="2447A632"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(H)</w:t>
            </w:r>
          </w:p>
        </w:tc>
        <w:tc>
          <w:tcPr>
            <w:tcW w:w="1414" w:type="dxa"/>
            <w:tcBorders>
              <w:top w:val="single" w:sz="4" w:space="0" w:color="auto"/>
              <w:left w:val="nil"/>
              <w:bottom w:val="single" w:sz="4" w:space="0" w:color="auto"/>
              <w:right w:val="nil"/>
            </w:tcBorders>
            <w:vAlign w:val="center"/>
            <w:hideMark/>
          </w:tcPr>
          <w:p w14:paraId="6BBFA4A7"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Missing/garbage code (R00-R99)</w:t>
            </w:r>
          </w:p>
          <w:p w14:paraId="321C885D"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(M)</w:t>
            </w:r>
          </w:p>
        </w:tc>
        <w:tc>
          <w:tcPr>
            <w:tcW w:w="979" w:type="dxa"/>
            <w:tcBorders>
              <w:top w:val="single" w:sz="4" w:space="0" w:color="auto"/>
              <w:left w:val="nil"/>
              <w:bottom w:val="single" w:sz="4" w:space="0" w:color="auto"/>
              <w:right w:val="nil"/>
            </w:tcBorders>
            <w:vAlign w:val="center"/>
            <w:hideMark/>
          </w:tcPr>
          <w:p w14:paraId="0BA82EA1"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Total recorded deaths</w:t>
            </w:r>
          </w:p>
          <w:p w14:paraId="4E119DF8"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(N)</w:t>
            </w:r>
          </w:p>
        </w:tc>
        <w:tc>
          <w:tcPr>
            <w:tcW w:w="1047" w:type="dxa"/>
            <w:tcBorders>
              <w:top w:val="single" w:sz="4" w:space="0" w:color="auto"/>
              <w:left w:val="nil"/>
              <w:bottom w:val="single" w:sz="4" w:space="0" w:color="auto"/>
              <w:right w:val="nil"/>
            </w:tcBorders>
            <w:vAlign w:val="center"/>
            <w:hideMark/>
          </w:tcPr>
          <w:p w14:paraId="14E617E0" w14:textId="77777777" w:rsidR="005757C6" w:rsidRPr="00435469" w:rsidRDefault="005757C6" w:rsidP="00955FFB">
            <w:pPr>
              <w:pStyle w:val="3TableNote"/>
              <w:spacing w:after="0"/>
              <w:jc w:val="center"/>
              <w:rPr>
                <w:b/>
                <w:bCs/>
                <w:sz w:val="16"/>
                <w:szCs w:val="16"/>
                <w:lang w:eastAsia="en-ZA"/>
              </w:rPr>
            </w:pPr>
            <w:proofErr w:type="spellStart"/>
            <w:r w:rsidRPr="00435469">
              <w:rPr>
                <w:b/>
                <w:bCs/>
                <w:sz w:val="16"/>
                <w:szCs w:val="16"/>
                <w:lang w:eastAsia="en-ZA"/>
              </w:rPr>
              <w:t>Thembisa</w:t>
            </w:r>
            <w:proofErr w:type="spellEnd"/>
            <w:r w:rsidRPr="00435469">
              <w:rPr>
                <w:b/>
                <w:bCs/>
                <w:sz w:val="16"/>
                <w:szCs w:val="16"/>
                <w:lang w:eastAsia="en-ZA"/>
              </w:rPr>
              <w:t xml:space="preserve"> Total deaths output</w:t>
            </w:r>
          </w:p>
          <w:p w14:paraId="5A2EAB9D"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(O)</w:t>
            </w:r>
          </w:p>
        </w:tc>
        <w:tc>
          <w:tcPr>
            <w:tcW w:w="1487" w:type="dxa"/>
            <w:tcBorders>
              <w:top w:val="single" w:sz="4" w:space="0" w:color="auto"/>
              <w:left w:val="nil"/>
              <w:bottom w:val="single" w:sz="4" w:space="0" w:color="auto"/>
              <w:right w:val="nil"/>
            </w:tcBorders>
            <w:vAlign w:val="center"/>
            <w:hideMark/>
          </w:tcPr>
          <w:p w14:paraId="4B7A8B90"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Completeness: % total deaths that get recorded</w:t>
            </w:r>
          </w:p>
          <w:p w14:paraId="3748F1DF"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(C)</w:t>
            </w:r>
          </w:p>
        </w:tc>
        <w:tc>
          <w:tcPr>
            <w:tcW w:w="1511" w:type="dxa"/>
            <w:tcBorders>
              <w:top w:val="single" w:sz="4" w:space="0" w:color="auto"/>
              <w:left w:val="nil"/>
              <w:bottom w:val="single" w:sz="4" w:space="0" w:color="auto"/>
              <w:right w:val="nil"/>
            </w:tcBorders>
            <w:vAlign w:val="bottom"/>
          </w:tcPr>
          <w:p w14:paraId="0473DAB2"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Overall adjusted TB deaths</w:t>
            </w:r>
          </w:p>
          <w:p w14:paraId="6B999A9B" w14:textId="77777777" w:rsidR="005757C6" w:rsidRPr="00435469" w:rsidRDefault="005757C6" w:rsidP="00955FFB">
            <w:pPr>
              <w:pStyle w:val="3TableNote"/>
              <w:spacing w:after="0"/>
              <w:jc w:val="center"/>
              <w:rPr>
                <w:b/>
                <w:bCs/>
                <w:sz w:val="16"/>
                <w:szCs w:val="16"/>
                <w:lang w:eastAsia="en-ZA"/>
              </w:rPr>
            </w:pPr>
            <w:r w:rsidRPr="00435469">
              <w:rPr>
                <w:b/>
                <w:bCs/>
                <w:sz w:val="16"/>
                <w:szCs w:val="16"/>
                <w:lang w:eastAsia="en-ZA"/>
              </w:rPr>
              <w:t>(Y)</w:t>
            </w:r>
          </w:p>
          <w:p w14:paraId="7ECD1222" w14:textId="77777777" w:rsidR="005757C6" w:rsidRPr="00435469" w:rsidRDefault="005757C6" w:rsidP="00955FFB">
            <w:pPr>
              <w:pStyle w:val="3TableNote"/>
              <w:spacing w:after="0"/>
              <w:jc w:val="center"/>
              <w:rPr>
                <w:b/>
                <w:bCs/>
                <w:sz w:val="16"/>
                <w:szCs w:val="16"/>
                <w:lang w:eastAsia="en-ZA"/>
              </w:rPr>
            </w:pPr>
          </w:p>
        </w:tc>
      </w:tr>
      <w:tr w:rsidR="0061685C" w:rsidRPr="00435469" w14:paraId="529AA90E" w14:textId="77777777" w:rsidTr="005757C6">
        <w:trPr>
          <w:trHeight w:val="289"/>
        </w:trPr>
        <w:tc>
          <w:tcPr>
            <w:tcW w:w="837" w:type="dxa"/>
            <w:tcBorders>
              <w:top w:val="single" w:sz="4" w:space="0" w:color="auto"/>
              <w:left w:val="nil"/>
              <w:bottom w:val="nil"/>
              <w:right w:val="nil"/>
            </w:tcBorders>
            <w:noWrap/>
            <w:vAlign w:val="bottom"/>
            <w:hideMark/>
          </w:tcPr>
          <w:p w14:paraId="02B77D2A"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1997</w:t>
            </w:r>
          </w:p>
        </w:tc>
        <w:tc>
          <w:tcPr>
            <w:tcW w:w="1167" w:type="dxa"/>
            <w:tcBorders>
              <w:top w:val="single" w:sz="4" w:space="0" w:color="auto"/>
              <w:left w:val="nil"/>
              <w:bottom w:val="nil"/>
              <w:right w:val="nil"/>
            </w:tcBorders>
            <w:noWrap/>
            <w:vAlign w:val="bottom"/>
            <w:hideMark/>
          </w:tcPr>
          <w:p w14:paraId="5449748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22152</w:t>
            </w:r>
          </w:p>
        </w:tc>
        <w:tc>
          <w:tcPr>
            <w:tcW w:w="1493" w:type="dxa"/>
            <w:tcBorders>
              <w:top w:val="single" w:sz="4" w:space="0" w:color="auto"/>
              <w:left w:val="nil"/>
              <w:bottom w:val="nil"/>
              <w:right w:val="nil"/>
            </w:tcBorders>
            <w:noWrap/>
            <w:vAlign w:val="bottom"/>
            <w:hideMark/>
          </w:tcPr>
          <w:p w14:paraId="2108F2D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1801</w:t>
            </w:r>
          </w:p>
        </w:tc>
        <w:tc>
          <w:tcPr>
            <w:tcW w:w="1414" w:type="dxa"/>
            <w:tcBorders>
              <w:top w:val="single" w:sz="4" w:space="0" w:color="auto"/>
              <w:left w:val="nil"/>
              <w:bottom w:val="nil"/>
              <w:right w:val="nil"/>
            </w:tcBorders>
            <w:noWrap/>
            <w:vAlign w:val="bottom"/>
            <w:hideMark/>
          </w:tcPr>
          <w:p w14:paraId="6F599DC9"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42399</w:t>
            </w:r>
          </w:p>
        </w:tc>
        <w:tc>
          <w:tcPr>
            <w:tcW w:w="979" w:type="dxa"/>
            <w:tcBorders>
              <w:top w:val="single" w:sz="4" w:space="0" w:color="auto"/>
              <w:left w:val="nil"/>
              <w:bottom w:val="nil"/>
              <w:right w:val="nil"/>
            </w:tcBorders>
            <w:noWrap/>
            <w:vAlign w:val="bottom"/>
            <w:hideMark/>
          </w:tcPr>
          <w:p w14:paraId="5C072D3E"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323854</w:t>
            </w:r>
          </w:p>
        </w:tc>
        <w:tc>
          <w:tcPr>
            <w:tcW w:w="1047" w:type="dxa"/>
            <w:tcBorders>
              <w:top w:val="single" w:sz="4" w:space="0" w:color="auto"/>
              <w:left w:val="nil"/>
              <w:bottom w:val="nil"/>
              <w:right w:val="nil"/>
            </w:tcBorders>
            <w:noWrap/>
            <w:vAlign w:val="bottom"/>
            <w:hideMark/>
          </w:tcPr>
          <w:p w14:paraId="1A5F7BDE"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369395</w:t>
            </w:r>
          </w:p>
        </w:tc>
        <w:tc>
          <w:tcPr>
            <w:tcW w:w="1487" w:type="dxa"/>
            <w:tcBorders>
              <w:top w:val="single" w:sz="4" w:space="0" w:color="auto"/>
              <w:left w:val="nil"/>
              <w:bottom w:val="nil"/>
              <w:right w:val="nil"/>
            </w:tcBorders>
            <w:noWrap/>
            <w:vAlign w:val="bottom"/>
            <w:hideMark/>
          </w:tcPr>
          <w:p w14:paraId="5C1FAD0B"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0,88</w:t>
            </w:r>
          </w:p>
        </w:tc>
        <w:tc>
          <w:tcPr>
            <w:tcW w:w="1511" w:type="dxa"/>
            <w:tcBorders>
              <w:top w:val="single" w:sz="4" w:space="0" w:color="auto"/>
              <w:left w:val="nil"/>
              <w:bottom w:val="nil"/>
              <w:right w:val="nil"/>
            </w:tcBorders>
            <w:noWrap/>
            <w:vAlign w:val="bottom"/>
            <w:hideMark/>
          </w:tcPr>
          <w:p w14:paraId="463E5E14"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31437</w:t>
            </w:r>
          </w:p>
        </w:tc>
      </w:tr>
      <w:tr w:rsidR="0061685C" w:rsidRPr="00435469" w14:paraId="2594C348" w14:textId="77777777" w:rsidTr="005757C6">
        <w:trPr>
          <w:trHeight w:val="289"/>
        </w:trPr>
        <w:tc>
          <w:tcPr>
            <w:tcW w:w="837" w:type="dxa"/>
            <w:noWrap/>
            <w:vAlign w:val="bottom"/>
            <w:hideMark/>
          </w:tcPr>
          <w:p w14:paraId="21493F3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1998</w:t>
            </w:r>
          </w:p>
        </w:tc>
        <w:tc>
          <w:tcPr>
            <w:tcW w:w="1167" w:type="dxa"/>
            <w:noWrap/>
            <w:vAlign w:val="bottom"/>
            <w:hideMark/>
          </w:tcPr>
          <w:p w14:paraId="120C15FA"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28656</w:t>
            </w:r>
          </w:p>
        </w:tc>
        <w:tc>
          <w:tcPr>
            <w:tcW w:w="1493" w:type="dxa"/>
            <w:noWrap/>
            <w:vAlign w:val="bottom"/>
            <w:hideMark/>
          </w:tcPr>
          <w:p w14:paraId="74B3D33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2164</w:t>
            </w:r>
          </w:p>
        </w:tc>
        <w:tc>
          <w:tcPr>
            <w:tcW w:w="1414" w:type="dxa"/>
            <w:noWrap/>
            <w:vAlign w:val="bottom"/>
            <w:hideMark/>
          </w:tcPr>
          <w:p w14:paraId="31BBA693"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51165</w:t>
            </w:r>
          </w:p>
        </w:tc>
        <w:tc>
          <w:tcPr>
            <w:tcW w:w="979" w:type="dxa"/>
            <w:noWrap/>
            <w:vAlign w:val="bottom"/>
            <w:hideMark/>
          </w:tcPr>
          <w:p w14:paraId="06F21FF6"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374351</w:t>
            </w:r>
          </w:p>
        </w:tc>
        <w:tc>
          <w:tcPr>
            <w:tcW w:w="1047" w:type="dxa"/>
            <w:noWrap/>
            <w:vAlign w:val="bottom"/>
            <w:hideMark/>
          </w:tcPr>
          <w:p w14:paraId="11C0C995" w14:textId="5F0BCA1C" w:rsidR="005757C6" w:rsidRPr="00435469" w:rsidRDefault="005757C6" w:rsidP="00955FFB">
            <w:pPr>
              <w:pStyle w:val="3TableNote"/>
              <w:spacing w:after="0"/>
              <w:jc w:val="center"/>
              <w:rPr>
                <w:sz w:val="16"/>
                <w:szCs w:val="16"/>
                <w:lang w:eastAsia="en-ZA"/>
              </w:rPr>
            </w:pPr>
            <w:r w:rsidRPr="00435469">
              <w:rPr>
                <w:sz w:val="16"/>
                <w:szCs w:val="16"/>
                <w:lang w:eastAsia="en-ZA"/>
              </w:rPr>
              <w:t>40886</w:t>
            </w:r>
            <w:r w:rsidR="00872946" w:rsidRPr="00435469">
              <w:rPr>
                <w:sz w:val="16"/>
                <w:szCs w:val="16"/>
                <w:lang w:eastAsia="en-ZA"/>
              </w:rPr>
              <w:t>1</w:t>
            </w:r>
          </w:p>
        </w:tc>
        <w:tc>
          <w:tcPr>
            <w:tcW w:w="1487" w:type="dxa"/>
            <w:noWrap/>
            <w:vAlign w:val="bottom"/>
            <w:hideMark/>
          </w:tcPr>
          <w:p w14:paraId="2C0208D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0,95</w:t>
            </w:r>
          </w:p>
        </w:tc>
        <w:tc>
          <w:tcPr>
            <w:tcW w:w="1511" w:type="dxa"/>
            <w:noWrap/>
            <w:vAlign w:val="bottom"/>
            <w:hideMark/>
          </w:tcPr>
          <w:p w14:paraId="651AAE72"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38990</w:t>
            </w:r>
          </w:p>
        </w:tc>
      </w:tr>
      <w:tr w:rsidR="0061685C" w:rsidRPr="00435469" w14:paraId="6F2B67D6" w14:textId="77777777" w:rsidTr="005757C6">
        <w:trPr>
          <w:trHeight w:val="289"/>
        </w:trPr>
        <w:tc>
          <w:tcPr>
            <w:tcW w:w="837" w:type="dxa"/>
            <w:noWrap/>
            <w:vAlign w:val="bottom"/>
            <w:hideMark/>
          </w:tcPr>
          <w:p w14:paraId="4EE9E87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1999</w:t>
            </w:r>
          </w:p>
        </w:tc>
        <w:tc>
          <w:tcPr>
            <w:tcW w:w="1167" w:type="dxa"/>
            <w:noWrap/>
            <w:vAlign w:val="bottom"/>
            <w:hideMark/>
          </w:tcPr>
          <w:p w14:paraId="7E88E5CA"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34377</w:t>
            </w:r>
          </w:p>
        </w:tc>
        <w:tc>
          <w:tcPr>
            <w:tcW w:w="1493" w:type="dxa"/>
            <w:noWrap/>
            <w:vAlign w:val="bottom"/>
            <w:hideMark/>
          </w:tcPr>
          <w:p w14:paraId="64E4632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2858</w:t>
            </w:r>
          </w:p>
        </w:tc>
        <w:tc>
          <w:tcPr>
            <w:tcW w:w="1414" w:type="dxa"/>
            <w:noWrap/>
            <w:vAlign w:val="bottom"/>
            <w:hideMark/>
          </w:tcPr>
          <w:p w14:paraId="28BDABA9"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47436</w:t>
            </w:r>
          </w:p>
        </w:tc>
        <w:tc>
          <w:tcPr>
            <w:tcW w:w="979" w:type="dxa"/>
            <w:noWrap/>
            <w:vAlign w:val="bottom"/>
            <w:hideMark/>
          </w:tcPr>
          <w:p w14:paraId="0F6F44F8"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394656</w:t>
            </w:r>
          </w:p>
        </w:tc>
        <w:tc>
          <w:tcPr>
            <w:tcW w:w="1047" w:type="dxa"/>
            <w:noWrap/>
            <w:vAlign w:val="bottom"/>
            <w:hideMark/>
          </w:tcPr>
          <w:p w14:paraId="3AB59804" w14:textId="62557534" w:rsidR="005757C6" w:rsidRPr="00435469" w:rsidRDefault="005757C6" w:rsidP="00955FFB">
            <w:pPr>
              <w:pStyle w:val="3TableNote"/>
              <w:spacing w:after="0"/>
              <w:jc w:val="center"/>
              <w:rPr>
                <w:sz w:val="16"/>
                <w:szCs w:val="16"/>
                <w:lang w:eastAsia="en-ZA"/>
              </w:rPr>
            </w:pPr>
            <w:r w:rsidRPr="00435469">
              <w:rPr>
                <w:sz w:val="16"/>
                <w:szCs w:val="16"/>
                <w:lang w:eastAsia="en-ZA"/>
              </w:rPr>
              <w:t>42335</w:t>
            </w:r>
            <w:r w:rsidR="00872946" w:rsidRPr="00435469">
              <w:rPr>
                <w:sz w:val="16"/>
                <w:szCs w:val="16"/>
                <w:lang w:eastAsia="en-ZA"/>
              </w:rPr>
              <w:t>2</w:t>
            </w:r>
          </w:p>
        </w:tc>
        <w:tc>
          <w:tcPr>
            <w:tcW w:w="1487" w:type="dxa"/>
            <w:noWrap/>
            <w:vAlign w:val="bottom"/>
            <w:hideMark/>
          </w:tcPr>
          <w:p w14:paraId="63959496"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0,93</w:t>
            </w:r>
          </w:p>
        </w:tc>
        <w:tc>
          <w:tcPr>
            <w:tcW w:w="1511" w:type="dxa"/>
            <w:noWrap/>
            <w:vAlign w:val="bottom"/>
            <w:hideMark/>
          </w:tcPr>
          <w:p w14:paraId="7C72351A"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45399</w:t>
            </w:r>
          </w:p>
        </w:tc>
      </w:tr>
      <w:tr w:rsidR="0061685C" w:rsidRPr="00435469" w14:paraId="00E39FDC" w14:textId="77777777" w:rsidTr="005757C6">
        <w:trPr>
          <w:trHeight w:val="289"/>
        </w:trPr>
        <w:tc>
          <w:tcPr>
            <w:tcW w:w="837" w:type="dxa"/>
            <w:noWrap/>
            <w:vAlign w:val="bottom"/>
            <w:hideMark/>
          </w:tcPr>
          <w:p w14:paraId="016A3EC8"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2000</w:t>
            </w:r>
          </w:p>
        </w:tc>
        <w:tc>
          <w:tcPr>
            <w:tcW w:w="1167" w:type="dxa"/>
            <w:noWrap/>
            <w:vAlign w:val="bottom"/>
            <w:hideMark/>
          </w:tcPr>
          <w:p w14:paraId="63F72AD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42581</w:t>
            </w:r>
          </w:p>
        </w:tc>
        <w:tc>
          <w:tcPr>
            <w:tcW w:w="1493" w:type="dxa"/>
            <w:noWrap/>
            <w:vAlign w:val="bottom"/>
            <w:hideMark/>
          </w:tcPr>
          <w:p w14:paraId="1C344092"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2945</w:t>
            </w:r>
          </w:p>
        </w:tc>
        <w:tc>
          <w:tcPr>
            <w:tcW w:w="1414" w:type="dxa"/>
            <w:noWrap/>
            <w:vAlign w:val="bottom"/>
            <w:hideMark/>
          </w:tcPr>
          <w:p w14:paraId="1B9DEFA4"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52334</w:t>
            </w:r>
          </w:p>
        </w:tc>
        <w:tc>
          <w:tcPr>
            <w:tcW w:w="979" w:type="dxa"/>
            <w:noWrap/>
            <w:vAlign w:val="bottom"/>
            <w:hideMark/>
          </w:tcPr>
          <w:p w14:paraId="14FF2ED0"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429825</w:t>
            </w:r>
          </w:p>
        </w:tc>
        <w:tc>
          <w:tcPr>
            <w:tcW w:w="1047" w:type="dxa"/>
            <w:noWrap/>
            <w:vAlign w:val="bottom"/>
            <w:hideMark/>
          </w:tcPr>
          <w:p w14:paraId="1CB398F0"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456393</w:t>
            </w:r>
          </w:p>
        </w:tc>
        <w:tc>
          <w:tcPr>
            <w:tcW w:w="1487" w:type="dxa"/>
            <w:noWrap/>
            <w:vAlign w:val="bottom"/>
            <w:hideMark/>
          </w:tcPr>
          <w:p w14:paraId="30FEEB95"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0,94</w:t>
            </w:r>
          </w:p>
        </w:tc>
        <w:tc>
          <w:tcPr>
            <w:tcW w:w="1511" w:type="dxa"/>
            <w:noWrap/>
            <w:vAlign w:val="bottom"/>
            <w:hideMark/>
          </w:tcPr>
          <w:p w14:paraId="3EA0760A"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55042</w:t>
            </w:r>
          </w:p>
        </w:tc>
      </w:tr>
      <w:tr w:rsidR="0061685C" w:rsidRPr="00435469" w14:paraId="02E73655" w14:textId="77777777" w:rsidTr="005757C6">
        <w:trPr>
          <w:trHeight w:val="289"/>
        </w:trPr>
        <w:tc>
          <w:tcPr>
            <w:tcW w:w="837" w:type="dxa"/>
            <w:noWrap/>
            <w:vAlign w:val="bottom"/>
            <w:hideMark/>
          </w:tcPr>
          <w:p w14:paraId="3ED3C10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2001</w:t>
            </w:r>
          </w:p>
        </w:tc>
        <w:tc>
          <w:tcPr>
            <w:tcW w:w="1167" w:type="dxa"/>
            <w:noWrap/>
            <w:vAlign w:val="bottom"/>
            <w:hideMark/>
          </w:tcPr>
          <w:p w14:paraId="5CA1DE65"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51444</w:t>
            </w:r>
          </w:p>
        </w:tc>
        <w:tc>
          <w:tcPr>
            <w:tcW w:w="1493" w:type="dxa"/>
            <w:noWrap/>
            <w:vAlign w:val="bottom"/>
            <w:hideMark/>
          </w:tcPr>
          <w:p w14:paraId="48DDBE41"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2605</w:t>
            </w:r>
          </w:p>
        </w:tc>
        <w:tc>
          <w:tcPr>
            <w:tcW w:w="1414" w:type="dxa"/>
            <w:noWrap/>
            <w:vAlign w:val="bottom"/>
            <w:hideMark/>
          </w:tcPr>
          <w:p w14:paraId="7DD89D39"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58221</w:t>
            </w:r>
          </w:p>
        </w:tc>
        <w:tc>
          <w:tcPr>
            <w:tcW w:w="979" w:type="dxa"/>
            <w:noWrap/>
            <w:vAlign w:val="bottom"/>
            <w:hideMark/>
          </w:tcPr>
          <w:p w14:paraId="7A149D32"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470502</w:t>
            </w:r>
          </w:p>
        </w:tc>
        <w:tc>
          <w:tcPr>
            <w:tcW w:w="1047" w:type="dxa"/>
            <w:noWrap/>
            <w:vAlign w:val="bottom"/>
            <w:hideMark/>
          </w:tcPr>
          <w:p w14:paraId="03DF935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493844</w:t>
            </w:r>
          </w:p>
        </w:tc>
        <w:tc>
          <w:tcPr>
            <w:tcW w:w="1487" w:type="dxa"/>
            <w:noWrap/>
            <w:vAlign w:val="bottom"/>
            <w:hideMark/>
          </w:tcPr>
          <w:p w14:paraId="3324DE34"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0,95</w:t>
            </w:r>
          </w:p>
        </w:tc>
        <w:tc>
          <w:tcPr>
            <w:tcW w:w="1511" w:type="dxa"/>
            <w:noWrap/>
            <w:vAlign w:val="bottom"/>
            <w:hideMark/>
          </w:tcPr>
          <w:p w14:paraId="286D4A0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64742</w:t>
            </w:r>
          </w:p>
        </w:tc>
      </w:tr>
      <w:tr w:rsidR="0061685C" w:rsidRPr="00435469" w14:paraId="5055DFA3" w14:textId="77777777" w:rsidTr="005757C6">
        <w:trPr>
          <w:trHeight w:val="289"/>
        </w:trPr>
        <w:tc>
          <w:tcPr>
            <w:tcW w:w="837" w:type="dxa"/>
            <w:noWrap/>
            <w:vAlign w:val="bottom"/>
            <w:hideMark/>
          </w:tcPr>
          <w:p w14:paraId="4BDB8FA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2002</w:t>
            </w:r>
          </w:p>
        </w:tc>
        <w:tc>
          <w:tcPr>
            <w:tcW w:w="1167" w:type="dxa"/>
            <w:noWrap/>
            <w:vAlign w:val="bottom"/>
            <w:hideMark/>
          </w:tcPr>
          <w:p w14:paraId="4123F76E"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60715</w:t>
            </w:r>
          </w:p>
        </w:tc>
        <w:tc>
          <w:tcPr>
            <w:tcW w:w="1493" w:type="dxa"/>
            <w:noWrap/>
            <w:vAlign w:val="bottom"/>
            <w:hideMark/>
          </w:tcPr>
          <w:p w14:paraId="1BD7FC0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3168</w:t>
            </w:r>
          </w:p>
        </w:tc>
        <w:tc>
          <w:tcPr>
            <w:tcW w:w="1414" w:type="dxa"/>
            <w:noWrap/>
            <w:vAlign w:val="bottom"/>
            <w:hideMark/>
          </w:tcPr>
          <w:p w14:paraId="47ED1DF8"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63448</w:t>
            </w:r>
          </w:p>
        </w:tc>
        <w:tc>
          <w:tcPr>
            <w:tcW w:w="979" w:type="dxa"/>
            <w:noWrap/>
            <w:vAlign w:val="bottom"/>
            <w:hideMark/>
          </w:tcPr>
          <w:p w14:paraId="6EA3831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516700</w:t>
            </w:r>
          </w:p>
        </w:tc>
        <w:tc>
          <w:tcPr>
            <w:tcW w:w="1047" w:type="dxa"/>
            <w:noWrap/>
            <w:vAlign w:val="bottom"/>
            <w:hideMark/>
          </w:tcPr>
          <w:p w14:paraId="11E9EF71"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528490</w:t>
            </w:r>
          </w:p>
        </w:tc>
        <w:tc>
          <w:tcPr>
            <w:tcW w:w="1487" w:type="dxa"/>
            <w:noWrap/>
            <w:vAlign w:val="bottom"/>
            <w:hideMark/>
          </w:tcPr>
          <w:p w14:paraId="569377E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0,98</w:t>
            </w:r>
          </w:p>
        </w:tc>
        <w:tc>
          <w:tcPr>
            <w:tcW w:w="1511" w:type="dxa"/>
            <w:noWrap/>
            <w:vAlign w:val="bottom"/>
            <w:hideMark/>
          </w:tcPr>
          <w:p w14:paraId="726C8993"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74487</w:t>
            </w:r>
          </w:p>
        </w:tc>
      </w:tr>
      <w:tr w:rsidR="0061685C" w:rsidRPr="00435469" w14:paraId="0B52250E" w14:textId="77777777" w:rsidTr="005757C6">
        <w:trPr>
          <w:trHeight w:val="289"/>
        </w:trPr>
        <w:tc>
          <w:tcPr>
            <w:tcW w:w="837" w:type="dxa"/>
            <w:noWrap/>
            <w:vAlign w:val="bottom"/>
            <w:hideMark/>
          </w:tcPr>
          <w:p w14:paraId="56AF05C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2003</w:t>
            </w:r>
          </w:p>
        </w:tc>
        <w:tc>
          <w:tcPr>
            <w:tcW w:w="1167" w:type="dxa"/>
            <w:noWrap/>
            <w:vAlign w:val="bottom"/>
            <w:hideMark/>
          </w:tcPr>
          <w:p w14:paraId="137E5E98"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68251</w:t>
            </w:r>
          </w:p>
        </w:tc>
        <w:tc>
          <w:tcPr>
            <w:tcW w:w="1493" w:type="dxa"/>
            <w:noWrap/>
            <w:vAlign w:val="bottom"/>
            <w:hideMark/>
          </w:tcPr>
          <w:p w14:paraId="71FFADE1"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3301</w:t>
            </w:r>
          </w:p>
        </w:tc>
        <w:tc>
          <w:tcPr>
            <w:tcW w:w="1414" w:type="dxa"/>
            <w:noWrap/>
            <w:vAlign w:val="bottom"/>
            <w:hideMark/>
          </w:tcPr>
          <w:p w14:paraId="78BE8792"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70762</w:t>
            </w:r>
          </w:p>
        </w:tc>
        <w:tc>
          <w:tcPr>
            <w:tcW w:w="979" w:type="dxa"/>
            <w:noWrap/>
            <w:vAlign w:val="bottom"/>
            <w:hideMark/>
          </w:tcPr>
          <w:p w14:paraId="4063EF8A"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573139</w:t>
            </w:r>
          </w:p>
        </w:tc>
        <w:tc>
          <w:tcPr>
            <w:tcW w:w="1047" w:type="dxa"/>
            <w:noWrap/>
            <w:vAlign w:val="bottom"/>
            <w:hideMark/>
          </w:tcPr>
          <w:p w14:paraId="54E95294"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570371</w:t>
            </w:r>
          </w:p>
        </w:tc>
        <w:tc>
          <w:tcPr>
            <w:tcW w:w="1487" w:type="dxa"/>
            <w:noWrap/>
            <w:vAlign w:val="bottom"/>
            <w:hideMark/>
          </w:tcPr>
          <w:p w14:paraId="1611E29E"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1,00</w:t>
            </w:r>
          </w:p>
        </w:tc>
        <w:tc>
          <w:tcPr>
            <w:tcW w:w="1511" w:type="dxa"/>
            <w:noWrap/>
            <w:vAlign w:val="bottom"/>
            <w:hideMark/>
          </w:tcPr>
          <w:p w14:paraId="472F7BA0"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81236</w:t>
            </w:r>
          </w:p>
        </w:tc>
      </w:tr>
      <w:tr w:rsidR="0061685C" w:rsidRPr="00435469" w14:paraId="3ABC6AD4" w14:textId="77777777" w:rsidTr="005757C6">
        <w:trPr>
          <w:trHeight w:val="289"/>
        </w:trPr>
        <w:tc>
          <w:tcPr>
            <w:tcW w:w="837" w:type="dxa"/>
            <w:noWrap/>
            <w:vAlign w:val="bottom"/>
            <w:hideMark/>
          </w:tcPr>
          <w:p w14:paraId="23B389A8"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2004</w:t>
            </w:r>
          </w:p>
        </w:tc>
        <w:tc>
          <w:tcPr>
            <w:tcW w:w="1167" w:type="dxa"/>
            <w:noWrap/>
            <w:vAlign w:val="bottom"/>
            <w:hideMark/>
          </w:tcPr>
          <w:p w14:paraId="39B4C401"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71034</w:t>
            </w:r>
          </w:p>
        </w:tc>
        <w:tc>
          <w:tcPr>
            <w:tcW w:w="1493" w:type="dxa"/>
            <w:noWrap/>
            <w:vAlign w:val="bottom"/>
            <w:hideMark/>
          </w:tcPr>
          <w:p w14:paraId="66D02943"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3985</w:t>
            </w:r>
          </w:p>
        </w:tc>
        <w:tc>
          <w:tcPr>
            <w:tcW w:w="1414" w:type="dxa"/>
            <w:noWrap/>
            <w:vAlign w:val="bottom"/>
            <w:hideMark/>
          </w:tcPr>
          <w:p w14:paraId="5ACBD371"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71547</w:t>
            </w:r>
          </w:p>
        </w:tc>
        <w:tc>
          <w:tcPr>
            <w:tcW w:w="979" w:type="dxa"/>
            <w:noWrap/>
            <w:vAlign w:val="bottom"/>
            <w:hideMark/>
          </w:tcPr>
          <w:p w14:paraId="587B89AA"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594299</w:t>
            </w:r>
          </w:p>
        </w:tc>
        <w:tc>
          <w:tcPr>
            <w:tcW w:w="1047" w:type="dxa"/>
            <w:noWrap/>
            <w:vAlign w:val="bottom"/>
            <w:hideMark/>
          </w:tcPr>
          <w:p w14:paraId="165D2304"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616324</w:t>
            </w:r>
          </w:p>
        </w:tc>
        <w:tc>
          <w:tcPr>
            <w:tcW w:w="1487" w:type="dxa"/>
            <w:noWrap/>
            <w:vAlign w:val="bottom"/>
            <w:hideMark/>
          </w:tcPr>
          <w:p w14:paraId="0E150548"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0,96</w:t>
            </w:r>
          </w:p>
        </w:tc>
        <w:tc>
          <w:tcPr>
            <w:tcW w:w="1511" w:type="dxa"/>
            <w:noWrap/>
            <w:vAlign w:val="bottom"/>
            <w:hideMark/>
          </w:tcPr>
          <w:p w14:paraId="577850CE"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88447</w:t>
            </w:r>
          </w:p>
        </w:tc>
      </w:tr>
      <w:tr w:rsidR="0061685C" w:rsidRPr="00435469" w14:paraId="395A59F6" w14:textId="77777777" w:rsidTr="005757C6">
        <w:trPr>
          <w:trHeight w:val="289"/>
        </w:trPr>
        <w:tc>
          <w:tcPr>
            <w:tcW w:w="837" w:type="dxa"/>
            <w:noWrap/>
            <w:vAlign w:val="bottom"/>
            <w:hideMark/>
          </w:tcPr>
          <w:p w14:paraId="282FE2E6"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2005</w:t>
            </w:r>
          </w:p>
        </w:tc>
        <w:tc>
          <w:tcPr>
            <w:tcW w:w="1167" w:type="dxa"/>
            <w:noWrap/>
            <w:vAlign w:val="bottom"/>
            <w:hideMark/>
          </w:tcPr>
          <w:p w14:paraId="50206AA5"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74767</w:t>
            </w:r>
          </w:p>
        </w:tc>
        <w:tc>
          <w:tcPr>
            <w:tcW w:w="1493" w:type="dxa"/>
            <w:noWrap/>
            <w:vAlign w:val="bottom"/>
            <w:hideMark/>
          </w:tcPr>
          <w:p w14:paraId="06A814A9"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4731</w:t>
            </w:r>
          </w:p>
        </w:tc>
        <w:tc>
          <w:tcPr>
            <w:tcW w:w="1414" w:type="dxa"/>
            <w:noWrap/>
            <w:vAlign w:val="bottom"/>
            <w:hideMark/>
          </w:tcPr>
          <w:p w14:paraId="792D4D44"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75078</w:t>
            </w:r>
          </w:p>
        </w:tc>
        <w:tc>
          <w:tcPr>
            <w:tcW w:w="979" w:type="dxa"/>
            <w:noWrap/>
            <w:vAlign w:val="bottom"/>
            <w:hideMark/>
          </w:tcPr>
          <w:p w14:paraId="59FA1A8B"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613506</w:t>
            </w:r>
          </w:p>
        </w:tc>
        <w:tc>
          <w:tcPr>
            <w:tcW w:w="1047" w:type="dxa"/>
            <w:noWrap/>
            <w:vAlign w:val="bottom"/>
            <w:hideMark/>
          </w:tcPr>
          <w:p w14:paraId="6AD9359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652376</w:t>
            </w:r>
          </w:p>
        </w:tc>
        <w:tc>
          <w:tcPr>
            <w:tcW w:w="1487" w:type="dxa"/>
            <w:noWrap/>
            <w:vAlign w:val="bottom"/>
            <w:hideMark/>
          </w:tcPr>
          <w:p w14:paraId="29EAB030"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0,94</w:t>
            </w:r>
          </w:p>
        </w:tc>
        <w:tc>
          <w:tcPr>
            <w:tcW w:w="1511" w:type="dxa"/>
            <w:noWrap/>
            <w:vAlign w:val="bottom"/>
            <w:hideMark/>
          </w:tcPr>
          <w:p w14:paraId="2B75E77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96322</w:t>
            </w:r>
          </w:p>
        </w:tc>
      </w:tr>
      <w:tr w:rsidR="0061685C" w:rsidRPr="00435469" w14:paraId="316A78B5" w14:textId="77777777" w:rsidTr="005757C6">
        <w:trPr>
          <w:trHeight w:val="289"/>
        </w:trPr>
        <w:tc>
          <w:tcPr>
            <w:tcW w:w="837" w:type="dxa"/>
            <w:noWrap/>
            <w:vAlign w:val="bottom"/>
            <w:hideMark/>
          </w:tcPr>
          <w:p w14:paraId="34560F7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2006</w:t>
            </w:r>
          </w:p>
        </w:tc>
        <w:tc>
          <w:tcPr>
            <w:tcW w:w="1167" w:type="dxa"/>
            <w:noWrap/>
            <w:vAlign w:val="bottom"/>
            <w:hideMark/>
          </w:tcPr>
          <w:p w14:paraId="649CE674"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77775</w:t>
            </w:r>
          </w:p>
        </w:tc>
        <w:tc>
          <w:tcPr>
            <w:tcW w:w="1493" w:type="dxa"/>
            <w:noWrap/>
            <w:vAlign w:val="bottom"/>
            <w:hideMark/>
          </w:tcPr>
          <w:p w14:paraId="7241EB3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5240</w:t>
            </w:r>
          </w:p>
        </w:tc>
        <w:tc>
          <w:tcPr>
            <w:tcW w:w="1414" w:type="dxa"/>
            <w:noWrap/>
            <w:vAlign w:val="bottom"/>
            <w:hideMark/>
          </w:tcPr>
          <w:p w14:paraId="65EABA6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83818</w:t>
            </w:r>
          </w:p>
        </w:tc>
        <w:tc>
          <w:tcPr>
            <w:tcW w:w="979" w:type="dxa"/>
            <w:noWrap/>
            <w:vAlign w:val="bottom"/>
            <w:hideMark/>
          </w:tcPr>
          <w:p w14:paraId="78FF198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628632</w:t>
            </w:r>
          </w:p>
        </w:tc>
        <w:tc>
          <w:tcPr>
            <w:tcW w:w="1047" w:type="dxa"/>
            <w:noWrap/>
            <w:vAlign w:val="bottom"/>
            <w:hideMark/>
          </w:tcPr>
          <w:p w14:paraId="6D841F45"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658129</w:t>
            </w:r>
          </w:p>
        </w:tc>
        <w:tc>
          <w:tcPr>
            <w:tcW w:w="1487" w:type="dxa"/>
            <w:noWrap/>
            <w:vAlign w:val="bottom"/>
            <w:hideMark/>
          </w:tcPr>
          <w:p w14:paraId="00B08D63"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0,96</w:t>
            </w:r>
          </w:p>
        </w:tc>
        <w:tc>
          <w:tcPr>
            <w:tcW w:w="1511" w:type="dxa"/>
            <w:noWrap/>
            <w:vAlign w:val="bottom"/>
            <w:hideMark/>
          </w:tcPr>
          <w:p w14:paraId="102CB10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100281</w:t>
            </w:r>
          </w:p>
        </w:tc>
      </w:tr>
      <w:tr w:rsidR="0061685C" w:rsidRPr="00435469" w14:paraId="42370BA9" w14:textId="77777777" w:rsidTr="005757C6">
        <w:trPr>
          <w:trHeight w:val="289"/>
        </w:trPr>
        <w:tc>
          <w:tcPr>
            <w:tcW w:w="837" w:type="dxa"/>
            <w:noWrap/>
            <w:vAlign w:val="bottom"/>
            <w:hideMark/>
          </w:tcPr>
          <w:p w14:paraId="6C05B976"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2007</w:t>
            </w:r>
          </w:p>
        </w:tc>
        <w:tc>
          <w:tcPr>
            <w:tcW w:w="1167" w:type="dxa"/>
            <w:noWrap/>
            <w:vAlign w:val="bottom"/>
            <w:hideMark/>
          </w:tcPr>
          <w:p w14:paraId="32A8DCEA"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77292</w:t>
            </w:r>
          </w:p>
        </w:tc>
        <w:tc>
          <w:tcPr>
            <w:tcW w:w="1493" w:type="dxa"/>
            <w:noWrap/>
            <w:vAlign w:val="bottom"/>
            <w:hideMark/>
          </w:tcPr>
          <w:p w14:paraId="132FD49A"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4974</w:t>
            </w:r>
          </w:p>
        </w:tc>
        <w:tc>
          <w:tcPr>
            <w:tcW w:w="1414" w:type="dxa"/>
            <w:noWrap/>
            <w:vAlign w:val="bottom"/>
            <w:hideMark/>
          </w:tcPr>
          <w:p w14:paraId="2CFBD863"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84855</w:t>
            </w:r>
          </w:p>
        </w:tc>
        <w:tc>
          <w:tcPr>
            <w:tcW w:w="979" w:type="dxa"/>
            <w:noWrap/>
            <w:vAlign w:val="bottom"/>
            <w:hideMark/>
          </w:tcPr>
          <w:p w14:paraId="54A90988"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620595</w:t>
            </w:r>
          </w:p>
        </w:tc>
        <w:tc>
          <w:tcPr>
            <w:tcW w:w="1047" w:type="dxa"/>
            <w:noWrap/>
            <w:vAlign w:val="bottom"/>
            <w:hideMark/>
          </w:tcPr>
          <w:p w14:paraId="73DF8FC1"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652047</w:t>
            </w:r>
          </w:p>
        </w:tc>
        <w:tc>
          <w:tcPr>
            <w:tcW w:w="1487" w:type="dxa"/>
            <w:noWrap/>
            <w:vAlign w:val="bottom"/>
            <w:hideMark/>
          </w:tcPr>
          <w:p w14:paraId="629AC7C9"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0,95</w:t>
            </w:r>
          </w:p>
        </w:tc>
        <w:tc>
          <w:tcPr>
            <w:tcW w:w="1511" w:type="dxa"/>
            <w:noWrap/>
            <w:vAlign w:val="bottom"/>
            <w:hideMark/>
          </w:tcPr>
          <w:p w14:paraId="66EF60C7"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100126</w:t>
            </w:r>
          </w:p>
        </w:tc>
      </w:tr>
      <w:tr w:rsidR="0061685C" w:rsidRPr="00435469" w14:paraId="328DD36D" w14:textId="77777777" w:rsidTr="005757C6">
        <w:trPr>
          <w:trHeight w:val="289"/>
        </w:trPr>
        <w:tc>
          <w:tcPr>
            <w:tcW w:w="837" w:type="dxa"/>
            <w:noWrap/>
            <w:vAlign w:val="bottom"/>
            <w:hideMark/>
          </w:tcPr>
          <w:p w14:paraId="0019EA69"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2008</w:t>
            </w:r>
          </w:p>
        </w:tc>
        <w:tc>
          <w:tcPr>
            <w:tcW w:w="1167" w:type="dxa"/>
            <w:noWrap/>
            <w:vAlign w:val="bottom"/>
            <w:hideMark/>
          </w:tcPr>
          <w:p w14:paraId="7D425D29"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75542</w:t>
            </w:r>
          </w:p>
        </w:tc>
        <w:tc>
          <w:tcPr>
            <w:tcW w:w="1493" w:type="dxa"/>
            <w:noWrap/>
            <w:vAlign w:val="bottom"/>
            <w:hideMark/>
          </w:tcPr>
          <w:p w14:paraId="75FCF5B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5765</w:t>
            </w:r>
          </w:p>
        </w:tc>
        <w:tc>
          <w:tcPr>
            <w:tcW w:w="1414" w:type="dxa"/>
            <w:noWrap/>
            <w:vAlign w:val="bottom"/>
            <w:hideMark/>
          </w:tcPr>
          <w:p w14:paraId="046C4747"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82084</w:t>
            </w:r>
          </w:p>
        </w:tc>
        <w:tc>
          <w:tcPr>
            <w:tcW w:w="979" w:type="dxa"/>
            <w:noWrap/>
            <w:vAlign w:val="bottom"/>
            <w:hideMark/>
          </w:tcPr>
          <w:p w14:paraId="48F72CC2"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613239</w:t>
            </w:r>
          </w:p>
        </w:tc>
        <w:tc>
          <w:tcPr>
            <w:tcW w:w="1047" w:type="dxa"/>
            <w:noWrap/>
            <w:vAlign w:val="bottom"/>
            <w:hideMark/>
          </w:tcPr>
          <w:p w14:paraId="4D7CF0A2"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635166</w:t>
            </w:r>
          </w:p>
        </w:tc>
        <w:tc>
          <w:tcPr>
            <w:tcW w:w="1487" w:type="dxa"/>
            <w:noWrap/>
            <w:vAlign w:val="bottom"/>
            <w:hideMark/>
          </w:tcPr>
          <w:p w14:paraId="4D284EBE"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0,97</w:t>
            </w:r>
          </w:p>
        </w:tc>
        <w:tc>
          <w:tcPr>
            <w:tcW w:w="1511" w:type="dxa"/>
            <w:noWrap/>
            <w:vAlign w:val="bottom"/>
            <w:hideMark/>
          </w:tcPr>
          <w:p w14:paraId="1E61AB56"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97229</w:t>
            </w:r>
          </w:p>
        </w:tc>
      </w:tr>
      <w:tr w:rsidR="0061685C" w:rsidRPr="00435469" w14:paraId="100F40D2" w14:textId="77777777" w:rsidTr="005757C6">
        <w:trPr>
          <w:trHeight w:val="289"/>
        </w:trPr>
        <w:tc>
          <w:tcPr>
            <w:tcW w:w="837" w:type="dxa"/>
            <w:noWrap/>
            <w:vAlign w:val="bottom"/>
            <w:hideMark/>
          </w:tcPr>
          <w:p w14:paraId="4F23F1C9"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2009</w:t>
            </w:r>
          </w:p>
        </w:tc>
        <w:tc>
          <w:tcPr>
            <w:tcW w:w="1167" w:type="dxa"/>
            <w:noWrap/>
            <w:vAlign w:val="bottom"/>
            <w:hideMark/>
          </w:tcPr>
          <w:p w14:paraId="30FF869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70226</w:t>
            </w:r>
          </w:p>
        </w:tc>
        <w:tc>
          <w:tcPr>
            <w:tcW w:w="1493" w:type="dxa"/>
            <w:noWrap/>
            <w:vAlign w:val="bottom"/>
            <w:hideMark/>
          </w:tcPr>
          <w:p w14:paraId="55DBD94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7222</w:t>
            </w:r>
          </w:p>
        </w:tc>
        <w:tc>
          <w:tcPr>
            <w:tcW w:w="1414" w:type="dxa"/>
            <w:noWrap/>
            <w:vAlign w:val="bottom"/>
            <w:hideMark/>
          </w:tcPr>
          <w:p w14:paraId="6E2C3583"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80675</w:t>
            </w:r>
          </w:p>
        </w:tc>
        <w:tc>
          <w:tcPr>
            <w:tcW w:w="979" w:type="dxa"/>
            <w:noWrap/>
            <w:vAlign w:val="bottom"/>
            <w:hideMark/>
          </w:tcPr>
          <w:p w14:paraId="310DDAE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598291</w:t>
            </w:r>
          </w:p>
        </w:tc>
        <w:tc>
          <w:tcPr>
            <w:tcW w:w="1047" w:type="dxa"/>
            <w:noWrap/>
            <w:vAlign w:val="bottom"/>
            <w:hideMark/>
          </w:tcPr>
          <w:p w14:paraId="7B948525"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616844</w:t>
            </w:r>
          </w:p>
        </w:tc>
        <w:tc>
          <w:tcPr>
            <w:tcW w:w="1487" w:type="dxa"/>
            <w:noWrap/>
            <w:vAlign w:val="bottom"/>
            <w:hideMark/>
          </w:tcPr>
          <w:p w14:paraId="0BC4CE7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0,97</w:t>
            </w:r>
          </w:p>
        </w:tc>
        <w:tc>
          <w:tcPr>
            <w:tcW w:w="1511" w:type="dxa"/>
            <w:noWrap/>
            <w:vAlign w:val="bottom"/>
            <w:hideMark/>
          </w:tcPr>
          <w:p w14:paraId="18323035"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92295</w:t>
            </w:r>
          </w:p>
        </w:tc>
      </w:tr>
      <w:tr w:rsidR="0061685C" w:rsidRPr="00435469" w14:paraId="0960B323" w14:textId="77777777" w:rsidTr="005757C6">
        <w:trPr>
          <w:trHeight w:val="289"/>
        </w:trPr>
        <w:tc>
          <w:tcPr>
            <w:tcW w:w="837" w:type="dxa"/>
            <w:noWrap/>
            <w:vAlign w:val="bottom"/>
            <w:hideMark/>
          </w:tcPr>
          <w:p w14:paraId="629B1048"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2010</w:t>
            </w:r>
          </w:p>
        </w:tc>
        <w:tc>
          <w:tcPr>
            <w:tcW w:w="1167" w:type="dxa"/>
            <w:noWrap/>
            <w:vAlign w:val="bottom"/>
            <w:hideMark/>
          </w:tcPr>
          <w:p w14:paraId="71CC7411"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63668</w:t>
            </w:r>
          </w:p>
        </w:tc>
        <w:tc>
          <w:tcPr>
            <w:tcW w:w="1493" w:type="dxa"/>
            <w:noWrap/>
            <w:vAlign w:val="bottom"/>
            <w:hideMark/>
          </w:tcPr>
          <w:p w14:paraId="4B8DAF2E"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7633</w:t>
            </w:r>
          </w:p>
        </w:tc>
        <w:tc>
          <w:tcPr>
            <w:tcW w:w="1414" w:type="dxa"/>
            <w:noWrap/>
            <w:vAlign w:val="bottom"/>
            <w:hideMark/>
          </w:tcPr>
          <w:p w14:paraId="15864D0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74955</w:t>
            </w:r>
          </w:p>
        </w:tc>
        <w:tc>
          <w:tcPr>
            <w:tcW w:w="979" w:type="dxa"/>
            <w:noWrap/>
            <w:vAlign w:val="bottom"/>
            <w:hideMark/>
          </w:tcPr>
          <w:p w14:paraId="5C46E7A7"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566712</w:t>
            </w:r>
          </w:p>
        </w:tc>
        <w:tc>
          <w:tcPr>
            <w:tcW w:w="1047" w:type="dxa"/>
            <w:noWrap/>
            <w:vAlign w:val="bottom"/>
            <w:hideMark/>
          </w:tcPr>
          <w:p w14:paraId="2731DC25"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595311</w:t>
            </w:r>
          </w:p>
        </w:tc>
        <w:tc>
          <w:tcPr>
            <w:tcW w:w="1487" w:type="dxa"/>
            <w:noWrap/>
            <w:vAlign w:val="bottom"/>
            <w:hideMark/>
          </w:tcPr>
          <w:p w14:paraId="3ED72F30"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0,95</w:t>
            </w:r>
          </w:p>
        </w:tc>
        <w:tc>
          <w:tcPr>
            <w:tcW w:w="1511" w:type="dxa"/>
            <w:noWrap/>
            <w:vAlign w:val="bottom"/>
            <w:hideMark/>
          </w:tcPr>
          <w:p w14:paraId="603A23AB"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86316</w:t>
            </w:r>
          </w:p>
        </w:tc>
      </w:tr>
      <w:tr w:rsidR="0061685C" w:rsidRPr="00435469" w14:paraId="68D33ED7" w14:textId="77777777" w:rsidTr="005757C6">
        <w:trPr>
          <w:trHeight w:val="289"/>
        </w:trPr>
        <w:tc>
          <w:tcPr>
            <w:tcW w:w="837" w:type="dxa"/>
            <w:noWrap/>
            <w:vAlign w:val="bottom"/>
            <w:hideMark/>
          </w:tcPr>
          <w:p w14:paraId="499785B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2011</w:t>
            </w:r>
          </w:p>
        </w:tc>
        <w:tc>
          <w:tcPr>
            <w:tcW w:w="1167" w:type="dxa"/>
            <w:noWrap/>
            <w:vAlign w:val="bottom"/>
            <w:hideMark/>
          </w:tcPr>
          <w:p w14:paraId="54F2D996"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55489</w:t>
            </w:r>
          </w:p>
        </w:tc>
        <w:tc>
          <w:tcPr>
            <w:tcW w:w="1493" w:type="dxa"/>
            <w:noWrap/>
            <w:vAlign w:val="bottom"/>
            <w:hideMark/>
          </w:tcPr>
          <w:p w14:paraId="03922A3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7153</w:t>
            </w:r>
          </w:p>
        </w:tc>
        <w:tc>
          <w:tcPr>
            <w:tcW w:w="1414" w:type="dxa"/>
            <w:noWrap/>
            <w:vAlign w:val="bottom"/>
            <w:hideMark/>
          </w:tcPr>
          <w:p w14:paraId="196AF200"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70690</w:t>
            </w:r>
          </w:p>
        </w:tc>
        <w:tc>
          <w:tcPr>
            <w:tcW w:w="979" w:type="dxa"/>
            <w:noWrap/>
            <w:vAlign w:val="bottom"/>
            <w:hideMark/>
          </w:tcPr>
          <w:p w14:paraId="36D2B84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531840</w:t>
            </w:r>
          </w:p>
        </w:tc>
        <w:tc>
          <w:tcPr>
            <w:tcW w:w="1047" w:type="dxa"/>
            <w:noWrap/>
            <w:vAlign w:val="bottom"/>
            <w:hideMark/>
          </w:tcPr>
          <w:p w14:paraId="4CF534B1"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567092</w:t>
            </w:r>
          </w:p>
        </w:tc>
        <w:tc>
          <w:tcPr>
            <w:tcW w:w="1487" w:type="dxa"/>
            <w:noWrap/>
            <w:vAlign w:val="bottom"/>
            <w:hideMark/>
          </w:tcPr>
          <w:p w14:paraId="75F35884"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0,94</w:t>
            </w:r>
          </w:p>
        </w:tc>
        <w:tc>
          <w:tcPr>
            <w:tcW w:w="1511" w:type="dxa"/>
            <w:noWrap/>
            <w:vAlign w:val="bottom"/>
            <w:hideMark/>
          </w:tcPr>
          <w:p w14:paraId="1397C794"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77033</w:t>
            </w:r>
          </w:p>
        </w:tc>
      </w:tr>
      <w:tr w:rsidR="0061685C" w:rsidRPr="00435469" w14:paraId="62496DA5" w14:textId="77777777" w:rsidTr="005757C6">
        <w:trPr>
          <w:trHeight w:val="289"/>
        </w:trPr>
        <w:tc>
          <w:tcPr>
            <w:tcW w:w="837" w:type="dxa"/>
            <w:noWrap/>
            <w:vAlign w:val="bottom"/>
            <w:hideMark/>
          </w:tcPr>
          <w:p w14:paraId="0BF0A733"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2012</w:t>
            </w:r>
          </w:p>
        </w:tc>
        <w:tc>
          <w:tcPr>
            <w:tcW w:w="1167" w:type="dxa"/>
            <w:noWrap/>
            <w:vAlign w:val="bottom"/>
            <w:hideMark/>
          </w:tcPr>
          <w:p w14:paraId="2A4B143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48825</w:t>
            </w:r>
          </w:p>
        </w:tc>
        <w:tc>
          <w:tcPr>
            <w:tcW w:w="1493" w:type="dxa"/>
            <w:noWrap/>
            <w:vAlign w:val="bottom"/>
            <w:hideMark/>
          </w:tcPr>
          <w:p w14:paraId="1D54314B"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8290</w:t>
            </w:r>
          </w:p>
        </w:tc>
        <w:tc>
          <w:tcPr>
            <w:tcW w:w="1414" w:type="dxa"/>
            <w:noWrap/>
            <w:vAlign w:val="bottom"/>
            <w:hideMark/>
          </w:tcPr>
          <w:p w14:paraId="41F3C883"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67285</w:t>
            </w:r>
          </w:p>
        </w:tc>
        <w:tc>
          <w:tcPr>
            <w:tcW w:w="979" w:type="dxa"/>
            <w:noWrap/>
            <w:vAlign w:val="bottom"/>
            <w:hideMark/>
          </w:tcPr>
          <w:p w14:paraId="40602142"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509994</w:t>
            </w:r>
          </w:p>
        </w:tc>
        <w:tc>
          <w:tcPr>
            <w:tcW w:w="1047" w:type="dxa"/>
            <w:noWrap/>
            <w:vAlign w:val="bottom"/>
            <w:hideMark/>
          </w:tcPr>
          <w:p w14:paraId="42E8A862"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536539</w:t>
            </w:r>
          </w:p>
        </w:tc>
        <w:tc>
          <w:tcPr>
            <w:tcW w:w="1487" w:type="dxa"/>
            <w:noWrap/>
            <w:vAlign w:val="bottom"/>
            <w:hideMark/>
          </w:tcPr>
          <w:p w14:paraId="72909569"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0,95</w:t>
            </w:r>
          </w:p>
        </w:tc>
        <w:tc>
          <w:tcPr>
            <w:tcW w:w="1511" w:type="dxa"/>
            <w:noWrap/>
            <w:vAlign w:val="bottom"/>
            <w:hideMark/>
          </w:tcPr>
          <w:p w14:paraId="2FC0C6D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69220</w:t>
            </w:r>
          </w:p>
        </w:tc>
      </w:tr>
      <w:tr w:rsidR="0061685C" w:rsidRPr="00435469" w14:paraId="4B1E64CD" w14:textId="77777777" w:rsidTr="005757C6">
        <w:trPr>
          <w:trHeight w:val="289"/>
        </w:trPr>
        <w:tc>
          <w:tcPr>
            <w:tcW w:w="837" w:type="dxa"/>
            <w:noWrap/>
            <w:vAlign w:val="bottom"/>
            <w:hideMark/>
          </w:tcPr>
          <w:p w14:paraId="5F92D56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2013</w:t>
            </w:r>
          </w:p>
        </w:tc>
        <w:tc>
          <w:tcPr>
            <w:tcW w:w="1167" w:type="dxa"/>
            <w:noWrap/>
            <w:vAlign w:val="bottom"/>
            <w:hideMark/>
          </w:tcPr>
          <w:p w14:paraId="1F128367"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42041</w:t>
            </w:r>
          </w:p>
        </w:tc>
        <w:tc>
          <w:tcPr>
            <w:tcW w:w="1493" w:type="dxa"/>
            <w:noWrap/>
            <w:vAlign w:val="bottom"/>
            <w:hideMark/>
          </w:tcPr>
          <w:p w14:paraId="2447C0D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10075</w:t>
            </w:r>
          </w:p>
        </w:tc>
        <w:tc>
          <w:tcPr>
            <w:tcW w:w="1414" w:type="dxa"/>
            <w:noWrap/>
            <w:vAlign w:val="bottom"/>
            <w:hideMark/>
          </w:tcPr>
          <w:p w14:paraId="6FBEABD5"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60746</w:t>
            </w:r>
          </w:p>
        </w:tc>
        <w:tc>
          <w:tcPr>
            <w:tcW w:w="979" w:type="dxa"/>
            <w:noWrap/>
            <w:vAlign w:val="bottom"/>
            <w:hideMark/>
          </w:tcPr>
          <w:p w14:paraId="00D30A83"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492261</w:t>
            </w:r>
          </w:p>
        </w:tc>
        <w:tc>
          <w:tcPr>
            <w:tcW w:w="1047" w:type="dxa"/>
            <w:noWrap/>
            <w:vAlign w:val="bottom"/>
            <w:hideMark/>
          </w:tcPr>
          <w:p w14:paraId="3B46E815"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525201</w:t>
            </w:r>
          </w:p>
        </w:tc>
        <w:tc>
          <w:tcPr>
            <w:tcW w:w="1487" w:type="dxa"/>
            <w:noWrap/>
            <w:vAlign w:val="bottom"/>
            <w:hideMark/>
          </w:tcPr>
          <w:p w14:paraId="2A4232B7"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0,94</w:t>
            </w:r>
          </w:p>
        </w:tc>
        <w:tc>
          <w:tcPr>
            <w:tcW w:w="1511" w:type="dxa"/>
            <w:noWrap/>
            <w:vAlign w:val="bottom"/>
            <w:hideMark/>
          </w:tcPr>
          <w:p w14:paraId="48A0678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63431</w:t>
            </w:r>
          </w:p>
        </w:tc>
      </w:tr>
      <w:tr w:rsidR="0061685C" w:rsidRPr="00435469" w14:paraId="5628DEB3" w14:textId="77777777" w:rsidTr="005757C6">
        <w:trPr>
          <w:trHeight w:val="145"/>
        </w:trPr>
        <w:tc>
          <w:tcPr>
            <w:tcW w:w="837" w:type="dxa"/>
            <w:noWrap/>
            <w:vAlign w:val="bottom"/>
            <w:hideMark/>
          </w:tcPr>
          <w:p w14:paraId="4FB8E20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2014</w:t>
            </w:r>
          </w:p>
        </w:tc>
        <w:tc>
          <w:tcPr>
            <w:tcW w:w="1167" w:type="dxa"/>
            <w:noWrap/>
            <w:vAlign w:val="bottom"/>
            <w:hideMark/>
          </w:tcPr>
          <w:p w14:paraId="02C4D57B"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39695</w:t>
            </w:r>
          </w:p>
        </w:tc>
        <w:tc>
          <w:tcPr>
            <w:tcW w:w="1493" w:type="dxa"/>
            <w:noWrap/>
            <w:vAlign w:val="bottom"/>
            <w:hideMark/>
          </w:tcPr>
          <w:p w14:paraId="543E9178"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9083</w:t>
            </w:r>
          </w:p>
        </w:tc>
        <w:tc>
          <w:tcPr>
            <w:tcW w:w="1414" w:type="dxa"/>
            <w:noWrap/>
            <w:vAlign w:val="bottom"/>
            <w:hideMark/>
          </w:tcPr>
          <w:p w14:paraId="7F5F94D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59117</w:t>
            </w:r>
          </w:p>
        </w:tc>
        <w:tc>
          <w:tcPr>
            <w:tcW w:w="979" w:type="dxa"/>
            <w:noWrap/>
            <w:vAlign w:val="bottom"/>
            <w:hideMark/>
          </w:tcPr>
          <w:p w14:paraId="10DEE530"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492048</w:t>
            </w:r>
          </w:p>
        </w:tc>
        <w:tc>
          <w:tcPr>
            <w:tcW w:w="1047" w:type="dxa"/>
            <w:noWrap/>
            <w:vAlign w:val="bottom"/>
            <w:hideMark/>
          </w:tcPr>
          <w:p w14:paraId="520B2280"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520086</w:t>
            </w:r>
          </w:p>
        </w:tc>
        <w:tc>
          <w:tcPr>
            <w:tcW w:w="1487" w:type="dxa"/>
            <w:noWrap/>
            <w:vAlign w:val="bottom"/>
            <w:hideMark/>
          </w:tcPr>
          <w:p w14:paraId="10376DF5"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0,95</w:t>
            </w:r>
          </w:p>
        </w:tc>
        <w:tc>
          <w:tcPr>
            <w:tcW w:w="1511" w:type="dxa"/>
            <w:noWrap/>
            <w:vAlign w:val="bottom"/>
            <w:hideMark/>
          </w:tcPr>
          <w:p w14:paraId="3982013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58598</w:t>
            </w:r>
          </w:p>
        </w:tc>
      </w:tr>
      <w:tr w:rsidR="0061685C" w:rsidRPr="00435469" w14:paraId="45975B07" w14:textId="77777777" w:rsidTr="005757C6">
        <w:trPr>
          <w:trHeight w:val="289"/>
        </w:trPr>
        <w:tc>
          <w:tcPr>
            <w:tcW w:w="837" w:type="dxa"/>
            <w:noWrap/>
            <w:vAlign w:val="bottom"/>
            <w:hideMark/>
          </w:tcPr>
          <w:p w14:paraId="0CFFAEBB"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2015</w:t>
            </w:r>
          </w:p>
        </w:tc>
        <w:tc>
          <w:tcPr>
            <w:tcW w:w="1167" w:type="dxa"/>
            <w:noWrap/>
            <w:vAlign w:val="bottom"/>
            <w:hideMark/>
          </w:tcPr>
          <w:p w14:paraId="47DEFEEB"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34042</w:t>
            </w:r>
          </w:p>
        </w:tc>
        <w:tc>
          <w:tcPr>
            <w:tcW w:w="1493" w:type="dxa"/>
            <w:noWrap/>
            <w:vAlign w:val="bottom"/>
            <w:hideMark/>
          </w:tcPr>
          <w:p w14:paraId="50E6660C" w14:textId="77777777" w:rsidR="005757C6" w:rsidRPr="00435469" w:rsidRDefault="005757C6" w:rsidP="00955FFB">
            <w:pPr>
              <w:pStyle w:val="3TableNote"/>
              <w:spacing w:after="0"/>
              <w:jc w:val="center"/>
              <w:rPr>
                <w:sz w:val="16"/>
                <w:szCs w:val="16"/>
                <w:lang w:eastAsia="en-ZA"/>
              </w:rPr>
            </w:pPr>
            <w:r w:rsidRPr="00435469">
              <w:rPr>
                <w:sz w:val="16"/>
                <w:szCs w:val="16"/>
              </w:rPr>
              <w:t>7165</w:t>
            </w:r>
          </w:p>
        </w:tc>
        <w:tc>
          <w:tcPr>
            <w:tcW w:w="1414" w:type="dxa"/>
            <w:noWrap/>
            <w:vAlign w:val="bottom"/>
            <w:hideMark/>
          </w:tcPr>
          <w:p w14:paraId="31E5AAA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58289</w:t>
            </w:r>
          </w:p>
        </w:tc>
        <w:tc>
          <w:tcPr>
            <w:tcW w:w="979" w:type="dxa"/>
            <w:noWrap/>
            <w:vAlign w:val="bottom"/>
            <w:hideMark/>
          </w:tcPr>
          <w:p w14:paraId="52D1CA9F"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487607</w:t>
            </w:r>
          </w:p>
        </w:tc>
        <w:tc>
          <w:tcPr>
            <w:tcW w:w="1047" w:type="dxa"/>
            <w:noWrap/>
            <w:vAlign w:val="bottom"/>
            <w:hideMark/>
          </w:tcPr>
          <w:p w14:paraId="555727C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517478</w:t>
            </w:r>
          </w:p>
        </w:tc>
        <w:tc>
          <w:tcPr>
            <w:tcW w:w="1487" w:type="dxa"/>
            <w:noWrap/>
            <w:vAlign w:val="bottom"/>
            <w:hideMark/>
          </w:tcPr>
          <w:p w14:paraId="0B9ECED9"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0,94</w:t>
            </w:r>
          </w:p>
        </w:tc>
        <w:tc>
          <w:tcPr>
            <w:tcW w:w="1511" w:type="dxa"/>
            <w:noWrap/>
            <w:vAlign w:val="bottom"/>
            <w:hideMark/>
          </w:tcPr>
          <w:p w14:paraId="66721978" w14:textId="77777777" w:rsidR="005757C6" w:rsidRPr="00435469" w:rsidRDefault="005757C6" w:rsidP="00955FFB">
            <w:pPr>
              <w:pStyle w:val="3TableNote"/>
              <w:spacing w:after="0"/>
              <w:jc w:val="center"/>
              <w:rPr>
                <w:sz w:val="16"/>
                <w:szCs w:val="16"/>
                <w:lang w:eastAsia="en-ZA"/>
              </w:rPr>
            </w:pPr>
            <w:r w:rsidRPr="00435469">
              <w:rPr>
                <w:sz w:val="16"/>
                <w:szCs w:val="16"/>
              </w:rPr>
              <w:t>49669</w:t>
            </w:r>
          </w:p>
        </w:tc>
      </w:tr>
      <w:tr w:rsidR="0061685C" w:rsidRPr="00435469" w14:paraId="6DCAF427" w14:textId="77777777" w:rsidTr="005757C6">
        <w:trPr>
          <w:trHeight w:val="289"/>
        </w:trPr>
        <w:tc>
          <w:tcPr>
            <w:tcW w:w="837" w:type="dxa"/>
            <w:tcBorders>
              <w:top w:val="nil"/>
              <w:left w:val="nil"/>
              <w:bottom w:val="single" w:sz="4" w:space="0" w:color="auto"/>
              <w:right w:val="nil"/>
            </w:tcBorders>
            <w:noWrap/>
            <w:vAlign w:val="bottom"/>
            <w:hideMark/>
          </w:tcPr>
          <w:p w14:paraId="60DEBD9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2016</w:t>
            </w:r>
          </w:p>
        </w:tc>
        <w:tc>
          <w:tcPr>
            <w:tcW w:w="1167" w:type="dxa"/>
            <w:tcBorders>
              <w:top w:val="nil"/>
              <w:left w:val="nil"/>
              <w:bottom w:val="single" w:sz="4" w:space="0" w:color="auto"/>
              <w:right w:val="nil"/>
            </w:tcBorders>
            <w:noWrap/>
            <w:vAlign w:val="bottom"/>
            <w:hideMark/>
          </w:tcPr>
          <w:p w14:paraId="5C1CE95B"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29513</w:t>
            </w:r>
          </w:p>
        </w:tc>
        <w:tc>
          <w:tcPr>
            <w:tcW w:w="1493" w:type="dxa"/>
            <w:tcBorders>
              <w:top w:val="nil"/>
              <w:left w:val="nil"/>
              <w:bottom w:val="single" w:sz="4" w:space="0" w:color="auto"/>
              <w:right w:val="nil"/>
            </w:tcBorders>
            <w:noWrap/>
            <w:vAlign w:val="bottom"/>
            <w:hideMark/>
          </w:tcPr>
          <w:p w14:paraId="5C31202C" w14:textId="77777777" w:rsidR="005757C6" w:rsidRPr="00435469" w:rsidRDefault="005757C6" w:rsidP="00955FFB">
            <w:pPr>
              <w:pStyle w:val="3TableNote"/>
              <w:spacing w:after="0"/>
              <w:jc w:val="center"/>
              <w:rPr>
                <w:sz w:val="16"/>
                <w:szCs w:val="16"/>
                <w:lang w:eastAsia="en-ZA"/>
              </w:rPr>
            </w:pPr>
            <w:r w:rsidRPr="00435469">
              <w:rPr>
                <w:sz w:val="16"/>
                <w:szCs w:val="16"/>
              </w:rPr>
              <w:t>6576</w:t>
            </w:r>
          </w:p>
        </w:tc>
        <w:tc>
          <w:tcPr>
            <w:tcW w:w="1414" w:type="dxa"/>
            <w:tcBorders>
              <w:top w:val="nil"/>
              <w:left w:val="nil"/>
              <w:bottom w:val="single" w:sz="4" w:space="0" w:color="auto"/>
              <w:right w:val="nil"/>
            </w:tcBorders>
            <w:noWrap/>
            <w:vAlign w:val="bottom"/>
            <w:hideMark/>
          </w:tcPr>
          <w:p w14:paraId="63AC2933"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60335</w:t>
            </w:r>
          </w:p>
        </w:tc>
        <w:tc>
          <w:tcPr>
            <w:tcW w:w="979" w:type="dxa"/>
            <w:tcBorders>
              <w:top w:val="nil"/>
              <w:left w:val="nil"/>
              <w:bottom w:val="single" w:sz="4" w:space="0" w:color="auto"/>
              <w:right w:val="nil"/>
            </w:tcBorders>
            <w:noWrap/>
            <w:vAlign w:val="bottom"/>
            <w:hideMark/>
          </w:tcPr>
          <w:p w14:paraId="5EB574F9"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468573</w:t>
            </w:r>
          </w:p>
        </w:tc>
        <w:tc>
          <w:tcPr>
            <w:tcW w:w="1047" w:type="dxa"/>
            <w:tcBorders>
              <w:top w:val="nil"/>
              <w:left w:val="nil"/>
              <w:bottom w:val="single" w:sz="4" w:space="0" w:color="auto"/>
              <w:right w:val="nil"/>
            </w:tcBorders>
            <w:noWrap/>
            <w:vAlign w:val="bottom"/>
            <w:hideMark/>
          </w:tcPr>
          <w:p w14:paraId="7255606D"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514123</w:t>
            </w:r>
          </w:p>
        </w:tc>
        <w:tc>
          <w:tcPr>
            <w:tcW w:w="1487" w:type="dxa"/>
            <w:tcBorders>
              <w:top w:val="nil"/>
              <w:left w:val="nil"/>
              <w:bottom w:val="single" w:sz="4" w:space="0" w:color="auto"/>
              <w:right w:val="nil"/>
            </w:tcBorders>
            <w:noWrap/>
            <w:vAlign w:val="bottom"/>
            <w:hideMark/>
          </w:tcPr>
          <w:p w14:paraId="50612BFC" w14:textId="77777777" w:rsidR="005757C6" w:rsidRPr="00435469" w:rsidRDefault="005757C6" w:rsidP="00955FFB">
            <w:pPr>
              <w:pStyle w:val="3TableNote"/>
              <w:spacing w:after="0"/>
              <w:jc w:val="center"/>
              <w:rPr>
                <w:sz w:val="16"/>
                <w:szCs w:val="16"/>
                <w:lang w:eastAsia="en-ZA"/>
              </w:rPr>
            </w:pPr>
            <w:r w:rsidRPr="00435469">
              <w:rPr>
                <w:sz w:val="16"/>
                <w:szCs w:val="16"/>
                <w:lang w:eastAsia="en-ZA"/>
              </w:rPr>
              <w:t>0,91</w:t>
            </w:r>
          </w:p>
        </w:tc>
        <w:tc>
          <w:tcPr>
            <w:tcW w:w="1511" w:type="dxa"/>
            <w:tcBorders>
              <w:top w:val="nil"/>
              <w:left w:val="nil"/>
              <w:bottom w:val="single" w:sz="4" w:space="0" w:color="auto"/>
              <w:right w:val="nil"/>
            </w:tcBorders>
            <w:noWrap/>
            <w:vAlign w:val="bottom"/>
            <w:hideMark/>
          </w:tcPr>
          <w:p w14:paraId="3AE13C16" w14:textId="77777777" w:rsidR="005757C6" w:rsidRPr="00435469" w:rsidRDefault="005757C6" w:rsidP="00955FFB">
            <w:pPr>
              <w:pStyle w:val="3TableNote"/>
              <w:spacing w:after="0"/>
              <w:jc w:val="center"/>
              <w:rPr>
                <w:sz w:val="16"/>
                <w:szCs w:val="16"/>
                <w:lang w:eastAsia="en-ZA"/>
              </w:rPr>
            </w:pPr>
            <w:r w:rsidRPr="00435469">
              <w:rPr>
                <w:sz w:val="16"/>
                <w:szCs w:val="16"/>
              </w:rPr>
              <w:t>45450</w:t>
            </w:r>
          </w:p>
        </w:tc>
      </w:tr>
    </w:tbl>
    <w:p w14:paraId="1E05660B" w14:textId="77777777" w:rsidR="005757C6" w:rsidRPr="00435469" w:rsidRDefault="005757C6" w:rsidP="00955FFB">
      <w:pPr>
        <w:spacing w:line="240" w:lineRule="auto"/>
        <w:rPr>
          <w:rFonts w:cs="Times New Roman"/>
          <w:bCs/>
          <w:sz w:val="20"/>
          <w:szCs w:val="20"/>
          <w:lang w:eastAsia="en-ZA"/>
        </w:rPr>
      </w:pPr>
      <w:r w:rsidRPr="00435469">
        <w:rPr>
          <w:rFonts w:cs="Times New Roman"/>
          <w:bCs/>
          <w:sz w:val="20"/>
          <w:szCs w:val="20"/>
          <w:lang w:eastAsia="en-ZA"/>
        </w:rPr>
        <w:t>C = N/O; Y= (T + H)</w:t>
      </w:r>
      <w:proofErr w:type="gramStart"/>
      <w:r w:rsidRPr="00435469">
        <w:rPr>
          <w:rFonts w:cs="Times New Roman"/>
          <w:bCs/>
          <w:sz w:val="20"/>
          <w:szCs w:val="20"/>
          <w:lang w:eastAsia="en-ZA"/>
        </w:rPr>
        <w:t>/(</w:t>
      </w:r>
      <w:proofErr w:type="gramEnd"/>
      <w:r w:rsidRPr="00435469">
        <w:rPr>
          <w:rFonts w:cs="Times New Roman"/>
          <w:bCs/>
          <w:sz w:val="20"/>
          <w:szCs w:val="20"/>
          <w:lang w:eastAsia="en-ZA"/>
        </w:rPr>
        <w:t>(1 – M/N)C).</w:t>
      </w:r>
    </w:p>
    <w:p w14:paraId="502880CC" w14:textId="77777777" w:rsidR="005757C6" w:rsidRPr="00435469" w:rsidRDefault="005757C6" w:rsidP="00955FFB">
      <w:pPr>
        <w:pStyle w:val="Heading4"/>
        <w:numPr>
          <w:ilvl w:val="0"/>
          <w:numId w:val="19"/>
        </w:numPr>
        <w:rPr>
          <w:sz w:val="20"/>
          <w:szCs w:val="20"/>
        </w:rPr>
      </w:pPr>
      <w:r w:rsidRPr="00435469">
        <w:rPr>
          <w:sz w:val="20"/>
          <w:szCs w:val="20"/>
        </w:rPr>
        <w:t>The likelihood for recorded number of tuberculosis death</w:t>
      </w:r>
    </w:p>
    <w:p w14:paraId="3CE1F2EB" w14:textId="22105FC3" w:rsidR="005757C6" w:rsidRPr="00435469" w:rsidRDefault="005757C6" w:rsidP="00955FFB">
      <w:pPr>
        <w:pStyle w:val="1ParaFlushLeft"/>
        <w:spacing w:line="240" w:lineRule="auto"/>
        <w:rPr>
          <w:rFonts w:cs="Times New Roman"/>
          <w:sz w:val="20"/>
          <w:szCs w:val="20"/>
        </w:rPr>
      </w:pPr>
      <w:r w:rsidRPr="00435469">
        <w:rPr>
          <w:rFonts w:cs="Times New Roman"/>
          <w:sz w:val="20"/>
          <w:szCs w:val="20"/>
        </w:rPr>
        <w:t xml:space="preserve">We consider adult deaths at ages 20 years and older, disaggregated by sex. We assume the number of recorded TB deaths follows a Log-Normal distribution and specify the likelihood of observing the recorded number of deaths if the model represents the expected number of deaths. We assume the log-normal distribution as it is appropriate in modelling non-negative values, and the data may have large variance due to both random and systematic biases in the data reporting/handling.  </w:t>
      </w:r>
    </w:p>
    <w:p w14:paraId="205F856C" w14:textId="028B8916" w:rsidR="00FA6F5C" w:rsidRPr="00435469" w:rsidRDefault="005757C6" w:rsidP="00955FFB">
      <w:pPr>
        <w:pStyle w:val="1ParaFlushLeft"/>
        <w:spacing w:line="240" w:lineRule="auto"/>
        <w:rPr>
          <w:rFonts w:cs="Times New Roman"/>
          <w:sz w:val="20"/>
          <w:szCs w:val="20"/>
        </w:rPr>
      </w:pPr>
      <w:r w:rsidRPr="00435469">
        <w:rPr>
          <w:rFonts w:cs="Times New Roman"/>
          <w:sz w:val="20"/>
          <w:szCs w:val="20"/>
        </w:rPr>
        <w:t xml:space="preserve">We let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g,t</m:t>
            </m:r>
          </m:sub>
        </m:sSub>
      </m:oMath>
      <w:r w:rsidRPr="00435469">
        <w:rPr>
          <w:rFonts w:cs="Times New Roman"/>
          <w:sz w:val="20"/>
          <w:szCs w:val="20"/>
        </w:rPr>
        <w:t xml:space="preserve"> represent the number of recorded </w:t>
      </w:r>
      <w:r w:rsidR="00091D7D" w:rsidRPr="00435469">
        <w:rPr>
          <w:rFonts w:cs="Times New Roman"/>
          <w:sz w:val="20"/>
          <w:szCs w:val="20"/>
        </w:rPr>
        <w:t xml:space="preserve">TB </w:t>
      </w:r>
      <w:r w:rsidRPr="00435469">
        <w:rPr>
          <w:rFonts w:cs="Times New Roman"/>
          <w:sz w:val="20"/>
          <w:szCs w:val="20"/>
        </w:rPr>
        <w:t>deaths from the vital register</w:t>
      </w:r>
      <w:r w:rsidR="005B468F" w:rsidRPr="00435469">
        <w:rPr>
          <w:rFonts w:cs="Times New Roman"/>
          <w:sz w:val="20"/>
          <w:szCs w:val="20"/>
        </w:rPr>
        <w:t xml:space="preserve"> (after adjustment, as described in the previous section)</w:t>
      </w:r>
      <w:r w:rsidRPr="00435469">
        <w:rPr>
          <w:rFonts w:cs="Times New Roman"/>
          <w:sz w:val="20"/>
          <w:szCs w:val="20"/>
        </w:rPr>
        <w:t xml:space="preserve">, in individuals of sex </w:t>
      </w:r>
      <m:oMath>
        <m:r>
          <w:rPr>
            <w:rFonts w:ascii="Cambria Math" w:hAnsi="Cambria Math" w:cs="Times New Roman"/>
            <w:sz w:val="20"/>
            <w:szCs w:val="20"/>
          </w:rPr>
          <m:t>g</m:t>
        </m:r>
      </m:oMath>
      <w:r w:rsidRPr="00435469">
        <w:rPr>
          <w:rFonts w:cs="Times New Roman"/>
          <w:sz w:val="20"/>
          <w:szCs w:val="20"/>
        </w:rPr>
        <w:t xml:space="preserve">, each year </w:t>
      </w:r>
      <m:oMath>
        <m:r>
          <w:rPr>
            <w:rFonts w:ascii="Cambria Math" w:hAnsi="Cambria Math" w:cs="Times New Roman"/>
            <w:sz w:val="20"/>
            <w:szCs w:val="20"/>
          </w:rPr>
          <m:t>t</m:t>
        </m:r>
      </m:oMath>
      <w:r w:rsidRPr="00435469">
        <w:rPr>
          <w:rFonts w:cs="Times New Roman"/>
          <w:sz w:val="20"/>
          <w:szCs w:val="20"/>
        </w:rPr>
        <w:t xml:space="preserve">. Let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M</m:t>
            </m:r>
            <m:ctrlPr>
              <w:rPr>
                <w:rFonts w:ascii="Cambria Math" w:hAnsi="Cambria Math" w:cs="Times New Roman"/>
                <w:sz w:val="20"/>
                <w:szCs w:val="20"/>
              </w:rPr>
            </m:ctrlPr>
          </m:e>
          <m:sub>
            <m:r>
              <w:rPr>
                <w:rFonts w:ascii="Cambria Math" w:hAnsi="Cambria Math" w:cs="Times New Roman"/>
                <w:sz w:val="20"/>
                <w:szCs w:val="20"/>
              </w:rPr>
              <m:t>g,t</m:t>
            </m:r>
          </m:sub>
        </m:sSub>
        <m:d>
          <m:dPr>
            <m:ctrlPr>
              <w:rPr>
                <w:rFonts w:ascii="Cambria Math" w:hAnsi="Cambria Math" w:cs="Times New Roman"/>
                <w:i/>
                <w:sz w:val="20"/>
                <w:szCs w:val="20"/>
              </w:rPr>
            </m:ctrlPr>
          </m:dPr>
          <m:e>
            <m:r>
              <w:rPr>
                <w:rFonts w:ascii="Cambria Math" w:hAnsi="Cambria Math" w:cs="Times New Roman"/>
                <w:sz w:val="20"/>
                <w:szCs w:val="20"/>
              </w:rPr>
              <m:t>ϕ</m:t>
            </m:r>
          </m:e>
        </m:d>
      </m:oMath>
      <w:r w:rsidRPr="00435469">
        <w:rPr>
          <w:rFonts w:cs="Times New Roman"/>
          <w:sz w:val="20"/>
          <w:szCs w:val="20"/>
        </w:rPr>
        <w:t xml:space="preserve"> represent the model estimates for the numbers of </w:t>
      </w:r>
      <w:r w:rsidR="00091D7D" w:rsidRPr="00435469">
        <w:rPr>
          <w:rFonts w:cs="Times New Roman"/>
          <w:sz w:val="20"/>
          <w:szCs w:val="20"/>
        </w:rPr>
        <w:t xml:space="preserve">TB </w:t>
      </w:r>
      <w:r w:rsidRPr="00435469">
        <w:rPr>
          <w:rFonts w:cs="Times New Roman"/>
          <w:sz w:val="20"/>
          <w:szCs w:val="20"/>
        </w:rPr>
        <w:t xml:space="preserve">deaths for individuals with sex </w:t>
      </w:r>
      <m:oMath>
        <m:r>
          <w:rPr>
            <w:rFonts w:ascii="Cambria Math" w:hAnsi="Cambria Math" w:cs="Times New Roman"/>
            <w:sz w:val="20"/>
            <w:szCs w:val="20"/>
          </w:rPr>
          <m:t>g</m:t>
        </m:r>
      </m:oMath>
      <w:r w:rsidRPr="00435469">
        <w:rPr>
          <w:rFonts w:cs="Times New Roman"/>
          <w:sz w:val="20"/>
          <w:szCs w:val="20"/>
        </w:rPr>
        <w:t xml:space="preserve"> per year </w:t>
      </w:r>
      <m:oMath>
        <m:r>
          <w:rPr>
            <w:rFonts w:ascii="Cambria Math" w:hAnsi="Cambria Math" w:cs="Times New Roman"/>
            <w:sz w:val="20"/>
            <w:szCs w:val="20"/>
          </w:rPr>
          <m:t>t</m:t>
        </m:r>
      </m:oMath>
      <w:r w:rsidRPr="00435469">
        <w:rPr>
          <w:rFonts w:cs="Times New Roman"/>
          <w:sz w:val="20"/>
          <w:szCs w:val="20"/>
        </w:rPr>
        <w:t xml:space="preserve">. We let </w:t>
      </w:r>
      <m:oMath>
        <m:r>
          <m:rPr>
            <m:sty m:val="bi"/>
          </m:rPr>
          <w:rPr>
            <w:rFonts w:ascii="Cambria Math" w:hAnsi="Cambria Math" w:cs="Times New Roman"/>
            <w:sz w:val="20"/>
            <w:szCs w:val="20"/>
          </w:rPr>
          <m:t>ϕ</m:t>
        </m:r>
      </m:oMath>
      <w:r w:rsidRPr="00435469">
        <w:rPr>
          <w:rFonts w:cs="Times New Roman"/>
          <w:sz w:val="20"/>
          <w:szCs w:val="20"/>
        </w:rPr>
        <w:t xml:space="preserve"> represent the set of input parameter values.</w:t>
      </w:r>
    </w:p>
    <w:p w14:paraId="1B2C2D73" w14:textId="4F56FD8F" w:rsidR="00590103" w:rsidRPr="00435469" w:rsidRDefault="005A0A5F" w:rsidP="00955FFB">
      <w:pPr>
        <w:spacing w:line="240" w:lineRule="auto"/>
        <w:rPr>
          <w:rFonts w:cs="Times New Roman"/>
          <w:sz w:val="20"/>
          <w:szCs w:val="20"/>
        </w:rPr>
      </w:pPr>
      <w:r w:rsidRPr="00435469">
        <w:rPr>
          <w:rFonts w:cs="Times New Roman"/>
          <w:sz w:val="20"/>
          <w:szCs w:val="20"/>
        </w:rPr>
        <w:t>A review and meta-analysis assessing</w:t>
      </w:r>
      <w:r w:rsidR="00545873" w:rsidRPr="00435469">
        <w:rPr>
          <w:rFonts w:cs="Times New Roman"/>
          <w:sz w:val="20"/>
          <w:szCs w:val="20"/>
        </w:rPr>
        <w:t xml:space="preserve"> causes of </w:t>
      </w:r>
      <w:r w:rsidRPr="00435469">
        <w:rPr>
          <w:rFonts w:cs="Times New Roman"/>
          <w:sz w:val="20"/>
          <w:szCs w:val="20"/>
        </w:rPr>
        <w:t xml:space="preserve">deaths using autopsies, </w:t>
      </w:r>
      <w:r w:rsidR="00D41F5D" w:rsidRPr="00435469">
        <w:rPr>
          <w:rFonts w:cs="Times New Roman"/>
          <w:sz w:val="20"/>
          <w:szCs w:val="20"/>
        </w:rPr>
        <w:t>showed</w:t>
      </w:r>
      <w:r w:rsidRPr="00435469">
        <w:rPr>
          <w:rFonts w:cs="Times New Roman"/>
          <w:sz w:val="20"/>
          <w:szCs w:val="20"/>
        </w:rPr>
        <w:t xml:space="preserve"> that TB accounted for 37.2% (95% CI 25.7–48.7%) of HIV-related deaths and that 45.8% (95% CI 32.6–59.1%) of TB remains undiagnosed at the time of death</w:t>
      </w:r>
      <w:r w:rsidR="00F8142B" w:rsidRPr="00435469">
        <w:rPr>
          <w:rFonts w:cs="Times New Roman"/>
          <w:sz w:val="20"/>
          <w:szCs w:val="20"/>
        </w:rPr>
        <w:t xml:space="preserve"> </w:t>
      </w:r>
      <w:r w:rsidR="00F8142B" w:rsidRPr="00435469">
        <w:rPr>
          <w:rFonts w:cs="Times New Roman"/>
          <w:sz w:val="20"/>
          <w:szCs w:val="20"/>
        </w:rPr>
        <w:fldChar w:fldCharType="begin" w:fldLock="1"/>
      </w:r>
      <w:r w:rsidR="00A142FF" w:rsidRPr="00435469">
        <w:rPr>
          <w:rFonts w:cs="Times New Roman"/>
          <w:sz w:val="20"/>
          <w:szCs w:val="20"/>
        </w:rPr>
        <w:instrText>ADDIN CSL_CITATION {"citationItems":[{"id":"ITEM-1","itemData":{"DOI":"10.1097/QAD.0000000000000802","ISBN":"0000000000000","ISSN":"14735571","PMID":"26266773","abstract":"Objectives: Tuberculosis (TB) is estimated to be the leading cause of HIV-related deaths globally. However, since HIV-associated TB frequently remains unascertained, we systematically reviewed autopsy studies to determine the true burden of TB at death. Methods: We systematically searched Medline and Embase databases (to end 2013) for literature reporting on health facility-based autopsy studies of HIV-infected adults and/or children in resource-limited settings. Using forest plots and random-effects meta-analysis, we summarized the TB prevalence found at autopsy and used meta-regression to explore variables associated with autopsy TB prevalence. Results: We included 36 eligible studies, reporting on 3237 autopsies. Autopsy TB prevalence was extremely heterogeneous (range 0-64.4%), but was markedly higher in adults [pooled prevalence 39.7%, 95% confidence interval (CI) 32.4-47.0%] compared to children (pooled prevalence 4.5%, 95% CI 1.7-7.4%). Post-mortem TB prevalence varied by world region, with pooled estimates in adults of 63.2% (95% CI 57.7-68.7%) in South Asia (n=2 studies); 43.2% (95% CI 38.0-48.3) in sub-Saharan Africa (n=9 studies); and 27.1% (95% CI 16.0-38.1%) in the Americas (n=5 studies). Autopsy prevalence positively correlated with contemporary estimates of national TB prevalence. TB in adults was disseminated in 87.9% (82.2-93.7%) of cases and was considered the cause of death in 91.4% (95% CI 85.8-97.0%) of TB cases. Overall, TB was the cause of death in 37.2% (95% CI 25.7-48.7%) of adult HIV/AIDS-related deaths. TB remained undiagnosed at death in 45.8% (95% CI 32.6-59.1%) of TB cases. Conclusions: In resource-limited settings, TB accounts for approximately 40% of facility-based HIV/AIDS-related adult deaths. Almost half of this disease remains undiagnosed at the time of death. These findings highlight the critical need to improve the prevention, diagnosis and treatment of HIV-associated TB globally.","author":[{"dropping-particle":"","family":"Gupta","given":"Rishi K.","non-dropping-particle":"","parse-names":false,"suffix":""},{"dropping-particle":"","family":"Lucas","given":"Sebastian B.","non-dropping-particle":"","parse-names":false,"suffix":""},{"dropping-particle":"","family":"Fielding","given":"Katherine L.","non-dropping-particle":"","parse-names":false,"suffix":""},{"dropping-particle":"","family":"Lawn","given":"Stephen D.","non-dropping-particle":"","parse-names":false,"suffix":""}],"container-title":"Aids","id":"ITEM-1","issue":"15","issued":{"date-parts":[["2015"]]},"page":"1987-2002","title":"Prevalence of tuberculosis in post-mortem studies of HIV-infected adults and children in resource-limited settings: A systematic review and meta-analysis","type":"article-journal","volume":"29"},"uris":["http://www.mendeley.com/documents/?uuid=f9873a8f-150e-4382-b382-0eb5b9c2cfd8"]}],"mendeley":{"formattedCitation":"(124)","plainTextFormattedCitation":"(124)","previouslyFormattedCitation":"(124)"},"properties":{"noteIndex":0},"schema":"https://github.com/citation-style-language/schema/raw/master/csl-citation.json"}</w:instrText>
      </w:r>
      <w:r w:rsidR="00F8142B" w:rsidRPr="00435469">
        <w:rPr>
          <w:rFonts w:cs="Times New Roman"/>
          <w:sz w:val="20"/>
          <w:szCs w:val="20"/>
        </w:rPr>
        <w:fldChar w:fldCharType="separate"/>
      </w:r>
      <w:r w:rsidR="0016391D" w:rsidRPr="00435469">
        <w:rPr>
          <w:rFonts w:cs="Times New Roman"/>
          <w:noProof/>
          <w:sz w:val="20"/>
          <w:szCs w:val="20"/>
        </w:rPr>
        <w:t>(124)</w:t>
      </w:r>
      <w:r w:rsidR="00F8142B" w:rsidRPr="00435469">
        <w:rPr>
          <w:rFonts w:cs="Times New Roman"/>
          <w:sz w:val="20"/>
          <w:szCs w:val="20"/>
        </w:rPr>
        <w:fldChar w:fldCharType="end"/>
      </w:r>
      <w:r w:rsidRPr="00435469">
        <w:rPr>
          <w:rFonts w:cs="Times New Roman"/>
          <w:sz w:val="20"/>
          <w:szCs w:val="20"/>
        </w:rPr>
        <w:t xml:space="preserve">. Among African studies, the pooled estimate was 43.2% (95% CI 38.0–48.3)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{"citationItems":[{"id":"ITEM-1","itemData":{"DOI":"10.1097/QAD.0000000000000802","ISBN":"0000000000000","ISSN":"14735571","PMID":"26266773","abstract":"Objectives: Tuberculosis (TB) is estimated to be the leading cause of HIV-related deaths globally. However, since HIV-associated TB frequently remains unascertained, we systematically reviewed autopsy studies to determine the true burden of TB at death. Methods: We systematically searched Medline and Embase databases (to end 2013) for literature reporting on health facility-based autopsy studies of HIV-infected adults and/or children in resource-limited settings. Using forest plots and random-effects meta-analysis, we summarized the TB prevalence found at autopsy and used meta-regression to explore variables associated with autopsy TB prevalence. Results: We included 36 eligible studies, reporting on 3237 autopsies. Autopsy TB prevalence was extremely heterogeneous (range 0-64.4%), but was markedly higher in adults [pooled prevalence 39.7%, 95% confidence interval (CI) 32.4-47.0%] compared to children (pooled prevalence 4.5%, 95% CI 1.7-7.4%). Post-mortem TB prevalence varied by world region, with pooled estimates in adults of 63.2% (95% CI 57.7-68.7%) in South Asia (n=2 studies); 43.2% (95% CI 38.0-48.3) in sub-Saharan Africa (n=9 studies); and 27.1% (95% CI 16.0-38.1%) in the Americas (n=5 studies). Autopsy prevalence positively correlated with contemporary estimates of national TB prevalence. TB in adults was disseminated in 87.9% (82.2-93.7%) of cases and was considered the cause of death in 91.4% (95% CI 85.8-97.0%) of TB cases. Overall, TB was the cause of death in 37.2% (95% CI 25.7-48.7%) of adult HIV/AIDS-related deaths. TB remained undiagnosed at death in 45.8% (95% CI 32.6-59.1%) of TB cases. Conclusions: In resource-limited settings, TB accounts for approximately 40% of facility-based HIV/AIDS-related adult deaths. Almost half of this disease remains undiagnosed at the time of death. These findings highlight the critical need to improve the prevention, diagnosis and treatment of HIV-associated TB globally.","author":[{"dropping-particle":"","family":"Gupta","given":"Rishi K.","non-dropping-particle":"","parse-names":false,"suffix":""},{"dropping-particle":"","family":"Lucas","given":"Sebastian B.","non-dropping-particle":"","parse-names":false,"suffix":""},{"dropping-particle":"","family":"Fielding","given":"Katherine L.","non-dropping-particle":"","parse-names":false,"suffix":""},{"dropping-particle":"","family":"Lawn","given":"Stephen D.","non-dropping-particle":"","parse-names":false,"suffix":""}],"container-title":"Aids","id":"ITEM-1","issue":"15","issued":{"date-parts":[["2015"]]},"page":"1987-2002","title":"Prevalence of tuberculosis in post-mortem studies of HIV-infected adults and children in resource-limited settings: A systematic review and meta-analysis","type":"article-journal","volume":"29"},"uris":["http://www.mendeley.com/documents/?uuid=f9873a8f-150e-4382-b382-0eb5b9c2cfd8"]}],"mendeley":{"formattedCitation":"(124)","plainTextFormattedCitation":"(124)","previouslyFormattedCitation":"(124)"},"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(124)</w:t>
      </w:r>
      <w:r w:rsidRPr="00435469">
        <w:rPr>
          <w:rFonts w:cs="Times New Roman"/>
          <w:sz w:val="20"/>
          <w:szCs w:val="20"/>
        </w:rPr>
        <w:fldChar w:fldCharType="end"/>
      </w:r>
      <w:r w:rsidRPr="00435469">
        <w:rPr>
          <w:rFonts w:cs="Times New Roman"/>
          <w:sz w:val="20"/>
          <w:szCs w:val="20"/>
        </w:rPr>
        <w:t xml:space="preserve">. </w:t>
      </w:r>
      <w:r w:rsidRPr="00435469">
        <w:rPr>
          <w:sz w:val="20"/>
          <w:szCs w:val="20"/>
        </w:rPr>
        <w:t>In the model we</w:t>
      </w:r>
      <w:r w:rsidR="00FA6F5C" w:rsidRPr="00435469">
        <w:rPr>
          <w:sz w:val="20"/>
          <w:szCs w:val="20"/>
        </w:rPr>
        <w:t xml:space="preserve"> </w:t>
      </w:r>
      <w:r w:rsidR="00091D7D" w:rsidRPr="00435469">
        <w:rPr>
          <w:sz w:val="20"/>
          <w:szCs w:val="20"/>
        </w:rPr>
        <w:t xml:space="preserve">therefore </w:t>
      </w:r>
      <w:r w:rsidR="00FA6F5C" w:rsidRPr="00435469">
        <w:rPr>
          <w:sz w:val="20"/>
          <w:szCs w:val="20"/>
        </w:rPr>
        <w:t>introduced the</w:t>
      </w:r>
      <w:r w:rsidRPr="00435469">
        <w:rPr>
          <w:sz w:val="20"/>
          <w:szCs w:val="20"/>
        </w:rPr>
        <w:t xml:space="preserve"> parameter</w:t>
      </w:r>
      <w:r w:rsidR="00FA6F5C" w:rsidRPr="00435469">
        <w:rPr>
          <w:sz w:val="20"/>
          <w:szCs w:val="20"/>
        </w:rPr>
        <w:t xml:space="preserve"> </w:t>
      </w:r>
      <m:oMath>
        <m:r>
          <w:rPr>
            <w:rFonts w:ascii="Cambria Math" w:hAnsi="Cambria Math" w:cs="Times New Roman"/>
            <w:sz w:val="20"/>
            <w:szCs w:val="20"/>
          </w:rPr>
          <m:t xml:space="preserve">γ </m:t>
        </m:r>
      </m:oMath>
      <w:r w:rsidR="00F25B1E" w:rsidRPr="00435469">
        <w:rPr>
          <w:sz w:val="20"/>
          <w:szCs w:val="20"/>
        </w:rPr>
        <w:t>(</w:t>
      </w:r>
      <w:r w:rsidR="0042485C" w:rsidRPr="00435469">
        <w:rPr>
          <w:rFonts w:eastAsiaTheme="minorEastAsia" w:cs="Times New Roman"/>
          <w:sz w:val="20"/>
          <w:szCs w:val="20"/>
        </w:rPr>
        <w:t>a</w:t>
      </w:r>
      <w:r w:rsidR="00F25B1E" w:rsidRPr="00435469">
        <w:rPr>
          <w:rFonts w:eastAsiaTheme="minorEastAsia" w:cs="Times New Roman"/>
          <w:sz w:val="20"/>
          <w:szCs w:val="20"/>
        </w:rPr>
        <w:t xml:space="preserve"> ratio of model </w:t>
      </w:r>
      <w:r w:rsidR="0042485C" w:rsidRPr="00435469">
        <w:rPr>
          <w:rFonts w:eastAsiaTheme="minorEastAsia" w:cs="Times New Roman"/>
          <w:sz w:val="20"/>
          <w:szCs w:val="20"/>
        </w:rPr>
        <w:t xml:space="preserve">the </w:t>
      </w:r>
      <w:r w:rsidR="00F25B1E" w:rsidRPr="00435469">
        <w:rPr>
          <w:rFonts w:eastAsiaTheme="minorEastAsia" w:cs="Times New Roman"/>
          <w:sz w:val="20"/>
          <w:szCs w:val="20"/>
        </w:rPr>
        <w:t xml:space="preserve">estimated (‘true’) tuberculosis cases to the </w:t>
      </w:r>
      <w:r w:rsidR="00F25B1E" w:rsidRPr="00435469">
        <w:rPr>
          <w:rFonts w:cs="Times New Roman"/>
          <w:sz w:val="20"/>
          <w:szCs w:val="20"/>
        </w:rPr>
        <w:t>number of recorded deaths classified as TB</w:t>
      </w:r>
      <w:r w:rsidR="00F25B1E" w:rsidRPr="00435469">
        <w:rPr>
          <w:sz w:val="20"/>
          <w:szCs w:val="20"/>
        </w:rPr>
        <w:t>)</w:t>
      </w:r>
      <w:r w:rsidR="00FA6F5C" w:rsidRPr="00435469">
        <w:rPr>
          <w:sz w:val="20"/>
          <w:szCs w:val="20"/>
        </w:rPr>
        <w:t xml:space="preserve"> to correct for potential bias in the recorded TB death data</w:t>
      </w:r>
      <w:r w:rsidR="00F25B1E" w:rsidRPr="00435469">
        <w:rPr>
          <w:sz w:val="20"/>
          <w:szCs w:val="20"/>
        </w:rPr>
        <w:t>. By this</w:t>
      </w:r>
      <w:r w:rsidR="007E51C5" w:rsidRPr="00435469">
        <w:rPr>
          <w:sz w:val="20"/>
          <w:szCs w:val="20"/>
        </w:rPr>
        <w:t>,</w:t>
      </w:r>
      <w:r w:rsidR="00F25B1E" w:rsidRPr="00435469">
        <w:rPr>
          <w:sz w:val="20"/>
          <w:szCs w:val="20"/>
        </w:rPr>
        <w:t xml:space="preserve"> we are</w:t>
      </w:r>
      <w:r w:rsidR="00FA6F5C" w:rsidRPr="00435469">
        <w:rPr>
          <w:sz w:val="20"/>
          <w:szCs w:val="20"/>
        </w:rPr>
        <w:t xml:space="preserve"> assuming that the bias </w:t>
      </w:r>
      <w:r w:rsidR="007E51C5" w:rsidRPr="00435469">
        <w:rPr>
          <w:sz w:val="20"/>
          <w:szCs w:val="20"/>
        </w:rPr>
        <w:t>is</w:t>
      </w:r>
      <w:r w:rsidR="00FA6F5C" w:rsidRPr="00435469">
        <w:rPr>
          <w:sz w:val="20"/>
          <w:szCs w:val="20"/>
        </w:rPr>
        <w:t xml:space="preserve"> </w:t>
      </w:r>
      <w:r w:rsidR="00E63635" w:rsidRPr="00435469">
        <w:rPr>
          <w:sz w:val="20"/>
          <w:szCs w:val="20"/>
        </w:rPr>
        <w:t>relatively</w:t>
      </w:r>
      <w:r w:rsidR="008C5D29" w:rsidRPr="00435469">
        <w:rPr>
          <w:sz w:val="20"/>
          <w:szCs w:val="20"/>
        </w:rPr>
        <w:t xml:space="preserve"> stable</w:t>
      </w:r>
      <w:r w:rsidR="00FA6F5C" w:rsidRPr="00435469">
        <w:rPr>
          <w:sz w:val="20"/>
          <w:szCs w:val="20"/>
        </w:rPr>
        <w:t xml:space="preserve"> over time, and similar for males and females</w:t>
      </w:r>
      <w:r w:rsidR="007E51C5" w:rsidRPr="00435469">
        <w:rPr>
          <w:sz w:val="20"/>
          <w:szCs w:val="20"/>
        </w:rPr>
        <w:t>.</w:t>
      </w:r>
    </w:p>
    <w:p w14:paraId="4319285E" w14:textId="77777777" w:rsidR="006B5F74" w:rsidRPr="00435469" w:rsidRDefault="006B5F74" w:rsidP="00955FFB">
      <w:pPr>
        <w:pStyle w:val="1Para"/>
        <w:spacing w:line="240" w:lineRule="auto"/>
        <w:ind w:firstLine="0"/>
        <w:rPr>
          <w:sz w:val="20"/>
          <w:szCs w:val="20"/>
        </w:rPr>
      </w:pPr>
    </w:p>
    <w:p w14:paraId="567593D4" w14:textId="2104756A" w:rsidR="00412528" w:rsidRPr="00435469" w:rsidRDefault="00412528" w:rsidP="00955FFB">
      <w:pPr>
        <w:pStyle w:val="1Para"/>
        <w:spacing w:line="240" w:lineRule="auto"/>
        <w:ind w:firstLine="0"/>
        <w:rPr>
          <w:rFonts w:eastAsiaTheme="minorEastAsia"/>
          <w:sz w:val="20"/>
          <w:szCs w:val="20"/>
        </w:rPr>
      </w:pPr>
      <w:r w:rsidRPr="00435469">
        <w:rPr>
          <w:sz w:val="20"/>
          <w:szCs w:val="20"/>
        </w:rPr>
        <w:lastRenderedPageBreak/>
        <w:t>We estimate</w:t>
      </w:r>
      <w:r w:rsidR="00915DB2" w:rsidRPr="00435469">
        <w:rPr>
          <w:sz w:val="20"/>
          <w:szCs w:val="20"/>
        </w:rPr>
        <w:t>d</w:t>
      </w:r>
      <w:r w:rsidRPr="00435469">
        <w:rPr>
          <w:sz w:val="20"/>
          <w:szCs w:val="20"/>
        </w:rPr>
        <w:t xml:space="preserve"> </w:t>
      </w:r>
      <m:oMath>
        <m:r>
          <w:rPr>
            <w:rFonts w:ascii="Cambria Math" w:hAnsi="Cambria Math" w:cs="Times New Roman"/>
            <w:sz w:val="20"/>
            <w:szCs w:val="20"/>
          </w:rPr>
          <m:t>γ</m:t>
        </m:r>
      </m:oMath>
      <w:r w:rsidRPr="00435469">
        <w:rPr>
          <w:rFonts w:eastAsiaTheme="minorEastAsia"/>
          <w:sz w:val="20"/>
          <w:szCs w:val="20"/>
        </w:rPr>
        <w:t xml:space="preserve"> as </w:t>
      </w:r>
    </w:p>
    <w:p w14:paraId="77B51F07" w14:textId="2D569E32" w:rsidR="00412528" w:rsidRPr="00435469" w:rsidRDefault="00E632EB" w:rsidP="00955FFB">
      <w:pPr>
        <w:pStyle w:val="1Para"/>
        <w:spacing w:line="240" w:lineRule="auto"/>
        <w:ind w:firstLine="0"/>
        <w:rPr>
          <w:rFonts w:eastAsiaTheme="minorEastAsia"/>
          <w:sz w:val="20"/>
          <w:szCs w:val="20"/>
        </w:rPr>
      </w:pPr>
      <m:oMathPara>
        <m:oMath>
          <m:r>
            <w:rPr>
              <w:rFonts w:ascii="Cambria Math" w:hAnsi="Cambria Math" w:cs="Times New Roman"/>
              <w:sz w:val="20"/>
              <w:szCs w:val="20"/>
            </w:rPr>
            <m:t>γ=</m:t>
          </m:r>
          <m:f>
            <m:fPr>
              <m:ctrlPr>
                <w:rPr>
                  <w:rFonts w:ascii="Cambria Math" w:hAnsi="Cambria Math" w:cs="Times New Roman"/>
                  <w:i/>
                  <w:sz w:val="20"/>
                  <w:szCs w:val="20"/>
                </w:rPr>
              </m:ctrlPr>
            </m:fPr>
            <m:num>
              <m:r>
                <w:rPr>
                  <w:rFonts w:ascii="Cambria Math" w:hAnsi="Cambria Math" w:cs="Times New Roman"/>
                  <w:sz w:val="20"/>
                  <w:szCs w:val="20"/>
                </w:rPr>
                <m:t xml:space="preserve"> </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t</m:t>
                      </m:r>
                    </m:sub>
                    <m:sup/>
                    <m:e>
                      <m:sSub>
                        <m:sSubPr>
                          <m:ctrlPr>
                            <w:rPr>
                              <w:rFonts w:ascii="Cambria Math" w:hAnsi="Cambria Math" w:cs="Times New Roman"/>
                              <w:i/>
                              <w:sz w:val="20"/>
                              <w:szCs w:val="20"/>
                            </w:rPr>
                          </m:ctrlPr>
                        </m:sSubPr>
                        <m:e>
                          <m:r>
                            <m:rPr>
                              <m:sty m:val="p"/>
                            </m:rPr>
                            <w:rPr>
                              <w:rFonts w:ascii="Cambria Math" w:hAnsi="Cambria Math" w:cs="Times New Roman"/>
                              <w:sz w:val="20"/>
                              <w:szCs w:val="20"/>
                            </w:rPr>
                            <m:t>M</m:t>
                          </m:r>
                          <m:ctrlPr>
                            <w:rPr>
                              <w:rFonts w:ascii="Cambria Math" w:hAnsi="Cambria Math" w:cs="Times New Roman"/>
                              <w:sz w:val="20"/>
                              <w:szCs w:val="20"/>
                            </w:rPr>
                          </m:ctrlPr>
                        </m:e>
                        <m:sub>
                          <m:r>
                            <w:rPr>
                              <w:rFonts w:ascii="Cambria Math" w:hAnsi="Cambria Math" w:cs="Times New Roman"/>
                              <w:sz w:val="20"/>
                              <w:szCs w:val="20"/>
                            </w:rPr>
                            <m:t>g,t</m:t>
                          </m:r>
                        </m:sub>
                      </m:sSub>
                    </m:e>
                  </m:nary>
                </m:e>
              </m:nary>
            </m:num>
            <m:den>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t</m:t>
                      </m:r>
                    </m:sub>
                    <m:sup/>
                    <m:e>
                      <m:sSub>
                        <m:sSubPr>
                          <m:ctrlPr>
                            <w:rPr>
                              <w:rFonts w:ascii="Cambria Math" w:hAnsi="Cambria Math" w:cs="Times New Roman"/>
                              <w:i/>
                              <w:sz w:val="20"/>
                              <w:szCs w:val="20"/>
                            </w:rPr>
                          </m:ctrlPr>
                        </m:sSubPr>
                        <m:e>
                          <m:r>
                            <m:rPr>
                              <m:sty m:val="p"/>
                            </m:rPr>
                            <w:rPr>
                              <w:rFonts w:ascii="Cambria Math" w:hAnsi="Cambria Math" w:cs="Times New Roman"/>
                              <w:sz w:val="20"/>
                              <w:szCs w:val="20"/>
                            </w:rPr>
                            <m:t>D</m:t>
                          </m:r>
                          <m:ctrlPr>
                            <w:rPr>
                              <w:rFonts w:ascii="Cambria Math" w:hAnsi="Cambria Math" w:cs="Times New Roman"/>
                              <w:sz w:val="20"/>
                              <w:szCs w:val="20"/>
                            </w:rPr>
                          </m:ctrlPr>
                        </m:e>
                        <m:sub>
                          <m:r>
                            <w:rPr>
                              <w:rFonts w:ascii="Cambria Math" w:hAnsi="Cambria Math" w:cs="Times New Roman"/>
                              <w:sz w:val="20"/>
                              <w:szCs w:val="20"/>
                            </w:rPr>
                            <m:t>g,t</m:t>
                          </m:r>
                        </m:sub>
                      </m:sSub>
                    </m:e>
                  </m:nary>
                </m:e>
              </m:nary>
            </m:den>
          </m:f>
        </m:oMath>
      </m:oMathPara>
    </w:p>
    <w:p w14:paraId="4330EEEC" w14:textId="5242E0DE" w:rsidR="005757C6" w:rsidRPr="00435469" w:rsidRDefault="00590103" w:rsidP="00955FFB">
      <w:pPr>
        <w:pStyle w:val="1ParaFlushLeft"/>
        <w:spacing w:line="240" w:lineRule="auto"/>
        <w:rPr>
          <w:rFonts w:cs="Times New Roman"/>
          <w:sz w:val="20"/>
          <w:szCs w:val="20"/>
        </w:rPr>
      </w:pPr>
      <w:r w:rsidRPr="00435469">
        <w:rPr>
          <w:rFonts w:cs="Times New Roman"/>
          <w:sz w:val="20"/>
          <w:szCs w:val="20"/>
        </w:rPr>
        <w:t xml:space="preserve">Then we specify the </w:t>
      </w:r>
      <w:r w:rsidR="005757C6" w:rsidRPr="00435469">
        <w:rPr>
          <w:rFonts w:cs="Times New Roman"/>
          <w:sz w:val="20"/>
          <w:szCs w:val="20"/>
        </w:rPr>
        <w:t>likelihood function</w:t>
      </w:r>
      <w:r w:rsidRPr="00435469">
        <w:rPr>
          <w:rFonts w:cs="Times New Roman"/>
          <w:sz w:val="20"/>
          <w:szCs w:val="20"/>
        </w:rPr>
        <w:t xml:space="preserve"> </w:t>
      </w:r>
      <w:r w:rsidR="00BA7560" w:rsidRPr="00435469">
        <w:rPr>
          <w:rFonts w:cs="Times New Roman"/>
          <w:sz w:val="20"/>
          <w:szCs w:val="20"/>
        </w:rPr>
        <w:t xml:space="preserve">for TB deaths </w:t>
      </w:r>
      <w:r w:rsidRPr="00435469">
        <w:rPr>
          <w:rFonts w:cs="Times New Roman"/>
          <w:sz w:val="20"/>
          <w:szCs w:val="20"/>
        </w:rPr>
        <w:t>as</w:t>
      </w:r>
    </w:p>
    <w:p w14:paraId="474AAD80" w14:textId="14357341" w:rsidR="005757C6" w:rsidRPr="00435469" w:rsidRDefault="005757C6" w:rsidP="00955FFB">
      <w:pPr>
        <w:pStyle w:val="1ParaFlushLeft"/>
        <w:spacing w:line="240" w:lineRule="auto"/>
        <w:rPr>
          <w:rFonts w:cs="Times New Roman"/>
          <w:sz w:val="20"/>
          <w:szCs w:val="20"/>
        </w:rPr>
      </w:pPr>
      <m:oMathPara>
        <m:oMath>
          <m:r>
            <w:rPr>
              <w:rFonts w:ascii="Cambria Math" w:hAnsi="Cambria Math" w:cs="Times New Roman"/>
              <w:sz w:val="20"/>
              <w:szCs w:val="20"/>
            </w:rPr>
            <m:t>L</m:t>
          </m:r>
          <m:d>
            <m:dPr>
              <m:ctrlPr>
                <w:rPr>
                  <w:rFonts w:ascii="Cambria Math" w:hAnsi="Cambria Math" w:cs="Times New Roman"/>
                  <w:i/>
                  <w:sz w:val="20"/>
                  <w:szCs w:val="20"/>
                </w:rPr>
              </m:ctrlPr>
            </m:dPr>
            <m:e>
              <m:r>
                <m:rPr>
                  <m:sty m:val="bi"/>
                </m:rPr>
                <w:rPr>
                  <w:rFonts w:ascii="Cambria Math" w:hAnsi="Cambria Math" w:cs="Times New Roman"/>
                  <w:sz w:val="20"/>
                  <w:szCs w:val="20"/>
                </w:rPr>
                <m:t>D</m:t>
              </m:r>
            </m:e>
            <m:e>
              <m:r>
                <w:rPr>
                  <w:rFonts w:ascii="Cambria Math" w:hAnsi="Cambria Math" w:cs="Times New Roman"/>
                  <w:sz w:val="20"/>
                  <w:szCs w:val="20"/>
                </w:rPr>
                <m:t>ϕ</m:t>
              </m:r>
            </m:e>
          </m:d>
          <m:r>
            <w:rPr>
              <w:rFonts w:ascii="Cambria Math" w:hAnsi="Cambria Math" w:cs="Times New Roman"/>
              <w:sz w:val="20"/>
              <w:szCs w:val="20"/>
            </w:rPr>
            <m:t xml:space="preserve">= </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t=1997</m:t>
                  </m:r>
                </m:sub>
                <m:sup>
                  <m:r>
                    <w:rPr>
                      <w:rFonts w:ascii="Cambria Math" w:hAnsi="Cambria Math" w:cs="Times New Roman"/>
                      <w:sz w:val="20"/>
                      <w:szCs w:val="20"/>
                    </w:rPr>
                    <m:t>2016</m:t>
                  </m:r>
                </m:sup>
                <m:e>
                  <m:f>
                    <m:fPr>
                      <m:ctrlPr>
                        <w:rPr>
                          <w:rFonts w:ascii="Cambria Math" w:hAnsi="Cambria Math" w:cs="Times New Roman"/>
                          <w:i/>
                          <w:sz w:val="20"/>
                          <w:szCs w:val="20"/>
                        </w:rPr>
                      </m:ctrlPr>
                    </m:fPr>
                    <m:num>
                      <m:r>
                        <w:rPr>
                          <w:rFonts w:ascii="Cambria Math" w:hAnsi="Cambria Math" w:cs="Times New Roman"/>
                          <w:sz w:val="20"/>
                          <w:szCs w:val="20"/>
                        </w:rPr>
                        <m:t>1</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2π</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e>
                      </m:rad>
                    </m:den>
                  </m:f>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i/>
                              <w:sz w:val="20"/>
                              <w:szCs w:val="20"/>
                            </w:rPr>
                          </m:ctrlPr>
                        </m:dPr>
                        <m:e>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begChr m:val="["/>
                                      <m:endChr m:val="]"/>
                                      <m:ctrlPr>
                                        <w:rPr>
                                          <w:rFonts w:ascii="Cambria Math" w:hAnsi="Cambria Math" w:cs="Times New Roman"/>
                                          <w:i/>
                                          <w:sz w:val="20"/>
                                          <w:szCs w:val="20"/>
                                        </w:rPr>
                                      </m:ctrlPr>
                                    </m:dPr>
                                    <m:e>
                                      <m:func>
                                        <m:funcPr>
                                          <m:ctrlPr>
                                            <w:rPr>
                                              <w:rFonts w:ascii="Cambria Math" w:hAnsi="Cambria Math" w:cs="Times New Roman"/>
                                              <w:sz w:val="20"/>
                                              <w:szCs w:val="20"/>
                                            </w:rPr>
                                          </m:ctrlPr>
                                        </m:funcPr>
                                        <m:fName>
                                          <m:r>
                                            <m:rPr>
                                              <m:sty m:val="p"/>
                                            </m:rPr>
                                            <w:rPr>
                                              <w:rFonts w:ascii="Cambria Math" w:hAnsi="Cambria Math" w:cs="Times New Roman"/>
                                              <w:sz w:val="20"/>
                                              <w:szCs w:val="20"/>
                                            </w:rPr>
                                            <m:t>ln</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g,t</m:t>
                                                  </m:r>
                                                </m:sub>
                                              </m:sSub>
                                              <m:r>
                                                <w:rPr>
                                                  <w:rFonts w:ascii="Cambria Math" w:hAnsi="Cambria Math" w:cs="Times New Roman"/>
                                                  <w:sz w:val="20"/>
                                                  <w:szCs w:val="20"/>
                                                </w:rPr>
                                                <m:t>γ</m:t>
                                              </m:r>
                                            </m:e>
                                          </m:d>
                                        </m:e>
                                      </m:func>
                                      <m:r>
                                        <w:rPr>
                                          <w:rFonts w:ascii="Cambria Math" w:hAnsi="Cambria Math" w:cs="Times New Roman"/>
                                          <w:sz w:val="20"/>
                                          <w:szCs w:val="20"/>
                                        </w:rPr>
                                        <m:t>-</m:t>
                                      </m:r>
                                      <m:func>
                                        <m:funcPr>
                                          <m:ctrlPr>
                                            <w:rPr>
                                              <w:rFonts w:ascii="Cambria Math" w:hAnsi="Cambria Math" w:cs="Times New Roman"/>
                                              <w:sz w:val="20"/>
                                              <w:szCs w:val="20"/>
                                            </w:rPr>
                                          </m:ctrlPr>
                                        </m:funcPr>
                                        <m:fName>
                                          <m:r>
                                            <m:rPr>
                                              <m:sty m:val="p"/>
                                            </m:rPr>
                                            <w:rPr>
                                              <w:rFonts w:ascii="Cambria Math" w:hAnsi="Cambria Math" w:cs="Times New Roman"/>
                                              <w:sz w:val="20"/>
                                              <w:szCs w:val="20"/>
                                            </w:rPr>
                                            <m:t>ln</m:t>
                                          </m:r>
                                          <m:ctrlPr>
                                            <w:rPr>
                                              <w:rFonts w:ascii="Cambria Math" w:hAnsi="Cambria Math" w:cs="Times New Roman"/>
                                              <w:i/>
                                              <w:sz w:val="20"/>
                                              <w:szCs w:val="20"/>
                                            </w:rPr>
                                          </m:ctrlP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M</m:t>
                                                  </m:r>
                                                  <m:ctrlPr>
                                                    <w:rPr>
                                                      <w:rFonts w:ascii="Cambria Math" w:hAnsi="Cambria Math" w:cs="Times New Roman"/>
                                                      <w:sz w:val="20"/>
                                                      <w:szCs w:val="20"/>
                                                    </w:rPr>
                                                  </m:ctrlPr>
                                                </m:e>
                                                <m:sub>
                                                  <m:r>
                                                    <w:rPr>
                                                      <w:rFonts w:ascii="Cambria Math" w:hAnsi="Cambria Math" w:cs="Times New Roman"/>
                                                      <w:sz w:val="20"/>
                                                      <w:szCs w:val="20"/>
                                                    </w:rPr>
                                                    <m:t>g,t</m:t>
                                                  </m:r>
                                                </m:sub>
                                              </m:sSub>
                                              <m:d>
                                                <m:dPr>
                                                  <m:ctrlPr>
                                                    <w:rPr>
                                                      <w:rFonts w:ascii="Cambria Math" w:hAnsi="Cambria Math" w:cs="Times New Roman"/>
                                                      <w:i/>
                                                      <w:sz w:val="20"/>
                                                      <w:szCs w:val="20"/>
                                                    </w:rPr>
                                                  </m:ctrlPr>
                                                </m:dPr>
                                                <m:e>
                                                  <m:r>
                                                    <w:rPr>
                                                      <w:rFonts w:ascii="Cambria Math" w:hAnsi="Cambria Math" w:cs="Times New Roman"/>
                                                      <w:sz w:val="20"/>
                                                      <w:szCs w:val="20"/>
                                                    </w:rPr>
                                                    <m:t>ϕ</m:t>
                                                  </m:r>
                                                </m:e>
                                              </m:d>
                                              <m:r>
                                                <m:rPr>
                                                  <m:sty m:val="p"/>
                                                </m:rPr>
                                                <w:rPr>
                                                  <w:rFonts w:ascii="Cambria Math" w:hAnsi="Cambria Math" w:cs="Times New Roman"/>
                                                  <w:sz w:val="20"/>
                                                  <w:szCs w:val="20"/>
                                                </w:rPr>
                                                <m:t xml:space="preserve">) </m:t>
                                              </m:r>
                                            </m:e>
                                          </m:d>
                                        </m:e>
                                      </m:func>
                                    </m:e>
                                  </m:d>
                                </m:e>
                                <m:sup>
                                  <m:r>
                                    <w:rPr>
                                      <w:rFonts w:ascii="Cambria Math" w:hAnsi="Cambria Math" w:cs="Times New Roman"/>
                                      <w:sz w:val="20"/>
                                      <w:szCs w:val="20"/>
                                    </w:rPr>
                                    <m:t>2</m:t>
                                  </m:r>
                                </m:sup>
                              </m:sSup>
                            </m:num>
                            <m:den>
                              <m:r>
                                <w:rPr>
                                  <w:rFonts w:ascii="Cambria Math" w:hAnsi="Cambria Math" w:cs="Times New Roman"/>
                                  <w:sz w:val="20"/>
                                  <w:szCs w:val="20"/>
                                </w:rPr>
                                <m:t>2</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den>
                          </m:f>
                        </m:e>
                      </m:d>
                    </m:e>
                  </m:func>
                </m:e>
              </m:nary>
            </m:e>
          </m:nary>
        </m:oMath>
      </m:oMathPara>
    </w:p>
    <w:p w14:paraId="3A0765C2" w14:textId="14540457" w:rsidR="00680342" w:rsidRPr="00435469" w:rsidRDefault="005757C6" w:rsidP="00955FFB">
      <w:pPr>
        <w:pStyle w:val="1ParaFlushLeft"/>
        <w:spacing w:line="240" w:lineRule="auto"/>
        <w:rPr>
          <w:rFonts w:cs="Times New Roman"/>
          <w:sz w:val="20"/>
          <w:szCs w:val="20"/>
        </w:rPr>
      </w:pPr>
      <w:r w:rsidRPr="00435469">
        <w:rPr>
          <w:rFonts w:cs="Times New Roman"/>
          <w:sz w:val="20"/>
          <w:szCs w:val="20"/>
        </w:rPr>
        <w:t xml:space="preserve">And the variance </w:t>
      </w:r>
      <w:r w:rsidR="0092101F" w:rsidRPr="00435469">
        <w:rPr>
          <w:rFonts w:cs="Times New Roman"/>
          <w:sz w:val="20"/>
          <w:szCs w:val="20"/>
        </w:rPr>
        <w:t>(</w:t>
      </w:r>
      <m:oMath>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oMath>
      <w:r w:rsidRPr="00435469">
        <w:rPr>
          <w:rFonts w:cs="Times New Roman"/>
          <w:sz w:val="20"/>
          <w:szCs w:val="20"/>
        </w:rPr>
        <w:t>) was set at 0.01.</w:t>
      </w:r>
    </w:p>
    <w:p w14:paraId="6302F266" w14:textId="67B6E0BB" w:rsidR="005757C6" w:rsidRPr="00435469" w:rsidRDefault="00310E4B" w:rsidP="00955FFB">
      <w:pPr>
        <w:pStyle w:val="Heading3"/>
        <w:numPr>
          <w:ilvl w:val="2"/>
          <w:numId w:val="18"/>
        </w:numPr>
        <w:rPr>
          <w:color w:val="auto"/>
          <w:sz w:val="20"/>
          <w:szCs w:val="20"/>
        </w:rPr>
      </w:pPr>
      <w:bookmarkStart w:id="321" w:name="_Toc89683419"/>
      <w:r w:rsidRPr="00435469">
        <w:rPr>
          <w:color w:val="auto"/>
          <w:sz w:val="20"/>
          <w:szCs w:val="20"/>
        </w:rPr>
        <w:t xml:space="preserve"> </w:t>
      </w:r>
      <w:bookmarkStart w:id="322" w:name="_Toc103252958"/>
      <w:r w:rsidR="00EF7766" w:rsidRPr="00435469">
        <w:rPr>
          <w:color w:val="auto"/>
          <w:sz w:val="20"/>
          <w:szCs w:val="20"/>
        </w:rPr>
        <w:t>The l</w:t>
      </w:r>
      <w:r w:rsidR="005757C6" w:rsidRPr="00435469">
        <w:rPr>
          <w:color w:val="auto"/>
          <w:sz w:val="20"/>
          <w:szCs w:val="20"/>
        </w:rPr>
        <w:t>ikelihood for expected tuberculosis deaths in people living with HIV</w:t>
      </w:r>
      <w:bookmarkEnd w:id="321"/>
      <w:bookmarkEnd w:id="322"/>
      <w:r w:rsidR="005757C6" w:rsidRPr="00435469">
        <w:rPr>
          <w:color w:val="auto"/>
          <w:sz w:val="20"/>
          <w:szCs w:val="20"/>
        </w:rPr>
        <w:t xml:space="preserve"> </w:t>
      </w:r>
    </w:p>
    <w:p w14:paraId="61AED73F" w14:textId="082E5F82" w:rsidR="0058579A" w:rsidRPr="00435469" w:rsidRDefault="00775B12" w:rsidP="00955FFB">
      <w:pPr>
        <w:pStyle w:val="Heading5"/>
        <w:numPr>
          <w:ilvl w:val="0"/>
          <w:numId w:val="23"/>
        </w:numPr>
        <w:rPr>
          <w:color w:val="auto"/>
          <w:sz w:val="20"/>
          <w:szCs w:val="20"/>
        </w:rPr>
      </w:pPr>
      <w:r w:rsidRPr="00435469">
        <w:rPr>
          <w:color w:val="auto"/>
          <w:sz w:val="20"/>
          <w:szCs w:val="20"/>
        </w:rPr>
        <w:t xml:space="preserve">Estimating </w:t>
      </w:r>
      <w:r w:rsidR="00CA5E96" w:rsidRPr="00435469">
        <w:rPr>
          <w:color w:val="auto"/>
          <w:sz w:val="20"/>
          <w:szCs w:val="20"/>
        </w:rPr>
        <w:t>the number of HIV deaths that are due to tuberculosis</w:t>
      </w:r>
    </w:p>
    <w:p w14:paraId="2A98C231" w14:textId="12A703F4" w:rsidR="00293B0A" w:rsidRPr="00435469" w:rsidRDefault="00CA5E96" w:rsidP="00955FFB">
      <w:pPr>
        <w:spacing w:line="240" w:lineRule="auto"/>
        <w:rPr>
          <w:rFonts w:cs="Times New Roman"/>
          <w:sz w:val="20"/>
          <w:szCs w:val="20"/>
        </w:rPr>
      </w:pPr>
      <w:r w:rsidRPr="00435469">
        <w:rPr>
          <w:rFonts w:cs="Times New Roman"/>
          <w:sz w:val="20"/>
          <w:szCs w:val="20"/>
        </w:rPr>
        <w:t xml:space="preserve">In the model, we approximate the expected number of HIV deaths due to TB using the proportion of 0.43 estimated by the Gupta </w:t>
      </w:r>
      <w:r w:rsidRPr="00435469">
        <w:rPr>
          <w:rFonts w:cs="Times New Roman"/>
          <w:i/>
          <w:iCs/>
          <w:sz w:val="20"/>
          <w:szCs w:val="20"/>
        </w:rPr>
        <w:t>et al.</w:t>
      </w:r>
      <w:r w:rsidRPr="00435469">
        <w:rPr>
          <w:rFonts w:cs="Times New Roman"/>
          <w:sz w:val="20"/>
          <w:szCs w:val="20"/>
        </w:rPr>
        <w:t xml:space="preserve"> meta-analysis for African settings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{"citationItems":[{"id":"ITEM-1","itemData":{"DOI":"10.1097/QAD.0000000000000802","ISBN":"0000000000000","ISSN":"14735571","PMID":"26266773","abstract":"Objectives: Tuberculosis (TB) is estimated to be the leading cause of HIV-related deaths globally. However, since HIV-associated TB frequently remains unascertained, we systematically reviewed autopsy studies to determine the true burden of TB at death. Methods: We systematically searched Medline and Embase databases (to end 2013) for literature reporting on health facility-based autopsy studies of HIV-infected adults and/or children in resource-limited settings. Using forest plots and random-effects meta-analysis, we summarized the TB prevalence found at autopsy and used meta-regression to explore variables associated with autopsy TB prevalence. Results: We included 36 eligible studies, reporting on 3237 autopsies. Autopsy TB prevalence was extremely heterogeneous (range 0-64.4%), but was markedly higher in adults [pooled prevalence 39.7%, 95% confidence interval (CI) 32.4-47.0%] compared to children (pooled prevalence 4.5%, 95% CI 1.7-7.4%). Post-mortem TB prevalence varied by world region, with pooled estimates in adults of 63.2% (95% CI 57.7-68.7%) in South Asia (n=2 studies); 43.2% (95% CI 38.0-48.3) in sub-Saharan Africa (n=9 studies); and 27.1% (95% CI 16.0-38.1%) in the Americas (n=5 studies). Autopsy prevalence positively correlated with contemporary estimates of national TB prevalence. TB in adults was disseminated in 87.9% (82.2-93.7%) of cases and was considered the cause of death in 91.4% (95% CI 85.8-97.0%) of TB cases. Overall, TB was the cause of death in 37.2% (95% CI 25.7-48.7%) of adult HIV/AIDS-related deaths. TB remained undiagnosed at death in 45.8% (95% CI 32.6-59.1%) of TB cases. Conclusions: In resource-limited settings, TB accounts for approximately 40% of facility-based HIV/AIDS-related adult deaths. Almost half of this disease remains undiagnosed at the time of death. These findings highlight the critical need to improve the prevention, diagnosis and treatment of HIV-associated TB globally.","author":[{"dropping-particle":"","family":"Gupta","given":"Rishi K.","non-dropping-particle":"","parse-names":false,"suffix":""},{"dropping-particle":"","family":"Lucas","given":"Sebastian B.","non-dropping-particle":"","parse-names":false,"suffix":""},{"dropping-particle":"","family":"Fielding","given":"Katherine L.","non-dropping-particle":"","parse-names":false,"suffix":""},{"dropping-particle":"","family":"Lawn","given":"Stephen D.","non-dropping-particle":"","parse-names":false,"suffix":""}],"container-title":"Aids","id":"ITEM-1","issue":"15","issued":{"date-parts":[["2015"]]},"page":"1987-2002","title":"Prevalence of tuberculosis in post-mortem studies of HIV-infected adults and children in resource-limited settings: A systematic review and meta-analysis","type":"article-journal","volume":"29"},"uris":["http://www.mendeley.com/documents/?uuid=f9873a8f-150e-4382-b382-0eb5b9c2cfd8"]}],"mendeley":{"formattedCitation":"(124)","plainTextFormattedCitation":"(124)","previouslyFormattedCitation":"(124)"},"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(124)</w:t>
      </w:r>
      <w:r w:rsidRPr="00435469">
        <w:rPr>
          <w:rFonts w:cs="Times New Roman"/>
          <w:sz w:val="20"/>
          <w:szCs w:val="20"/>
        </w:rPr>
        <w:fldChar w:fldCharType="end"/>
      </w:r>
      <w:r w:rsidRPr="00435469">
        <w:rPr>
          <w:rFonts w:cs="Times New Roman"/>
          <w:sz w:val="20"/>
          <w:szCs w:val="20"/>
        </w:rPr>
        <w:t xml:space="preserve"> (described in the previous section</w:t>
      </w:r>
      <w:r w:rsidR="001C57C0" w:rsidRPr="00435469">
        <w:rPr>
          <w:rFonts w:cs="Times New Roman"/>
          <w:sz w:val="20"/>
          <w:szCs w:val="20"/>
        </w:rPr>
        <w:t xml:space="preserve"> </w:t>
      </w:r>
      <w:r w:rsidR="00046A89" w:rsidRPr="00435469">
        <w:rPr>
          <w:rFonts w:cs="Times New Roman"/>
          <w:sz w:val="20"/>
          <w:szCs w:val="20"/>
        </w:rPr>
        <w:t>11.1</w:t>
      </w:r>
      <w:r w:rsidRPr="00435469">
        <w:rPr>
          <w:rFonts w:cs="Times New Roman"/>
          <w:sz w:val="20"/>
          <w:szCs w:val="20"/>
        </w:rPr>
        <w:t xml:space="preserve">). Then, the proportion 0.43 is applied to the total AIDS deaths produced by the </w:t>
      </w:r>
      <w:proofErr w:type="spellStart"/>
      <w:r w:rsidRPr="00435469">
        <w:rPr>
          <w:rFonts w:cs="Times New Roman"/>
          <w:sz w:val="20"/>
          <w:szCs w:val="20"/>
        </w:rPr>
        <w:t>Thembisa</w:t>
      </w:r>
      <w:proofErr w:type="spellEnd"/>
      <w:r w:rsidRPr="00435469">
        <w:rPr>
          <w:rFonts w:cs="Times New Roman"/>
          <w:sz w:val="20"/>
          <w:szCs w:val="20"/>
        </w:rPr>
        <w:t xml:space="preserve"> 4.4 model </w:t>
      </w:r>
      <w:r w:rsidRPr="00435469">
        <w:rPr>
          <w:rFonts w:cs="Times New Roman"/>
          <w:sz w:val="20"/>
          <w:szCs w:val="20"/>
        </w:rPr>
        <w:fldChar w:fldCharType="begin" w:fldLock="1"/>
      </w:r>
      <w:r w:rsidRPr="00435469">
        <w:rPr>
          <w:rFonts w:cs="Times New Roman"/>
          <w:sz w:val="20"/>
          <w:szCs w:val="20"/>
        </w:rPr>
        <w:instrText>ADDIN CSL_CITATION {"citationItems":[{"id":"ITEM-1","itemData":{"abstract":"This working paper provides a detailed technical description of the THEMBISA model, an integrated demographic and epidemiological model of the South African HIV/AIDS epidemic. The model stratifies the population by demographic characteristics (age and sex), behavioural characteristics (marital status, sexual experience, propensity for concurrent partnerships) and access to HIV prevention (HIV testing history, male circumcision status and receipt of microbicides and pre-exposure prophylaxis). In the HIV-positive population, individuals are further stratified according to their CD4 count, history of HIV diagnosis, receipt of ART and duration of treatment. The model simulates the change in population profile and the spread of HIV over time, starting in 1985. The model is fitted to age-specific HIV prevalence data and recorded death data, as well as self-reported HIV testing history data, using a Bayesian approach. Model results suggest that HIV incidence in South Africa has declined substantially since 2000, and that AIDS mortality rates have declined dramatically since 2005. However, results differ significantly from the two most widely-used HIV models in South Africa, the Spectrum/EPP and ASSA2008 models. Further work is required to refine the demographic parameters in the model and to apply the model to each of South Africa's provinces.","author":[{"dropping-particle":"","family":"Johnson","given":"Leigh;","non-dropping-particle":"","parse-names":false,"suffix":""},{"dropping-particle":"","family":"Dorrington","given":"Rob","non-dropping-particle":"","parse-names":false,"suffix":""}],"id":"ITEM-1","issued":{"date-parts":[["2021"]]},"number-of-pages":"1-164","title":"Thembisa version 4.4: A model for evaluating the impact of HIV/AIDS in South Africa","type":"report"},"uris":["http://www.mendeley.com/documents/?uuid=8d48f7a1-eb1c-4d9d-95f7-2b1b1f88448a"]}],"mendeley":{"formattedCitation":"(5)","plainTextFormattedCitation":"(5)","previouslyFormattedCitation":"(5)"},"properties":{"noteIndex":0},"schema":"https://github.com/citation-style-language/schema/raw/master/csl-citation.json"}</w:instrText>
      </w:r>
      <w:r w:rsidRPr="00435469">
        <w:rPr>
          <w:rFonts w:cs="Times New Roman"/>
          <w:sz w:val="20"/>
          <w:szCs w:val="20"/>
        </w:rPr>
        <w:fldChar w:fldCharType="separate"/>
      </w:r>
      <w:r w:rsidRPr="00435469">
        <w:rPr>
          <w:rFonts w:cs="Times New Roman"/>
          <w:noProof/>
          <w:sz w:val="20"/>
          <w:szCs w:val="20"/>
        </w:rPr>
        <w:t>(5)</w:t>
      </w:r>
      <w:r w:rsidRPr="00435469">
        <w:rPr>
          <w:rFonts w:cs="Times New Roman"/>
          <w:sz w:val="20"/>
          <w:szCs w:val="20"/>
        </w:rPr>
        <w:fldChar w:fldCharType="end"/>
      </w:r>
      <w:r w:rsidRPr="00435469">
        <w:rPr>
          <w:rFonts w:cs="Times New Roman"/>
          <w:sz w:val="20"/>
          <w:szCs w:val="20"/>
        </w:rPr>
        <w:t xml:space="preserve">. (The </w:t>
      </w:r>
      <w:proofErr w:type="spellStart"/>
      <w:r w:rsidRPr="00435469">
        <w:rPr>
          <w:rFonts w:cs="Times New Roman"/>
          <w:sz w:val="20"/>
          <w:szCs w:val="20"/>
        </w:rPr>
        <w:t>Thembisa</w:t>
      </w:r>
      <w:proofErr w:type="spellEnd"/>
      <w:r w:rsidRPr="00435469">
        <w:rPr>
          <w:rFonts w:cs="Times New Roman"/>
          <w:sz w:val="20"/>
          <w:szCs w:val="20"/>
        </w:rPr>
        <w:t xml:space="preserve"> model has been calibrated to all-cause mortality data, stratified by age and sex, and has been validated against estimates of AIDS deaths from the National Burden of Disease study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{"citationItems":[{"id":"ITEM-1","itemData":{"ISBN":"1111111111","author":[{"dropping-particle":"","family":"Johnson","given":"Leigh F","non-dropping-particle":"","parse-names":false,"suffix":""},{"dropping-particle":"","family":"May","given":"Margaret T","non-dropping-particle":"","parse-names":false,"suffix":""},{"dropping-particle":"","family":"Dorrington","given":"Rob E","non-dropping-particle":"","parse-names":false,"suffix":""},{"dropping-particle":"","family":"Cornell","given":"Morna","non-dropping-particle":"","parse-names":false,"suffix":""},{"dropping-particle":"","family":"Boulle","given":"Andrew","non-dropping-particle":"","parse-names":false,"suffix":""},{"dropping-particle":"","family":"Egger","given":"Matthias","non-dropping-particle":"","parse-names":false,"suffix":""},{"dropping-particle":"","family":"Davies","given":"Mary-ann","non-dropping-particle":"","parse-names":false,"suffix":""}],"container-title":"PLoS Medicine","id":"ITEM-1","issued":{"date-parts":[["2017"]]},"page":"1-17","title":"Estimating the impact of antiretroviral treatment on adult mortality trends in South Africa : A mathematical modelling study","type":"article-journal"},"uris":["http://www.mendeley.com/documents/?uuid=24e8464b-1fe0-46e4-aaa5-8eca2fe919b8"]}],"mendeley":{"formattedCitation":"(125)","plainTextFormattedCitation":"(125)","previouslyFormattedCitation":"(125)"},"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(125)</w:t>
      </w:r>
      <w:r w:rsidRPr="00435469">
        <w:rPr>
          <w:rFonts w:cs="Times New Roman"/>
          <w:sz w:val="20"/>
          <w:szCs w:val="20"/>
        </w:rPr>
        <w:fldChar w:fldCharType="end"/>
      </w:r>
      <w:r w:rsidRPr="00435469">
        <w:rPr>
          <w:rFonts w:cs="Times New Roman"/>
          <w:sz w:val="20"/>
          <w:szCs w:val="20"/>
        </w:rPr>
        <w:t xml:space="preserve">, and these estimates of total AIDS deaths are produced independently of the TB model.) These expected numbers are shown in </w:t>
      </w:r>
      <w:r w:rsidR="00160137" w:rsidRPr="00435469">
        <w:rPr>
          <w:rFonts w:cs="Times New Roman"/>
          <w:sz w:val="20"/>
          <w:szCs w:val="20"/>
        </w:rPr>
        <w:fldChar w:fldCharType="begin"/>
      </w:r>
      <w:r w:rsidR="00160137" w:rsidRPr="00435469">
        <w:rPr>
          <w:rFonts w:cs="Times New Roman"/>
          <w:sz w:val="20"/>
          <w:szCs w:val="20"/>
        </w:rPr>
        <w:instrText xml:space="preserve"> REF _Ref100004654 \h </w:instrText>
      </w:r>
      <w:r w:rsidR="00955FFB" w:rsidRPr="00435469">
        <w:rPr>
          <w:rFonts w:cs="Times New Roman"/>
          <w:sz w:val="20"/>
          <w:szCs w:val="20"/>
        </w:rPr>
        <w:instrText xml:space="preserve"> \* MERGEFORMAT </w:instrText>
      </w:r>
      <w:r w:rsidR="00160137" w:rsidRPr="00435469">
        <w:rPr>
          <w:rFonts w:cs="Times New Roman"/>
          <w:sz w:val="20"/>
          <w:szCs w:val="20"/>
        </w:rPr>
      </w:r>
      <w:r w:rsidR="00160137"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22</w:t>
      </w:r>
      <w:r w:rsidR="00160137" w:rsidRPr="00435469">
        <w:rPr>
          <w:rFonts w:cs="Times New Roman"/>
          <w:sz w:val="20"/>
          <w:szCs w:val="20"/>
        </w:rPr>
        <w:fldChar w:fldCharType="end"/>
      </w:r>
      <w:r w:rsidRPr="00435469">
        <w:rPr>
          <w:rFonts w:cs="Times New Roman"/>
          <w:sz w:val="20"/>
          <w:szCs w:val="20"/>
        </w:rPr>
        <w:t>.</w:t>
      </w:r>
    </w:p>
    <w:p w14:paraId="031A2746" w14:textId="42E49686" w:rsidR="005757C6" w:rsidRPr="00435469" w:rsidRDefault="00267751" w:rsidP="00955FFB">
      <w:pPr>
        <w:pStyle w:val="Heading5"/>
        <w:numPr>
          <w:ilvl w:val="0"/>
          <w:numId w:val="23"/>
        </w:numPr>
        <w:rPr>
          <w:color w:val="auto"/>
          <w:sz w:val="20"/>
          <w:szCs w:val="20"/>
        </w:rPr>
      </w:pPr>
      <w:r w:rsidRPr="00435469">
        <w:rPr>
          <w:color w:val="auto"/>
          <w:sz w:val="20"/>
          <w:szCs w:val="20"/>
        </w:rPr>
        <w:t>Definition of the likelihood for expected tuberculosis deaths in people living with HIV</w:t>
      </w:r>
    </w:p>
    <w:p w14:paraId="256FC274" w14:textId="5807E1F7" w:rsidR="005757C6" w:rsidRPr="00435469" w:rsidRDefault="005757C6" w:rsidP="006C4814">
      <w:pPr>
        <w:spacing w:line="240" w:lineRule="auto"/>
        <w:rPr>
          <w:sz w:val="20"/>
          <w:szCs w:val="20"/>
        </w:rPr>
      </w:pPr>
      <w:r w:rsidRPr="00435469">
        <w:rPr>
          <w:rFonts w:cs="Times New Roman"/>
          <w:sz w:val="20"/>
          <w:szCs w:val="20"/>
        </w:rPr>
        <w:t xml:space="preserve">Let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t</m:t>
            </m:r>
          </m:sub>
        </m:sSub>
      </m:oMath>
      <w:r w:rsidRPr="00435469">
        <w:rPr>
          <w:rFonts w:cs="Times New Roman"/>
          <w:sz w:val="20"/>
          <w:szCs w:val="20"/>
        </w:rPr>
        <w:t xml:space="preserve"> represent the number of TB deaths in adults living with HIV, in year </w:t>
      </w:r>
      <m:oMath>
        <m:r>
          <w:rPr>
            <w:rFonts w:ascii="Cambria Math" w:hAnsi="Cambria Math" w:cs="Times New Roman"/>
            <w:sz w:val="20"/>
            <w:szCs w:val="20"/>
          </w:rPr>
          <m:t>t</m:t>
        </m:r>
      </m:oMath>
      <w:r w:rsidRPr="00435469">
        <w:rPr>
          <w:rFonts w:cs="Times New Roman"/>
          <w:sz w:val="20"/>
          <w:szCs w:val="20"/>
        </w:rPr>
        <w:t xml:space="preserve">. These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t</m:t>
            </m:r>
          </m:sub>
        </m:sSub>
      </m:oMath>
      <w:r w:rsidRPr="00435469">
        <w:rPr>
          <w:rFonts w:cs="Times New Roman"/>
          <w:sz w:val="20"/>
          <w:szCs w:val="20"/>
        </w:rPr>
        <w:t xml:space="preserve"> are not pure data obtained from a specific source; we approximated them by applying the 0.43 proportion of expected TB deaths in HIV individuals estimated by the Gupta </w:t>
      </w:r>
      <w:r w:rsidRPr="00435469">
        <w:rPr>
          <w:rFonts w:cs="Times New Roman"/>
          <w:i/>
          <w:iCs/>
          <w:sz w:val="20"/>
          <w:szCs w:val="20"/>
        </w:rPr>
        <w:t>et al.</w:t>
      </w:r>
      <w:r w:rsidRPr="00435469">
        <w:rPr>
          <w:rFonts w:cs="Times New Roman"/>
          <w:sz w:val="20"/>
          <w:szCs w:val="20"/>
        </w:rPr>
        <w:t xml:space="preserve"> meta-analysis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{"citationItems":[{"id":"ITEM-1","itemData":{"DOI":"10.1097/QAD.0000000000000802","ISBN":"0000000000000","ISSN":"14735571","PMID":"26266773","abstract":"Objectives: Tuberculosis (TB) is estimated to be the leading cause of HIV-related deaths globally. However, since HIV-associated TB frequently remains unascertained, we systematically reviewed autopsy studies to determine the true burden of TB at death. Methods: We systematically searched Medline and Embase databases (to end 2013) for literature reporting on health facility-based autopsy studies of HIV-infected adults and/or children in resource-limited settings. Using forest plots and random-effects meta-analysis, we summarized the TB prevalence found at autopsy and used meta-regression to explore variables associated with autopsy TB prevalence. Results: We included 36 eligible studies, reporting on 3237 autopsies. Autopsy TB prevalence was extremely heterogeneous (range 0-64.4%), but was markedly higher in adults [pooled prevalence 39.7%, 95% confidence interval (CI) 32.4-47.0%] compared to children (pooled prevalence 4.5%, 95% CI 1.7-7.4%). Post-mortem TB prevalence varied by world region, with pooled estimates in adults of 63.2% (95% CI 57.7-68.7%) in South Asia (n=2 studies); 43.2% (95% CI 38.0-48.3) in sub-Saharan Africa (n=9 studies); and 27.1% (95% CI 16.0-38.1%) in the Americas (n=5 studies). Autopsy prevalence positively correlated with contemporary estimates of national TB prevalence. TB in adults was disseminated in 87.9% (82.2-93.7%) of cases and was considered the cause of death in 91.4% (95% CI 85.8-97.0%) of TB cases. Overall, TB was the cause of death in 37.2% (95% CI 25.7-48.7%) of adult HIV/AIDS-related deaths. TB remained undiagnosed at death in 45.8% (95% CI 32.6-59.1%) of TB cases. Conclusions: In resource-limited settings, TB accounts for approximately 40% of facility-based HIV/AIDS-related adult deaths. Almost half of this disease remains undiagnosed at the time of death. These findings highlight the critical need to improve the prevention, diagnosis and treatment of HIV-associated TB globally.","author":[{"dropping-particle":"","family":"Gupta","given":"Rishi K.","non-dropping-particle":"","parse-names":false,"suffix":""},{"dropping-particle":"","family":"Lucas","given":"Sebastian B.","non-dropping-particle":"","parse-names":false,"suffix":""},{"dropping-particle":"","family":"Fielding","given":"Katherine L.","non-dropping-particle":"","parse-names":false,"suffix":""},{"dropping-particle":"","family":"Lawn","given":"Stephen D.","non-dropping-particle":"","parse-names":false,"suffix":""}],"container-title":"Aids","id":"ITEM-1","issue":"15","issued":{"date-parts":[["2015"]]},"page":"1987-2002","title":"Prevalence of tuberculosis in post-mortem studies of HIV-infected adults and children in resource-limited settings: A systematic review and meta-analysis","type":"article-journal","volume":"29"},"uris":["http://www.mendeley.com/documents/?uuid=f9873a8f-150e-4382-b382-0eb5b9c2cfd8"]}],"mendeley":{"formattedCitation":"(124)","plainTextFormattedCitation":"(124)","previouslyFormattedCitation":"(124)"},"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(124)</w:t>
      </w:r>
      <w:r w:rsidRPr="00435469">
        <w:rPr>
          <w:rFonts w:cs="Times New Roman"/>
          <w:sz w:val="20"/>
          <w:szCs w:val="20"/>
        </w:rPr>
        <w:fldChar w:fldCharType="end"/>
      </w:r>
      <w:r w:rsidRPr="00435469">
        <w:rPr>
          <w:rFonts w:cs="Times New Roman"/>
          <w:sz w:val="20"/>
          <w:szCs w:val="20"/>
        </w:rPr>
        <w:t xml:space="preserve"> to the total AIDS deaths produced by the </w:t>
      </w:r>
      <w:proofErr w:type="spellStart"/>
      <w:r w:rsidRPr="00435469">
        <w:rPr>
          <w:rFonts w:cs="Times New Roman"/>
          <w:sz w:val="20"/>
          <w:szCs w:val="20"/>
        </w:rPr>
        <w:t>Thembisa</w:t>
      </w:r>
      <w:proofErr w:type="spellEnd"/>
      <w:r w:rsidRPr="00435469">
        <w:rPr>
          <w:rFonts w:cs="Times New Roman"/>
          <w:sz w:val="20"/>
          <w:szCs w:val="20"/>
        </w:rPr>
        <w:t xml:space="preserve"> 4.4 model (</w:t>
      </w:r>
      <w:r w:rsidR="00E844B5" w:rsidRPr="00435469">
        <w:rPr>
          <w:rFonts w:cs="Times New Roman"/>
          <w:sz w:val="20"/>
          <w:szCs w:val="20"/>
        </w:rPr>
        <w:fldChar w:fldCharType="begin"/>
      </w:r>
      <w:r w:rsidR="00E844B5" w:rsidRPr="00435469">
        <w:rPr>
          <w:rFonts w:cs="Times New Roman"/>
          <w:sz w:val="20"/>
          <w:szCs w:val="20"/>
        </w:rPr>
        <w:instrText xml:space="preserve"> REF _Ref100004654 \h </w:instrText>
      </w:r>
      <w:r w:rsidR="00955FFB" w:rsidRPr="00435469">
        <w:rPr>
          <w:rFonts w:cs="Times New Roman"/>
          <w:sz w:val="20"/>
          <w:szCs w:val="20"/>
        </w:rPr>
        <w:instrText xml:space="preserve"> \* MERGEFORMAT </w:instrText>
      </w:r>
      <w:r w:rsidR="00E844B5" w:rsidRPr="00435469">
        <w:rPr>
          <w:rFonts w:cs="Times New Roman"/>
          <w:sz w:val="20"/>
          <w:szCs w:val="20"/>
        </w:rPr>
      </w:r>
      <w:r w:rsidR="00E844B5" w:rsidRPr="00435469">
        <w:rPr>
          <w:rFonts w:cs="Times New Roman"/>
          <w:sz w:val="20"/>
          <w:szCs w:val="20"/>
        </w:rPr>
        <w:fldChar w:fldCharType="separate"/>
      </w:r>
      <w:r w:rsidR="00186C2F" w:rsidRPr="00435469">
        <w:rPr>
          <w:noProof/>
          <w:sz w:val="20"/>
          <w:szCs w:val="20"/>
        </w:rPr>
        <w:t>Table</w:t>
      </w:r>
      <w:r w:rsidR="00186C2F" w:rsidRPr="00435469">
        <w:rPr>
          <w:sz w:val="20"/>
          <w:szCs w:val="20"/>
        </w:rPr>
        <w:t xml:space="preserve"> </w:t>
      </w:r>
      <w:r w:rsidR="00186C2F" w:rsidRPr="00435469">
        <w:rPr>
          <w:noProof/>
          <w:sz w:val="20"/>
          <w:szCs w:val="20"/>
        </w:rPr>
        <w:t>22</w:t>
      </w:r>
      <w:r w:rsidR="00E844B5" w:rsidRPr="00435469">
        <w:rPr>
          <w:rFonts w:cs="Times New Roman"/>
          <w:sz w:val="20"/>
          <w:szCs w:val="20"/>
        </w:rPr>
        <w:fldChar w:fldCharType="end"/>
      </w:r>
      <w:r w:rsidRPr="00435469">
        <w:rPr>
          <w:rFonts w:cs="Times New Roman"/>
          <w:sz w:val="20"/>
          <w:szCs w:val="20"/>
        </w:rPr>
        <w:t xml:space="preserve">). We consider only deaths over the 1997-2010 period, (a) because </w:t>
      </w:r>
      <w:proofErr w:type="spellStart"/>
      <w:r w:rsidRPr="00435469">
        <w:rPr>
          <w:rFonts w:cs="Times New Roman"/>
          <w:sz w:val="20"/>
          <w:szCs w:val="20"/>
        </w:rPr>
        <w:t>Thembisa</w:t>
      </w:r>
      <w:proofErr w:type="spellEnd"/>
      <w:r w:rsidRPr="00435469">
        <w:rPr>
          <w:rFonts w:cs="Times New Roman"/>
          <w:sz w:val="20"/>
          <w:szCs w:val="20"/>
        </w:rPr>
        <w:t xml:space="preserve"> is not calibrated to vital registration data before 1997, and (b) because the meta-analysis of African studies only covers data collected up to 2010 and it is possible that the proportion of deaths in PLHIV that are due to TB might be different in the post-2010 period </w:t>
      </w:r>
      <w:r w:rsidR="001F6189" w:rsidRPr="00435469">
        <w:rPr>
          <w:rFonts w:cs="Times New Roman"/>
          <w:sz w:val="20"/>
          <w:szCs w:val="20"/>
        </w:rPr>
        <w:t>because of</w:t>
      </w:r>
      <w:r w:rsidRPr="00435469">
        <w:rPr>
          <w:rFonts w:cs="Times New Roman"/>
          <w:sz w:val="20"/>
          <w:szCs w:val="20"/>
        </w:rPr>
        <w:t xml:space="preserve"> greater ART uptake.</w:t>
      </w:r>
    </w:p>
    <w:p w14:paraId="4B8392D7" w14:textId="666DE270" w:rsidR="005757C6" w:rsidRPr="00435469" w:rsidRDefault="005757C6" w:rsidP="00955FFB">
      <w:pPr>
        <w:spacing w:line="240" w:lineRule="auto"/>
        <w:rPr>
          <w:rFonts w:eastAsiaTheme="minorEastAsia" w:cs="Times New Roman"/>
          <w:sz w:val="20"/>
          <w:szCs w:val="20"/>
        </w:rPr>
      </w:pPr>
      <w:r w:rsidRPr="00435469">
        <w:rPr>
          <w:rFonts w:cs="Times New Roman"/>
          <w:sz w:val="20"/>
          <w:szCs w:val="20"/>
        </w:rPr>
        <w:t xml:space="preserve">Then let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E</m:t>
            </m:r>
            <m:ctrlPr>
              <w:rPr>
                <w:rFonts w:ascii="Cambria Math" w:hAnsi="Cambria Math" w:cs="Times New Roman"/>
                <w:sz w:val="20"/>
                <w:szCs w:val="20"/>
              </w:rPr>
            </m:ctrlPr>
          </m:e>
          <m:sub>
            <m:r>
              <w:rPr>
                <w:rFonts w:ascii="Cambria Math" w:hAnsi="Cambria Math" w:cs="Times New Roman"/>
                <w:sz w:val="20"/>
                <w:szCs w:val="20"/>
              </w:rPr>
              <m:t>t</m:t>
            </m:r>
          </m:sub>
        </m:sSub>
        <m:r>
          <w:rPr>
            <w:rFonts w:ascii="Cambria Math" w:hAnsi="Cambria Math" w:cs="Times New Roman"/>
            <w:sz w:val="20"/>
            <w:szCs w:val="20"/>
          </w:rPr>
          <m:t>(ϕ)</m:t>
        </m:r>
      </m:oMath>
      <w:r w:rsidRPr="00435469">
        <w:rPr>
          <w:rFonts w:eastAsiaTheme="minorEastAsia" w:cs="Times New Roman"/>
          <w:sz w:val="20"/>
          <w:szCs w:val="20"/>
        </w:rPr>
        <w:t xml:space="preserve"> be model estimate </w:t>
      </w:r>
      <w:r w:rsidR="00E11B8D" w:rsidRPr="00435469">
        <w:rPr>
          <w:rFonts w:eastAsiaTheme="minorEastAsia" w:cs="Times New Roman"/>
          <w:sz w:val="20"/>
          <w:szCs w:val="20"/>
        </w:rPr>
        <w:t>of the number of</w:t>
      </w:r>
      <w:r w:rsidRPr="00435469">
        <w:rPr>
          <w:rFonts w:eastAsiaTheme="minorEastAsia" w:cs="Times New Roman"/>
          <w:sz w:val="20"/>
          <w:szCs w:val="20"/>
        </w:rPr>
        <w:t xml:space="preserve"> TB deaths in adults who are HIV positive, </w:t>
      </w:r>
      <w:r w:rsidRPr="00435469">
        <w:rPr>
          <w:rFonts w:cs="Times New Roman"/>
          <w:sz w:val="20"/>
          <w:szCs w:val="20"/>
        </w:rPr>
        <w:t xml:space="preserve">where </w:t>
      </w:r>
      <m:oMath>
        <m:r>
          <w:rPr>
            <w:rFonts w:ascii="Cambria Math" w:hAnsi="Cambria Math" w:cs="Times New Roman"/>
            <w:sz w:val="20"/>
            <w:szCs w:val="20"/>
          </w:rPr>
          <m:t>ϕ</m:t>
        </m:r>
      </m:oMath>
      <w:r w:rsidRPr="00435469">
        <w:rPr>
          <w:rFonts w:cs="Times New Roman"/>
          <w:sz w:val="20"/>
          <w:szCs w:val="20"/>
        </w:rPr>
        <w:t xml:space="preserve"> represents the set of model input parameters. Then we specify </w:t>
      </w:r>
      <w:r w:rsidR="006664F7" w:rsidRPr="00435469">
        <w:rPr>
          <w:rFonts w:cs="Times New Roman"/>
          <w:sz w:val="20"/>
          <w:szCs w:val="20"/>
        </w:rPr>
        <w:t xml:space="preserve">a </w:t>
      </w:r>
      <w:r w:rsidRPr="00435469">
        <w:rPr>
          <w:rFonts w:cs="Times New Roman"/>
          <w:sz w:val="20"/>
          <w:szCs w:val="20"/>
        </w:rPr>
        <w:t>Log-Normal likelihood function as follows</w:t>
      </w:r>
    </w:p>
    <w:p w14:paraId="11A50C83" w14:textId="4B3BEFF7" w:rsidR="005757C6" w:rsidRPr="00435469" w:rsidRDefault="005757C6" w:rsidP="00955FFB">
      <w:pPr>
        <w:spacing w:line="240" w:lineRule="auto"/>
        <w:rPr>
          <w:rFonts w:cs="Times New Roman"/>
          <w:sz w:val="20"/>
          <w:szCs w:val="20"/>
          <w:lang w:val="en-CA"/>
        </w:rPr>
      </w:pPr>
      <m:oMathPara>
        <m:oMath>
          <m:r>
            <w:rPr>
              <w:rFonts w:ascii="Cambria Math" w:hAnsi="Cambria Math" w:cs="Times New Roman"/>
              <w:sz w:val="20"/>
              <w:szCs w:val="20"/>
            </w:rPr>
            <m:t>L</m:t>
          </m:r>
          <m:d>
            <m:dPr>
              <m:ctrlPr>
                <w:rPr>
                  <w:rFonts w:ascii="Cambria Math" w:hAnsi="Cambria Math" w:cs="Times New Roman"/>
                  <w:i/>
                  <w:sz w:val="20"/>
                  <w:szCs w:val="20"/>
                </w:rPr>
              </m:ctrlPr>
            </m:dPr>
            <m:e>
              <m:r>
                <m:rPr>
                  <m:sty m:val="bi"/>
                </m:rPr>
                <w:rPr>
                  <w:rFonts w:ascii="Cambria Math" w:hAnsi="Cambria Math" w:cs="Times New Roman"/>
                  <w:sz w:val="20"/>
                  <w:szCs w:val="20"/>
                </w:rPr>
                <m:t>D</m:t>
              </m:r>
            </m:e>
            <m:e>
              <m:r>
                <w:rPr>
                  <w:rFonts w:ascii="Cambria Math" w:hAnsi="Cambria Math" w:cs="Times New Roman"/>
                  <w:sz w:val="20"/>
                  <w:szCs w:val="20"/>
                </w:rPr>
                <m:t>ϕ</m:t>
              </m:r>
            </m:e>
          </m:d>
          <m:r>
            <w:rPr>
              <w:rFonts w:ascii="Cambria Math" w:hAnsi="Cambria Math" w:cs="Times New Roman"/>
              <w:sz w:val="20"/>
              <w:szCs w:val="20"/>
            </w:rPr>
            <m:t>=</m:t>
          </m:r>
          <m:nary>
            <m:naryPr>
              <m:chr m:val="∏"/>
              <m:limLoc m:val="undOvr"/>
              <m:ctrlPr>
                <w:rPr>
                  <w:rFonts w:ascii="Cambria Math" w:hAnsi="Cambria Math" w:cs="Times New Roman"/>
                  <w:i/>
                  <w:sz w:val="20"/>
                  <w:szCs w:val="20"/>
                  <w:lang w:val="en-CA"/>
                </w:rPr>
              </m:ctrlPr>
            </m:naryPr>
            <m:sub>
              <m:r>
                <w:rPr>
                  <w:rFonts w:ascii="Cambria Math" w:hAnsi="Cambria Math" w:cs="Times New Roman"/>
                  <w:sz w:val="20"/>
                  <w:szCs w:val="20"/>
                  <w:lang w:val="en-CA"/>
                </w:rPr>
                <m:t>t=1997</m:t>
              </m:r>
            </m:sub>
            <m:sup>
              <m:r>
                <w:rPr>
                  <w:rFonts w:ascii="Cambria Math" w:hAnsi="Cambria Math" w:cs="Times New Roman"/>
                  <w:sz w:val="20"/>
                  <w:szCs w:val="20"/>
                  <w:lang w:val="en-CA"/>
                </w:rPr>
                <m:t>2010</m:t>
              </m:r>
            </m:sup>
            <m:e>
              <m:f>
                <m:fPr>
                  <m:ctrlPr>
                    <w:rPr>
                      <w:rFonts w:ascii="Cambria Math" w:hAnsi="Cambria Math" w:cs="Times New Roman"/>
                      <w:i/>
                      <w:sz w:val="20"/>
                      <w:szCs w:val="20"/>
                    </w:rPr>
                  </m:ctrlPr>
                </m:fPr>
                <m:num>
                  <m:r>
                    <w:rPr>
                      <w:rFonts w:ascii="Cambria Math" w:hAnsi="Cambria Math" w:cs="Times New Roman"/>
                      <w:sz w:val="20"/>
                      <w:szCs w:val="20"/>
                    </w:rPr>
                    <m:t>1</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2π</m:t>
                      </m:r>
                      <m:sSubSup>
                        <m:sSubSupPr>
                          <m:ctrlPr>
                            <w:rPr>
                              <w:rFonts w:ascii="Cambria Math" w:hAnsi="Cambria Math" w:cs="Times New Roman"/>
                              <w:i/>
                              <w:sz w:val="20"/>
                              <w:szCs w:val="20"/>
                            </w:rPr>
                          </m:ctrlPr>
                        </m:sSubSupPr>
                        <m:e>
                          <m:r>
                            <w:rPr>
                              <w:rFonts w:ascii="Cambria Math" w:hAnsi="Cambria Math" w:cs="Times New Roman"/>
                              <w:sz w:val="20"/>
                              <w:szCs w:val="20"/>
                            </w:rPr>
                            <m:t>σ</m:t>
                          </m:r>
                        </m:e>
                        <m:sub>
                          <m:r>
                            <w:rPr>
                              <w:rFonts w:ascii="Cambria Math" w:hAnsi="Cambria Math" w:cs="Times New Roman"/>
                              <w:sz w:val="20"/>
                              <w:szCs w:val="20"/>
                            </w:rPr>
                            <m:t>t</m:t>
                          </m:r>
                        </m:sub>
                        <m:sup>
                          <m:r>
                            <w:rPr>
                              <w:rFonts w:ascii="Cambria Math" w:hAnsi="Cambria Math" w:cs="Times New Roman"/>
                              <w:sz w:val="20"/>
                              <w:szCs w:val="20"/>
                            </w:rPr>
                            <m:t>2</m:t>
                          </m:r>
                        </m:sup>
                      </m:sSubSup>
                    </m:e>
                  </m:rad>
                </m:den>
              </m:f>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i/>
                          <w:sz w:val="20"/>
                          <w:szCs w:val="20"/>
                        </w:rPr>
                      </m:ctrlPr>
                    </m:dPr>
                    <m:e>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begChr m:val="["/>
                                  <m:endChr m:val="]"/>
                                  <m:ctrlPr>
                                    <w:rPr>
                                      <w:rFonts w:ascii="Cambria Math" w:hAnsi="Cambria Math" w:cs="Times New Roman"/>
                                      <w:i/>
                                      <w:sz w:val="20"/>
                                      <w:szCs w:val="20"/>
                                    </w:rPr>
                                  </m:ctrlPr>
                                </m:dPr>
                                <m:e>
                                  <m:func>
                                    <m:funcPr>
                                      <m:ctrlPr>
                                        <w:rPr>
                                          <w:rFonts w:ascii="Cambria Math" w:hAnsi="Cambria Math" w:cs="Times New Roman"/>
                                          <w:sz w:val="20"/>
                                          <w:szCs w:val="20"/>
                                        </w:rPr>
                                      </m:ctrlPr>
                                    </m:funcPr>
                                    <m:fName>
                                      <m:r>
                                        <m:rPr>
                                          <m:sty m:val="p"/>
                                        </m:rPr>
                                        <w:rPr>
                                          <w:rFonts w:ascii="Cambria Math" w:hAnsi="Cambria Math" w:cs="Times New Roman"/>
                                          <w:sz w:val="20"/>
                                          <w:szCs w:val="20"/>
                                        </w:rPr>
                                        <m:t>ln</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t</m:t>
                                              </m:r>
                                            </m:sub>
                                          </m:sSub>
                                        </m:e>
                                      </m:d>
                                    </m:e>
                                  </m:func>
                                  <m:r>
                                    <w:rPr>
                                      <w:rFonts w:ascii="Cambria Math" w:hAnsi="Cambria Math" w:cs="Times New Roman"/>
                                      <w:sz w:val="20"/>
                                      <w:szCs w:val="20"/>
                                    </w:rPr>
                                    <m:t>-</m:t>
                                  </m:r>
                                  <m:func>
                                    <m:funcPr>
                                      <m:ctrlPr>
                                        <w:rPr>
                                          <w:rFonts w:ascii="Cambria Math" w:hAnsi="Cambria Math" w:cs="Times New Roman"/>
                                          <w:sz w:val="20"/>
                                          <w:szCs w:val="20"/>
                                        </w:rPr>
                                      </m:ctrlPr>
                                    </m:funcPr>
                                    <m:fName>
                                      <m:r>
                                        <m:rPr>
                                          <m:sty m:val="p"/>
                                        </m:rPr>
                                        <w:rPr>
                                          <w:rFonts w:ascii="Cambria Math" w:hAnsi="Cambria Math" w:cs="Times New Roman"/>
                                          <w:sz w:val="20"/>
                                          <w:szCs w:val="20"/>
                                        </w:rPr>
                                        <m:t>ln</m:t>
                                      </m:r>
                                      <m:ctrlPr>
                                        <w:rPr>
                                          <w:rFonts w:ascii="Cambria Math" w:hAnsi="Cambria Math" w:cs="Times New Roman"/>
                                          <w:i/>
                                          <w:sz w:val="20"/>
                                          <w:szCs w:val="20"/>
                                        </w:rPr>
                                      </m:ctrlP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E</m:t>
                                              </m:r>
                                              <m:ctrlPr>
                                                <w:rPr>
                                                  <w:rFonts w:ascii="Cambria Math" w:hAnsi="Cambria Math" w:cs="Times New Roman"/>
                                                  <w:sz w:val="20"/>
                                                  <w:szCs w:val="20"/>
                                                </w:rPr>
                                              </m:ctrlPr>
                                            </m:e>
                                            <m:sub>
                                              <m:r>
                                                <w:rPr>
                                                  <w:rFonts w:ascii="Cambria Math" w:hAnsi="Cambria Math" w:cs="Times New Roman"/>
                                                  <w:sz w:val="20"/>
                                                  <w:szCs w:val="20"/>
                                                </w:rPr>
                                                <m:t>t</m:t>
                                              </m:r>
                                            </m:sub>
                                          </m:sSub>
                                          <m:r>
                                            <w:rPr>
                                              <w:rFonts w:ascii="Cambria Math" w:hAnsi="Cambria Math" w:cs="Times New Roman"/>
                                              <w:sz w:val="20"/>
                                              <w:szCs w:val="20"/>
                                            </w:rPr>
                                            <m:t>(ϕ)</m:t>
                                          </m:r>
                                          <m:r>
                                            <m:rPr>
                                              <m:sty m:val="p"/>
                                            </m:rPr>
                                            <w:rPr>
                                              <w:rFonts w:ascii="Cambria Math" w:hAnsi="Cambria Math" w:cs="Times New Roman"/>
                                              <w:sz w:val="20"/>
                                              <w:szCs w:val="20"/>
                                            </w:rPr>
                                            <m:t xml:space="preserve">) </m:t>
                                          </m:r>
                                        </m:e>
                                      </m:d>
                                    </m:e>
                                  </m:func>
                                </m:e>
                              </m:d>
                            </m:e>
                            <m:sup>
                              <m:r>
                                <w:rPr>
                                  <w:rFonts w:ascii="Cambria Math" w:hAnsi="Cambria Math" w:cs="Times New Roman"/>
                                  <w:sz w:val="20"/>
                                  <w:szCs w:val="20"/>
                                </w:rPr>
                                <m:t>2</m:t>
                              </m:r>
                            </m:sup>
                          </m:sSup>
                        </m:num>
                        <m:den>
                          <m:r>
                            <w:rPr>
                              <w:rFonts w:ascii="Cambria Math" w:hAnsi="Cambria Math" w:cs="Times New Roman"/>
                              <w:sz w:val="20"/>
                              <w:szCs w:val="20"/>
                            </w:rPr>
                            <m:t>2</m:t>
                          </m:r>
                          <m:sSubSup>
                            <m:sSubSupPr>
                              <m:ctrlPr>
                                <w:rPr>
                                  <w:rFonts w:ascii="Cambria Math" w:hAnsi="Cambria Math" w:cs="Times New Roman"/>
                                  <w:i/>
                                  <w:sz w:val="20"/>
                                  <w:szCs w:val="20"/>
                                </w:rPr>
                              </m:ctrlPr>
                            </m:sSubSupPr>
                            <m:e>
                              <m:r>
                                <w:rPr>
                                  <w:rFonts w:ascii="Cambria Math" w:hAnsi="Cambria Math" w:cs="Times New Roman"/>
                                  <w:sz w:val="20"/>
                                  <w:szCs w:val="20"/>
                                </w:rPr>
                                <m:t>σ</m:t>
                              </m:r>
                            </m:e>
                            <m:sub>
                              <m:r>
                                <w:rPr>
                                  <w:rFonts w:ascii="Cambria Math" w:hAnsi="Cambria Math" w:cs="Times New Roman"/>
                                  <w:sz w:val="20"/>
                                  <w:szCs w:val="20"/>
                                </w:rPr>
                                <m:t>t</m:t>
                              </m:r>
                            </m:sub>
                            <m:sup>
                              <m:r>
                                <w:rPr>
                                  <w:rFonts w:ascii="Cambria Math" w:hAnsi="Cambria Math" w:cs="Times New Roman"/>
                                  <w:sz w:val="20"/>
                                  <w:szCs w:val="20"/>
                                </w:rPr>
                                <m:t>2</m:t>
                              </m:r>
                            </m:sup>
                          </m:sSubSup>
                        </m:den>
                      </m:f>
                    </m:e>
                  </m:d>
                </m:e>
              </m:func>
            </m:e>
          </m:nary>
        </m:oMath>
      </m:oMathPara>
    </w:p>
    <w:p w14:paraId="3C7AACD8" w14:textId="0A87653F" w:rsidR="004C1DAB" w:rsidRPr="00435469" w:rsidRDefault="005757C6" w:rsidP="00955FFB">
      <w:pPr>
        <w:pStyle w:val="1ParaFlushLeft"/>
        <w:spacing w:line="240" w:lineRule="auto"/>
        <w:rPr>
          <w:rFonts w:cs="Times New Roman"/>
          <w:sz w:val="20"/>
          <w:szCs w:val="20"/>
        </w:rPr>
      </w:pPr>
      <w:r w:rsidRPr="00435469">
        <w:rPr>
          <w:rFonts w:cs="Times New Roman"/>
          <w:sz w:val="20"/>
          <w:szCs w:val="20"/>
        </w:rPr>
        <w:t>The variance (</w:t>
      </w:r>
      <m:oMath>
        <m:sSubSup>
          <m:sSubSupPr>
            <m:ctrlPr>
              <w:rPr>
                <w:rFonts w:ascii="Cambria Math" w:hAnsi="Cambria Math" w:cs="Times New Roman"/>
                <w:i/>
                <w:sz w:val="20"/>
                <w:szCs w:val="20"/>
              </w:rPr>
            </m:ctrlPr>
          </m:sSubSupPr>
          <m:e>
            <m:r>
              <w:rPr>
                <w:rFonts w:ascii="Cambria Math" w:hAnsi="Cambria Math" w:cs="Times New Roman"/>
                <w:sz w:val="20"/>
                <w:szCs w:val="20"/>
              </w:rPr>
              <m:t>σ</m:t>
            </m:r>
          </m:e>
          <m:sub>
            <m:r>
              <w:rPr>
                <w:rFonts w:ascii="Cambria Math" w:hAnsi="Cambria Math" w:cs="Times New Roman"/>
                <w:sz w:val="20"/>
                <w:szCs w:val="20"/>
              </w:rPr>
              <m:t>t</m:t>
            </m:r>
          </m:sub>
          <m:sup>
            <m:r>
              <w:rPr>
                <w:rFonts w:ascii="Cambria Math" w:hAnsi="Cambria Math" w:cs="Times New Roman"/>
                <w:sz w:val="20"/>
                <w:szCs w:val="20"/>
              </w:rPr>
              <m:t>2</m:t>
            </m:r>
          </m:sup>
        </m:sSubSup>
      </m:oMath>
      <w:r w:rsidRPr="00435469">
        <w:rPr>
          <w:rFonts w:cs="Times New Roman"/>
          <w:sz w:val="20"/>
          <w:szCs w:val="20"/>
        </w:rPr>
        <w:t>) was estimated</w:t>
      </w:r>
      <w:r w:rsidRPr="00435469">
        <w:rPr>
          <w:rStyle w:val="FootnoteReference"/>
        </w:rPr>
        <w:footnoteReference w:id="3"/>
      </w:r>
      <w:r w:rsidRPr="00435469">
        <w:rPr>
          <w:rFonts w:cs="Times New Roman"/>
          <w:sz w:val="20"/>
          <w:szCs w:val="20"/>
        </w:rPr>
        <w:t xml:space="preserve"> from the confidence intervals of AIDS deaths estimated in </w:t>
      </w:r>
      <w:proofErr w:type="spellStart"/>
      <w:r w:rsidRPr="00435469">
        <w:rPr>
          <w:rFonts w:cs="Times New Roman"/>
          <w:sz w:val="20"/>
          <w:szCs w:val="20"/>
        </w:rPr>
        <w:t>Thembisa</w:t>
      </w:r>
      <w:proofErr w:type="spellEnd"/>
      <w:r w:rsidRPr="00435469">
        <w:rPr>
          <w:rFonts w:cs="Times New Roman"/>
          <w:sz w:val="20"/>
          <w:szCs w:val="20"/>
        </w:rPr>
        <w:t xml:space="preserve"> 4.4 </w:t>
      </w:r>
      <w:r w:rsidRPr="00435469">
        <w:rPr>
          <w:rFonts w:cs="Times New Roman"/>
          <w:sz w:val="20"/>
          <w:szCs w:val="20"/>
        </w:rPr>
        <w:fldChar w:fldCharType="begin" w:fldLock="1"/>
      </w:r>
      <w:r w:rsidRPr="00435469">
        <w:rPr>
          <w:rFonts w:cs="Times New Roman"/>
          <w:sz w:val="20"/>
          <w:szCs w:val="20"/>
        </w:rPr>
        <w:instrText>ADDIN CSL_CITATION {"citationItems":[{"id":"ITEM-1","itemData":{"abstract":"This working paper provides a detailed technical description of the THEMBISA model, an integrated demographic and epidemiological model of the South African HIV/AIDS epidemic. The model stratifies the population by demographic characteristics (age and sex), behavioural characteristics (marital status, sexual experience, propensity for concurrent partnerships) and access to HIV prevention (HIV testing history, male circumcision status and receipt of microbicides and pre-exposure prophylaxis). In the HIV-positive population, individuals are further stratified according to their CD4 count, history of HIV diagnosis, receipt of ART and duration of treatment. The model simulates the change in population profile and the spread of HIV over time, starting in 1985. The model is fitted to age-specific HIV prevalence data and recorded death data, as well as self-reported HIV testing history data, using a Bayesian approach. Model results suggest that HIV incidence in South Africa has declined substantially since 2000, and that AIDS mortality rates have declined dramatically since 2005. However, results differ significantly from the two most widely-used HIV models in South Africa, the Spectrum/EPP and ASSA2008 models. Further work is required to refine the demographic parameters in the model and to apply the model to each of South Africa's provinces.","author":[{"dropping-particle":"","family":"Johnson","given":"Leigh;","non-dropping-particle":"","parse-names":false,"suffix":""},{"dropping-particle":"","family":"Dorrington","given":"Rob","non-dropping-particle":"","parse-names":false,"suffix":""}],"id":"ITEM-1","issued":{"date-parts":[["2021"]]},"number-of-pages":"1-164","title":"Thembisa version 4.4: A model for evaluating the impact of HIV/AIDS in South Africa","type":"report"},"uris":["http://www.mendeley.com/documents/?uuid=8d48f7a1-eb1c-4d9d-95f7-2b1b1f88448a"]}],"mendeley":{"formattedCitation":"(5)","plainTextFormattedCitation":"(5)","previouslyFormattedCitation":"(5)"},"properties":{"noteIndex":0},"schema":"https://github.com/citation-style-language/schema/raw/master/csl-citation.json"}</w:instrText>
      </w:r>
      <w:r w:rsidRPr="00435469">
        <w:rPr>
          <w:rFonts w:cs="Times New Roman"/>
          <w:sz w:val="20"/>
          <w:szCs w:val="20"/>
        </w:rPr>
        <w:fldChar w:fldCharType="separate"/>
      </w:r>
      <w:r w:rsidRPr="00435469">
        <w:rPr>
          <w:rFonts w:cs="Times New Roman"/>
          <w:noProof/>
          <w:sz w:val="20"/>
          <w:szCs w:val="20"/>
        </w:rPr>
        <w:t>(5)</w:t>
      </w:r>
      <w:r w:rsidRPr="00435469">
        <w:rPr>
          <w:rFonts w:cs="Times New Roman"/>
          <w:sz w:val="20"/>
          <w:szCs w:val="20"/>
        </w:rPr>
        <w:fldChar w:fldCharType="end"/>
      </w:r>
      <w:r w:rsidRPr="00435469">
        <w:rPr>
          <w:rFonts w:cs="Times New Roman"/>
          <w:sz w:val="20"/>
          <w:szCs w:val="20"/>
        </w:rPr>
        <w:t xml:space="preserve"> and from the confidence intervals for the proportion of expected TB deaths in HIV individuals (0.43 (95% CI: 0.38 – 0.48))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{"citationItems":[{"id":"ITEM-1","itemData":{"DOI":"10.1097/QAD.0000000000000802","ISBN":"0000000000000","ISSN":"14735571","PMID":"26266773","abstract":"Objectives: Tuberculosis (TB) is estimated to be the leading cause of HIV-related deaths globally. However, since HIV-associated TB frequently remains unascertained, we systematically reviewed autopsy studies to determine the true burden of TB at death. Methods: We systematically searched Medline and Embase databases (to end 2013) for literature reporting on health facility-based autopsy studies of HIV-infected adults and/or children in resource-limited settings. Using forest plots and random-effects meta-analysis, we summarized the TB prevalence found at autopsy and used meta-regression to explore variables associated with autopsy TB prevalence. Results: We included 36 eligible studies, reporting on 3237 autopsies. Autopsy TB prevalence was extremely heterogeneous (range 0-64.4%), but was markedly higher in adults [pooled prevalence 39.7%, 95% confidence interval (CI) 32.4-47.0%] compared to children (pooled prevalence 4.5%, 95% CI 1.7-7.4%). Post-mortem TB prevalence varied by world region, with pooled estimates in adults of 63.2% (95% CI 57.7-68.7%) in South Asia (n=2 studies); 43.2% (95% CI 38.0-48.3) in sub-Saharan Africa (n=9 studies); and 27.1% (95% CI 16.0-38.1%) in the Americas (n=5 studies). Autopsy prevalence positively correlated with contemporary estimates of national TB prevalence. TB in adults was disseminated in 87.9% (82.2-93.7%) of cases and was considered the cause of death in 91.4% (95% CI 85.8-97.0%) of TB cases. Overall, TB was the cause of death in 37.2% (95% CI 25.7-48.7%) of adult HIV/AIDS-related deaths. TB remained undiagnosed at death in 45.8% (95% CI 32.6-59.1%) of TB cases. Conclusions: In resource-limited settings, TB accounts for approximately 40% of facility-based HIV/AIDS-related adult deaths. Almost half of this disease remains undiagnosed at the time of death. These findings highlight the critical need to improve the prevention, diagnosis and treatment of HIV-associated TB globally.","author":[{"dropping-particle":"","family":"Gupta","given":"Rishi K.","non-dropping-particle":"","parse-names":false,"suffix":""},{"dropping-particle":"","family":"Lucas","given":"Sebastian B.","non-dropping-particle":"","parse-names":false,"suffix":""},{"dropping-particle":"","family":"Fielding","given":"Katherine L.","non-dropping-particle":"","parse-names":false,"suffix":""},{"dropping-particle":"","family":"Lawn","given":"Stephen D.","non-dropping-particle":"","parse-names":false,"suffix":""}],"container-title":"Aids","id":"ITEM-1","issue":"15","issued":{"date-parts":[["2015"]]},"page":"1987-2002","title":"Prevalence of tuberculosis in post-mortem studies of HIV-infected adults and children in resource-limited settings: A systematic review and meta-analysis","type":"article-journal","volume":"29"},"uris":["http://www.mendeley.com/documents/?uuid=f9873a8f-150e-4382-b382-0eb5b9c2cfd8"]}],"mendeley":{"formattedCitation":"(124)","plainTextFormattedCitation":"(124)","previouslyFormattedCitation":"(124)"},"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(124)</w:t>
      </w:r>
      <w:r w:rsidRPr="00435469">
        <w:rPr>
          <w:rFonts w:cs="Times New Roman"/>
          <w:sz w:val="20"/>
          <w:szCs w:val="20"/>
        </w:rPr>
        <w:fldChar w:fldCharType="end"/>
      </w:r>
      <w:r w:rsidRPr="00435469">
        <w:rPr>
          <w:rFonts w:cs="Times New Roman"/>
          <w:sz w:val="20"/>
          <w:szCs w:val="20"/>
        </w:rPr>
        <w:t>, all converted to the log scale.</w:t>
      </w:r>
    </w:p>
    <w:p w14:paraId="411BF6FB" w14:textId="77777777" w:rsidR="006C4814" w:rsidRPr="00435469" w:rsidRDefault="006C4814" w:rsidP="006C4814">
      <w:pPr>
        <w:pStyle w:val="1Para"/>
      </w:pPr>
    </w:p>
    <w:p w14:paraId="613DF9CB" w14:textId="77777777" w:rsidR="004C1DAB" w:rsidRPr="00435469" w:rsidRDefault="004C1DAB" w:rsidP="00AD6E54">
      <w:pPr>
        <w:pStyle w:val="3TableHead"/>
      </w:pPr>
    </w:p>
    <w:p w14:paraId="3C5C455C" w14:textId="77777777" w:rsidR="003F5ED6" w:rsidRPr="00435469" w:rsidRDefault="003F5ED6" w:rsidP="00AD6E54">
      <w:pPr>
        <w:pStyle w:val="3TableHead"/>
      </w:pPr>
    </w:p>
    <w:p w14:paraId="6CFDF267" w14:textId="22076F1A" w:rsidR="005757C6" w:rsidRPr="00435469" w:rsidRDefault="005757C6" w:rsidP="00AD6E54">
      <w:pPr>
        <w:pStyle w:val="3TableHead"/>
        <w:rPr>
          <w:rFonts w:cs="Times New Roman"/>
        </w:rPr>
      </w:pPr>
      <w:bookmarkStart w:id="323" w:name="_Ref100004654"/>
      <w:bookmarkStart w:id="324" w:name="_Toc103253675"/>
      <w:r w:rsidRPr="00435469">
        <w:lastRenderedPageBreak/>
        <w:t xml:space="preserve">Table </w:t>
      </w:r>
      <w:r w:rsidR="00AB530B" w:rsidRPr="00435469">
        <w:fldChar w:fldCharType="begin"/>
      </w:r>
      <w:r w:rsidR="00AB530B" w:rsidRPr="00435469">
        <w:instrText xml:space="preserve"> SEQ Table \* ARABIC </w:instrText>
      </w:r>
      <w:r w:rsidR="00AB530B" w:rsidRPr="00435469">
        <w:fldChar w:fldCharType="separate"/>
      </w:r>
      <w:r w:rsidR="00186C2F" w:rsidRPr="00435469">
        <w:rPr>
          <w:noProof/>
        </w:rPr>
        <w:t>22</w:t>
      </w:r>
      <w:r w:rsidR="00AB530B" w:rsidRPr="00435469">
        <w:rPr>
          <w:noProof/>
        </w:rPr>
        <w:fldChar w:fldCharType="end"/>
      </w:r>
      <w:bookmarkEnd w:id="323"/>
      <w:r w:rsidRPr="00435469">
        <w:t>: Expected number of tuberculosis deaths in people living with HIV</w:t>
      </w:r>
      <w:bookmarkEnd w:id="324"/>
    </w:p>
    <w:tbl>
      <w:tblPr>
        <w:tblW w:w="8301" w:type="dxa"/>
        <w:tblLook w:val="04A0" w:firstRow="1" w:lastRow="0" w:firstColumn="1" w:lastColumn="0" w:noHBand="0" w:noVBand="1"/>
      </w:tblPr>
      <w:tblGrid>
        <w:gridCol w:w="1240"/>
        <w:gridCol w:w="2729"/>
        <w:gridCol w:w="2127"/>
        <w:gridCol w:w="2205"/>
      </w:tblGrid>
      <w:tr w:rsidR="0061685C" w:rsidRPr="00435469" w14:paraId="1B16A082" w14:textId="77777777" w:rsidTr="005757C6">
        <w:trPr>
          <w:trHeight w:val="413"/>
        </w:trPr>
        <w:tc>
          <w:tcPr>
            <w:tcW w:w="1240" w:type="dxa"/>
            <w:tcBorders>
              <w:top w:val="single" w:sz="4" w:space="0" w:color="auto"/>
              <w:left w:val="nil"/>
              <w:bottom w:val="single" w:sz="4" w:space="0" w:color="auto"/>
              <w:right w:val="nil"/>
            </w:tcBorders>
            <w:noWrap/>
            <w:hideMark/>
          </w:tcPr>
          <w:p w14:paraId="65494D8E" w14:textId="77777777" w:rsidR="005757C6" w:rsidRPr="00435469" w:rsidRDefault="005757C6"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Year</w:t>
            </w:r>
          </w:p>
        </w:tc>
        <w:tc>
          <w:tcPr>
            <w:tcW w:w="2729" w:type="dxa"/>
            <w:tcBorders>
              <w:top w:val="single" w:sz="4" w:space="0" w:color="auto"/>
              <w:left w:val="nil"/>
              <w:bottom w:val="single" w:sz="4" w:space="0" w:color="auto"/>
              <w:right w:val="nil"/>
            </w:tcBorders>
            <w:noWrap/>
            <w:hideMark/>
          </w:tcPr>
          <w:p w14:paraId="48312F68" w14:textId="77777777" w:rsidR="005757C6" w:rsidRPr="00435469" w:rsidRDefault="005757C6" w:rsidP="00955FFB">
            <w:pPr>
              <w:spacing w:after="0" w:line="240" w:lineRule="auto"/>
              <w:jc w:val="center"/>
              <w:rPr>
                <w:rFonts w:eastAsia="Times New Roman" w:cs="Times New Roman"/>
                <w:b/>
                <w:bCs/>
                <w:sz w:val="16"/>
                <w:szCs w:val="16"/>
                <w:lang w:val="en-ZA" w:eastAsia="en-ZA"/>
              </w:rPr>
            </w:pPr>
            <w:proofErr w:type="spellStart"/>
            <w:r w:rsidRPr="00435469">
              <w:rPr>
                <w:rFonts w:eastAsia="Times New Roman" w:cs="Times New Roman"/>
                <w:b/>
                <w:bCs/>
                <w:sz w:val="16"/>
                <w:szCs w:val="16"/>
                <w:lang w:val="en-ZA" w:eastAsia="en-ZA"/>
              </w:rPr>
              <w:t>Thembisa</w:t>
            </w:r>
            <w:proofErr w:type="spellEnd"/>
            <w:r w:rsidRPr="00435469">
              <w:rPr>
                <w:rFonts w:eastAsia="Times New Roman" w:cs="Times New Roman"/>
                <w:b/>
                <w:bCs/>
                <w:sz w:val="16"/>
                <w:szCs w:val="16"/>
                <w:lang w:val="en-ZA" w:eastAsia="en-ZA"/>
              </w:rPr>
              <w:t xml:space="preserve"> 4.4 AIDS deaths</w:t>
            </w:r>
          </w:p>
        </w:tc>
        <w:tc>
          <w:tcPr>
            <w:tcW w:w="2127" w:type="dxa"/>
            <w:tcBorders>
              <w:top w:val="single" w:sz="4" w:space="0" w:color="auto"/>
              <w:left w:val="nil"/>
              <w:bottom w:val="single" w:sz="4" w:space="0" w:color="auto"/>
              <w:right w:val="nil"/>
            </w:tcBorders>
            <w:noWrap/>
            <w:hideMark/>
          </w:tcPr>
          <w:p w14:paraId="21F4750F" w14:textId="77777777" w:rsidR="005757C6" w:rsidRPr="00435469" w:rsidRDefault="005757C6"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TB deaths in HIV-positive (</w:t>
            </w:r>
            <m:oMath>
              <m:sSub>
                <m:sSubPr>
                  <m:ctrlPr>
                    <w:rPr>
                      <w:rFonts w:ascii="Cambria Math" w:hAnsi="Cambria Math" w:cs="Times New Roman"/>
                      <w:i/>
                      <w:sz w:val="16"/>
                      <w:szCs w:val="16"/>
                    </w:rPr>
                  </m:ctrlPr>
                </m:sSubPr>
                <m:e>
                  <m:r>
                    <w:rPr>
                      <w:rFonts w:ascii="Cambria Math" w:hAnsi="Cambria Math" w:cs="Times New Roman"/>
                      <w:sz w:val="16"/>
                      <w:szCs w:val="16"/>
                    </w:rPr>
                    <m:t>D</m:t>
                  </m:r>
                </m:e>
                <m:sub>
                  <m:r>
                    <w:rPr>
                      <w:rFonts w:ascii="Cambria Math" w:hAnsi="Cambria Math" w:cs="Times New Roman"/>
                      <w:sz w:val="16"/>
                      <w:szCs w:val="16"/>
                    </w:rPr>
                    <m:t>t</m:t>
                  </m:r>
                </m:sub>
              </m:sSub>
            </m:oMath>
            <w:r w:rsidRPr="00435469">
              <w:rPr>
                <w:rFonts w:eastAsia="Times New Roman" w:cs="Times New Roman"/>
                <w:b/>
                <w:bCs/>
                <w:sz w:val="16"/>
                <w:szCs w:val="16"/>
                <w:lang w:val="en-ZA" w:eastAsia="en-ZA"/>
              </w:rPr>
              <w:t>)</w:t>
            </w:r>
          </w:p>
        </w:tc>
        <w:tc>
          <w:tcPr>
            <w:tcW w:w="2205" w:type="dxa"/>
            <w:tcBorders>
              <w:top w:val="single" w:sz="4" w:space="0" w:color="auto"/>
              <w:left w:val="nil"/>
              <w:bottom w:val="single" w:sz="4" w:space="0" w:color="auto"/>
              <w:right w:val="nil"/>
            </w:tcBorders>
            <w:hideMark/>
          </w:tcPr>
          <w:p w14:paraId="3A3B96D8" w14:textId="77777777" w:rsidR="005757C6" w:rsidRPr="00435469" w:rsidRDefault="005757C6"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Standard errors* </w:t>
            </w:r>
          </w:p>
        </w:tc>
      </w:tr>
      <w:tr w:rsidR="0061685C" w:rsidRPr="00435469" w14:paraId="4BB8B25E" w14:textId="77777777" w:rsidTr="005757C6">
        <w:trPr>
          <w:trHeight w:val="262"/>
        </w:trPr>
        <w:tc>
          <w:tcPr>
            <w:tcW w:w="1240" w:type="dxa"/>
            <w:tcBorders>
              <w:top w:val="single" w:sz="4" w:space="0" w:color="auto"/>
              <w:left w:val="nil"/>
              <w:bottom w:val="nil"/>
              <w:right w:val="nil"/>
            </w:tcBorders>
            <w:noWrap/>
            <w:hideMark/>
          </w:tcPr>
          <w:p w14:paraId="4E184C01"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1997</w:t>
            </w:r>
          </w:p>
        </w:tc>
        <w:tc>
          <w:tcPr>
            <w:tcW w:w="2729" w:type="dxa"/>
            <w:tcBorders>
              <w:top w:val="single" w:sz="4" w:space="0" w:color="auto"/>
              <w:left w:val="nil"/>
              <w:bottom w:val="nil"/>
              <w:right w:val="nil"/>
            </w:tcBorders>
            <w:noWrap/>
            <w:hideMark/>
          </w:tcPr>
          <w:p w14:paraId="1528A5B9" w14:textId="15D1B90D"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52 149 </w:t>
            </w:r>
          </w:p>
        </w:tc>
        <w:tc>
          <w:tcPr>
            <w:tcW w:w="2127" w:type="dxa"/>
            <w:tcBorders>
              <w:top w:val="single" w:sz="4" w:space="0" w:color="auto"/>
              <w:left w:val="nil"/>
              <w:bottom w:val="nil"/>
              <w:right w:val="nil"/>
            </w:tcBorders>
            <w:noWrap/>
            <w:hideMark/>
          </w:tcPr>
          <w:p w14:paraId="536A5823"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22424</w:t>
            </w:r>
          </w:p>
        </w:tc>
        <w:tc>
          <w:tcPr>
            <w:tcW w:w="2205" w:type="dxa"/>
            <w:tcBorders>
              <w:top w:val="single" w:sz="4" w:space="0" w:color="auto"/>
              <w:left w:val="nil"/>
              <w:bottom w:val="nil"/>
              <w:right w:val="nil"/>
            </w:tcBorders>
            <w:noWrap/>
            <w:hideMark/>
          </w:tcPr>
          <w:p w14:paraId="31C41DD1" w14:textId="1A3154BB"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0.1733</w:t>
            </w:r>
          </w:p>
        </w:tc>
      </w:tr>
      <w:tr w:rsidR="0061685C" w:rsidRPr="00435469" w14:paraId="308AE174" w14:textId="77777777" w:rsidTr="005757C6">
        <w:trPr>
          <w:trHeight w:val="262"/>
        </w:trPr>
        <w:tc>
          <w:tcPr>
            <w:tcW w:w="1240" w:type="dxa"/>
            <w:noWrap/>
            <w:hideMark/>
          </w:tcPr>
          <w:p w14:paraId="079F9904"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1998</w:t>
            </w:r>
          </w:p>
        </w:tc>
        <w:tc>
          <w:tcPr>
            <w:tcW w:w="2729" w:type="dxa"/>
            <w:noWrap/>
            <w:hideMark/>
          </w:tcPr>
          <w:p w14:paraId="10BDF244" w14:textId="29B4EDA2"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71 563 </w:t>
            </w:r>
          </w:p>
        </w:tc>
        <w:tc>
          <w:tcPr>
            <w:tcW w:w="2127" w:type="dxa"/>
            <w:noWrap/>
            <w:hideMark/>
          </w:tcPr>
          <w:p w14:paraId="6203DCF0"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30772</w:t>
            </w:r>
          </w:p>
        </w:tc>
        <w:tc>
          <w:tcPr>
            <w:tcW w:w="2205" w:type="dxa"/>
            <w:noWrap/>
            <w:hideMark/>
          </w:tcPr>
          <w:p w14:paraId="493FD2E8" w14:textId="2F69D0CC"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0.1725</w:t>
            </w:r>
          </w:p>
        </w:tc>
      </w:tr>
      <w:tr w:rsidR="0061685C" w:rsidRPr="00435469" w14:paraId="48F33AFA" w14:textId="77777777" w:rsidTr="005757C6">
        <w:trPr>
          <w:trHeight w:val="262"/>
        </w:trPr>
        <w:tc>
          <w:tcPr>
            <w:tcW w:w="1240" w:type="dxa"/>
            <w:noWrap/>
            <w:hideMark/>
          </w:tcPr>
          <w:p w14:paraId="5AF7EA71"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1999</w:t>
            </w:r>
          </w:p>
        </w:tc>
        <w:tc>
          <w:tcPr>
            <w:tcW w:w="2729" w:type="dxa"/>
            <w:noWrap/>
            <w:hideMark/>
          </w:tcPr>
          <w:p w14:paraId="73E9DFF1" w14:textId="1D0D2563"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94 202 </w:t>
            </w:r>
          </w:p>
        </w:tc>
        <w:tc>
          <w:tcPr>
            <w:tcW w:w="2127" w:type="dxa"/>
            <w:noWrap/>
            <w:hideMark/>
          </w:tcPr>
          <w:p w14:paraId="6E411A28"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40507</w:t>
            </w:r>
          </w:p>
        </w:tc>
        <w:tc>
          <w:tcPr>
            <w:tcW w:w="2205" w:type="dxa"/>
            <w:noWrap/>
            <w:hideMark/>
          </w:tcPr>
          <w:p w14:paraId="5295693D" w14:textId="71139243"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0.1714</w:t>
            </w:r>
          </w:p>
        </w:tc>
      </w:tr>
      <w:tr w:rsidR="0061685C" w:rsidRPr="00435469" w14:paraId="3DFAFE11" w14:textId="77777777" w:rsidTr="005757C6">
        <w:trPr>
          <w:trHeight w:val="262"/>
        </w:trPr>
        <w:tc>
          <w:tcPr>
            <w:tcW w:w="1240" w:type="dxa"/>
            <w:noWrap/>
            <w:hideMark/>
          </w:tcPr>
          <w:p w14:paraId="362A5F4A"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2000</w:t>
            </w:r>
          </w:p>
        </w:tc>
        <w:tc>
          <w:tcPr>
            <w:tcW w:w="2729" w:type="dxa"/>
            <w:noWrap/>
            <w:hideMark/>
          </w:tcPr>
          <w:p w14:paraId="129664E4" w14:textId="1C601006"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119 458 </w:t>
            </w:r>
          </w:p>
        </w:tc>
        <w:tc>
          <w:tcPr>
            <w:tcW w:w="2127" w:type="dxa"/>
            <w:noWrap/>
            <w:hideMark/>
          </w:tcPr>
          <w:p w14:paraId="2EA92B7D"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51367</w:t>
            </w:r>
          </w:p>
        </w:tc>
        <w:tc>
          <w:tcPr>
            <w:tcW w:w="2205" w:type="dxa"/>
            <w:noWrap/>
            <w:hideMark/>
          </w:tcPr>
          <w:p w14:paraId="2AF617C7" w14:textId="0518C1C9"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0.1710</w:t>
            </w:r>
          </w:p>
        </w:tc>
      </w:tr>
      <w:tr w:rsidR="0061685C" w:rsidRPr="00435469" w14:paraId="5AC4E7CD" w14:textId="77777777" w:rsidTr="005757C6">
        <w:trPr>
          <w:trHeight w:val="262"/>
        </w:trPr>
        <w:tc>
          <w:tcPr>
            <w:tcW w:w="1240" w:type="dxa"/>
            <w:noWrap/>
            <w:hideMark/>
          </w:tcPr>
          <w:p w14:paraId="60F1A4AC"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2001</w:t>
            </w:r>
          </w:p>
        </w:tc>
        <w:tc>
          <w:tcPr>
            <w:tcW w:w="2729" w:type="dxa"/>
            <w:noWrap/>
            <w:hideMark/>
          </w:tcPr>
          <w:p w14:paraId="314733CD" w14:textId="2C536D7A"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143 624 </w:t>
            </w:r>
          </w:p>
        </w:tc>
        <w:tc>
          <w:tcPr>
            <w:tcW w:w="2127" w:type="dxa"/>
            <w:noWrap/>
            <w:hideMark/>
          </w:tcPr>
          <w:p w14:paraId="139B06BC"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61758</w:t>
            </w:r>
          </w:p>
        </w:tc>
        <w:tc>
          <w:tcPr>
            <w:tcW w:w="2205" w:type="dxa"/>
            <w:noWrap/>
            <w:hideMark/>
          </w:tcPr>
          <w:p w14:paraId="3D5E03CF" w14:textId="192B9F4E"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0.1704</w:t>
            </w:r>
          </w:p>
        </w:tc>
      </w:tr>
      <w:tr w:rsidR="0061685C" w:rsidRPr="00435469" w14:paraId="134F2BC8" w14:textId="77777777" w:rsidTr="005757C6">
        <w:trPr>
          <w:trHeight w:val="262"/>
        </w:trPr>
        <w:tc>
          <w:tcPr>
            <w:tcW w:w="1240" w:type="dxa"/>
            <w:noWrap/>
            <w:hideMark/>
          </w:tcPr>
          <w:p w14:paraId="4EFD87E0"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2002</w:t>
            </w:r>
          </w:p>
        </w:tc>
        <w:tc>
          <w:tcPr>
            <w:tcW w:w="2729" w:type="dxa"/>
            <w:noWrap/>
            <w:hideMark/>
          </w:tcPr>
          <w:p w14:paraId="6F52857F" w14:textId="179BBD1C"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168 832 </w:t>
            </w:r>
          </w:p>
        </w:tc>
        <w:tc>
          <w:tcPr>
            <w:tcW w:w="2127" w:type="dxa"/>
            <w:noWrap/>
            <w:hideMark/>
          </w:tcPr>
          <w:p w14:paraId="4BD85345"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72598</w:t>
            </w:r>
          </w:p>
        </w:tc>
        <w:tc>
          <w:tcPr>
            <w:tcW w:w="2205" w:type="dxa"/>
            <w:noWrap/>
            <w:hideMark/>
          </w:tcPr>
          <w:p w14:paraId="44FF5AE7" w14:textId="2C5F5416"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0.1701</w:t>
            </w:r>
          </w:p>
        </w:tc>
      </w:tr>
      <w:tr w:rsidR="0061685C" w:rsidRPr="00435469" w14:paraId="26F5243B" w14:textId="77777777" w:rsidTr="005757C6">
        <w:trPr>
          <w:trHeight w:val="262"/>
        </w:trPr>
        <w:tc>
          <w:tcPr>
            <w:tcW w:w="1240" w:type="dxa"/>
            <w:noWrap/>
            <w:hideMark/>
          </w:tcPr>
          <w:p w14:paraId="5F4F65A8"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2003</w:t>
            </w:r>
          </w:p>
        </w:tc>
        <w:tc>
          <w:tcPr>
            <w:tcW w:w="2729" w:type="dxa"/>
            <w:noWrap/>
            <w:hideMark/>
          </w:tcPr>
          <w:p w14:paraId="03FBBB3F" w14:textId="4CB2A234"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193 813 </w:t>
            </w:r>
          </w:p>
        </w:tc>
        <w:tc>
          <w:tcPr>
            <w:tcW w:w="2127" w:type="dxa"/>
            <w:noWrap/>
            <w:hideMark/>
          </w:tcPr>
          <w:p w14:paraId="6B4B11DD"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83339</w:t>
            </w:r>
          </w:p>
        </w:tc>
        <w:tc>
          <w:tcPr>
            <w:tcW w:w="2205" w:type="dxa"/>
            <w:noWrap/>
            <w:hideMark/>
          </w:tcPr>
          <w:p w14:paraId="39F92B0B" w14:textId="380391F5"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0.1698</w:t>
            </w:r>
          </w:p>
        </w:tc>
      </w:tr>
      <w:tr w:rsidR="0061685C" w:rsidRPr="00435469" w14:paraId="19257A77" w14:textId="77777777" w:rsidTr="005757C6">
        <w:trPr>
          <w:trHeight w:val="262"/>
        </w:trPr>
        <w:tc>
          <w:tcPr>
            <w:tcW w:w="1240" w:type="dxa"/>
            <w:noWrap/>
            <w:hideMark/>
          </w:tcPr>
          <w:p w14:paraId="257BC01B"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2004</w:t>
            </w:r>
          </w:p>
        </w:tc>
        <w:tc>
          <w:tcPr>
            <w:tcW w:w="2729" w:type="dxa"/>
            <w:noWrap/>
            <w:hideMark/>
          </w:tcPr>
          <w:p w14:paraId="17858907" w14:textId="7C058638"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220 214 </w:t>
            </w:r>
          </w:p>
        </w:tc>
        <w:tc>
          <w:tcPr>
            <w:tcW w:w="2127" w:type="dxa"/>
            <w:noWrap/>
            <w:hideMark/>
          </w:tcPr>
          <w:p w14:paraId="78E69460"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94692</w:t>
            </w:r>
          </w:p>
        </w:tc>
        <w:tc>
          <w:tcPr>
            <w:tcW w:w="2205" w:type="dxa"/>
            <w:noWrap/>
            <w:hideMark/>
          </w:tcPr>
          <w:p w14:paraId="40D727FA" w14:textId="24906BD2"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0.1696</w:t>
            </w:r>
          </w:p>
        </w:tc>
      </w:tr>
      <w:tr w:rsidR="0061685C" w:rsidRPr="00435469" w14:paraId="1B595DF6" w14:textId="77777777" w:rsidTr="005757C6">
        <w:trPr>
          <w:trHeight w:val="262"/>
        </w:trPr>
        <w:tc>
          <w:tcPr>
            <w:tcW w:w="1240" w:type="dxa"/>
            <w:noWrap/>
            <w:hideMark/>
          </w:tcPr>
          <w:p w14:paraId="4DD7D623"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2005</w:t>
            </w:r>
          </w:p>
        </w:tc>
        <w:tc>
          <w:tcPr>
            <w:tcW w:w="2729" w:type="dxa"/>
            <w:noWrap/>
            <w:hideMark/>
          </w:tcPr>
          <w:p w14:paraId="6C3ECB50" w14:textId="7AFB10AB"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228 122 </w:t>
            </w:r>
          </w:p>
        </w:tc>
        <w:tc>
          <w:tcPr>
            <w:tcW w:w="2127" w:type="dxa"/>
            <w:noWrap/>
            <w:hideMark/>
          </w:tcPr>
          <w:p w14:paraId="400AAAA8"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98092</w:t>
            </w:r>
          </w:p>
        </w:tc>
        <w:tc>
          <w:tcPr>
            <w:tcW w:w="2205" w:type="dxa"/>
            <w:noWrap/>
            <w:hideMark/>
          </w:tcPr>
          <w:p w14:paraId="7441CCC4" w14:textId="374D5593"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0.1697</w:t>
            </w:r>
          </w:p>
        </w:tc>
      </w:tr>
      <w:tr w:rsidR="0061685C" w:rsidRPr="00435469" w14:paraId="16C88CCC" w14:textId="77777777" w:rsidTr="005757C6">
        <w:trPr>
          <w:trHeight w:val="262"/>
        </w:trPr>
        <w:tc>
          <w:tcPr>
            <w:tcW w:w="1240" w:type="dxa"/>
            <w:noWrap/>
            <w:hideMark/>
          </w:tcPr>
          <w:p w14:paraId="4E76696D"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2006</w:t>
            </w:r>
          </w:p>
        </w:tc>
        <w:tc>
          <w:tcPr>
            <w:tcW w:w="2729" w:type="dxa"/>
            <w:noWrap/>
            <w:hideMark/>
          </w:tcPr>
          <w:p w14:paraId="2FB76A3E" w14:textId="0CBB79EB"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215 892 </w:t>
            </w:r>
          </w:p>
        </w:tc>
        <w:tc>
          <w:tcPr>
            <w:tcW w:w="2127" w:type="dxa"/>
            <w:noWrap/>
            <w:hideMark/>
          </w:tcPr>
          <w:p w14:paraId="2A7398BA"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92833</w:t>
            </w:r>
          </w:p>
        </w:tc>
        <w:tc>
          <w:tcPr>
            <w:tcW w:w="2205" w:type="dxa"/>
            <w:noWrap/>
            <w:hideMark/>
          </w:tcPr>
          <w:p w14:paraId="2FB6E6FF" w14:textId="1308118B"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0.1705</w:t>
            </w:r>
          </w:p>
        </w:tc>
      </w:tr>
      <w:tr w:rsidR="0061685C" w:rsidRPr="00435469" w14:paraId="3C1E9608" w14:textId="77777777" w:rsidTr="005757C6">
        <w:trPr>
          <w:trHeight w:val="262"/>
        </w:trPr>
        <w:tc>
          <w:tcPr>
            <w:tcW w:w="1240" w:type="dxa"/>
            <w:noWrap/>
            <w:hideMark/>
          </w:tcPr>
          <w:p w14:paraId="26CE1E84"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2007</w:t>
            </w:r>
          </w:p>
        </w:tc>
        <w:tc>
          <w:tcPr>
            <w:tcW w:w="2729" w:type="dxa"/>
            <w:noWrap/>
            <w:hideMark/>
          </w:tcPr>
          <w:p w14:paraId="4C756E77" w14:textId="0F40E159"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192 528 </w:t>
            </w:r>
          </w:p>
        </w:tc>
        <w:tc>
          <w:tcPr>
            <w:tcW w:w="2127" w:type="dxa"/>
            <w:noWrap/>
            <w:hideMark/>
          </w:tcPr>
          <w:p w14:paraId="501BB421"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82787</w:t>
            </w:r>
          </w:p>
        </w:tc>
        <w:tc>
          <w:tcPr>
            <w:tcW w:w="2205" w:type="dxa"/>
            <w:noWrap/>
            <w:hideMark/>
          </w:tcPr>
          <w:p w14:paraId="51DA3B37" w14:textId="05FEBE1D"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0.1718</w:t>
            </w:r>
          </w:p>
        </w:tc>
      </w:tr>
      <w:tr w:rsidR="0061685C" w:rsidRPr="00435469" w14:paraId="4E740B93" w14:textId="77777777" w:rsidTr="005757C6">
        <w:trPr>
          <w:trHeight w:val="262"/>
        </w:trPr>
        <w:tc>
          <w:tcPr>
            <w:tcW w:w="1240" w:type="dxa"/>
            <w:noWrap/>
            <w:hideMark/>
          </w:tcPr>
          <w:p w14:paraId="7C6E7DB4"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2008</w:t>
            </w:r>
          </w:p>
        </w:tc>
        <w:tc>
          <w:tcPr>
            <w:tcW w:w="2729" w:type="dxa"/>
            <w:noWrap/>
            <w:hideMark/>
          </w:tcPr>
          <w:p w14:paraId="35D96990" w14:textId="4711D6EB"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172 663 </w:t>
            </w:r>
          </w:p>
        </w:tc>
        <w:tc>
          <w:tcPr>
            <w:tcW w:w="2127" w:type="dxa"/>
            <w:noWrap/>
            <w:hideMark/>
          </w:tcPr>
          <w:p w14:paraId="70B386DC"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74245</w:t>
            </w:r>
          </w:p>
        </w:tc>
        <w:tc>
          <w:tcPr>
            <w:tcW w:w="2205" w:type="dxa"/>
            <w:noWrap/>
            <w:hideMark/>
          </w:tcPr>
          <w:p w14:paraId="3249A60D" w14:textId="0332B90A"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0.1719</w:t>
            </w:r>
          </w:p>
        </w:tc>
      </w:tr>
      <w:tr w:rsidR="0061685C" w:rsidRPr="00435469" w14:paraId="50560707" w14:textId="77777777" w:rsidTr="005757C6">
        <w:trPr>
          <w:trHeight w:val="262"/>
        </w:trPr>
        <w:tc>
          <w:tcPr>
            <w:tcW w:w="1240" w:type="dxa"/>
            <w:noWrap/>
            <w:hideMark/>
          </w:tcPr>
          <w:p w14:paraId="54ECF1D9"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2009</w:t>
            </w:r>
          </w:p>
        </w:tc>
        <w:tc>
          <w:tcPr>
            <w:tcW w:w="2729" w:type="dxa"/>
            <w:noWrap/>
            <w:hideMark/>
          </w:tcPr>
          <w:p w14:paraId="2106FDCE" w14:textId="126EC912"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157 785 </w:t>
            </w:r>
          </w:p>
        </w:tc>
        <w:tc>
          <w:tcPr>
            <w:tcW w:w="2127" w:type="dxa"/>
            <w:noWrap/>
            <w:hideMark/>
          </w:tcPr>
          <w:p w14:paraId="244397DD"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67847</w:t>
            </w:r>
          </w:p>
        </w:tc>
        <w:tc>
          <w:tcPr>
            <w:tcW w:w="2205" w:type="dxa"/>
            <w:noWrap/>
            <w:hideMark/>
          </w:tcPr>
          <w:p w14:paraId="5025AC76" w14:textId="06DD8FBB"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0.1711</w:t>
            </w:r>
          </w:p>
        </w:tc>
      </w:tr>
      <w:tr w:rsidR="0061685C" w:rsidRPr="00435469" w14:paraId="54DB56AB" w14:textId="77777777" w:rsidTr="005757C6">
        <w:trPr>
          <w:trHeight w:val="262"/>
        </w:trPr>
        <w:tc>
          <w:tcPr>
            <w:tcW w:w="1240" w:type="dxa"/>
            <w:tcBorders>
              <w:top w:val="nil"/>
              <w:left w:val="nil"/>
              <w:bottom w:val="single" w:sz="4" w:space="0" w:color="auto"/>
              <w:right w:val="nil"/>
            </w:tcBorders>
            <w:noWrap/>
            <w:hideMark/>
          </w:tcPr>
          <w:p w14:paraId="0F58816C"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2010</w:t>
            </w:r>
          </w:p>
        </w:tc>
        <w:tc>
          <w:tcPr>
            <w:tcW w:w="2729" w:type="dxa"/>
            <w:tcBorders>
              <w:top w:val="nil"/>
              <w:left w:val="nil"/>
              <w:bottom w:val="single" w:sz="4" w:space="0" w:color="auto"/>
              <w:right w:val="nil"/>
            </w:tcBorders>
            <w:noWrap/>
            <w:hideMark/>
          </w:tcPr>
          <w:p w14:paraId="5169B299" w14:textId="3F2466E5"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142 992 </w:t>
            </w:r>
          </w:p>
        </w:tc>
        <w:tc>
          <w:tcPr>
            <w:tcW w:w="2127" w:type="dxa"/>
            <w:tcBorders>
              <w:top w:val="nil"/>
              <w:left w:val="nil"/>
              <w:bottom w:val="single" w:sz="4" w:space="0" w:color="auto"/>
              <w:right w:val="nil"/>
            </w:tcBorders>
            <w:noWrap/>
            <w:hideMark/>
          </w:tcPr>
          <w:p w14:paraId="5EF5716B" w14:textId="77777777" w:rsidR="00F619C1" w:rsidRPr="00435469" w:rsidRDefault="00F619C1"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61487</w:t>
            </w:r>
          </w:p>
        </w:tc>
        <w:tc>
          <w:tcPr>
            <w:tcW w:w="2205" w:type="dxa"/>
            <w:tcBorders>
              <w:top w:val="nil"/>
              <w:left w:val="nil"/>
              <w:bottom w:val="single" w:sz="4" w:space="0" w:color="auto"/>
              <w:right w:val="nil"/>
            </w:tcBorders>
            <w:noWrap/>
            <w:hideMark/>
          </w:tcPr>
          <w:p w14:paraId="090D0DE9" w14:textId="2ACF365D" w:rsidR="00F619C1" w:rsidRPr="00435469" w:rsidRDefault="00F619C1" w:rsidP="00955FFB">
            <w:pPr>
              <w:spacing w:after="0" w:line="240" w:lineRule="auto"/>
              <w:jc w:val="center"/>
              <w:rPr>
                <w:rFonts w:eastAsia="Times New Roman" w:cs="Times New Roman"/>
                <w:sz w:val="16"/>
                <w:szCs w:val="16"/>
                <w:lang w:val="en-ZA" w:eastAsia="en-ZA"/>
              </w:rPr>
            </w:pPr>
            <w:r w:rsidRPr="00435469">
              <w:rPr>
                <w:sz w:val="16"/>
                <w:szCs w:val="16"/>
              </w:rPr>
              <w:t>0.1706</w:t>
            </w:r>
          </w:p>
        </w:tc>
      </w:tr>
    </w:tbl>
    <w:p w14:paraId="41E0E508" w14:textId="00AC8A13" w:rsidR="005757C6" w:rsidRPr="00435469" w:rsidRDefault="005757C6" w:rsidP="00955FFB">
      <w:pPr>
        <w:pStyle w:val="1Para"/>
        <w:spacing w:line="240" w:lineRule="auto"/>
        <w:ind w:firstLine="0"/>
        <w:rPr>
          <w:sz w:val="20"/>
          <w:szCs w:val="20"/>
        </w:rPr>
      </w:pPr>
      <w:r w:rsidRPr="00435469">
        <w:rPr>
          <w:rFonts w:eastAsia="Times New Roman" w:cs="Times New Roman"/>
          <w:sz w:val="20"/>
          <w:szCs w:val="20"/>
          <w:lang w:val="en-ZA" w:eastAsia="en-ZA"/>
        </w:rPr>
        <w:t xml:space="preserve">*On log scale, estimated from the upper and lower limits of the proportion of expected TB deaths (Gupta estimate) and </w:t>
      </w:r>
      <w:proofErr w:type="spellStart"/>
      <w:r w:rsidRPr="00435469">
        <w:rPr>
          <w:rFonts w:eastAsia="Times New Roman" w:cs="Times New Roman"/>
          <w:sz w:val="20"/>
          <w:szCs w:val="20"/>
          <w:lang w:val="en-ZA" w:eastAsia="en-ZA"/>
        </w:rPr>
        <w:t>Thembisa</w:t>
      </w:r>
      <w:proofErr w:type="spellEnd"/>
      <w:r w:rsidRPr="00435469">
        <w:rPr>
          <w:rFonts w:eastAsia="Times New Roman" w:cs="Times New Roman"/>
          <w:sz w:val="20"/>
          <w:szCs w:val="20"/>
          <w:lang w:val="en-ZA" w:eastAsia="en-ZA"/>
        </w:rPr>
        <w:t xml:space="preserve"> AIDS deaths.</w:t>
      </w:r>
    </w:p>
    <w:p w14:paraId="67B4AFCD" w14:textId="1DED5AA2" w:rsidR="006D3675" w:rsidRPr="00435469" w:rsidRDefault="00EF7766" w:rsidP="00955FFB">
      <w:pPr>
        <w:pStyle w:val="Heading3"/>
        <w:numPr>
          <w:ilvl w:val="2"/>
          <w:numId w:val="18"/>
        </w:numPr>
        <w:rPr>
          <w:color w:val="auto"/>
          <w:sz w:val="20"/>
          <w:szCs w:val="20"/>
        </w:rPr>
      </w:pPr>
      <w:bookmarkStart w:id="325" w:name="_Toc79099836"/>
      <w:bookmarkStart w:id="326" w:name="_Toc80352164"/>
      <w:bookmarkStart w:id="327" w:name="_Toc87863361"/>
      <w:bookmarkEnd w:id="310"/>
      <w:bookmarkEnd w:id="311"/>
      <w:r w:rsidRPr="00435469">
        <w:rPr>
          <w:color w:val="auto"/>
          <w:sz w:val="20"/>
          <w:szCs w:val="20"/>
        </w:rPr>
        <w:t xml:space="preserve"> </w:t>
      </w:r>
      <w:bookmarkStart w:id="328" w:name="_Toc103252959"/>
      <w:r w:rsidR="006D3675" w:rsidRPr="00435469">
        <w:rPr>
          <w:color w:val="auto"/>
          <w:sz w:val="20"/>
          <w:szCs w:val="20"/>
        </w:rPr>
        <w:t>The likelihood for recorded number of tuberculosis cases initiated on treatment</w:t>
      </w:r>
      <w:bookmarkEnd w:id="328"/>
      <w:r w:rsidR="006D3675" w:rsidRPr="00435469">
        <w:rPr>
          <w:color w:val="auto"/>
          <w:sz w:val="20"/>
          <w:szCs w:val="20"/>
        </w:rPr>
        <w:t xml:space="preserve"> </w:t>
      </w:r>
    </w:p>
    <w:p w14:paraId="2C82CF1C" w14:textId="34CEF3CE" w:rsidR="00E11A76" w:rsidRPr="00435469" w:rsidRDefault="006D3675" w:rsidP="00955FFB">
      <w:pPr>
        <w:spacing w:line="240" w:lineRule="auto"/>
        <w:rPr>
          <w:rFonts w:cs="Times New Roman"/>
          <w:sz w:val="20"/>
          <w:szCs w:val="20"/>
        </w:rPr>
      </w:pPr>
      <w:r w:rsidRPr="00435469">
        <w:rPr>
          <w:rFonts w:cs="Times New Roman"/>
          <w:sz w:val="20"/>
          <w:szCs w:val="20"/>
        </w:rPr>
        <w:t>We use the number of notified TB deaths from the ETR, accessed through and cleaned by the Desmond Tutu TB Centre</w:t>
      </w:r>
      <w:r w:rsidR="002E23BF" w:rsidRPr="00435469">
        <w:rPr>
          <w:rFonts w:cs="Times New Roman"/>
          <w:sz w:val="20"/>
          <w:szCs w:val="20"/>
        </w:rPr>
        <w:t xml:space="preserve"> </w:t>
      </w:r>
      <w:r w:rsidR="00903E0F" w:rsidRPr="00435469">
        <w:rPr>
          <w:rFonts w:cs="Times New Roman"/>
          <w:sz w:val="20"/>
          <w:szCs w:val="20"/>
        </w:rPr>
        <w:t>(</w:t>
      </w:r>
      <w:r w:rsidR="00903E0F" w:rsidRPr="00435469">
        <w:rPr>
          <w:rFonts w:cs="Times New Roman"/>
          <w:sz w:val="20"/>
          <w:szCs w:val="20"/>
        </w:rPr>
        <w:fldChar w:fldCharType="begin"/>
      </w:r>
      <w:r w:rsidR="00903E0F" w:rsidRPr="00435469">
        <w:rPr>
          <w:rFonts w:cs="Times New Roman"/>
          <w:sz w:val="20"/>
          <w:szCs w:val="20"/>
        </w:rPr>
        <w:instrText xml:space="preserve"> REF _Ref100004751 \h </w:instrText>
      </w:r>
      <w:r w:rsidR="00955FFB" w:rsidRPr="00435469">
        <w:rPr>
          <w:rFonts w:cs="Times New Roman"/>
          <w:sz w:val="20"/>
          <w:szCs w:val="20"/>
        </w:rPr>
        <w:instrText xml:space="preserve"> \* MERGEFORMAT </w:instrText>
      </w:r>
      <w:r w:rsidR="00903E0F" w:rsidRPr="00435469">
        <w:rPr>
          <w:rFonts w:cs="Times New Roman"/>
          <w:sz w:val="20"/>
          <w:szCs w:val="20"/>
        </w:rPr>
      </w:r>
      <w:r w:rsidR="00903E0F"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23</w:t>
      </w:r>
      <w:r w:rsidR="00903E0F" w:rsidRPr="00435469">
        <w:rPr>
          <w:rFonts w:cs="Times New Roman"/>
          <w:sz w:val="20"/>
          <w:szCs w:val="20"/>
        </w:rPr>
        <w:fldChar w:fldCharType="end"/>
      </w:r>
      <w:r w:rsidR="00903E0F" w:rsidRPr="00435469">
        <w:rPr>
          <w:rFonts w:cs="Times New Roman"/>
          <w:sz w:val="20"/>
          <w:szCs w:val="20"/>
        </w:rPr>
        <w:t>)</w:t>
      </w:r>
      <w:r w:rsidR="00757558" w:rsidRPr="00435469">
        <w:rPr>
          <w:rFonts w:cs="Times New Roman"/>
          <w:sz w:val="20"/>
          <w:szCs w:val="20"/>
        </w:rPr>
        <w:t xml:space="preserve"> </w:t>
      </w:r>
      <w:r w:rsidR="003D69F2" w:rsidRPr="00435469">
        <w:rPr>
          <w:rFonts w:eastAsiaTheme="minorEastAsia" w:cs="Times New Roman"/>
          <w:sz w:val="20"/>
          <w:szCs w:val="20"/>
        </w:rPr>
        <w:fldChar w:fldCharType="begin" w:fldLock="1"/>
      </w:r>
      <w:r w:rsidR="00A142FF" w:rsidRPr="00435469">
        <w:rPr>
          <w:rFonts w:eastAsiaTheme="minorEastAsia" w:cs="Times New Roman"/>
          <w:sz w:val="20"/>
          <w:szCs w:val="20"/>
        </w:rPr>
        <w:instrText>ADDIN CSL_CITATION {"citationItems":[{"id":"ITEM-1","itemData":{"DOI":"10.1038/s41598-021-95331-w","ISBN":"0123456789","ISSN":"20452322","PMID":"34354135","abstract":"In 2011, the South African HIV treatment eligibility criteria were expanded to allow all tuberculosis (TB) patients lifelong ART. The impact of this change on TB mortality in South Africa is not known. We evaluated mortality in all adults (≥ 15 years old) treated for drug-susceptible TB in South Africa between 2009 and 2016. Using a Cox regression model, we quantified risk factors for mortality during TB treatment and present standardised mortality ratios (SMR) stratified by year, age, sex, and HIV status. During the study period, 8.6% (219,618/2,551,058) of adults on TB treatment died. Older age, male sex, previous TB treatment and HIV infection (with or without the use of ART) were associated with increased hazard of mortality. There was a 19% reduction in hazard of mortality amongst all TB patients between 2009 and 2016 (adjusted hazard ratio: 0.81 95%CI 0.80–0.83). The highest SMR was in 15–24-year-old women, more than double that of men (42.3 in 2016). Between 2009 and 2016, the SMR for HIV-positive TB patients increased, from 9.0 to 19.6 in women, and 7.0 to 10.6 in men. In South Africa, case fatality during TB treatment is decreasing and further interventions to address specific risk factors for TB mortality are required. Young women (15–24-year-olds) with TB experience a disproportionate burden of mortality and interventions targeting this age-group are needed.","author":[{"dropping-particle":"","family":"Osman","given":"Muhammad","non-dropping-particle":"","parse-names":false,"suffix":""},{"dropping-particle":"","family":"Schalkwyk","given":"Cari","non-dropping-particle":"van","parse-names":false,"suffix":""},{"dropping-particle":"","family":"Naidoo","given":"Pren","non-dropping-particle":"","parse-names":false,"suffix":""},{"dropping-particle":"","family":"Seddon","given":"James A.","non-dropping-particle":"","parse-names":false,"suffix":""},{"dropping-particle":"","family":"Dunbar","given":"Rory","non-dropping-particle":"","parse-names":false,"suffix":""},{"dropping-particle":"","family":"Dlamini","given":"Sicelo S.","non-dropping-particle":"","parse-names":false,"suffix":""},{"dropping-particle":"","family":"Welte","given":"Alex","non-dropping-particle":"","parse-names":false,"suffix":""},{"dropping-particle":"","family":"Hesseling","given":"Anneke C.","non-dropping-particle":"","parse-names":false,"suffix":""},{"dropping-particle":"","family":"Claassens","given":"Mareli M.","non-dropping-particle":"","parse-names":false,"suffix":""}],"container-title":"Scientific Reports","id":"ITEM-1","issue":"1","issued":{"date-parts":[["2021"]]},"page":"1-10","publisher":"Nature Publishing Group UK","title":"Mortality during tuberculosis treatment in South Africa using an 8-year analysis of the national tuberculosis treatment register","type":"article-journal","volume":"11"},"uris":["http://www.mendeley.com/documents/?uuid=e6779f40-d610-4700-bc38-beb1429786e6"]}],"mendeley":{"formattedCitation":"(96)","plainTextFormattedCitation":"(96)","previouslyFormattedCitation":"(96)"},"properties":{"noteIndex":0},"schema":"https://github.com/citation-style-language/schema/raw/master/csl-citation.json"}</w:instrText>
      </w:r>
      <w:r w:rsidR="003D69F2" w:rsidRPr="00435469">
        <w:rPr>
          <w:rFonts w:eastAsiaTheme="minorEastAsia" w:cs="Times New Roman"/>
          <w:sz w:val="20"/>
          <w:szCs w:val="20"/>
        </w:rPr>
        <w:fldChar w:fldCharType="separate"/>
      </w:r>
      <w:r w:rsidR="0016391D" w:rsidRPr="00435469">
        <w:rPr>
          <w:rFonts w:eastAsiaTheme="minorEastAsia" w:cs="Times New Roman"/>
          <w:noProof/>
          <w:sz w:val="20"/>
          <w:szCs w:val="20"/>
        </w:rPr>
        <w:t>(96)</w:t>
      </w:r>
      <w:r w:rsidR="003D69F2" w:rsidRPr="00435469">
        <w:rPr>
          <w:rFonts w:eastAsiaTheme="minorEastAsia" w:cs="Times New Roman"/>
          <w:sz w:val="20"/>
          <w:szCs w:val="20"/>
        </w:rPr>
        <w:fldChar w:fldCharType="end"/>
      </w:r>
      <w:r w:rsidRPr="00435469">
        <w:rPr>
          <w:rFonts w:cs="Times New Roman"/>
          <w:sz w:val="20"/>
          <w:szCs w:val="20"/>
        </w:rPr>
        <w:t>. The database relies on data from TB Blue cards</w:t>
      </w:r>
      <w:r w:rsidR="001A0754" w:rsidRPr="00435469">
        <w:rPr>
          <w:rFonts w:cs="Times New Roman"/>
          <w:sz w:val="20"/>
          <w:szCs w:val="20"/>
        </w:rPr>
        <w:t xml:space="preserve"> -</w:t>
      </w:r>
      <w:r w:rsidRPr="00435469">
        <w:rPr>
          <w:rFonts w:cs="Times New Roman"/>
          <w:sz w:val="20"/>
          <w:szCs w:val="20"/>
        </w:rPr>
        <w:t xml:space="preserve"> the primary medical record for people who have been diagnosed with TB and have initiated treatment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{"citationItems":[{"id":"ITEM-1","itemData":{"DOI":"10.1186/s12889-015-2117-3","ISBN":"1471-2458; 1471-2458","ISSN":"14712458","PMID":"26259599","abstract":"BACKGROUND: Accurate surveillance data are paramount to effective TB control. The Republic of South Africa's National TB Control Program (NTP) has conducted TB surveillance since 1995 and adopted the Electronic TB Register (ETR) in 2005. This evaluation aimed to determine the completeness and reliability of data in the Republic of South Africa's TB Surveillance System.\\n\\nMETHODS: Three of nine provinces, three subdistricts per province, and 54 health facilities were selected by stratified random sampling. At each facility, 30 (or all if &lt;30) patients diagnosed in Quarter 1 2009 were randomly selected for review. Patient information was evaluated across two paper and four electronic sources. Completeness of program indicators between paper and electronic sources was compared with chi-square tests. The kappa statistic was used to evaluate agreement of values.\\n\\nRESULTS: Over one-third (33.7 %) of all persons with presumptive TB recorded as smear positive in the TB Suspect Register did not have any records documenting notification, treatment, or management for TB disease. Of 1339 persons with a record as a TB patient at the facility, 1077 (80 %) were recorded in all data sources. Over 98 % of records contained complete age and sex data. Completeness varied for HIV status (53-86 %; p &lt; 0.001) and DOT during the intensive phase of treatment (17-54 %; p &lt; 0.001). Agreement for sex was excellent across sources (kappa 0.94); moderate for patient type (0.78), treatment regimen (0.79), treatment outcome (0.71); and poor for HIV status (0.33).\\n\\nCONCLUSIONS: The current evaluation revealed that one-third of persons diagnosed with TB disease may not have been notified of their disease or initiated on treatment ('initial defaulters'). The ETR is not capturing all TB patients. Further, among patients with a TB record, completeness and reliability of information in the TB Surveillance System is inconsistent across data sources. Actions are urgently needed to ensure that all diagnosed patients are treated and managed and improve the integrity of surveillance information.","author":[{"dropping-particle":"","family":"Podewils","given":"Laura Jean","non-dropping-particle":"","parse-names":false,"suffix":""},{"dropping-particle":"","family":"Bantubani","given":"Nonkqubela","non-dropping-particle":"","parse-names":false,"suffix":""},{"dropping-particle":"","family":"Bristow","given":"Claire","non-dropping-particle":"","parse-names":false,"suffix":""},{"dropping-particle":"","family":"Bronner","given":"Liza E.","non-dropping-particle":"","parse-names":false,"suffix":""},{"dropping-particle":"","family":"Peters","given":"Annatjie","non-dropping-particle":"","parse-names":false,"suffix":""},{"dropping-particle":"","family":"Pym","given":"Alexander","non-dropping-particle":"","parse-names":false,"suffix":""},{"dropping-particle":"","family":"Mametja","given":"Lerole David","non-dropping-particle":"","parse-names":false,"suffix":""}],"container-title":"BMC Public Health","id":"ITEM-1","issue":"1","issued":{"date-parts":[["2015"]]},"page":"1-11","publisher":"BMC Public Health","title":"Completeness and Reliability of the Republic of South Africa National Tuberculosis (TB) Surveillance System","type":"article-journal","volume":"15"},"uris":["http://www.mendeley.com/documents/?uuid=92ad94d5-a088-4779-a69a-27d1107f37d2"]}],"mendeley":{"formattedCitation":"(126)","plainTextFormattedCitation":"(126)","previouslyFormattedCitation":"(126)"},"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(126)</w:t>
      </w:r>
      <w:r w:rsidRPr="00435469">
        <w:rPr>
          <w:rFonts w:cs="Times New Roman"/>
          <w:sz w:val="20"/>
          <w:szCs w:val="20"/>
        </w:rPr>
        <w:fldChar w:fldCharType="end"/>
      </w:r>
      <w:r w:rsidRPr="00435469">
        <w:rPr>
          <w:rFonts w:cs="Times New Roman"/>
          <w:sz w:val="20"/>
          <w:szCs w:val="20"/>
        </w:rPr>
        <w:t xml:space="preserve">. This information gets transcribed into the TB register, and is then fed into the sub-district, district, provincial and national TB registers. Some of the challenges of the ETR include the under-reporting of TB cases, duplicates of patient data, </w:t>
      </w:r>
      <w:r w:rsidR="003415B1" w:rsidRPr="00435469">
        <w:rPr>
          <w:rFonts w:cs="Times New Roman"/>
          <w:sz w:val="20"/>
          <w:szCs w:val="20"/>
        </w:rPr>
        <w:t xml:space="preserve">and </w:t>
      </w:r>
      <w:r w:rsidRPr="00435469">
        <w:rPr>
          <w:rFonts w:cs="Times New Roman"/>
          <w:sz w:val="20"/>
          <w:szCs w:val="20"/>
        </w:rPr>
        <w:t xml:space="preserve">losses to follow-up due to deaths or transfers of patients to other facilities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{"citationItems":[{"id":"ITEM-1","itemData":{"DOI":"10.1186/s12889-015-2117-3","ISBN":"1471-2458; 1471-2458","ISSN":"14712458","PMID":"26259599","abstract":"BACKGROUND: Accurate surveillance data are paramount to effective TB control. The Republic of South Africa's National TB Control Program (NTP) has conducted TB surveillance since 1995 and adopted the Electronic TB Register (ETR) in 2005. This evaluation aimed to determine the completeness and reliability of data in the Republic of South Africa's TB Surveillance System.\\n\\nMETHODS: Three of nine provinces, three subdistricts per province, and 54 health facilities were selected by stratified random sampling. At each facility, 30 (or all if &lt;30) patients diagnosed in Quarter 1 2009 were randomly selected for review. Patient information was evaluated across two paper and four electronic sources. Completeness of program indicators between paper and electronic sources was compared with chi-square tests. The kappa statistic was used to evaluate agreement of values.\\n\\nRESULTS: Over one-third (33.7 %) of all persons with presumptive TB recorded as smear positive in the TB Suspect Register did not have any records documenting notification, treatment, or management for TB disease. Of 1339 persons with a record as a TB patient at the facility, 1077 (80 %) were recorded in all data sources. Over 98 % of records contained complete age and sex data. Completeness varied for HIV status (53-86 %; p &lt; 0.001) and DOT during the intensive phase of treatment (17-54 %; p &lt; 0.001). Agreement for sex was excellent across sources (kappa 0.94); moderate for patient type (0.78), treatment regimen (0.79), treatment outcome (0.71); and poor for HIV status (0.33).\\n\\nCONCLUSIONS: The current evaluation revealed that one-third of persons diagnosed with TB disease may not have been notified of their disease or initiated on treatment ('initial defaulters'). The ETR is not capturing all TB patients. Further, among patients with a TB record, completeness and reliability of information in the TB Surveillance System is inconsistent across data sources. Actions are urgently needed to ensure that all diagnosed patients are treated and managed and improve the integrity of surveillance information.","author":[{"dropping-particle":"","family":"Podewils","given":"Laura Jean","non-dropping-particle":"","parse-names":false,"suffix":""},{"dropping-particle":"","family":"Bantubani","given":"Nonkqubela","non-dropping-particle":"","parse-names":false,"suffix":""},{"dropping-particle":"","family":"Bristow","given":"Claire","non-dropping-particle":"","parse-names":false,"suffix":""},{"dropping-particle":"","family":"Bronner","given":"Liza E.","non-dropping-particle":"","parse-names":false,"suffix":""},{"dropping-particle":"","family":"Peters","given":"Annatjie","non-dropping-particle":"","parse-names":false,"suffix":""},{"dropping-particle":"","family":"Pym","given":"Alexander","non-dropping-particle":"","parse-names":false,"suffix":""},{"dropping-particle":"","family":"Mametja","given":"Lerole David","non-dropping-particle":"","parse-names":false,"suffix":""}],"container-title":"BMC Public Health","id":"ITEM-1","issue":"1","issued":{"date-parts":[["2015"]]},"page":"1-11","publisher":"BMC Public Health","title":"Completeness and Reliability of the Republic of South Africa National Tuberculosis (TB) Surveillance System","type":"article-journal","volume":"15"},"uris":["http://www.mendeley.com/documents/?uuid=92ad94d5-a088-4779-a69a-27d1107f37d2"]}],"mendeley":{"formattedCitation":"(126)","plainTextFormattedCitation":"(126)","previouslyFormattedCitation":"(126)"},"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(126)</w:t>
      </w:r>
      <w:r w:rsidRPr="00435469">
        <w:rPr>
          <w:rFonts w:cs="Times New Roman"/>
          <w:sz w:val="20"/>
          <w:szCs w:val="20"/>
        </w:rPr>
        <w:fldChar w:fldCharType="end"/>
      </w:r>
      <w:r w:rsidRPr="00435469">
        <w:rPr>
          <w:rFonts w:cs="Times New Roman"/>
          <w:sz w:val="20"/>
          <w:szCs w:val="20"/>
        </w:rPr>
        <w:t>.</w:t>
      </w:r>
      <w:bookmarkStart w:id="329" w:name="_Ref89260124"/>
      <w:bookmarkStart w:id="330" w:name="_Toc59986840"/>
      <w:r w:rsidR="00E11A76" w:rsidRPr="00435469">
        <w:rPr>
          <w:rFonts w:cs="Times New Roman"/>
          <w:sz w:val="20"/>
          <w:szCs w:val="20"/>
        </w:rPr>
        <w:t xml:space="preserve"> </w:t>
      </w:r>
    </w:p>
    <w:p w14:paraId="3FDBB96A" w14:textId="77777777" w:rsidR="00852A21" w:rsidRPr="00435469" w:rsidRDefault="00852A21" w:rsidP="00955FFB">
      <w:pPr>
        <w:spacing w:line="240" w:lineRule="auto"/>
        <w:rPr>
          <w:rFonts w:cs="Times New Roman"/>
          <w:sz w:val="20"/>
          <w:szCs w:val="20"/>
        </w:rPr>
      </w:pPr>
    </w:p>
    <w:p w14:paraId="06A38441" w14:textId="77777777" w:rsidR="00852A21" w:rsidRPr="00435469" w:rsidRDefault="00852A21" w:rsidP="00955FFB">
      <w:pPr>
        <w:spacing w:line="240" w:lineRule="auto"/>
        <w:rPr>
          <w:rFonts w:cs="Times New Roman"/>
          <w:sz w:val="20"/>
          <w:szCs w:val="20"/>
        </w:rPr>
      </w:pPr>
    </w:p>
    <w:p w14:paraId="4B4FE417" w14:textId="77777777" w:rsidR="00852A21" w:rsidRPr="00435469" w:rsidRDefault="00852A21" w:rsidP="00955FFB">
      <w:pPr>
        <w:spacing w:line="240" w:lineRule="auto"/>
        <w:rPr>
          <w:rFonts w:cs="Times New Roman"/>
          <w:sz w:val="20"/>
          <w:szCs w:val="20"/>
        </w:rPr>
      </w:pPr>
    </w:p>
    <w:p w14:paraId="08051ED4" w14:textId="77777777" w:rsidR="00852A21" w:rsidRPr="00435469" w:rsidRDefault="00852A21" w:rsidP="00955FFB">
      <w:pPr>
        <w:spacing w:line="240" w:lineRule="auto"/>
        <w:rPr>
          <w:rFonts w:cs="Times New Roman"/>
          <w:sz w:val="20"/>
          <w:szCs w:val="20"/>
        </w:rPr>
      </w:pPr>
    </w:p>
    <w:p w14:paraId="21EB0A97" w14:textId="77777777" w:rsidR="00852A21" w:rsidRPr="00435469" w:rsidRDefault="00852A21" w:rsidP="00955FFB">
      <w:pPr>
        <w:spacing w:line="240" w:lineRule="auto"/>
        <w:rPr>
          <w:rFonts w:cs="Times New Roman"/>
          <w:sz w:val="20"/>
          <w:szCs w:val="20"/>
        </w:rPr>
      </w:pPr>
    </w:p>
    <w:p w14:paraId="6F9C6A11" w14:textId="77777777" w:rsidR="00FE4C57" w:rsidRPr="00435469" w:rsidRDefault="00FE4C57" w:rsidP="00955FFB">
      <w:pPr>
        <w:spacing w:line="240" w:lineRule="auto"/>
        <w:rPr>
          <w:rFonts w:cs="Times New Roman"/>
          <w:sz w:val="20"/>
          <w:szCs w:val="20"/>
        </w:rPr>
      </w:pPr>
    </w:p>
    <w:p w14:paraId="6C2F4422" w14:textId="77777777" w:rsidR="00FE4C57" w:rsidRPr="00435469" w:rsidRDefault="00FE4C57" w:rsidP="00955FFB">
      <w:pPr>
        <w:spacing w:line="240" w:lineRule="auto"/>
        <w:rPr>
          <w:rFonts w:cs="Times New Roman"/>
          <w:sz w:val="20"/>
          <w:szCs w:val="20"/>
        </w:rPr>
      </w:pPr>
    </w:p>
    <w:p w14:paraId="332BF5AF" w14:textId="77777777" w:rsidR="00FE4C57" w:rsidRPr="00435469" w:rsidRDefault="00FE4C57" w:rsidP="00955FFB">
      <w:pPr>
        <w:spacing w:line="240" w:lineRule="auto"/>
        <w:rPr>
          <w:rFonts w:cs="Times New Roman"/>
          <w:sz w:val="20"/>
          <w:szCs w:val="20"/>
        </w:rPr>
      </w:pPr>
    </w:p>
    <w:p w14:paraId="37515E35" w14:textId="77777777" w:rsidR="00FE4C57" w:rsidRPr="00435469" w:rsidRDefault="00FE4C57" w:rsidP="00955FFB">
      <w:pPr>
        <w:spacing w:line="240" w:lineRule="auto"/>
        <w:rPr>
          <w:rFonts w:cs="Times New Roman"/>
          <w:sz w:val="20"/>
          <w:szCs w:val="20"/>
        </w:rPr>
      </w:pPr>
    </w:p>
    <w:p w14:paraId="1E9EB77C" w14:textId="77777777" w:rsidR="00FE4C57" w:rsidRPr="00435469" w:rsidRDefault="00FE4C57" w:rsidP="00955FFB">
      <w:pPr>
        <w:spacing w:line="240" w:lineRule="auto"/>
        <w:rPr>
          <w:rFonts w:cs="Times New Roman"/>
          <w:sz w:val="20"/>
          <w:szCs w:val="20"/>
        </w:rPr>
      </w:pPr>
    </w:p>
    <w:p w14:paraId="3B698637" w14:textId="77777777" w:rsidR="00FE4C57" w:rsidRPr="00435469" w:rsidRDefault="00FE4C57" w:rsidP="00955FFB">
      <w:pPr>
        <w:spacing w:line="240" w:lineRule="auto"/>
        <w:rPr>
          <w:rFonts w:cs="Times New Roman"/>
          <w:sz w:val="20"/>
          <w:szCs w:val="20"/>
        </w:rPr>
      </w:pPr>
    </w:p>
    <w:p w14:paraId="4D26BDB7" w14:textId="77777777" w:rsidR="00FE4C57" w:rsidRPr="00435469" w:rsidRDefault="00FE4C57" w:rsidP="00955FFB">
      <w:pPr>
        <w:spacing w:line="240" w:lineRule="auto"/>
        <w:rPr>
          <w:rFonts w:cs="Times New Roman"/>
          <w:sz w:val="20"/>
          <w:szCs w:val="20"/>
        </w:rPr>
      </w:pPr>
    </w:p>
    <w:p w14:paraId="6E614C92" w14:textId="44CC3DE5" w:rsidR="00F23557" w:rsidRPr="00435469" w:rsidRDefault="006D3675" w:rsidP="00AD6E54">
      <w:pPr>
        <w:pStyle w:val="3TableHead"/>
        <w:rPr>
          <w:rFonts w:cs="Times New Roman"/>
        </w:rPr>
      </w:pPr>
      <w:bookmarkStart w:id="331" w:name="_Ref100004751"/>
      <w:bookmarkStart w:id="332" w:name="_Toc103253676"/>
      <w:r w:rsidRPr="00435469">
        <w:lastRenderedPageBreak/>
        <w:t xml:space="preserve">Table </w:t>
      </w:r>
      <w:r w:rsidR="00AB530B" w:rsidRPr="00435469">
        <w:fldChar w:fldCharType="begin"/>
      </w:r>
      <w:r w:rsidR="00AB530B" w:rsidRPr="00435469">
        <w:instrText xml:space="preserve"> SEQ Table \* ARABIC </w:instrText>
      </w:r>
      <w:r w:rsidR="00AB530B" w:rsidRPr="00435469">
        <w:fldChar w:fldCharType="separate"/>
      </w:r>
      <w:r w:rsidR="00186C2F" w:rsidRPr="00435469">
        <w:rPr>
          <w:noProof/>
        </w:rPr>
        <w:t>23</w:t>
      </w:r>
      <w:r w:rsidR="00AB530B" w:rsidRPr="00435469">
        <w:rPr>
          <w:noProof/>
        </w:rPr>
        <w:fldChar w:fldCharType="end"/>
      </w:r>
      <w:bookmarkEnd w:id="329"/>
      <w:bookmarkEnd w:id="331"/>
      <w:r w:rsidRPr="00435469">
        <w:t xml:space="preserve">: Number of </w:t>
      </w:r>
      <w:r w:rsidR="00D72498" w:rsidRPr="00435469">
        <w:rPr>
          <w:rFonts w:cs="Times New Roman"/>
        </w:rPr>
        <w:t>tuberculosis</w:t>
      </w:r>
      <w:r w:rsidRPr="00435469">
        <w:rPr>
          <w:rFonts w:cs="Times New Roman"/>
        </w:rPr>
        <w:t xml:space="preserve"> cases initiated on treatment </w:t>
      </w:r>
      <w:r w:rsidRPr="00435469">
        <w:t>by year</w:t>
      </w:r>
      <w:r w:rsidR="009220D0" w:rsidRPr="00435469">
        <w:t xml:space="preserve">, </w:t>
      </w:r>
      <w:proofErr w:type="gramStart"/>
      <w:r w:rsidR="009220D0" w:rsidRPr="00435469">
        <w:t>sex</w:t>
      </w:r>
      <w:proofErr w:type="gramEnd"/>
      <w:r w:rsidR="009220D0" w:rsidRPr="00435469">
        <w:t xml:space="preserve"> and</w:t>
      </w:r>
      <w:r w:rsidRPr="00435469">
        <w:t xml:space="preserve"> HIV status</w:t>
      </w:r>
      <w:bookmarkEnd w:id="330"/>
      <w:bookmarkEnd w:id="332"/>
      <w:r w:rsidR="00880CB9" w:rsidRPr="00435469">
        <w:t xml:space="preserve"> </w:t>
      </w:r>
    </w:p>
    <w:tbl>
      <w:tblPr>
        <w:tblW w:w="7656" w:type="dxa"/>
        <w:tblLook w:val="04A0" w:firstRow="1" w:lastRow="0" w:firstColumn="1" w:lastColumn="0" w:noHBand="0" w:noVBand="1"/>
      </w:tblPr>
      <w:tblGrid>
        <w:gridCol w:w="1640"/>
        <w:gridCol w:w="1337"/>
        <w:gridCol w:w="1701"/>
        <w:gridCol w:w="1418"/>
        <w:gridCol w:w="1560"/>
      </w:tblGrid>
      <w:tr w:rsidR="0061685C" w:rsidRPr="00435469" w14:paraId="6066FBD4" w14:textId="77777777" w:rsidTr="003F5ED6">
        <w:trPr>
          <w:trHeight w:val="290"/>
        </w:trPr>
        <w:tc>
          <w:tcPr>
            <w:tcW w:w="1640" w:type="dxa"/>
            <w:tcBorders>
              <w:top w:val="single" w:sz="4" w:space="0" w:color="auto"/>
              <w:left w:val="nil"/>
              <w:bottom w:val="single" w:sz="4" w:space="0" w:color="auto"/>
              <w:right w:val="nil"/>
            </w:tcBorders>
            <w:shd w:val="clear" w:color="auto" w:fill="auto"/>
            <w:noWrap/>
            <w:vAlign w:val="center"/>
            <w:hideMark/>
          </w:tcPr>
          <w:p w14:paraId="65164E43" w14:textId="77777777" w:rsidR="009C18A5" w:rsidRPr="00435469" w:rsidRDefault="009C18A5"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Year </w:t>
            </w:r>
          </w:p>
        </w:tc>
        <w:tc>
          <w:tcPr>
            <w:tcW w:w="1337" w:type="dxa"/>
            <w:tcBorders>
              <w:top w:val="single" w:sz="4" w:space="0" w:color="auto"/>
              <w:left w:val="nil"/>
              <w:bottom w:val="single" w:sz="4" w:space="0" w:color="auto"/>
              <w:right w:val="nil"/>
            </w:tcBorders>
            <w:shd w:val="clear" w:color="auto" w:fill="auto"/>
            <w:noWrap/>
            <w:vAlign w:val="center"/>
            <w:hideMark/>
          </w:tcPr>
          <w:p w14:paraId="23C54D36" w14:textId="283BF462" w:rsidR="009C18A5" w:rsidRPr="00435469" w:rsidRDefault="009C18A5"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Sex</w:t>
            </w:r>
          </w:p>
        </w:tc>
        <w:tc>
          <w:tcPr>
            <w:tcW w:w="1701" w:type="dxa"/>
            <w:tcBorders>
              <w:top w:val="single" w:sz="4" w:space="0" w:color="auto"/>
              <w:left w:val="nil"/>
              <w:bottom w:val="single" w:sz="4" w:space="0" w:color="auto"/>
              <w:right w:val="nil"/>
            </w:tcBorders>
            <w:shd w:val="clear" w:color="auto" w:fill="auto"/>
            <w:noWrap/>
            <w:vAlign w:val="center"/>
            <w:hideMark/>
          </w:tcPr>
          <w:p w14:paraId="632FE788" w14:textId="087BEBF2" w:rsidR="009C18A5" w:rsidRPr="00435469" w:rsidRDefault="009C18A5"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HIV-positive </w:t>
            </w:r>
          </w:p>
        </w:tc>
        <w:tc>
          <w:tcPr>
            <w:tcW w:w="1418" w:type="dxa"/>
            <w:tcBorders>
              <w:top w:val="single" w:sz="4" w:space="0" w:color="auto"/>
              <w:left w:val="nil"/>
              <w:bottom w:val="single" w:sz="4" w:space="0" w:color="auto"/>
              <w:right w:val="nil"/>
            </w:tcBorders>
            <w:shd w:val="clear" w:color="auto" w:fill="auto"/>
            <w:noWrap/>
            <w:vAlign w:val="center"/>
            <w:hideMark/>
          </w:tcPr>
          <w:p w14:paraId="3FD24138" w14:textId="20F73F16" w:rsidR="009C18A5" w:rsidRPr="00435469" w:rsidRDefault="009C18A5"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HIV-negative </w:t>
            </w:r>
          </w:p>
        </w:tc>
        <w:tc>
          <w:tcPr>
            <w:tcW w:w="1560" w:type="dxa"/>
            <w:tcBorders>
              <w:top w:val="single" w:sz="4" w:space="0" w:color="auto"/>
              <w:left w:val="nil"/>
              <w:bottom w:val="single" w:sz="4" w:space="0" w:color="auto"/>
              <w:right w:val="nil"/>
            </w:tcBorders>
            <w:shd w:val="clear" w:color="auto" w:fill="auto"/>
            <w:noWrap/>
            <w:vAlign w:val="center"/>
            <w:hideMark/>
          </w:tcPr>
          <w:p w14:paraId="6F16FFFA" w14:textId="32D2CF45" w:rsidR="009C18A5" w:rsidRPr="00435469" w:rsidRDefault="009C18A5"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Total</w:t>
            </w:r>
          </w:p>
        </w:tc>
      </w:tr>
      <w:tr w:rsidR="0061685C" w:rsidRPr="00435469" w14:paraId="35C287D7" w14:textId="77777777" w:rsidTr="003F5ED6">
        <w:trPr>
          <w:trHeight w:val="290"/>
        </w:trPr>
        <w:tc>
          <w:tcPr>
            <w:tcW w:w="1640" w:type="dxa"/>
            <w:vMerge w:val="restart"/>
            <w:tcBorders>
              <w:top w:val="single" w:sz="4" w:space="0" w:color="auto"/>
              <w:left w:val="nil"/>
              <w:right w:val="nil"/>
            </w:tcBorders>
            <w:shd w:val="clear" w:color="auto" w:fill="auto"/>
            <w:noWrap/>
            <w:vAlign w:val="center"/>
            <w:hideMark/>
          </w:tcPr>
          <w:p w14:paraId="69D7CC5B"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2004</w:t>
            </w:r>
          </w:p>
        </w:tc>
        <w:tc>
          <w:tcPr>
            <w:tcW w:w="1337" w:type="dxa"/>
            <w:tcBorders>
              <w:top w:val="single" w:sz="4" w:space="0" w:color="auto"/>
              <w:left w:val="nil"/>
              <w:right w:val="nil"/>
            </w:tcBorders>
            <w:shd w:val="clear" w:color="auto" w:fill="auto"/>
            <w:noWrap/>
            <w:vAlign w:val="center"/>
            <w:hideMark/>
          </w:tcPr>
          <w:p w14:paraId="16C79ED2" w14:textId="70747C2D"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right w:val="nil"/>
            </w:tcBorders>
            <w:shd w:val="clear" w:color="auto" w:fill="auto"/>
            <w:noWrap/>
            <w:vAlign w:val="center"/>
            <w:hideMark/>
          </w:tcPr>
          <w:p w14:paraId="03249704" w14:textId="671F8E72"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91 112</w:t>
            </w:r>
          </w:p>
        </w:tc>
        <w:tc>
          <w:tcPr>
            <w:tcW w:w="1418" w:type="dxa"/>
            <w:tcBorders>
              <w:top w:val="single" w:sz="4" w:space="0" w:color="auto"/>
              <w:left w:val="nil"/>
              <w:right w:val="nil"/>
            </w:tcBorders>
            <w:shd w:val="clear" w:color="auto" w:fill="auto"/>
            <w:noWrap/>
            <w:vAlign w:val="center"/>
            <w:hideMark/>
          </w:tcPr>
          <w:p w14:paraId="2DC214D3" w14:textId="53DC44B4"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31 645</w:t>
            </w:r>
          </w:p>
        </w:tc>
        <w:tc>
          <w:tcPr>
            <w:tcW w:w="1560" w:type="dxa"/>
            <w:vMerge w:val="restart"/>
            <w:tcBorders>
              <w:top w:val="single" w:sz="4" w:space="0" w:color="auto"/>
              <w:left w:val="nil"/>
              <w:right w:val="nil"/>
            </w:tcBorders>
            <w:shd w:val="clear" w:color="auto" w:fill="auto"/>
            <w:noWrap/>
            <w:vAlign w:val="center"/>
            <w:hideMark/>
          </w:tcPr>
          <w:p w14:paraId="332F39A0" w14:textId="5C8FA9EC"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280 611</w:t>
            </w:r>
          </w:p>
        </w:tc>
      </w:tr>
      <w:tr w:rsidR="0061685C" w:rsidRPr="00435469" w14:paraId="6442AF12" w14:textId="77777777" w:rsidTr="003F5ED6">
        <w:trPr>
          <w:trHeight w:val="290"/>
        </w:trPr>
        <w:tc>
          <w:tcPr>
            <w:tcW w:w="1640" w:type="dxa"/>
            <w:vMerge/>
            <w:tcBorders>
              <w:left w:val="nil"/>
              <w:right w:val="nil"/>
            </w:tcBorders>
            <w:vAlign w:val="center"/>
            <w:hideMark/>
          </w:tcPr>
          <w:p w14:paraId="02E21F59"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left w:val="nil"/>
              <w:bottom w:val="single" w:sz="4" w:space="0" w:color="auto"/>
              <w:right w:val="nil"/>
            </w:tcBorders>
            <w:shd w:val="clear" w:color="auto" w:fill="auto"/>
            <w:noWrap/>
            <w:vAlign w:val="center"/>
            <w:hideMark/>
          </w:tcPr>
          <w:p w14:paraId="37D93D73" w14:textId="2EAE731B"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left w:val="nil"/>
              <w:bottom w:val="single" w:sz="4" w:space="0" w:color="auto"/>
              <w:right w:val="nil"/>
            </w:tcBorders>
            <w:shd w:val="clear" w:color="auto" w:fill="auto"/>
            <w:noWrap/>
            <w:vAlign w:val="center"/>
            <w:hideMark/>
          </w:tcPr>
          <w:p w14:paraId="24172D63" w14:textId="201A9F3D"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99 295</w:t>
            </w:r>
          </w:p>
        </w:tc>
        <w:tc>
          <w:tcPr>
            <w:tcW w:w="1418" w:type="dxa"/>
            <w:tcBorders>
              <w:left w:val="nil"/>
              <w:bottom w:val="single" w:sz="4" w:space="0" w:color="auto"/>
              <w:right w:val="nil"/>
            </w:tcBorders>
            <w:shd w:val="clear" w:color="auto" w:fill="auto"/>
            <w:noWrap/>
            <w:vAlign w:val="center"/>
            <w:hideMark/>
          </w:tcPr>
          <w:p w14:paraId="2834F9D2" w14:textId="140A73DA"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58 559</w:t>
            </w:r>
          </w:p>
        </w:tc>
        <w:tc>
          <w:tcPr>
            <w:tcW w:w="1560" w:type="dxa"/>
            <w:vMerge/>
            <w:tcBorders>
              <w:left w:val="nil"/>
              <w:right w:val="nil"/>
            </w:tcBorders>
            <w:vAlign w:val="center"/>
            <w:hideMark/>
          </w:tcPr>
          <w:p w14:paraId="7FA7D27B"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1B3396D7" w14:textId="77777777" w:rsidTr="003F5ED6">
        <w:trPr>
          <w:trHeight w:val="290"/>
        </w:trPr>
        <w:tc>
          <w:tcPr>
            <w:tcW w:w="1640" w:type="dxa"/>
            <w:vMerge w:val="restart"/>
            <w:tcBorders>
              <w:left w:val="nil"/>
              <w:bottom w:val="nil"/>
              <w:right w:val="nil"/>
            </w:tcBorders>
            <w:shd w:val="clear" w:color="auto" w:fill="auto"/>
            <w:noWrap/>
            <w:vAlign w:val="center"/>
            <w:hideMark/>
          </w:tcPr>
          <w:p w14:paraId="6D431F13"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2005</w:t>
            </w:r>
          </w:p>
        </w:tc>
        <w:tc>
          <w:tcPr>
            <w:tcW w:w="1337" w:type="dxa"/>
            <w:tcBorders>
              <w:top w:val="single" w:sz="4" w:space="0" w:color="auto"/>
              <w:left w:val="nil"/>
              <w:bottom w:val="nil"/>
              <w:right w:val="nil"/>
            </w:tcBorders>
            <w:shd w:val="clear" w:color="auto" w:fill="auto"/>
            <w:noWrap/>
            <w:vAlign w:val="center"/>
            <w:hideMark/>
          </w:tcPr>
          <w:p w14:paraId="430C1E6D" w14:textId="2FA7DF2E"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42F8259F" w14:textId="2ED1FF2C"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93 769</w:t>
            </w:r>
          </w:p>
        </w:tc>
        <w:tc>
          <w:tcPr>
            <w:tcW w:w="1418" w:type="dxa"/>
            <w:tcBorders>
              <w:top w:val="single" w:sz="4" w:space="0" w:color="auto"/>
              <w:left w:val="nil"/>
              <w:bottom w:val="nil"/>
              <w:right w:val="nil"/>
            </w:tcBorders>
            <w:shd w:val="clear" w:color="auto" w:fill="auto"/>
            <w:noWrap/>
            <w:vAlign w:val="center"/>
            <w:hideMark/>
          </w:tcPr>
          <w:p w14:paraId="44C81F6D" w14:textId="75639828"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43 727</w:t>
            </w:r>
          </w:p>
        </w:tc>
        <w:tc>
          <w:tcPr>
            <w:tcW w:w="1560" w:type="dxa"/>
            <w:vMerge w:val="restart"/>
            <w:tcBorders>
              <w:left w:val="nil"/>
              <w:bottom w:val="nil"/>
              <w:right w:val="nil"/>
            </w:tcBorders>
            <w:shd w:val="clear" w:color="auto" w:fill="auto"/>
            <w:noWrap/>
            <w:vAlign w:val="center"/>
            <w:hideMark/>
          </w:tcPr>
          <w:p w14:paraId="2978D296" w14:textId="77AC41B5"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308 483</w:t>
            </w:r>
          </w:p>
        </w:tc>
      </w:tr>
      <w:tr w:rsidR="0061685C" w:rsidRPr="00435469" w14:paraId="786E98CE" w14:textId="77777777" w:rsidTr="003F5ED6">
        <w:trPr>
          <w:trHeight w:val="290"/>
        </w:trPr>
        <w:tc>
          <w:tcPr>
            <w:tcW w:w="1640" w:type="dxa"/>
            <w:vMerge/>
            <w:tcBorders>
              <w:top w:val="nil"/>
              <w:left w:val="nil"/>
              <w:bottom w:val="nil"/>
              <w:right w:val="nil"/>
            </w:tcBorders>
            <w:vAlign w:val="center"/>
            <w:hideMark/>
          </w:tcPr>
          <w:p w14:paraId="252E817C"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042A418D" w14:textId="16CB7FBF"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642166FB" w14:textId="5CF68490"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90 448</w:t>
            </w:r>
          </w:p>
        </w:tc>
        <w:tc>
          <w:tcPr>
            <w:tcW w:w="1418" w:type="dxa"/>
            <w:tcBorders>
              <w:top w:val="nil"/>
              <w:left w:val="nil"/>
              <w:bottom w:val="single" w:sz="4" w:space="0" w:color="auto"/>
              <w:right w:val="nil"/>
            </w:tcBorders>
            <w:shd w:val="clear" w:color="auto" w:fill="auto"/>
            <w:noWrap/>
            <w:vAlign w:val="center"/>
            <w:hideMark/>
          </w:tcPr>
          <w:p w14:paraId="7078A431" w14:textId="5A08C041"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80 539</w:t>
            </w:r>
          </w:p>
        </w:tc>
        <w:tc>
          <w:tcPr>
            <w:tcW w:w="1560" w:type="dxa"/>
            <w:vMerge/>
            <w:tcBorders>
              <w:top w:val="nil"/>
              <w:left w:val="nil"/>
              <w:bottom w:val="nil"/>
              <w:right w:val="nil"/>
            </w:tcBorders>
            <w:vAlign w:val="center"/>
            <w:hideMark/>
          </w:tcPr>
          <w:p w14:paraId="2E907F40"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56773D5A" w14:textId="77777777" w:rsidTr="003F5ED6">
        <w:trPr>
          <w:trHeight w:val="290"/>
        </w:trPr>
        <w:tc>
          <w:tcPr>
            <w:tcW w:w="1640" w:type="dxa"/>
            <w:vMerge w:val="restart"/>
            <w:tcBorders>
              <w:top w:val="nil"/>
              <w:left w:val="nil"/>
              <w:bottom w:val="nil"/>
              <w:right w:val="nil"/>
            </w:tcBorders>
            <w:shd w:val="clear" w:color="auto" w:fill="auto"/>
            <w:noWrap/>
            <w:vAlign w:val="center"/>
            <w:hideMark/>
          </w:tcPr>
          <w:p w14:paraId="45E91FE1"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2006</w:t>
            </w:r>
          </w:p>
        </w:tc>
        <w:tc>
          <w:tcPr>
            <w:tcW w:w="1337" w:type="dxa"/>
            <w:tcBorders>
              <w:top w:val="single" w:sz="4" w:space="0" w:color="auto"/>
              <w:left w:val="nil"/>
              <w:bottom w:val="nil"/>
              <w:right w:val="nil"/>
            </w:tcBorders>
            <w:shd w:val="clear" w:color="auto" w:fill="auto"/>
            <w:noWrap/>
            <w:vAlign w:val="center"/>
            <w:hideMark/>
          </w:tcPr>
          <w:p w14:paraId="1B78DD1F" w14:textId="031F4056"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06C7B4B3" w14:textId="0C3DA018"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97 209</w:t>
            </w:r>
          </w:p>
        </w:tc>
        <w:tc>
          <w:tcPr>
            <w:tcW w:w="1418" w:type="dxa"/>
            <w:tcBorders>
              <w:top w:val="single" w:sz="4" w:space="0" w:color="auto"/>
              <w:left w:val="nil"/>
              <w:bottom w:val="nil"/>
              <w:right w:val="nil"/>
            </w:tcBorders>
            <w:shd w:val="clear" w:color="auto" w:fill="auto"/>
            <w:noWrap/>
            <w:vAlign w:val="center"/>
            <w:hideMark/>
          </w:tcPr>
          <w:p w14:paraId="366BE09D" w14:textId="34C8DE64"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52 545</w:t>
            </w:r>
          </w:p>
        </w:tc>
        <w:tc>
          <w:tcPr>
            <w:tcW w:w="1560" w:type="dxa"/>
            <w:vMerge w:val="restart"/>
            <w:tcBorders>
              <w:top w:val="nil"/>
              <w:left w:val="nil"/>
              <w:bottom w:val="nil"/>
              <w:right w:val="nil"/>
            </w:tcBorders>
            <w:shd w:val="clear" w:color="auto" w:fill="auto"/>
            <w:noWrap/>
            <w:vAlign w:val="center"/>
            <w:hideMark/>
          </w:tcPr>
          <w:p w14:paraId="5BA14F97" w14:textId="0FBA47D2"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328 756</w:t>
            </w:r>
          </w:p>
        </w:tc>
      </w:tr>
      <w:tr w:rsidR="0061685C" w:rsidRPr="00435469" w14:paraId="5B9D07EF" w14:textId="77777777" w:rsidTr="003F5ED6">
        <w:trPr>
          <w:trHeight w:val="290"/>
        </w:trPr>
        <w:tc>
          <w:tcPr>
            <w:tcW w:w="1640" w:type="dxa"/>
            <w:vMerge/>
            <w:tcBorders>
              <w:top w:val="nil"/>
              <w:left w:val="nil"/>
              <w:bottom w:val="nil"/>
              <w:right w:val="nil"/>
            </w:tcBorders>
            <w:vAlign w:val="center"/>
            <w:hideMark/>
          </w:tcPr>
          <w:p w14:paraId="37799C4F"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4F6E4AC8" w14:textId="0330FD2A"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5537AA74" w14:textId="5612941D"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94 345</w:t>
            </w:r>
          </w:p>
        </w:tc>
        <w:tc>
          <w:tcPr>
            <w:tcW w:w="1418" w:type="dxa"/>
            <w:tcBorders>
              <w:top w:val="nil"/>
              <w:left w:val="nil"/>
              <w:bottom w:val="single" w:sz="4" w:space="0" w:color="auto"/>
              <w:right w:val="nil"/>
            </w:tcBorders>
            <w:shd w:val="clear" w:color="auto" w:fill="auto"/>
            <w:noWrap/>
            <w:vAlign w:val="center"/>
            <w:hideMark/>
          </w:tcPr>
          <w:p w14:paraId="53930F23" w14:textId="71CD5A9D"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84 657</w:t>
            </w:r>
          </w:p>
        </w:tc>
        <w:tc>
          <w:tcPr>
            <w:tcW w:w="1560" w:type="dxa"/>
            <w:vMerge/>
            <w:tcBorders>
              <w:top w:val="nil"/>
              <w:left w:val="nil"/>
              <w:bottom w:val="nil"/>
              <w:right w:val="nil"/>
            </w:tcBorders>
            <w:vAlign w:val="center"/>
            <w:hideMark/>
          </w:tcPr>
          <w:p w14:paraId="0401FEEA"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75F95631" w14:textId="77777777" w:rsidTr="003F5ED6">
        <w:trPr>
          <w:trHeight w:val="290"/>
        </w:trPr>
        <w:tc>
          <w:tcPr>
            <w:tcW w:w="1640" w:type="dxa"/>
            <w:vMerge w:val="restart"/>
            <w:tcBorders>
              <w:top w:val="nil"/>
              <w:left w:val="nil"/>
              <w:bottom w:val="nil"/>
              <w:right w:val="nil"/>
            </w:tcBorders>
            <w:shd w:val="clear" w:color="auto" w:fill="auto"/>
            <w:noWrap/>
            <w:vAlign w:val="center"/>
            <w:hideMark/>
          </w:tcPr>
          <w:p w14:paraId="32464D1E"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2007</w:t>
            </w:r>
          </w:p>
        </w:tc>
        <w:tc>
          <w:tcPr>
            <w:tcW w:w="1337" w:type="dxa"/>
            <w:tcBorders>
              <w:top w:val="single" w:sz="4" w:space="0" w:color="auto"/>
              <w:left w:val="nil"/>
              <w:bottom w:val="nil"/>
              <w:right w:val="nil"/>
            </w:tcBorders>
            <w:shd w:val="clear" w:color="auto" w:fill="auto"/>
            <w:noWrap/>
            <w:vAlign w:val="center"/>
            <w:hideMark/>
          </w:tcPr>
          <w:p w14:paraId="4E0943F3" w14:textId="30621BB9"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5480A921" w14:textId="34D75B9A"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114 842</w:t>
            </w:r>
          </w:p>
        </w:tc>
        <w:tc>
          <w:tcPr>
            <w:tcW w:w="1418" w:type="dxa"/>
            <w:tcBorders>
              <w:top w:val="single" w:sz="4" w:space="0" w:color="auto"/>
              <w:left w:val="nil"/>
              <w:bottom w:val="nil"/>
              <w:right w:val="nil"/>
            </w:tcBorders>
            <w:shd w:val="clear" w:color="auto" w:fill="auto"/>
            <w:noWrap/>
            <w:vAlign w:val="center"/>
            <w:hideMark/>
          </w:tcPr>
          <w:p w14:paraId="66E52762" w14:textId="7EED4CA9"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46 414</w:t>
            </w:r>
          </w:p>
        </w:tc>
        <w:tc>
          <w:tcPr>
            <w:tcW w:w="1560" w:type="dxa"/>
            <w:vMerge w:val="restart"/>
            <w:tcBorders>
              <w:top w:val="nil"/>
              <w:left w:val="nil"/>
              <w:bottom w:val="nil"/>
              <w:right w:val="nil"/>
            </w:tcBorders>
            <w:shd w:val="clear" w:color="auto" w:fill="auto"/>
            <w:noWrap/>
            <w:vAlign w:val="center"/>
            <w:hideMark/>
          </w:tcPr>
          <w:p w14:paraId="2058491B" w14:textId="63BA128D"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350 339</w:t>
            </w:r>
          </w:p>
        </w:tc>
      </w:tr>
      <w:tr w:rsidR="0061685C" w:rsidRPr="00435469" w14:paraId="7B2EF6F2" w14:textId="77777777" w:rsidTr="003F5ED6">
        <w:trPr>
          <w:trHeight w:val="290"/>
        </w:trPr>
        <w:tc>
          <w:tcPr>
            <w:tcW w:w="1640" w:type="dxa"/>
            <w:vMerge/>
            <w:tcBorders>
              <w:top w:val="nil"/>
              <w:left w:val="nil"/>
              <w:bottom w:val="nil"/>
              <w:right w:val="nil"/>
            </w:tcBorders>
            <w:vAlign w:val="center"/>
            <w:hideMark/>
          </w:tcPr>
          <w:p w14:paraId="796C85AA"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5350D24D" w14:textId="0F855132"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5EA0C470" w14:textId="29D71D48"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114 409</w:t>
            </w:r>
          </w:p>
        </w:tc>
        <w:tc>
          <w:tcPr>
            <w:tcW w:w="1418" w:type="dxa"/>
            <w:tcBorders>
              <w:top w:val="nil"/>
              <w:left w:val="nil"/>
              <w:bottom w:val="single" w:sz="4" w:space="0" w:color="auto"/>
              <w:right w:val="nil"/>
            </w:tcBorders>
            <w:shd w:val="clear" w:color="auto" w:fill="auto"/>
            <w:noWrap/>
            <w:vAlign w:val="center"/>
            <w:hideMark/>
          </w:tcPr>
          <w:p w14:paraId="589CEF2D" w14:textId="345EA2E2"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74 674</w:t>
            </w:r>
          </w:p>
        </w:tc>
        <w:tc>
          <w:tcPr>
            <w:tcW w:w="1560" w:type="dxa"/>
            <w:vMerge/>
            <w:tcBorders>
              <w:top w:val="nil"/>
              <w:left w:val="nil"/>
              <w:bottom w:val="nil"/>
              <w:right w:val="nil"/>
            </w:tcBorders>
            <w:vAlign w:val="center"/>
            <w:hideMark/>
          </w:tcPr>
          <w:p w14:paraId="1D91BDE7"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45053A1E" w14:textId="77777777" w:rsidTr="003F5ED6">
        <w:trPr>
          <w:trHeight w:val="290"/>
        </w:trPr>
        <w:tc>
          <w:tcPr>
            <w:tcW w:w="1640" w:type="dxa"/>
            <w:vMerge w:val="restart"/>
            <w:tcBorders>
              <w:top w:val="nil"/>
              <w:left w:val="nil"/>
              <w:bottom w:val="nil"/>
              <w:right w:val="nil"/>
            </w:tcBorders>
            <w:shd w:val="clear" w:color="auto" w:fill="auto"/>
            <w:noWrap/>
            <w:vAlign w:val="center"/>
            <w:hideMark/>
          </w:tcPr>
          <w:p w14:paraId="53C48C50"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2008</w:t>
            </w:r>
          </w:p>
        </w:tc>
        <w:tc>
          <w:tcPr>
            <w:tcW w:w="1337" w:type="dxa"/>
            <w:tcBorders>
              <w:top w:val="single" w:sz="4" w:space="0" w:color="auto"/>
              <w:left w:val="nil"/>
              <w:bottom w:val="nil"/>
              <w:right w:val="nil"/>
            </w:tcBorders>
            <w:shd w:val="clear" w:color="auto" w:fill="auto"/>
            <w:noWrap/>
            <w:vAlign w:val="center"/>
            <w:hideMark/>
          </w:tcPr>
          <w:p w14:paraId="3647B034" w14:textId="7F1D8A02"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773F9E3E" w14:textId="42A0406E"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134 549</w:t>
            </w:r>
          </w:p>
        </w:tc>
        <w:tc>
          <w:tcPr>
            <w:tcW w:w="1418" w:type="dxa"/>
            <w:tcBorders>
              <w:top w:val="single" w:sz="4" w:space="0" w:color="auto"/>
              <w:left w:val="nil"/>
              <w:bottom w:val="nil"/>
              <w:right w:val="nil"/>
            </w:tcBorders>
            <w:shd w:val="clear" w:color="auto" w:fill="auto"/>
            <w:noWrap/>
            <w:vAlign w:val="center"/>
            <w:hideMark/>
          </w:tcPr>
          <w:p w14:paraId="5EA6AB2E" w14:textId="43C7A165"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49 640</w:t>
            </w:r>
          </w:p>
        </w:tc>
        <w:tc>
          <w:tcPr>
            <w:tcW w:w="1560" w:type="dxa"/>
            <w:vMerge w:val="restart"/>
            <w:tcBorders>
              <w:top w:val="nil"/>
              <w:left w:val="nil"/>
              <w:bottom w:val="nil"/>
              <w:right w:val="nil"/>
            </w:tcBorders>
            <w:shd w:val="clear" w:color="auto" w:fill="auto"/>
            <w:noWrap/>
            <w:vAlign w:val="center"/>
            <w:hideMark/>
          </w:tcPr>
          <w:p w14:paraId="539CE4E0" w14:textId="1EB7A9B5"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392 695</w:t>
            </w:r>
          </w:p>
        </w:tc>
      </w:tr>
      <w:tr w:rsidR="0061685C" w:rsidRPr="00435469" w14:paraId="22DA1E63" w14:textId="77777777" w:rsidTr="003F5ED6">
        <w:trPr>
          <w:trHeight w:val="290"/>
        </w:trPr>
        <w:tc>
          <w:tcPr>
            <w:tcW w:w="1640" w:type="dxa"/>
            <w:vMerge/>
            <w:tcBorders>
              <w:top w:val="nil"/>
              <w:left w:val="nil"/>
              <w:bottom w:val="nil"/>
              <w:right w:val="nil"/>
            </w:tcBorders>
            <w:vAlign w:val="center"/>
            <w:hideMark/>
          </w:tcPr>
          <w:p w14:paraId="74937B72"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58F3A97E" w14:textId="7D90F910"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16BA21F7" w14:textId="2D2ABAAA"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130 061</w:t>
            </w:r>
          </w:p>
        </w:tc>
        <w:tc>
          <w:tcPr>
            <w:tcW w:w="1418" w:type="dxa"/>
            <w:tcBorders>
              <w:top w:val="nil"/>
              <w:left w:val="nil"/>
              <w:bottom w:val="single" w:sz="4" w:space="0" w:color="auto"/>
              <w:right w:val="nil"/>
            </w:tcBorders>
            <w:shd w:val="clear" w:color="auto" w:fill="auto"/>
            <w:noWrap/>
            <w:vAlign w:val="center"/>
            <w:hideMark/>
          </w:tcPr>
          <w:p w14:paraId="7DB5B660" w14:textId="55F1D532"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78 445</w:t>
            </w:r>
          </w:p>
        </w:tc>
        <w:tc>
          <w:tcPr>
            <w:tcW w:w="1560" w:type="dxa"/>
            <w:vMerge/>
            <w:tcBorders>
              <w:top w:val="nil"/>
              <w:left w:val="nil"/>
              <w:bottom w:val="nil"/>
              <w:right w:val="nil"/>
            </w:tcBorders>
            <w:vAlign w:val="center"/>
            <w:hideMark/>
          </w:tcPr>
          <w:p w14:paraId="2A0F2A65"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51DE7E8D" w14:textId="77777777" w:rsidTr="003F5ED6">
        <w:trPr>
          <w:trHeight w:val="290"/>
        </w:trPr>
        <w:tc>
          <w:tcPr>
            <w:tcW w:w="1640" w:type="dxa"/>
            <w:vMerge w:val="restart"/>
            <w:tcBorders>
              <w:top w:val="nil"/>
              <w:left w:val="nil"/>
              <w:bottom w:val="nil"/>
              <w:right w:val="nil"/>
            </w:tcBorders>
            <w:shd w:val="clear" w:color="auto" w:fill="auto"/>
            <w:noWrap/>
            <w:vAlign w:val="center"/>
            <w:hideMark/>
          </w:tcPr>
          <w:p w14:paraId="24CC9090"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2009</w:t>
            </w:r>
          </w:p>
        </w:tc>
        <w:tc>
          <w:tcPr>
            <w:tcW w:w="1337" w:type="dxa"/>
            <w:tcBorders>
              <w:top w:val="single" w:sz="4" w:space="0" w:color="auto"/>
              <w:left w:val="nil"/>
              <w:bottom w:val="nil"/>
              <w:right w:val="nil"/>
            </w:tcBorders>
            <w:shd w:val="clear" w:color="auto" w:fill="auto"/>
            <w:noWrap/>
            <w:vAlign w:val="center"/>
            <w:hideMark/>
          </w:tcPr>
          <w:p w14:paraId="56D29A8F" w14:textId="1B0541B9"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68804D44" w14:textId="6F8DB845"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142 000</w:t>
            </w:r>
          </w:p>
        </w:tc>
        <w:tc>
          <w:tcPr>
            <w:tcW w:w="1418" w:type="dxa"/>
            <w:tcBorders>
              <w:top w:val="single" w:sz="4" w:space="0" w:color="auto"/>
              <w:left w:val="nil"/>
              <w:bottom w:val="nil"/>
              <w:right w:val="nil"/>
            </w:tcBorders>
            <w:shd w:val="clear" w:color="auto" w:fill="auto"/>
            <w:noWrap/>
            <w:vAlign w:val="center"/>
            <w:hideMark/>
          </w:tcPr>
          <w:p w14:paraId="1D212A6F" w14:textId="686298DC"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51 989</w:t>
            </w:r>
          </w:p>
        </w:tc>
        <w:tc>
          <w:tcPr>
            <w:tcW w:w="1560" w:type="dxa"/>
            <w:vMerge w:val="restart"/>
            <w:tcBorders>
              <w:top w:val="nil"/>
              <w:left w:val="nil"/>
              <w:bottom w:val="nil"/>
              <w:right w:val="nil"/>
            </w:tcBorders>
            <w:shd w:val="clear" w:color="auto" w:fill="auto"/>
            <w:noWrap/>
            <w:vAlign w:val="center"/>
            <w:hideMark/>
          </w:tcPr>
          <w:p w14:paraId="00D3A145" w14:textId="3144E52C"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414 277</w:t>
            </w:r>
          </w:p>
        </w:tc>
      </w:tr>
      <w:tr w:rsidR="0061685C" w:rsidRPr="00435469" w14:paraId="5B4A1EB8" w14:textId="77777777" w:rsidTr="003F5ED6">
        <w:trPr>
          <w:trHeight w:val="290"/>
        </w:trPr>
        <w:tc>
          <w:tcPr>
            <w:tcW w:w="1640" w:type="dxa"/>
            <w:vMerge/>
            <w:tcBorders>
              <w:top w:val="nil"/>
              <w:left w:val="nil"/>
              <w:bottom w:val="nil"/>
              <w:right w:val="nil"/>
            </w:tcBorders>
            <w:vAlign w:val="center"/>
            <w:hideMark/>
          </w:tcPr>
          <w:p w14:paraId="5FA9C0B0"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0E520099" w14:textId="10A4E89E"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7AEDAD31" w14:textId="6693D31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137 783</w:t>
            </w:r>
          </w:p>
        </w:tc>
        <w:tc>
          <w:tcPr>
            <w:tcW w:w="1418" w:type="dxa"/>
            <w:tcBorders>
              <w:top w:val="nil"/>
              <w:left w:val="nil"/>
              <w:bottom w:val="single" w:sz="4" w:space="0" w:color="auto"/>
              <w:right w:val="nil"/>
            </w:tcBorders>
            <w:shd w:val="clear" w:color="auto" w:fill="auto"/>
            <w:noWrap/>
            <w:vAlign w:val="center"/>
            <w:hideMark/>
          </w:tcPr>
          <w:p w14:paraId="0B1A392C" w14:textId="70C98040"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82 505</w:t>
            </w:r>
          </w:p>
        </w:tc>
        <w:tc>
          <w:tcPr>
            <w:tcW w:w="1560" w:type="dxa"/>
            <w:vMerge/>
            <w:tcBorders>
              <w:top w:val="nil"/>
              <w:left w:val="nil"/>
              <w:bottom w:val="nil"/>
              <w:right w:val="nil"/>
            </w:tcBorders>
            <w:vAlign w:val="center"/>
            <w:hideMark/>
          </w:tcPr>
          <w:p w14:paraId="6C4CD9BD"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4271DCF1" w14:textId="77777777" w:rsidTr="003F5ED6">
        <w:trPr>
          <w:trHeight w:val="290"/>
        </w:trPr>
        <w:tc>
          <w:tcPr>
            <w:tcW w:w="1640" w:type="dxa"/>
            <w:vMerge w:val="restart"/>
            <w:tcBorders>
              <w:top w:val="nil"/>
              <w:left w:val="nil"/>
              <w:bottom w:val="nil"/>
              <w:right w:val="nil"/>
            </w:tcBorders>
            <w:shd w:val="clear" w:color="auto" w:fill="auto"/>
            <w:noWrap/>
            <w:vAlign w:val="center"/>
            <w:hideMark/>
          </w:tcPr>
          <w:p w14:paraId="45896ACF"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2010</w:t>
            </w:r>
          </w:p>
        </w:tc>
        <w:tc>
          <w:tcPr>
            <w:tcW w:w="1337" w:type="dxa"/>
            <w:tcBorders>
              <w:top w:val="single" w:sz="4" w:space="0" w:color="auto"/>
              <w:left w:val="nil"/>
              <w:bottom w:val="nil"/>
              <w:right w:val="nil"/>
            </w:tcBorders>
            <w:shd w:val="clear" w:color="auto" w:fill="auto"/>
            <w:noWrap/>
            <w:vAlign w:val="center"/>
            <w:hideMark/>
          </w:tcPr>
          <w:p w14:paraId="43D36B9A" w14:textId="4A249FFB"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20D3DC12" w14:textId="78081556"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139 652</w:t>
            </w:r>
          </w:p>
        </w:tc>
        <w:tc>
          <w:tcPr>
            <w:tcW w:w="1418" w:type="dxa"/>
            <w:tcBorders>
              <w:top w:val="single" w:sz="4" w:space="0" w:color="auto"/>
              <w:left w:val="nil"/>
              <w:bottom w:val="nil"/>
              <w:right w:val="nil"/>
            </w:tcBorders>
            <w:shd w:val="clear" w:color="auto" w:fill="auto"/>
            <w:noWrap/>
            <w:vAlign w:val="center"/>
            <w:hideMark/>
          </w:tcPr>
          <w:p w14:paraId="7AAE724E" w14:textId="1A7EBC6A"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51 977</w:t>
            </w:r>
          </w:p>
        </w:tc>
        <w:tc>
          <w:tcPr>
            <w:tcW w:w="1560" w:type="dxa"/>
            <w:vMerge w:val="restart"/>
            <w:tcBorders>
              <w:top w:val="nil"/>
              <w:left w:val="nil"/>
              <w:bottom w:val="nil"/>
              <w:right w:val="nil"/>
            </w:tcBorders>
            <w:shd w:val="clear" w:color="auto" w:fill="auto"/>
            <w:noWrap/>
            <w:vAlign w:val="center"/>
            <w:hideMark/>
          </w:tcPr>
          <w:p w14:paraId="48C82CF7" w14:textId="39EF188D"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408 213</w:t>
            </w:r>
          </w:p>
        </w:tc>
      </w:tr>
      <w:tr w:rsidR="0061685C" w:rsidRPr="00435469" w14:paraId="4C2C79EC" w14:textId="77777777" w:rsidTr="003F5ED6">
        <w:trPr>
          <w:trHeight w:val="290"/>
        </w:trPr>
        <w:tc>
          <w:tcPr>
            <w:tcW w:w="1640" w:type="dxa"/>
            <w:vMerge/>
            <w:tcBorders>
              <w:top w:val="nil"/>
              <w:left w:val="nil"/>
              <w:bottom w:val="nil"/>
              <w:right w:val="nil"/>
            </w:tcBorders>
            <w:vAlign w:val="center"/>
            <w:hideMark/>
          </w:tcPr>
          <w:p w14:paraId="2535E1E5"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1F27C797" w14:textId="5C6FDB7F"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5420A493" w14:textId="2D053018"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135 793</w:t>
            </w:r>
          </w:p>
        </w:tc>
        <w:tc>
          <w:tcPr>
            <w:tcW w:w="1418" w:type="dxa"/>
            <w:tcBorders>
              <w:top w:val="nil"/>
              <w:left w:val="nil"/>
              <w:bottom w:val="single" w:sz="4" w:space="0" w:color="auto"/>
              <w:right w:val="nil"/>
            </w:tcBorders>
            <w:shd w:val="clear" w:color="auto" w:fill="auto"/>
            <w:noWrap/>
            <w:vAlign w:val="center"/>
            <w:hideMark/>
          </w:tcPr>
          <w:p w14:paraId="03568881" w14:textId="54E95341"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80 791</w:t>
            </w:r>
          </w:p>
        </w:tc>
        <w:tc>
          <w:tcPr>
            <w:tcW w:w="1560" w:type="dxa"/>
            <w:vMerge/>
            <w:tcBorders>
              <w:top w:val="nil"/>
              <w:left w:val="nil"/>
              <w:bottom w:val="nil"/>
              <w:right w:val="nil"/>
            </w:tcBorders>
            <w:vAlign w:val="center"/>
            <w:hideMark/>
          </w:tcPr>
          <w:p w14:paraId="2D37AE75"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15BF95D9" w14:textId="77777777" w:rsidTr="003F5ED6">
        <w:trPr>
          <w:trHeight w:val="290"/>
        </w:trPr>
        <w:tc>
          <w:tcPr>
            <w:tcW w:w="1640" w:type="dxa"/>
            <w:vMerge w:val="restart"/>
            <w:tcBorders>
              <w:top w:val="nil"/>
              <w:left w:val="nil"/>
              <w:bottom w:val="nil"/>
              <w:right w:val="nil"/>
            </w:tcBorders>
            <w:shd w:val="clear" w:color="auto" w:fill="auto"/>
            <w:noWrap/>
            <w:vAlign w:val="center"/>
            <w:hideMark/>
          </w:tcPr>
          <w:p w14:paraId="614E2E25"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2011</w:t>
            </w:r>
          </w:p>
        </w:tc>
        <w:tc>
          <w:tcPr>
            <w:tcW w:w="1337" w:type="dxa"/>
            <w:tcBorders>
              <w:top w:val="single" w:sz="4" w:space="0" w:color="auto"/>
              <w:left w:val="nil"/>
              <w:bottom w:val="nil"/>
              <w:right w:val="nil"/>
            </w:tcBorders>
            <w:shd w:val="clear" w:color="auto" w:fill="auto"/>
            <w:noWrap/>
            <w:vAlign w:val="center"/>
            <w:hideMark/>
          </w:tcPr>
          <w:p w14:paraId="0F4D325D" w14:textId="3F10B418"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1F91C2FF" w14:textId="5DB8830F"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131 416</w:t>
            </w:r>
          </w:p>
        </w:tc>
        <w:tc>
          <w:tcPr>
            <w:tcW w:w="1418" w:type="dxa"/>
            <w:tcBorders>
              <w:top w:val="single" w:sz="4" w:space="0" w:color="auto"/>
              <w:left w:val="nil"/>
              <w:bottom w:val="nil"/>
              <w:right w:val="nil"/>
            </w:tcBorders>
            <w:shd w:val="clear" w:color="auto" w:fill="auto"/>
            <w:noWrap/>
            <w:vAlign w:val="center"/>
            <w:hideMark/>
          </w:tcPr>
          <w:p w14:paraId="35F286BB" w14:textId="265603E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54 730</w:t>
            </w:r>
          </w:p>
        </w:tc>
        <w:tc>
          <w:tcPr>
            <w:tcW w:w="1560" w:type="dxa"/>
            <w:vMerge w:val="restart"/>
            <w:tcBorders>
              <w:top w:val="nil"/>
              <w:left w:val="nil"/>
              <w:bottom w:val="nil"/>
              <w:right w:val="nil"/>
            </w:tcBorders>
            <w:shd w:val="clear" w:color="auto" w:fill="auto"/>
            <w:noWrap/>
            <w:vAlign w:val="center"/>
            <w:hideMark/>
          </w:tcPr>
          <w:p w14:paraId="6AC4AA21" w14:textId="69FBCB6A"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400 317</w:t>
            </w:r>
          </w:p>
        </w:tc>
      </w:tr>
      <w:tr w:rsidR="0061685C" w:rsidRPr="00435469" w14:paraId="7CF88291" w14:textId="77777777" w:rsidTr="003F5ED6">
        <w:trPr>
          <w:trHeight w:val="290"/>
        </w:trPr>
        <w:tc>
          <w:tcPr>
            <w:tcW w:w="1640" w:type="dxa"/>
            <w:vMerge/>
            <w:tcBorders>
              <w:top w:val="nil"/>
              <w:left w:val="nil"/>
              <w:bottom w:val="nil"/>
              <w:right w:val="nil"/>
            </w:tcBorders>
            <w:vAlign w:val="center"/>
            <w:hideMark/>
          </w:tcPr>
          <w:p w14:paraId="71E461D9"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618AAEA0" w14:textId="07F76761"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205A2670" w14:textId="3DA5819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129 912</w:t>
            </w:r>
          </w:p>
        </w:tc>
        <w:tc>
          <w:tcPr>
            <w:tcW w:w="1418" w:type="dxa"/>
            <w:tcBorders>
              <w:top w:val="nil"/>
              <w:left w:val="nil"/>
              <w:bottom w:val="single" w:sz="4" w:space="0" w:color="auto"/>
              <w:right w:val="nil"/>
            </w:tcBorders>
            <w:shd w:val="clear" w:color="auto" w:fill="auto"/>
            <w:noWrap/>
            <w:vAlign w:val="center"/>
            <w:hideMark/>
          </w:tcPr>
          <w:p w14:paraId="3D816942" w14:textId="5A2E240C"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84 259</w:t>
            </w:r>
          </w:p>
        </w:tc>
        <w:tc>
          <w:tcPr>
            <w:tcW w:w="1560" w:type="dxa"/>
            <w:vMerge/>
            <w:tcBorders>
              <w:top w:val="nil"/>
              <w:left w:val="nil"/>
              <w:bottom w:val="nil"/>
              <w:right w:val="nil"/>
            </w:tcBorders>
            <w:vAlign w:val="center"/>
            <w:hideMark/>
          </w:tcPr>
          <w:p w14:paraId="7F947279"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2EB8E0AD" w14:textId="77777777" w:rsidTr="003F5ED6">
        <w:trPr>
          <w:trHeight w:val="290"/>
        </w:trPr>
        <w:tc>
          <w:tcPr>
            <w:tcW w:w="1640" w:type="dxa"/>
            <w:vMerge w:val="restart"/>
            <w:tcBorders>
              <w:top w:val="nil"/>
              <w:left w:val="nil"/>
              <w:bottom w:val="nil"/>
              <w:right w:val="nil"/>
            </w:tcBorders>
            <w:shd w:val="clear" w:color="auto" w:fill="auto"/>
            <w:noWrap/>
            <w:vAlign w:val="center"/>
            <w:hideMark/>
          </w:tcPr>
          <w:p w14:paraId="64B5E331"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2012</w:t>
            </w:r>
          </w:p>
        </w:tc>
        <w:tc>
          <w:tcPr>
            <w:tcW w:w="1337" w:type="dxa"/>
            <w:tcBorders>
              <w:top w:val="single" w:sz="4" w:space="0" w:color="auto"/>
              <w:left w:val="nil"/>
              <w:bottom w:val="nil"/>
              <w:right w:val="nil"/>
            </w:tcBorders>
            <w:shd w:val="clear" w:color="auto" w:fill="auto"/>
            <w:noWrap/>
            <w:vAlign w:val="center"/>
            <w:hideMark/>
          </w:tcPr>
          <w:p w14:paraId="30D9CC02" w14:textId="4336C703"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2E743036" w14:textId="1341A339"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115 005</w:t>
            </w:r>
          </w:p>
        </w:tc>
        <w:tc>
          <w:tcPr>
            <w:tcW w:w="1418" w:type="dxa"/>
            <w:tcBorders>
              <w:top w:val="single" w:sz="4" w:space="0" w:color="auto"/>
              <w:left w:val="nil"/>
              <w:bottom w:val="nil"/>
              <w:right w:val="nil"/>
            </w:tcBorders>
            <w:shd w:val="clear" w:color="auto" w:fill="auto"/>
            <w:noWrap/>
            <w:vAlign w:val="center"/>
            <w:hideMark/>
          </w:tcPr>
          <w:p w14:paraId="3A6A4608" w14:textId="5B6813B1"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51 266</w:t>
            </w:r>
          </w:p>
        </w:tc>
        <w:tc>
          <w:tcPr>
            <w:tcW w:w="1560" w:type="dxa"/>
            <w:vMerge w:val="restart"/>
            <w:tcBorders>
              <w:top w:val="nil"/>
              <w:left w:val="nil"/>
              <w:bottom w:val="nil"/>
              <w:right w:val="nil"/>
            </w:tcBorders>
            <w:shd w:val="clear" w:color="auto" w:fill="auto"/>
            <w:noWrap/>
            <w:vAlign w:val="center"/>
            <w:hideMark/>
          </w:tcPr>
          <w:p w14:paraId="13EE0EC2" w14:textId="4D36E6A3"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366 730</w:t>
            </w:r>
          </w:p>
        </w:tc>
      </w:tr>
      <w:tr w:rsidR="0061685C" w:rsidRPr="00435469" w14:paraId="00470F04" w14:textId="77777777" w:rsidTr="003F5ED6">
        <w:trPr>
          <w:trHeight w:val="290"/>
        </w:trPr>
        <w:tc>
          <w:tcPr>
            <w:tcW w:w="1640" w:type="dxa"/>
            <w:vMerge/>
            <w:tcBorders>
              <w:top w:val="nil"/>
              <w:left w:val="nil"/>
              <w:bottom w:val="nil"/>
              <w:right w:val="nil"/>
            </w:tcBorders>
            <w:vAlign w:val="center"/>
            <w:hideMark/>
          </w:tcPr>
          <w:p w14:paraId="0590092B"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01BC7291" w14:textId="16182FB5"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3583E424" w14:textId="4D6E94C0"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119 516</w:t>
            </w:r>
          </w:p>
        </w:tc>
        <w:tc>
          <w:tcPr>
            <w:tcW w:w="1418" w:type="dxa"/>
            <w:tcBorders>
              <w:top w:val="nil"/>
              <w:left w:val="nil"/>
              <w:bottom w:val="single" w:sz="4" w:space="0" w:color="auto"/>
              <w:right w:val="nil"/>
            </w:tcBorders>
            <w:shd w:val="clear" w:color="auto" w:fill="auto"/>
            <w:noWrap/>
            <w:vAlign w:val="center"/>
            <w:hideMark/>
          </w:tcPr>
          <w:p w14:paraId="1FD40D27" w14:textId="1A85E8EC"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80 943</w:t>
            </w:r>
          </w:p>
        </w:tc>
        <w:tc>
          <w:tcPr>
            <w:tcW w:w="1560" w:type="dxa"/>
            <w:vMerge/>
            <w:tcBorders>
              <w:top w:val="nil"/>
              <w:left w:val="nil"/>
              <w:bottom w:val="nil"/>
              <w:right w:val="nil"/>
            </w:tcBorders>
            <w:vAlign w:val="center"/>
            <w:hideMark/>
          </w:tcPr>
          <w:p w14:paraId="71E88519"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160B95DC" w14:textId="77777777" w:rsidTr="003F5ED6">
        <w:trPr>
          <w:trHeight w:val="290"/>
        </w:trPr>
        <w:tc>
          <w:tcPr>
            <w:tcW w:w="1640" w:type="dxa"/>
            <w:vMerge w:val="restart"/>
            <w:tcBorders>
              <w:top w:val="nil"/>
              <w:left w:val="nil"/>
              <w:bottom w:val="nil"/>
              <w:right w:val="nil"/>
            </w:tcBorders>
            <w:shd w:val="clear" w:color="auto" w:fill="auto"/>
            <w:noWrap/>
            <w:vAlign w:val="center"/>
            <w:hideMark/>
          </w:tcPr>
          <w:p w14:paraId="4117B48A"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2013</w:t>
            </w:r>
          </w:p>
        </w:tc>
        <w:tc>
          <w:tcPr>
            <w:tcW w:w="1337" w:type="dxa"/>
            <w:tcBorders>
              <w:top w:val="single" w:sz="4" w:space="0" w:color="auto"/>
              <w:left w:val="nil"/>
              <w:bottom w:val="nil"/>
              <w:right w:val="nil"/>
            </w:tcBorders>
            <w:shd w:val="clear" w:color="auto" w:fill="auto"/>
            <w:noWrap/>
            <w:vAlign w:val="center"/>
            <w:hideMark/>
          </w:tcPr>
          <w:p w14:paraId="4575F2CB" w14:textId="28D99CBA"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58F023BF" w14:textId="01938DCD"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102 440</w:t>
            </w:r>
          </w:p>
        </w:tc>
        <w:tc>
          <w:tcPr>
            <w:tcW w:w="1418" w:type="dxa"/>
            <w:tcBorders>
              <w:top w:val="single" w:sz="4" w:space="0" w:color="auto"/>
              <w:left w:val="nil"/>
              <w:bottom w:val="nil"/>
              <w:right w:val="nil"/>
            </w:tcBorders>
            <w:shd w:val="clear" w:color="auto" w:fill="auto"/>
            <w:noWrap/>
            <w:vAlign w:val="center"/>
            <w:hideMark/>
          </w:tcPr>
          <w:p w14:paraId="0F98339A" w14:textId="6792E63B"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51 371</w:t>
            </w:r>
          </w:p>
        </w:tc>
        <w:tc>
          <w:tcPr>
            <w:tcW w:w="1560" w:type="dxa"/>
            <w:vMerge w:val="restart"/>
            <w:tcBorders>
              <w:top w:val="nil"/>
              <w:left w:val="nil"/>
              <w:bottom w:val="nil"/>
              <w:right w:val="nil"/>
            </w:tcBorders>
            <w:shd w:val="clear" w:color="auto" w:fill="auto"/>
            <w:noWrap/>
            <w:vAlign w:val="center"/>
            <w:hideMark/>
          </w:tcPr>
          <w:p w14:paraId="6F93D97D" w14:textId="40F8582C"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348 674</w:t>
            </w:r>
          </w:p>
        </w:tc>
      </w:tr>
      <w:tr w:rsidR="0061685C" w:rsidRPr="00435469" w14:paraId="2F61860F" w14:textId="77777777" w:rsidTr="003F5ED6">
        <w:trPr>
          <w:trHeight w:val="290"/>
        </w:trPr>
        <w:tc>
          <w:tcPr>
            <w:tcW w:w="1640" w:type="dxa"/>
            <w:vMerge/>
            <w:tcBorders>
              <w:top w:val="nil"/>
              <w:left w:val="nil"/>
              <w:bottom w:val="nil"/>
              <w:right w:val="nil"/>
            </w:tcBorders>
            <w:vAlign w:val="center"/>
            <w:hideMark/>
          </w:tcPr>
          <w:p w14:paraId="5580DFBA"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4C13D55C" w14:textId="1E12BC1F"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2FED0EC1" w14:textId="481CCEDC"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112 391</w:t>
            </w:r>
          </w:p>
        </w:tc>
        <w:tc>
          <w:tcPr>
            <w:tcW w:w="1418" w:type="dxa"/>
            <w:tcBorders>
              <w:top w:val="nil"/>
              <w:left w:val="nil"/>
              <w:bottom w:val="single" w:sz="4" w:space="0" w:color="auto"/>
              <w:right w:val="nil"/>
            </w:tcBorders>
            <w:shd w:val="clear" w:color="auto" w:fill="auto"/>
            <w:noWrap/>
            <w:vAlign w:val="center"/>
            <w:hideMark/>
          </w:tcPr>
          <w:p w14:paraId="345BBDE8" w14:textId="102E6F5F"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82 472</w:t>
            </w:r>
          </w:p>
        </w:tc>
        <w:tc>
          <w:tcPr>
            <w:tcW w:w="1560" w:type="dxa"/>
            <w:vMerge/>
            <w:tcBorders>
              <w:top w:val="nil"/>
              <w:left w:val="nil"/>
              <w:bottom w:val="nil"/>
              <w:right w:val="nil"/>
            </w:tcBorders>
            <w:vAlign w:val="center"/>
            <w:hideMark/>
          </w:tcPr>
          <w:p w14:paraId="6617854B"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25907232" w14:textId="77777777" w:rsidTr="003F5ED6">
        <w:trPr>
          <w:trHeight w:val="290"/>
        </w:trPr>
        <w:tc>
          <w:tcPr>
            <w:tcW w:w="1640" w:type="dxa"/>
            <w:vMerge w:val="restart"/>
            <w:tcBorders>
              <w:top w:val="nil"/>
              <w:left w:val="nil"/>
              <w:bottom w:val="nil"/>
              <w:right w:val="nil"/>
            </w:tcBorders>
            <w:shd w:val="clear" w:color="auto" w:fill="auto"/>
            <w:noWrap/>
            <w:vAlign w:val="center"/>
            <w:hideMark/>
          </w:tcPr>
          <w:p w14:paraId="4B60B1EF"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2014</w:t>
            </w:r>
          </w:p>
        </w:tc>
        <w:tc>
          <w:tcPr>
            <w:tcW w:w="1337" w:type="dxa"/>
            <w:tcBorders>
              <w:top w:val="single" w:sz="4" w:space="0" w:color="auto"/>
              <w:left w:val="nil"/>
              <w:bottom w:val="nil"/>
              <w:right w:val="nil"/>
            </w:tcBorders>
            <w:shd w:val="clear" w:color="auto" w:fill="auto"/>
            <w:noWrap/>
            <w:vAlign w:val="center"/>
            <w:hideMark/>
          </w:tcPr>
          <w:p w14:paraId="5796F869" w14:textId="387DBE8A"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55C4C523" w14:textId="5C50A7FF"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93 737</w:t>
            </w:r>
          </w:p>
        </w:tc>
        <w:tc>
          <w:tcPr>
            <w:tcW w:w="1418" w:type="dxa"/>
            <w:tcBorders>
              <w:top w:val="single" w:sz="4" w:space="0" w:color="auto"/>
              <w:left w:val="nil"/>
              <w:bottom w:val="nil"/>
              <w:right w:val="nil"/>
            </w:tcBorders>
            <w:shd w:val="clear" w:color="auto" w:fill="auto"/>
            <w:noWrap/>
            <w:vAlign w:val="center"/>
            <w:hideMark/>
          </w:tcPr>
          <w:p w14:paraId="78CBA641" w14:textId="4413D098"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48 878</w:t>
            </w:r>
          </w:p>
        </w:tc>
        <w:tc>
          <w:tcPr>
            <w:tcW w:w="1560" w:type="dxa"/>
            <w:vMerge w:val="restart"/>
            <w:tcBorders>
              <w:top w:val="nil"/>
              <w:left w:val="nil"/>
              <w:bottom w:val="nil"/>
              <w:right w:val="nil"/>
            </w:tcBorders>
            <w:shd w:val="clear" w:color="auto" w:fill="auto"/>
            <w:noWrap/>
            <w:vAlign w:val="center"/>
            <w:hideMark/>
          </w:tcPr>
          <w:p w14:paraId="5CC25053" w14:textId="59B24168"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332 352</w:t>
            </w:r>
          </w:p>
        </w:tc>
      </w:tr>
      <w:tr w:rsidR="0061685C" w:rsidRPr="00435469" w14:paraId="5C541F67" w14:textId="77777777" w:rsidTr="003F5ED6">
        <w:trPr>
          <w:trHeight w:val="290"/>
        </w:trPr>
        <w:tc>
          <w:tcPr>
            <w:tcW w:w="1640" w:type="dxa"/>
            <w:vMerge/>
            <w:tcBorders>
              <w:top w:val="nil"/>
              <w:left w:val="nil"/>
              <w:bottom w:val="nil"/>
              <w:right w:val="nil"/>
            </w:tcBorders>
            <w:vAlign w:val="center"/>
            <w:hideMark/>
          </w:tcPr>
          <w:p w14:paraId="3179AD2D"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23F555FD" w14:textId="633F118F"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15F09F0F" w14:textId="309E8983"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108 452</w:t>
            </w:r>
          </w:p>
        </w:tc>
        <w:tc>
          <w:tcPr>
            <w:tcW w:w="1418" w:type="dxa"/>
            <w:tcBorders>
              <w:top w:val="nil"/>
              <w:left w:val="nil"/>
              <w:bottom w:val="single" w:sz="4" w:space="0" w:color="auto"/>
              <w:right w:val="nil"/>
            </w:tcBorders>
            <w:shd w:val="clear" w:color="auto" w:fill="auto"/>
            <w:noWrap/>
            <w:vAlign w:val="center"/>
            <w:hideMark/>
          </w:tcPr>
          <w:p w14:paraId="4B12B540" w14:textId="068BCC89"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81 285</w:t>
            </w:r>
          </w:p>
        </w:tc>
        <w:tc>
          <w:tcPr>
            <w:tcW w:w="1560" w:type="dxa"/>
            <w:vMerge/>
            <w:tcBorders>
              <w:top w:val="nil"/>
              <w:left w:val="nil"/>
              <w:bottom w:val="nil"/>
              <w:right w:val="nil"/>
            </w:tcBorders>
            <w:vAlign w:val="center"/>
            <w:hideMark/>
          </w:tcPr>
          <w:p w14:paraId="142EA3F1"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78E9BEFC" w14:textId="77777777" w:rsidTr="003F5ED6">
        <w:trPr>
          <w:trHeight w:val="290"/>
        </w:trPr>
        <w:tc>
          <w:tcPr>
            <w:tcW w:w="1640" w:type="dxa"/>
            <w:vMerge w:val="restart"/>
            <w:tcBorders>
              <w:top w:val="nil"/>
              <w:left w:val="nil"/>
              <w:bottom w:val="nil"/>
              <w:right w:val="nil"/>
            </w:tcBorders>
            <w:shd w:val="clear" w:color="auto" w:fill="auto"/>
            <w:noWrap/>
            <w:vAlign w:val="center"/>
            <w:hideMark/>
          </w:tcPr>
          <w:p w14:paraId="22459DDE"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2015</w:t>
            </w:r>
          </w:p>
        </w:tc>
        <w:tc>
          <w:tcPr>
            <w:tcW w:w="1337" w:type="dxa"/>
            <w:tcBorders>
              <w:top w:val="single" w:sz="4" w:space="0" w:color="auto"/>
              <w:left w:val="nil"/>
              <w:bottom w:val="nil"/>
              <w:right w:val="nil"/>
            </w:tcBorders>
            <w:shd w:val="clear" w:color="auto" w:fill="auto"/>
            <w:noWrap/>
            <w:vAlign w:val="center"/>
            <w:hideMark/>
          </w:tcPr>
          <w:p w14:paraId="63C61341" w14:textId="3873B878"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40DD9B00" w14:textId="3371F42C"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81 389</w:t>
            </w:r>
          </w:p>
        </w:tc>
        <w:tc>
          <w:tcPr>
            <w:tcW w:w="1418" w:type="dxa"/>
            <w:tcBorders>
              <w:top w:val="single" w:sz="4" w:space="0" w:color="auto"/>
              <w:left w:val="nil"/>
              <w:bottom w:val="nil"/>
              <w:right w:val="nil"/>
            </w:tcBorders>
            <w:shd w:val="clear" w:color="auto" w:fill="auto"/>
            <w:noWrap/>
            <w:vAlign w:val="center"/>
            <w:hideMark/>
          </w:tcPr>
          <w:p w14:paraId="1090288B" w14:textId="747784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44 769</w:t>
            </w:r>
          </w:p>
        </w:tc>
        <w:tc>
          <w:tcPr>
            <w:tcW w:w="1560" w:type="dxa"/>
            <w:vMerge w:val="restart"/>
            <w:tcBorders>
              <w:top w:val="nil"/>
              <w:left w:val="nil"/>
              <w:bottom w:val="nil"/>
              <w:right w:val="nil"/>
            </w:tcBorders>
            <w:shd w:val="clear" w:color="auto" w:fill="auto"/>
            <w:noWrap/>
            <w:vAlign w:val="center"/>
            <w:hideMark/>
          </w:tcPr>
          <w:p w14:paraId="377AB11F" w14:textId="357463F3"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299 883</w:t>
            </w:r>
          </w:p>
        </w:tc>
      </w:tr>
      <w:tr w:rsidR="0061685C" w:rsidRPr="00435469" w14:paraId="1AC8FEE8" w14:textId="77777777" w:rsidTr="003F5ED6">
        <w:trPr>
          <w:trHeight w:val="290"/>
        </w:trPr>
        <w:tc>
          <w:tcPr>
            <w:tcW w:w="1640" w:type="dxa"/>
            <w:vMerge/>
            <w:tcBorders>
              <w:top w:val="nil"/>
              <w:left w:val="nil"/>
              <w:bottom w:val="nil"/>
              <w:right w:val="nil"/>
            </w:tcBorders>
            <w:vAlign w:val="center"/>
            <w:hideMark/>
          </w:tcPr>
          <w:p w14:paraId="3A50C9C0"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48589C7F" w14:textId="11B6979B"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0A789480" w14:textId="659F1152"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97 592</w:t>
            </w:r>
          </w:p>
        </w:tc>
        <w:tc>
          <w:tcPr>
            <w:tcW w:w="1418" w:type="dxa"/>
            <w:tcBorders>
              <w:top w:val="nil"/>
              <w:left w:val="nil"/>
              <w:bottom w:val="single" w:sz="4" w:space="0" w:color="auto"/>
              <w:right w:val="nil"/>
            </w:tcBorders>
            <w:shd w:val="clear" w:color="auto" w:fill="auto"/>
            <w:noWrap/>
            <w:vAlign w:val="center"/>
            <w:hideMark/>
          </w:tcPr>
          <w:p w14:paraId="4EE5963D" w14:textId="3413EF3E"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76 133</w:t>
            </w:r>
          </w:p>
        </w:tc>
        <w:tc>
          <w:tcPr>
            <w:tcW w:w="1560" w:type="dxa"/>
            <w:vMerge/>
            <w:tcBorders>
              <w:top w:val="nil"/>
              <w:left w:val="nil"/>
              <w:bottom w:val="nil"/>
              <w:right w:val="nil"/>
            </w:tcBorders>
            <w:vAlign w:val="center"/>
            <w:hideMark/>
          </w:tcPr>
          <w:p w14:paraId="15709320" w14:textId="77777777" w:rsidR="009C18A5" w:rsidRPr="00435469" w:rsidRDefault="009C18A5" w:rsidP="00955FFB">
            <w:pPr>
              <w:spacing w:after="0" w:line="240" w:lineRule="auto"/>
              <w:jc w:val="center"/>
              <w:rPr>
                <w:rFonts w:eastAsia="Times New Roman" w:cs="Times New Roman"/>
                <w:sz w:val="16"/>
                <w:szCs w:val="16"/>
                <w:lang w:val="en-ZA" w:eastAsia="en-ZA"/>
              </w:rPr>
            </w:pPr>
          </w:p>
        </w:tc>
      </w:tr>
      <w:tr w:rsidR="0061685C" w:rsidRPr="00435469" w14:paraId="4144632E" w14:textId="77777777" w:rsidTr="003F5ED6">
        <w:trPr>
          <w:trHeight w:val="290"/>
        </w:trPr>
        <w:tc>
          <w:tcPr>
            <w:tcW w:w="1640" w:type="dxa"/>
            <w:vMerge w:val="restart"/>
            <w:tcBorders>
              <w:top w:val="nil"/>
              <w:left w:val="nil"/>
              <w:bottom w:val="single" w:sz="4" w:space="0" w:color="000000"/>
              <w:right w:val="nil"/>
            </w:tcBorders>
            <w:shd w:val="clear" w:color="auto" w:fill="auto"/>
            <w:noWrap/>
            <w:vAlign w:val="center"/>
            <w:hideMark/>
          </w:tcPr>
          <w:p w14:paraId="2BE7BA50" w14:textId="77777777"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2016</w:t>
            </w:r>
          </w:p>
        </w:tc>
        <w:tc>
          <w:tcPr>
            <w:tcW w:w="1337" w:type="dxa"/>
            <w:tcBorders>
              <w:top w:val="single" w:sz="4" w:space="0" w:color="auto"/>
              <w:left w:val="nil"/>
              <w:bottom w:val="nil"/>
              <w:right w:val="nil"/>
            </w:tcBorders>
            <w:shd w:val="clear" w:color="auto" w:fill="auto"/>
            <w:noWrap/>
            <w:vAlign w:val="center"/>
            <w:hideMark/>
          </w:tcPr>
          <w:p w14:paraId="73E35318" w14:textId="2A12A625"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Female</w:t>
            </w:r>
          </w:p>
        </w:tc>
        <w:tc>
          <w:tcPr>
            <w:tcW w:w="1701" w:type="dxa"/>
            <w:tcBorders>
              <w:top w:val="single" w:sz="4" w:space="0" w:color="auto"/>
              <w:left w:val="nil"/>
              <w:bottom w:val="nil"/>
              <w:right w:val="nil"/>
            </w:tcBorders>
            <w:shd w:val="clear" w:color="auto" w:fill="auto"/>
            <w:noWrap/>
            <w:vAlign w:val="center"/>
            <w:hideMark/>
          </w:tcPr>
          <w:p w14:paraId="72F7BD39" w14:textId="1C9880B9"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70 298</w:t>
            </w:r>
          </w:p>
        </w:tc>
        <w:tc>
          <w:tcPr>
            <w:tcW w:w="1418" w:type="dxa"/>
            <w:tcBorders>
              <w:top w:val="single" w:sz="4" w:space="0" w:color="auto"/>
              <w:left w:val="nil"/>
              <w:bottom w:val="nil"/>
              <w:right w:val="nil"/>
            </w:tcBorders>
            <w:shd w:val="clear" w:color="auto" w:fill="auto"/>
            <w:noWrap/>
            <w:vAlign w:val="center"/>
            <w:hideMark/>
          </w:tcPr>
          <w:p w14:paraId="25231724" w14:textId="27A01C12"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38 361</w:t>
            </w:r>
          </w:p>
        </w:tc>
        <w:tc>
          <w:tcPr>
            <w:tcW w:w="1560" w:type="dxa"/>
            <w:vMerge w:val="restart"/>
            <w:tcBorders>
              <w:top w:val="nil"/>
              <w:left w:val="nil"/>
              <w:bottom w:val="single" w:sz="4" w:space="0" w:color="000000"/>
              <w:right w:val="nil"/>
            </w:tcBorders>
            <w:shd w:val="clear" w:color="auto" w:fill="auto"/>
            <w:noWrap/>
            <w:vAlign w:val="center"/>
            <w:hideMark/>
          </w:tcPr>
          <w:p w14:paraId="5A065DAC" w14:textId="0BA220F1"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265 917</w:t>
            </w:r>
          </w:p>
        </w:tc>
      </w:tr>
      <w:tr w:rsidR="009C18A5" w:rsidRPr="00435469" w14:paraId="447AF1E8" w14:textId="77777777" w:rsidTr="003F5ED6">
        <w:trPr>
          <w:trHeight w:val="290"/>
        </w:trPr>
        <w:tc>
          <w:tcPr>
            <w:tcW w:w="1640" w:type="dxa"/>
            <w:vMerge/>
            <w:tcBorders>
              <w:top w:val="nil"/>
              <w:left w:val="nil"/>
              <w:bottom w:val="single" w:sz="4" w:space="0" w:color="000000"/>
              <w:right w:val="nil"/>
            </w:tcBorders>
            <w:vAlign w:val="center"/>
            <w:hideMark/>
          </w:tcPr>
          <w:p w14:paraId="779DB16D" w14:textId="77777777" w:rsidR="009C18A5" w:rsidRPr="00435469" w:rsidRDefault="009C18A5" w:rsidP="00955FFB">
            <w:pPr>
              <w:spacing w:after="0" w:line="240" w:lineRule="auto"/>
              <w:rPr>
                <w:rFonts w:eastAsia="Times New Roman" w:cs="Times New Roman"/>
                <w:sz w:val="16"/>
                <w:szCs w:val="16"/>
                <w:lang w:val="en-ZA" w:eastAsia="en-ZA"/>
              </w:rPr>
            </w:pPr>
          </w:p>
        </w:tc>
        <w:tc>
          <w:tcPr>
            <w:tcW w:w="1337" w:type="dxa"/>
            <w:tcBorders>
              <w:top w:val="nil"/>
              <w:left w:val="nil"/>
              <w:bottom w:val="single" w:sz="4" w:space="0" w:color="auto"/>
              <w:right w:val="nil"/>
            </w:tcBorders>
            <w:shd w:val="clear" w:color="auto" w:fill="auto"/>
            <w:noWrap/>
            <w:vAlign w:val="center"/>
            <w:hideMark/>
          </w:tcPr>
          <w:p w14:paraId="77AC9B01" w14:textId="4E229A70"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Male</w:t>
            </w:r>
          </w:p>
        </w:tc>
        <w:tc>
          <w:tcPr>
            <w:tcW w:w="1701" w:type="dxa"/>
            <w:tcBorders>
              <w:top w:val="nil"/>
              <w:left w:val="nil"/>
              <w:bottom w:val="single" w:sz="4" w:space="0" w:color="auto"/>
              <w:right w:val="nil"/>
            </w:tcBorders>
            <w:shd w:val="clear" w:color="auto" w:fill="auto"/>
            <w:noWrap/>
            <w:vAlign w:val="center"/>
            <w:hideMark/>
          </w:tcPr>
          <w:p w14:paraId="33C371AC" w14:textId="06BE1D59"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88 696</w:t>
            </w:r>
          </w:p>
        </w:tc>
        <w:tc>
          <w:tcPr>
            <w:tcW w:w="1418" w:type="dxa"/>
            <w:tcBorders>
              <w:top w:val="nil"/>
              <w:left w:val="nil"/>
              <w:bottom w:val="single" w:sz="4" w:space="0" w:color="auto"/>
              <w:right w:val="nil"/>
            </w:tcBorders>
            <w:shd w:val="clear" w:color="auto" w:fill="auto"/>
            <w:noWrap/>
            <w:vAlign w:val="center"/>
            <w:hideMark/>
          </w:tcPr>
          <w:p w14:paraId="6BEC9425" w14:textId="720288E5" w:rsidR="009C18A5" w:rsidRPr="00435469" w:rsidRDefault="009C18A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68 562</w:t>
            </w:r>
          </w:p>
        </w:tc>
        <w:tc>
          <w:tcPr>
            <w:tcW w:w="1560" w:type="dxa"/>
            <w:vMerge/>
            <w:tcBorders>
              <w:top w:val="nil"/>
              <w:left w:val="nil"/>
              <w:bottom w:val="single" w:sz="4" w:space="0" w:color="000000"/>
              <w:right w:val="nil"/>
            </w:tcBorders>
            <w:vAlign w:val="center"/>
            <w:hideMark/>
          </w:tcPr>
          <w:p w14:paraId="0220EEEF" w14:textId="77777777" w:rsidR="009C18A5" w:rsidRPr="00435469" w:rsidRDefault="009C18A5" w:rsidP="00955FFB">
            <w:pPr>
              <w:spacing w:after="0" w:line="240" w:lineRule="auto"/>
              <w:rPr>
                <w:rFonts w:eastAsia="Times New Roman" w:cs="Times New Roman"/>
                <w:sz w:val="16"/>
                <w:szCs w:val="16"/>
                <w:lang w:val="en-ZA" w:eastAsia="en-ZA"/>
              </w:rPr>
            </w:pPr>
          </w:p>
        </w:tc>
      </w:tr>
    </w:tbl>
    <w:p w14:paraId="7CDD64A2" w14:textId="77777777" w:rsidR="007C067E" w:rsidRPr="00435469" w:rsidRDefault="007C067E" w:rsidP="00955FFB">
      <w:pPr>
        <w:pStyle w:val="1Para"/>
        <w:spacing w:line="240" w:lineRule="auto"/>
        <w:ind w:firstLine="0"/>
        <w:rPr>
          <w:sz w:val="20"/>
          <w:szCs w:val="20"/>
        </w:rPr>
      </w:pPr>
    </w:p>
    <w:p w14:paraId="46326C14" w14:textId="4DC66998" w:rsidR="004C2C94" w:rsidRPr="00435469" w:rsidRDefault="004C2C94" w:rsidP="00955FFB">
      <w:pPr>
        <w:pStyle w:val="Heading5"/>
        <w:numPr>
          <w:ilvl w:val="0"/>
          <w:numId w:val="15"/>
        </w:numPr>
        <w:rPr>
          <w:color w:val="auto"/>
          <w:sz w:val="20"/>
          <w:szCs w:val="20"/>
        </w:rPr>
      </w:pPr>
      <w:r w:rsidRPr="00435469">
        <w:rPr>
          <w:color w:val="auto"/>
          <w:sz w:val="20"/>
          <w:szCs w:val="20"/>
        </w:rPr>
        <w:t>Likelihood for tuberculosis cases recorded on the electronic tuberculosis treatment register</w:t>
      </w:r>
    </w:p>
    <w:p w14:paraId="3662E3EE" w14:textId="3AEA4DAB" w:rsidR="00CA7780" w:rsidRPr="00435469" w:rsidRDefault="006D3675" w:rsidP="00955FFB">
      <w:pPr>
        <w:pStyle w:val="1ParaFlushLeft"/>
        <w:spacing w:line="240" w:lineRule="auto"/>
        <w:rPr>
          <w:rFonts w:cs="Times New Roman"/>
          <w:sz w:val="20"/>
          <w:szCs w:val="20"/>
        </w:rPr>
      </w:pPr>
      <w:r w:rsidRPr="00435469">
        <w:rPr>
          <w:rFonts w:cs="Times New Roman"/>
          <w:sz w:val="20"/>
          <w:szCs w:val="20"/>
        </w:rPr>
        <w:t>We assume that the number of TB cases initiated on treatment follows a Log-Normal distribution. The analysis is restricted to the years 2004 to 2016</w:t>
      </w:r>
      <w:r w:rsidR="002C4D4E" w:rsidRPr="00435469">
        <w:rPr>
          <w:rFonts w:cs="Times New Roman"/>
          <w:sz w:val="20"/>
          <w:szCs w:val="20"/>
        </w:rPr>
        <w:t xml:space="preserve"> as we </w:t>
      </w:r>
      <w:r w:rsidR="00D1137C" w:rsidRPr="00435469">
        <w:rPr>
          <w:rFonts w:cs="Times New Roman"/>
          <w:sz w:val="20"/>
          <w:szCs w:val="20"/>
        </w:rPr>
        <w:t>were granted access to the clean</w:t>
      </w:r>
      <w:r w:rsidR="0050527F" w:rsidRPr="00435469">
        <w:rPr>
          <w:rFonts w:cs="Times New Roman"/>
          <w:sz w:val="20"/>
          <w:szCs w:val="20"/>
        </w:rPr>
        <w:t xml:space="preserve">ed dataset </w:t>
      </w:r>
      <w:r w:rsidR="0010050A" w:rsidRPr="00435469">
        <w:rPr>
          <w:rFonts w:cs="Times New Roman"/>
          <w:sz w:val="20"/>
          <w:szCs w:val="20"/>
        </w:rPr>
        <w:t>(</w:t>
      </w:r>
      <w:r w:rsidR="0050527F" w:rsidRPr="00435469">
        <w:rPr>
          <w:rFonts w:cs="Times New Roman"/>
          <w:sz w:val="20"/>
          <w:szCs w:val="20"/>
        </w:rPr>
        <w:t>2004-2016</w:t>
      </w:r>
      <w:r w:rsidR="0010050A" w:rsidRPr="00435469">
        <w:rPr>
          <w:rFonts w:cs="Times New Roman"/>
          <w:sz w:val="20"/>
          <w:szCs w:val="20"/>
        </w:rPr>
        <w:t>)</w:t>
      </w:r>
      <w:r w:rsidR="0050527F" w:rsidRPr="00435469">
        <w:rPr>
          <w:rFonts w:cs="Times New Roman"/>
          <w:sz w:val="20"/>
          <w:szCs w:val="20"/>
        </w:rPr>
        <w:t xml:space="preserve">. </w:t>
      </w:r>
      <w:r w:rsidR="00AA3793" w:rsidRPr="00435469">
        <w:rPr>
          <w:rFonts w:cs="Times New Roman"/>
          <w:sz w:val="20"/>
          <w:szCs w:val="20"/>
        </w:rPr>
        <w:t>I</w:t>
      </w:r>
      <w:r w:rsidR="0010050A" w:rsidRPr="00435469">
        <w:rPr>
          <w:rFonts w:cs="Times New Roman"/>
          <w:sz w:val="20"/>
          <w:szCs w:val="20"/>
        </w:rPr>
        <w:t>n</w:t>
      </w:r>
      <w:r w:rsidR="00194A2A" w:rsidRPr="00435469">
        <w:rPr>
          <w:rFonts w:cs="Times New Roman"/>
          <w:sz w:val="20"/>
          <w:szCs w:val="20"/>
        </w:rPr>
        <w:t xml:space="preserve"> recent years</w:t>
      </w:r>
      <w:r w:rsidR="000F4782" w:rsidRPr="00435469">
        <w:rPr>
          <w:rFonts w:cs="Times New Roman"/>
          <w:sz w:val="20"/>
          <w:szCs w:val="20"/>
        </w:rPr>
        <w:t>,</w:t>
      </w:r>
      <w:r w:rsidR="00194A2A" w:rsidRPr="00435469">
        <w:rPr>
          <w:rFonts w:cs="Times New Roman"/>
          <w:sz w:val="20"/>
          <w:szCs w:val="20"/>
        </w:rPr>
        <w:t xml:space="preserve"> the </w:t>
      </w:r>
      <w:r w:rsidR="00EC431C" w:rsidRPr="00435469">
        <w:rPr>
          <w:rFonts w:cs="Times New Roman"/>
          <w:sz w:val="20"/>
          <w:szCs w:val="20"/>
          <w:lang w:val="en-ZA"/>
        </w:rPr>
        <w:t xml:space="preserve">National Department of Health of South Africa </w:t>
      </w:r>
      <w:r w:rsidR="009C6D74" w:rsidRPr="00435469">
        <w:rPr>
          <w:rFonts w:cs="Times New Roman"/>
          <w:sz w:val="20"/>
          <w:szCs w:val="20"/>
          <w:lang w:val="en-ZA"/>
        </w:rPr>
        <w:t xml:space="preserve">has </w:t>
      </w:r>
      <w:r w:rsidR="007E3004" w:rsidRPr="00435469">
        <w:rPr>
          <w:rFonts w:cs="Times New Roman"/>
          <w:sz w:val="20"/>
          <w:szCs w:val="20"/>
          <w:lang w:val="en-ZA"/>
        </w:rPr>
        <w:t>made a</w:t>
      </w:r>
      <w:r w:rsidR="009C6D74" w:rsidRPr="00435469">
        <w:rPr>
          <w:rFonts w:cs="Times New Roman"/>
          <w:sz w:val="20"/>
          <w:szCs w:val="20"/>
          <w:lang w:val="en-ZA"/>
        </w:rPr>
        <w:t xml:space="preserve"> shift from </w:t>
      </w:r>
      <w:r w:rsidR="003B07E5" w:rsidRPr="00435469">
        <w:rPr>
          <w:rFonts w:cs="Times New Roman"/>
          <w:sz w:val="20"/>
          <w:szCs w:val="20"/>
          <w:lang w:val="en-ZA"/>
        </w:rPr>
        <w:t xml:space="preserve">using the ETR </w:t>
      </w:r>
      <w:r w:rsidR="00EC2908" w:rsidRPr="00435469">
        <w:rPr>
          <w:rFonts w:cs="Times New Roman"/>
          <w:sz w:val="20"/>
          <w:szCs w:val="20"/>
          <w:lang w:val="en-ZA"/>
        </w:rPr>
        <w:t xml:space="preserve">system </w:t>
      </w:r>
      <w:r w:rsidR="003B07E5" w:rsidRPr="00435469">
        <w:rPr>
          <w:rFonts w:cs="Times New Roman"/>
          <w:sz w:val="20"/>
          <w:szCs w:val="20"/>
          <w:lang w:val="en-ZA"/>
        </w:rPr>
        <w:t>to</w:t>
      </w:r>
      <w:r w:rsidR="00910AE9" w:rsidRPr="00435469">
        <w:rPr>
          <w:rFonts w:cs="Times New Roman"/>
          <w:sz w:val="20"/>
          <w:szCs w:val="20"/>
          <w:lang w:val="en-ZA"/>
        </w:rPr>
        <w:t xml:space="preserve"> the district health information system</w:t>
      </w:r>
      <w:r w:rsidR="00EC2908" w:rsidRPr="00435469">
        <w:rPr>
          <w:rFonts w:cs="Times New Roman"/>
          <w:sz w:val="20"/>
          <w:szCs w:val="20"/>
          <w:lang w:val="en-ZA"/>
        </w:rPr>
        <w:t xml:space="preserve"> (DHIS)</w:t>
      </w:r>
      <w:r w:rsidR="00A476EC" w:rsidRPr="00435469">
        <w:rPr>
          <w:rFonts w:cs="Times New Roman"/>
          <w:sz w:val="20"/>
          <w:szCs w:val="20"/>
          <w:lang w:val="en-ZA"/>
        </w:rPr>
        <w:t xml:space="preserve"> </w:t>
      </w:r>
      <w:r w:rsidR="00EA2297" w:rsidRPr="00435469">
        <w:rPr>
          <w:sz w:val="20"/>
          <w:szCs w:val="20"/>
        </w:rPr>
        <w:fldChar w:fldCharType="begin" w:fldLock="1"/>
      </w:r>
      <w:r w:rsidR="00A142FF" w:rsidRPr="00435469">
        <w:rPr>
          <w:sz w:val="20"/>
          <w:szCs w:val="20"/>
        </w:rPr>
        <w:instrText>ADDIN CSL_CITATION {"citationItems":[{"id":"ITEM-1","itemData":{"DOI":"10.4102/SAJHIVMED.V21I1.1025","ISSN":"20786751","abstract":"Background: South Africa has one of the highest incidences of Tuberculosis (TB) globally. High co-morbid HIV prevalence complicates TB management and treatment outcomes. Growing evidence suggests that integrating the TB and HIV programmes will improve the overall results. Objectives: To describe how TB programme staff at various levels of the South African health system responded to the transition from a paper-based to an electronic register of TB data integrated with HIV programme data. Method: Three primary health service facilities in the Cape Winelands district, Western Cape province, South Africa served as pilot sites for implementation. Semi-structured interviews were conducted with 21 TB programme staff purposively selected at facility, sub-district, district and provincial levels of the health system, based on their involvement in implementing electronic TB data. An objective-driven thematic frame was used to analyse the data. Results: Fears about the transition included reductions in data quality, changes to the status quo and a lack of computer literacy. Participants acknowledged benefits of reduced workloads, speed of accessing patient-level data and click-of-a-button reporting. Three factors influenced the ease of adopting the new system: firstly, implementation challenged the vertical position of the TB programme, TB data and staff's conventional roles and responsibilities; secondly, perceptions of the paper-based register as functional and reliable made the transition to electronic seem unnecessary; and thirdly, lack of a process of change management challenged staff's ability to internalise the proposed change. Conclusion: A process of change management is critical to facilitate the efficiency and effectiveness with which the electronic in-facility TB register is implemented.","author":[{"dropping-particle":"","family":"Myburgh","given":"Hanlie","non-dropping-particle":"","parse-names":false,"suffix":""},{"dropping-particle":"","family":"Peters","given":"Remco P.H.","non-dropping-particle":"","parse-names":false,"suffix":""},{"dropping-particle":"","family":"Hurter","given":"Theunis","non-dropping-particle":"","parse-names":false,"suffix":""},{"dropping-particle":"","family":"Grobbelaar","given":"Cornelius J.","non-dropping-particle":"","parse-names":false,"suffix":""},{"dropping-particle":"","family":"Hoddinott","given":"Graeme","non-dropping-particle":"","parse-names":false,"suffix":""}],"container-title":"Southern African Journal of HIV Medicine","id":"ITEM-1","issue":"1","issued":{"date-parts":[["2020"]]},"page":"1-7","title":"Transition to an in-facility electronic tuberculosis register: Lessons from a South African pilot project","type":"article-journal","volume":"21"},"uris":["http://www.mendeley.com/documents/?uuid=2d15dc9d-d55d-4d4a-b93d-7fc5465da307"]}],"mendeley":{"formattedCitation":"(127)","plainTextFormattedCitation":"(127)","previouslyFormattedCitation":"(127)"},"properties":{"noteIndex":0},"schema":"https://github.com/citation-style-language/schema/raw/master/csl-citation.json"}</w:instrText>
      </w:r>
      <w:r w:rsidR="00EA2297" w:rsidRPr="00435469">
        <w:rPr>
          <w:sz w:val="20"/>
          <w:szCs w:val="20"/>
        </w:rPr>
        <w:fldChar w:fldCharType="separate"/>
      </w:r>
      <w:r w:rsidR="0016391D" w:rsidRPr="00435469">
        <w:rPr>
          <w:noProof/>
          <w:sz w:val="20"/>
          <w:szCs w:val="20"/>
        </w:rPr>
        <w:t>(127)</w:t>
      </w:r>
      <w:r w:rsidR="00EA2297" w:rsidRPr="00435469">
        <w:rPr>
          <w:sz w:val="20"/>
          <w:szCs w:val="20"/>
        </w:rPr>
        <w:fldChar w:fldCharType="end"/>
      </w:r>
      <w:r w:rsidR="00A476EC" w:rsidRPr="00435469">
        <w:rPr>
          <w:sz w:val="20"/>
          <w:szCs w:val="20"/>
        </w:rPr>
        <w:t>.</w:t>
      </w:r>
      <w:r w:rsidR="00D72FCA" w:rsidRPr="00435469">
        <w:rPr>
          <w:rFonts w:cs="Times New Roman"/>
          <w:sz w:val="20"/>
          <w:szCs w:val="20"/>
        </w:rPr>
        <w:t xml:space="preserve"> </w:t>
      </w:r>
      <w:r w:rsidRPr="00435469">
        <w:rPr>
          <w:rFonts w:cs="Times New Roman"/>
          <w:sz w:val="20"/>
          <w:szCs w:val="20"/>
        </w:rPr>
        <w:t xml:space="preserve">We </w:t>
      </w:r>
      <w:r w:rsidR="007E0B43" w:rsidRPr="00435469">
        <w:rPr>
          <w:rFonts w:cs="Times New Roman"/>
          <w:sz w:val="20"/>
          <w:szCs w:val="20"/>
        </w:rPr>
        <w:t xml:space="preserve">calibrated </w:t>
      </w:r>
      <w:r w:rsidR="00590875" w:rsidRPr="00435469">
        <w:rPr>
          <w:rFonts w:cs="Times New Roman"/>
          <w:sz w:val="20"/>
          <w:szCs w:val="20"/>
        </w:rPr>
        <w:t>only to</w:t>
      </w:r>
      <w:r w:rsidR="007E0B43" w:rsidRPr="00435469">
        <w:rPr>
          <w:rFonts w:cs="Times New Roman"/>
          <w:sz w:val="20"/>
          <w:szCs w:val="20"/>
        </w:rPr>
        <w:t xml:space="preserve"> </w:t>
      </w:r>
      <w:r w:rsidR="008605E9" w:rsidRPr="00435469">
        <w:rPr>
          <w:rFonts w:cs="Times New Roman"/>
          <w:sz w:val="20"/>
          <w:szCs w:val="20"/>
        </w:rPr>
        <w:t>sex-</w:t>
      </w:r>
      <w:r w:rsidRPr="00435469">
        <w:rPr>
          <w:rFonts w:cs="Times New Roman"/>
          <w:sz w:val="20"/>
          <w:szCs w:val="20"/>
        </w:rPr>
        <w:t>stratified data</w:t>
      </w:r>
      <w:r w:rsidR="00033380" w:rsidRPr="00435469">
        <w:rPr>
          <w:rFonts w:cs="Times New Roman"/>
          <w:sz w:val="20"/>
          <w:szCs w:val="20"/>
        </w:rPr>
        <w:t xml:space="preserve">; although the </w:t>
      </w:r>
      <w:r w:rsidR="00FC37B3" w:rsidRPr="00435469">
        <w:rPr>
          <w:rFonts w:cs="Times New Roman"/>
          <w:sz w:val="20"/>
          <w:szCs w:val="20"/>
        </w:rPr>
        <w:t>data includes age, we did not cali</w:t>
      </w:r>
      <w:r w:rsidR="0050499A" w:rsidRPr="00435469">
        <w:rPr>
          <w:rFonts w:cs="Times New Roman"/>
          <w:sz w:val="20"/>
          <w:szCs w:val="20"/>
        </w:rPr>
        <w:t>brate to age</w:t>
      </w:r>
      <w:r w:rsidR="00181D56" w:rsidRPr="00435469">
        <w:rPr>
          <w:rFonts w:cs="Times New Roman"/>
          <w:sz w:val="20"/>
          <w:szCs w:val="20"/>
        </w:rPr>
        <w:t xml:space="preserve">-stratified recorded </w:t>
      </w:r>
      <w:r w:rsidR="000B0DCE" w:rsidRPr="00435469">
        <w:rPr>
          <w:rFonts w:cs="Times New Roman"/>
          <w:sz w:val="20"/>
          <w:szCs w:val="20"/>
        </w:rPr>
        <w:t>TB cases</w:t>
      </w:r>
      <w:r w:rsidR="0050499A" w:rsidRPr="00435469">
        <w:rPr>
          <w:rFonts w:cs="Times New Roman"/>
          <w:sz w:val="20"/>
          <w:szCs w:val="20"/>
        </w:rPr>
        <w:t>.</w:t>
      </w:r>
      <w:r w:rsidRPr="00435469">
        <w:rPr>
          <w:rFonts w:cs="Times New Roman"/>
          <w:sz w:val="20"/>
          <w:szCs w:val="20"/>
        </w:rPr>
        <w:t xml:space="preserve"> </w:t>
      </w:r>
    </w:p>
    <w:p w14:paraId="35140B29" w14:textId="7D5FA16F" w:rsidR="00E25497" w:rsidRPr="00435469" w:rsidRDefault="006D3675" w:rsidP="00955FFB">
      <w:pPr>
        <w:pStyle w:val="1ParaFlushLeft"/>
        <w:spacing w:line="240" w:lineRule="auto"/>
        <w:rPr>
          <w:rFonts w:cs="Times New Roman"/>
          <w:sz w:val="20"/>
          <w:szCs w:val="20"/>
        </w:rPr>
      </w:pPr>
      <w:r w:rsidRPr="00435469">
        <w:rPr>
          <w:rFonts w:cs="Times New Roman"/>
          <w:sz w:val="20"/>
          <w:szCs w:val="20"/>
        </w:rPr>
        <w:t xml:space="preserve">We let </w:t>
      </w:r>
      <m:oMath>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g,t</m:t>
            </m:r>
          </m:sub>
        </m:sSub>
      </m:oMath>
      <w:r w:rsidRPr="00435469">
        <w:rPr>
          <w:rFonts w:cs="Times New Roman"/>
          <w:sz w:val="20"/>
          <w:szCs w:val="20"/>
        </w:rPr>
        <w:t xml:space="preserve"> represent the number of people initiated on TB treatment as recorded in the ETR, for individuals of sex </w:t>
      </w:r>
      <w:r w:rsidRPr="00435469">
        <w:rPr>
          <w:rFonts w:cs="Times New Roman"/>
          <w:i/>
          <w:iCs/>
          <w:sz w:val="20"/>
          <w:szCs w:val="20"/>
        </w:rPr>
        <w:t>g</w:t>
      </w:r>
      <w:r w:rsidRPr="00435469">
        <w:rPr>
          <w:rFonts w:cs="Times New Roman"/>
          <w:sz w:val="20"/>
          <w:szCs w:val="20"/>
        </w:rPr>
        <w:t xml:space="preserve">, </w:t>
      </w:r>
      <w:r w:rsidR="00BC7431" w:rsidRPr="00435469">
        <w:rPr>
          <w:rFonts w:cs="Times New Roman"/>
          <w:sz w:val="20"/>
          <w:szCs w:val="20"/>
        </w:rPr>
        <w:t xml:space="preserve">and </w:t>
      </w:r>
      <w:r w:rsidRPr="00435469">
        <w:rPr>
          <w:rFonts w:cs="Times New Roman"/>
          <w:sz w:val="20"/>
          <w:szCs w:val="20"/>
        </w:rPr>
        <w:t xml:space="preserve">each year </w:t>
      </w:r>
      <m:oMath>
        <m:r>
          <w:rPr>
            <w:rFonts w:ascii="Cambria Math" w:hAnsi="Cambria Math" w:cs="Times New Roman"/>
            <w:sz w:val="20"/>
            <w:szCs w:val="20"/>
          </w:rPr>
          <m:t>t</m:t>
        </m:r>
      </m:oMath>
      <w:r w:rsidR="00A27A20" w:rsidRPr="00435469">
        <w:rPr>
          <w:rFonts w:eastAsiaTheme="minorEastAsia" w:cs="Times New Roman"/>
          <w:sz w:val="20"/>
          <w:szCs w:val="20"/>
        </w:rPr>
        <w:t xml:space="preserve"> (</w:t>
      </w:r>
      <w:r w:rsidR="00A27A20" w:rsidRPr="00435469">
        <w:rPr>
          <w:rFonts w:eastAsiaTheme="minorEastAsia" w:cs="Times New Roman"/>
          <w:sz w:val="20"/>
          <w:szCs w:val="20"/>
        </w:rPr>
        <w:fldChar w:fldCharType="begin"/>
      </w:r>
      <w:r w:rsidR="00A27A20" w:rsidRPr="00435469">
        <w:rPr>
          <w:rFonts w:eastAsiaTheme="minorEastAsia" w:cs="Times New Roman"/>
          <w:sz w:val="20"/>
          <w:szCs w:val="20"/>
        </w:rPr>
        <w:instrText xml:space="preserve"> REF _Ref100004751 \h </w:instrText>
      </w:r>
      <w:r w:rsidR="00955FFB" w:rsidRPr="00435469">
        <w:rPr>
          <w:rFonts w:eastAsiaTheme="minorEastAsia" w:cs="Times New Roman"/>
          <w:sz w:val="20"/>
          <w:szCs w:val="20"/>
        </w:rPr>
        <w:instrText xml:space="preserve"> \* MERGEFORMAT </w:instrText>
      </w:r>
      <w:r w:rsidR="00A27A20" w:rsidRPr="00435469">
        <w:rPr>
          <w:rFonts w:eastAsiaTheme="minorEastAsia" w:cs="Times New Roman"/>
          <w:sz w:val="20"/>
          <w:szCs w:val="20"/>
        </w:rPr>
      </w:r>
      <w:r w:rsidR="00A27A20" w:rsidRPr="00435469">
        <w:rPr>
          <w:rFonts w:eastAsiaTheme="minorEastAsia" w:cs="Times New Roman"/>
          <w:sz w:val="20"/>
          <w:szCs w:val="20"/>
        </w:rPr>
        <w:fldChar w:fldCharType="separate"/>
      </w:r>
      <w:r w:rsidR="00186C2F" w:rsidRPr="00435469">
        <w:rPr>
          <w:sz w:val="20"/>
          <w:szCs w:val="20"/>
        </w:rPr>
        <w:t xml:space="preserve">Table </w:t>
      </w:r>
      <w:r w:rsidR="00186C2F" w:rsidRPr="00435469">
        <w:rPr>
          <w:noProof/>
          <w:sz w:val="20"/>
          <w:szCs w:val="20"/>
        </w:rPr>
        <w:t>23</w:t>
      </w:r>
      <w:r w:rsidR="00A27A20" w:rsidRPr="00435469">
        <w:rPr>
          <w:rFonts w:eastAsiaTheme="minorEastAsia" w:cs="Times New Roman"/>
          <w:sz w:val="20"/>
          <w:szCs w:val="20"/>
        </w:rPr>
        <w:fldChar w:fldCharType="end"/>
      </w:r>
      <w:r w:rsidR="00A27A20" w:rsidRPr="00435469">
        <w:rPr>
          <w:rFonts w:eastAsiaTheme="minorEastAsia" w:cs="Times New Roman"/>
          <w:sz w:val="20"/>
          <w:szCs w:val="20"/>
        </w:rPr>
        <w:t>).</w:t>
      </w:r>
      <w:r w:rsidR="00DB7457" w:rsidRPr="00435469">
        <w:rPr>
          <w:rFonts w:eastAsiaTheme="minorEastAsia" w:cs="Times New Roman"/>
          <w:sz w:val="20"/>
          <w:szCs w:val="20"/>
        </w:rPr>
        <w:t xml:space="preserve"> </w:t>
      </w:r>
      <w:r w:rsidRPr="00435469">
        <w:rPr>
          <w:rFonts w:cs="Times New Roman"/>
          <w:sz w:val="20"/>
          <w:szCs w:val="20"/>
        </w:rPr>
        <w:t>T</w:t>
      </w:r>
      <w:r w:rsidR="00C82E9A" w:rsidRPr="00435469">
        <w:rPr>
          <w:rFonts w:cs="Times New Roman"/>
          <w:sz w:val="20"/>
          <w:szCs w:val="20"/>
        </w:rPr>
        <w:t xml:space="preserve">hese </w:t>
      </w:r>
      <w:r w:rsidR="007C7C7B" w:rsidRPr="00435469">
        <w:rPr>
          <w:rFonts w:cs="Times New Roman"/>
          <w:sz w:val="20"/>
          <w:szCs w:val="20"/>
        </w:rPr>
        <w:t xml:space="preserve">ETR </w:t>
      </w:r>
      <w:r w:rsidR="00C82E9A" w:rsidRPr="00435469">
        <w:rPr>
          <w:rFonts w:cs="Times New Roman"/>
          <w:sz w:val="20"/>
          <w:szCs w:val="20"/>
        </w:rPr>
        <w:t>data a</w:t>
      </w:r>
      <w:r w:rsidR="007C7C7B" w:rsidRPr="00435469">
        <w:rPr>
          <w:rFonts w:cs="Times New Roman"/>
          <w:sz w:val="20"/>
          <w:szCs w:val="20"/>
        </w:rPr>
        <w:t>re subject to</w:t>
      </w:r>
      <w:r w:rsidRPr="00435469">
        <w:rPr>
          <w:rFonts w:cs="Times New Roman"/>
          <w:sz w:val="20"/>
          <w:szCs w:val="20"/>
        </w:rPr>
        <w:t xml:space="preserve"> </w:t>
      </w:r>
      <w:r w:rsidR="004B0375" w:rsidRPr="00435469">
        <w:rPr>
          <w:rFonts w:cs="Times New Roman"/>
          <w:sz w:val="20"/>
          <w:szCs w:val="20"/>
        </w:rPr>
        <w:t>biases</w:t>
      </w:r>
      <w:r w:rsidR="007A3614" w:rsidRPr="00435469">
        <w:rPr>
          <w:rFonts w:cs="Times New Roman"/>
          <w:sz w:val="20"/>
          <w:szCs w:val="20"/>
        </w:rPr>
        <w:t>. For instance</w:t>
      </w:r>
      <w:r w:rsidR="000438D7" w:rsidRPr="00435469">
        <w:rPr>
          <w:rFonts w:cs="Times New Roman"/>
          <w:sz w:val="20"/>
          <w:szCs w:val="20"/>
        </w:rPr>
        <w:t>,</w:t>
      </w:r>
      <w:r w:rsidR="007A3614" w:rsidRPr="00435469">
        <w:rPr>
          <w:rFonts w:cs="Times New Roman"/>
          <w:sz w:val="20"/>
          <w:szCs w:val="20"/>
        </w:rPr>
        <w:t xml:space="preserve"> </w:t>
      </w:r>
      <w:r w:rsidR="00F25E9B" w:rsidRPr="00435469">
        <w:rPr>
          <w:rFonts w:cs="Times New Roman"/>
          <w:sz w:val="20"/>
          <w:szCs w:val="20"/>
        </w:rPr>
        <w:t>there may be under</w:t>
      </w:r>
      <w:r w:rsidR="00214012" w:rsidRPr="00435469">
        <w:rPr>
          <w:rFonts w:cs="Times New Roman"/>
          <w:sz w:val="20"/>
          <w:szCs w:val="20"/>
        </w:rPr>
        <w:t xml:space="preserve">-reporting </w:t>
      </w:r>
      <w:r w:rsidR="000438D7" w:rsidRPr="00435469">
        <w:rPr>
          <w:rFonts w:cs="Times New Roman"/>
          <w:sz w:val="20"/>
          <w:szCs w:val="20"/>
        </w:rPr>
        <w:t xml:space="preserve">because </w:t>
      </w:r>
      <w:r w:rsidR="005D1915" w:rsidRPr="00435469">
        <w:rPr>
          <w:rFonts w:cs="Times New Roman"/>
          <w:sz w:val="20"/>
          <w:szCs w:val="20"/>
        </w:rPr>
        <w:t xml:space="preserve">in most cases the ETR does not include </w:t>
      </w:r>
      <w:r w:rsidR="0078570F" w:rsidRPr="00435469">
        <w:rPr>
          <w:rFonts w:cs="Times New Roman"/>
          <w:sz w:val="20"/>
          <w:szCs w:val="20"/>
        </w:rPr>
        <w:t>TB cases in tertiary care</w:t>
      </w:r>
      <w:r w:rsidR="00C171E5" w:rsidRPr="00435469">
        <w:rPr>
          <w:rFonts w:cs="Times New Roman"/>
          <w:sz w:val="20"/>
          <w:szCs w:val="20"/>
        </w:rPr>
        <w:t>,</w:t>
      </w:r>
      <w:r w:rsidR="006A6BA4" w:rsidRPr="00435469">
        <w:rPr>
          <w:sz w:val="20"/>
          <w:szCs w:val="20"/>
        </w:rPr>
        <w:t xml:space="preserve"> and</w:t>
      </w:r>
      <w:r w:rsidR="006F75AA" w:rsidRPr="00435469">
        <w:rPr>
          <w:sz w:val="20"/>
          <w:szCs w:val="20"/>
        </w:rPr>
        <w:t xml:space="preserve">, </w:t>
      </w:r>
      <w:r w:rsidR="001B4809" w:rsidRPr="00435469">
        <w:rPr>
          <w:sz w:val="20"/>
          <w:szCs w:val="20"/>
        </w:rPr>
        <w:t xml:space="preserve">the </w:t>
      </w:r>
      <w:r w:rsidR="006F75AA" w:rsidRPr="00435469">
        <w:rPr>
          <w:sz w:val="20"/>
          <w:szCs w:val="20"/>
        </w:rPr>
        <w:t>ETR only includes drug-sensitive TB</w:t>
      </w:r>
      <w:r w:rsidR="00CE67B6" w:rsidRPr="00435469">
        <w:rPr>
          <w:sz w:val="20"/>
          <w:szCs w:val="20"/>
        </w:rPr>
        <w:t xml:space="preserve"> </w:t>
      </w:r>
      <w:r w:rsidR="00CE67B6"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{"citationItems":[{"id":"ITEM-1","itemData":{"DOI":"10.1186/s12889-015-2117-3","ISBN":"1471-2458; 1471-2458","ISSN":"14712458","PMID":"26259599","abstract":"BACKGROUND: Accurate surveillance data are paramount to effective TB control. The Republic of South Africa's National TB Control Program (NTP) has conducted TB surveillance since 1995 and adopted the Electronic TB Register (ETR) in 2005. This evaluation aimed to determine the completeness and reliability of data in the Republic of South Africa's TB Surveillance System.\\n\\nMETHODS: Three of nine provinces, three subdistricts per province, and 54 health facilities were selected by stratified random sampling. At each facility, 30 (or all if &lt;30) patients diagnosed in Quarter 1 2009 were randomly selected for review. Patient information was evaluated across two paper and four electronic sources. Completeness of program indicators between paper and electronic sources was compared with chi-square tests. The kappa statistic was used to evaluate agreement of values.\\n\\nRESULTS: Over one-third (33.7 %) of all persons with presumptive TB recorded as smear positive in the TB Suspect Register did not have any records documenting notification, treatment, or management for TB disease. Of 1339 persons with a record as a TB patient at the facility, 1077 (80 %) were recorded in all data sources. Over 98 % of records contained complete age and sex data. Completeness varied for HIV status (53-86 %; p &lt; 0.001) and DOT during the intensive phase of treatment (17-54 %; p &lt; 0.001). Agreement for sex was excellent across sources (kappa 0.94); moderate for patient type (0.78), treatment regimen (0.79), treatment outcome (0.71); and poor for HIV status (0.33).\\n\\nCONCLUSIONS: The current evaluation revealed that one-third of persons diagnosed with TB disease may not have been notified of their disease or initiated on treatment ('initial defaulters'). The ETR is not capturing all TB patients. Further, among patients with a TB record, completeness and reliability of information in the TB Surveillance System is inconsistent across data sources. Actions are urgently needed to ensure that all diagnosed patients are treated and managed and improve the integrity of surveillance information.","author":[{"dropping-particle":"","family":"Podewils","given":"Laura Jean","non-dropping-particle":"","parse-names":false,"suffix":""},{"dropping-particle":"","family":"Bantubani","given":"Nonkqubela","non-dropping-particle":"","parse-names":false,"suffix":""},{"dropping-particle":"","family":"Bristow","given":"Claire","non-dropping-particle":"","parse-names":false,"suffix":""},{"dropping-particle":"","family":"Bronner","given":"Liza E.","non-dropping-particle":"","parse-names":false,"suffix":""},{"dropping-particle":"","family":"Peters","given":"Annatjie","non-dropping-particle":"","parse-names":false,"suffix":""},{"dropping-particle":"","family":"Pym","given":"Alexander","non-dropping-particle":"","parse-names":false,"suffix":""},{"dropping-particle":"","family":"Mametja","given":"Lerole David","non-dropping-particle":"","parse-names":false,"suffix":""}],"container-title":"BMC Public Health","id":"ITEM-1","issue":"1","issued":{"date-parts":[["2015"]]},"page":"1-11","publisher":"BMC Public Health","title":"Completeness and Reliability of the Republic of South Africa National Tuberculosis (TB) Surveillance System","type":"article-journal","volume":"15"},"uris":["http://www.mendeley.com/documents/?uuid=92ad94d5-a088-4779-a69a-27d1107f37d2"]},{"id":"ITEM-2","itemData":{"DOI":"10.1080/16549716.2017.1360560","ISSN":"16549880","abstract":"Background: Tuberculosis (TB) surveillance data are crucial to the effectiveness of National TB Control Programs. In South Africa, few surveillance system evaluations have been undertaken to provide a rigorous assessment of the platform from which the national and district health systems draws data to inform programs and policies. Objective: Evaluate the attributes of Eden District's TB surveillance system, Western Cape Province, South Africa. Methods: Data quality, sensitivity and positive predictive value were assessed using secondary data from 40,033 TB cases entered in Eden District's ETR.Net from 2007 to 2013, and 79 purposively selected TB Blue Cards (TBCs), a medical patient file and source document for data entered into ETR.Net. Simplicity, flexibility, acceptability, stability and usefulness of the ETR.Net were assessed qualitatively through interviews with TB nurses, information health officers, sub-district and district coordinators involved in the TB surveillance. Results: TB surveillance system stakeholders report that Eden District's ETR.Net system was simple, acceptable, flexible and stable, and achieves its objective of informing TB control program, policies and activities. Data were less complete in the ETR.Net (66–100%) than in the TBCs (76–100%), and concordant for most variables except pre-treatment smear results, antiretroviral therapy (ART) and treatment outcome. The sensitivity of recorded variables in ETR.Net was 98% for gender, 97% for patient category, 93% for ART, 92% for treatment outcome and 90% for pre-treatment smear grading. Conclusions: Our results reveal that the system provides useful information to guide TB control program activities in Eden District. However, urgent attention is needed to address gaps in clinical recording on the TBC and data capturing into the ETR.Net system. We recommend continuous training and support of TB personnel involved with TB care, management and surveillance on TB data recording into the TBCs and ETR.Net as well as the implementation of a well-structured quality control and assurance system.","author":[{"dropping-particle":"","family":"Mlotshwa","given":"Mandla","non-dropping-particle":"","parse-names":false,"suffix":""},{"dropping-particle":"","family":"Smit","given":"Sandra","non-dropping-particle":"","parse-names":false,"suffix":""},{"dropping-particle":"","family":"Williams","given":"Seymour","non-dropping-particle":"","parse-names":false,"suffix":""},{"dropping-particle":"","family":"Reddy","given":"Carl","non-dropping-particle":"","parse-names":false,"suffix":""},{"dropping-particle":"","family":"Medina-Marino","given":"Andrew","non-dropping-particle":"","parse-names":false,"suffix":""}],"container-title":"Global Health Action","id":"ITEM-2","issue":"1","issued":{"date-parts":[["2017"]]},"publisher":"Taylor &amp; Francis","title":"Evaluating the electronic tuberculosis register surveillance system in Eden District, Western Cape, South Africa, 2015","type":"article-journal","volume":"10"},"uris":["http://www.mendeley.com/documents/?uuid=88e48172-c47a-4333-a354-f7f3485102af"]}],"mendeley":{"formattedCitation":"(126,128)","plainTextFormattedCitation":"(126,128)","previouslyFormattedCitation":"(126,128)"},"properties":{"noteIndex":0},"schema":"https://github.com/citation-style-language/schema/raw/master/csl-citation.json"}</w:instrText>
      </w:r>
      <w:r w:rsidR="00CE67B6" w:rsidRPr="00435469">
        <w:rPr>
          <w:rFonts w:cs="Times New Roman"/>
          <w:sz w:val="20"/>
          <w:szCs w:val="20"/>
        </w:rPr>
        <w:fldChar w:fldCharType="separate"/>
      </w:r>
      <w:r w:rsidR="0016391D" w:rsidRPr="00435469">
        <w:rPr>
          <w:rFonts w:cs="Times New Roman"/>
          <w:noProof/>
          <w:sz w:val="20"/>
          <w:szCs w:val="20"/>
        </w:rPr>
        <w:t>(126,128)</w:t>
      </w:r>
      <w:r w:rsidR="00CE67B6" w:rsidRPr="00435469">
        <w:rPr>
          <w:rFonts w:cs="Times New Roman"/>
          <w:sz w:val="20"/>
          <w:szCs w:val="20"/>
        </w:rPr>
        <w:fldChar w:fldCharType="end"/>
      </w:r>
      <w:r w:rsidR="00CE67B6" w:rsidRPr="00435469">
        <w:rPr>
          <w:sz w:val="20"/>
          <w:szCs w:val="20"/>
        </w:rPr>
        <w:t>.</w:t>
      </w:r>
      <w:r w:rsidR="001B4809" w:rsidRPr="00435469">
        <w:rPr>
          <w:sz w:val="20"/>
          <w:szCs w:val="20"/>
        </w:rPr>
        <w:t xml:space="preserve"> </w:t>
      </w:r>
      <w:r w:rsidR="00C171E5" w:rsidRPr="00435469">
        <w:rPr>
          <w:sz w:val="20"/>
          <w:szCs w:val="20"/>
        </w:rPr>
        <w:t>Also, t</w:t>
      </w:r>
      <w:r w:rsidR="001B4809" w:rsidRPr="00435469">
        <w:rPr>
          <w:sz w:val="20"/>
          <w:szCs w:val="20"/>
        </w:rPr>
        <w:t>he E</w:t>
      </w:r>
      <w:r w:rsidR="006F75AA" w:rsidRPr="00435469">
        <w:rPr>
          <w:sz w:val="20"/>
          <w:szCs w:val="20"/>
        </w:rPr>
        <w:t>TR does</w:t>
      </w:r>
      <w:r w:rsidR="001B4809" w:rsidRPr="00435469">
        <w:rPr>
          <w:sz w:val="20"/>
          <w:szCs w:val="20"/>
        </w:rPr>
        <w:t xml:space="preserve"> not include TB</w:t>
      </w:r>
      <w:r w:rsidR="006F75AA" w:rsidRPr="00435469">
        <w:rPr>
          <w:sz w:val="20"/>
          <w:szCs w:val="20"/>
        </w:rPr>
        <w:t xml:space="preserve"> cases treated in the private sector</w:t>
      </w:r>
      <w:r w:rsidR="00B03676" w:rsidRPr="00435469">
        <w:rPr>
          <w:sz w:val="20"/>
          <w:szCs w:val="20"/>
        </w:rPr>
        <w:t>;</w:t>
      </w:r>
      <w:r w:rsidR="003A5D6E" w:rsidRPr="00435469">
        <w:rPr>
          <w:sz w:val="20"/>
          <w:szCs w:val="20"/>
        </w:rPr>
        <w:t xml:space="preserve"> </w:t>
      </w:r>
      <w:r w:rsidR="006F2613" w:rsidRPr="00435469">
        <w:rPr>
          <w:sz w:val="20"/>
          <w:szCs w:val="20"/>
        </w:rPr>
        <w:t>it is estimated that</w:t>
      </w:r>
      <w:r w:rsidR="002D68A1" w:rsidRPr="00435469">
        <w:rPr>
          <w:sz w:val="20"/>
          <w:szCs w:val="20"/>
        </w:rPr>
        <w:t xml:space="preserve"> approximately </w:t>
      </w:r>
      <w:r w:rsidR="00E41535" w:rsidRPr="00435469">
        <w:rPr>
          <w:sz w:val="20"/>
          <w:szCs w:val="20"/>
        </w:rPr>
        <w:t>8</w:t>
      </w:r>
      <w:r w:rsidR="002D68A1" w:rsidRPr="00435469">
        <w:rPr>
          <w:sz w:val="20"/>
          <w:szCs w:val="20"/>
        </w:rPr>
        <w:t>% of</w:t>
      </w:r>
      <w:r w:rsidR="006A28DD" w:rsidRPr="00435469">
        <w:rPr>
          <w:sz w:val="20"/>
          <w:szCs w:val="20"/>
        </w:rPr>
        <w:t xml:space="preserve"> symptomatic TB cases who s</w:t>
      </w:r>
      <w:r w:rsidR="006F2613" w:rsidRPr="00435469">
        <w:rPr>
          <w:sz w:val="20"/>
          <w:szCs w:val="20"/>
        </w:rPr>
        <w:t>eek</w:t>
      </w:r>
      <w:r w:rsidR="006A28DD" w:rsidRPr="00435469">
        <w:rPr>
          <w:sz w:val="20"/>
          <w:szCs w:val="20"/>
        </w:rPr>
        <w:t xml:space="preserve"> treatment</w:t>
      </w:r>
      <w:r w:rsidR="006F2613" w:rsidRPr="00435469">
        <w:rPr>
          <w:sz w:val="20"/>
          <w:szCs w:val="20"/>
        </w:rPr>
        <w:t>,</w:t>
      </w:r>
      <w:r w:rsidR="004D01A8" w:rsidRPr="00435469">
        <w:rPr>
          <w:sz w:val="20"/>
          <w:szCs w:val="20"/>
        </w:rPr>
        <w:t xml:space="preserve"> seek in the</w:t>
      </w:r>
      <w:r w:rsidR="006A28DD" w:rsidRPr="00435469">
        <w:rPr>
          <w:sz w:val="20"/>
          <w:szCs w:val="20"/>
        </w:rPr>
        <w:t xml:space="preserve"> </w:t>
      </w:r>
      <w:r w:rsidR="004D01A8" w:rsidRPr="00435469">
        <w:rPr>
          <w:sz w:val="20"/>
          <w:szCs w:val="20"/>
        </w:rPr>
        <w:t xml:space="preserve">private sector </w:t>
      </w:r>
      <w:r w:rsidR="006A28DD" w:rsidRPr="00435469">
        <w:rPr>
          <w:sz w:val="20"/>
          <w:szCs w:val="20"/>
        </w:rPr>
        <w:fldChar w:fldCharType="begin" w:fldLock="1"/>
      </w:r>
      <w:r w:rsidR="002F049E" w:rsidRPr="00435469">
        <w:rPr>
          <w:sz w:val="20"/>
          <w:szCs w:val="20"/>
        </w:rPr>
        <w:instrText>ADDIN CSL_CITATION {"citationItems":[{"id":"ITEM-1","itemData":{"DOI":"10.1080/1560221031000112230","ISSN":"1560-2214","author":[{"dropping-particle":"","family":"Department of Health","given":"","non-dropping-particle":"","parse-names":false,"suffix":""}],"id":"ITEM-1","issued":{"date-parts":[["2021"]]},"publisher-place":"Pretoria, South Africa","title":"The First National Tuberculosis Prevalence Survey: South Africa 2018","type":"report"},"uris":["http://www.mendeley.com/documents/?uuid=7c5ac305-ecca-436d-afad-2436630ed1ec"]}],"mendeley":{"formattedCitation":"(48)","plainTextFormattedCitation":"(48)","previouslyFormattedCitation":"(48)"},"properties":{"noteIndex":0},"schema":"https://github.com/citation-style-language/schema/raw/master/csl-citation.json"}</w:instrText>
      </w:r>
      <w:r w:rsidR="006A28DD" w:rsidRPr="00435469">
        <w:rPr>
          <w:sz w:val="20"/>
          <w:szCs w:val="20"/>
        </w:rPr>
        <w:fldChar w:fldCharType="separate"/>
      </w:r>
      <w:r w:rsidR="0063047A" w:rsidRPr="00435469">
        <w:rPr>
          <w:noProof/>
          <w:sz w:val="20"/>
          <w:szCs w:val="20"/>
        </w:rPr>
        <w:t>(48)</w:t>
      </w:r>
      <w:r w:rsidR="006A28DD" w:rsidRPr="00435469">
        <w:rPr>
          <w:sz w:val="20"/>
          <w:szCs w:val="20"/>
        </w:rPr>
        <w:fldChar w:fldCharType="end"/>
      </w:r>
      <w:r w:rsidR="00F60470" w:rsidRPr="00435469">
        <w:rPr>
          <w:rFonts w:cs="Times New Roman"/>
          <w:sz w:val="20"/>
          <w:szCs w:val="20"/>
        </w:rPr>
        <w:t xml:space="preserve">. </w:t>
      </w:r>
      <w:r w:rsidR="00752D92" w:rsidRPr="00435469">
        <w:rPr>
          <w:rFonts w:cs="Times New Roman"/>
          <w:sz w:val="20"/>
          <w:szCs w:val="20"/>
        </w:rPr>
        <w:t>W</w:t>
      </w:r>
      <w:r w:rsidRPr="00435469">
        <w:rPr>
          <w:rFonts w:cs="Times New Roman"/>
          <w:sz w:val="20"/>
          <w:szCs w:val="20"/>
        </w:rPr>
        <w:t xml:space="preserve">e </w:t>
      </w:r>
      <w:r w:rsidR="00752D92" w:rsidRPr="00435469">
        <w:rPr>
          <w:rFonts w:cs="Times New Roman"/>
          <w:sz w:val="20"/>
          <w:szCs w:val="20"/>
        </w:rPr>
        <w:t xml:space="preserve">therefore </w:t>
      </w:r>
      <w:r w:rsidRPr="00435469">
        <w:rPr>
          <w:rFonts w:cs="Times New Roman"/>
          <w:sz w:val="20"/>
          <w:szCs w:val="20"/>
        </w:rPr>
        <w:t xml:space="preserve">apply an adjustment factor </w:t>
      </w:r>
      <m:oMath>
        <m:r>
          <w:rPr>
            <w:rFonts w:ascii="Cambria Math" w:hAnsi="Cambria Math" w:cs="Times New Roman"/>
            <w:sz w:val="20"/>
            <w:szCs w:val="20"/>
          </w:rPr>
          <m:t>(γ</m:t>
        </m:r>
        <m:r>
          <m:rPr>
            <m:sty m:val="p"/>
          </m:rPr>
          <w:rPr>
            <w:rFonts w:ascii="Cambria Math" w:hAnsi="Cambria Math" w:cs="Times New Roman"/>
            <w:sz w:val="20"/>
            <w:szCs w:val="20"/>
          </w:rPr>
          <m:t>)</m:t>
        </m:r>
      </m:oMath>
      <w:r w:rsidRPr="00435469">
        <w:rPr>
          <w:rFonts w:cs="Times New Roman"/>
          <w:sz w:val="20"/>
          <w:szCs w:val="20"/>
        </w:rPr>
        <w:t xml:space="preserve"> </w:t>
      </w:r>
      <w:r w:rsidR="00E80983" w:rsidRPr="00435469">
        <w:rPr>
          <w:rFonts w:cs="Times New Roman"/>
          <w:sz w:val="20"/>
          <w:szCs w:val="20"/>
        </w:rPr>
        <w:t xml:space="preserve">defined </w:t>
      </w:r>
      <w:r w:rsidRPr="00435469">
        <w:rPr>
          <w:rFonts w:cs="Times New Roman"/>
          <w:sz w:val="20"/>
          <w:szCs w:val="20"/>
        </w:rPr>
        <w:t xml:space="preserve">as </w:t>
      </w:r>
      <w:r w:rsidR="00E80983" w:rsidRPr="00435469">
        <w:rPr>
          <w:rFonts w:cs="Times New Roman"/>
          <w:sz w:val="20"/>
          <w:szCs w:val="20"/>
        </w:rPr>
        <w:t xml:space="preserve">the </w:t>
      </w:r>
      <w:r w:rsidRPr="00435469">
        <w:rPr>
          <w:rFonts w:cs="Times New Roman"/>
          <w:sz w:val="20"/>
          <w:szCs w:val="20"/>
        </w:rPr>
        <w:t>ratio</w:t>
      </w:r>
      <w:r w:rsidR="003D2666" w:rsidRPr="00435469">
        <w:rPr>
          <w:rFonts w:cs="Times New Roman"/>
          <w:sz w:val="20"/>
          <w:szCs w:val="20"/>
        </w:rPr>
        <w:t xml:space="preserve"> of</w:t>
      </w:r>
      <w:r w:rsidRPr="00435469">
        <w:rPr>
          <w:rFonts w:cs="Times New Roman"/>
          <w:sz w:val="20"/>
          <w:szCs w:val="20"/>
        </w:rPr>
        <w:t xml:space="preserve"> the </w:t>
      </w:r>
      <w:r w:rsidR="00E80983" w:rsidRPr="00435469">
        <w:rPr>
          <w:rFonts w:cs="Times New Roman"/>
          <w:sz w:val="20"/>
          <w:szCs w:val="20"/>
        </w:rPr>
        <w:t>true</w:t>
      </w:r>
      <w:r w:rsidRPr="00435469">
        <w:rPr>
          <w:rFonts w:cs="Times New Roman"/>
          <w:sz w:val="20"/>
          <w:szCs w:val="20"/>
        </w:rPr>
        <w:t xml:space="preserve"> number of TB cases receiving treatment to the number</w:t>
      </w:r>
      <w:r w:rsidR="0007053B" w:rsidRPr="00435469">
        <w:rPr>
          <w:rFonts w:cs="Times New Roman"/>
          <w:sz w:val="20"/>
          <w:szCs w:val="20"/>
        </w:rPr>
        <w:t xml:space="preserve"> of</w:t>
      </w:r>
      <w:r w:rsidR="006D7038" w:rsidRPr="00435469">
        <w:rPr>
          <w:rFonts w:cs="Times New Roman"/>
          <w:sz w:val="20"/>
          <w:szCs w:val="20"/>
        </w:rPr>
        <w:t xml:space="preserve"> TB cases</w:t>
      </w:r>
      <w:r w:rsidRPr="00435469">
        <w:rPr>
          <w:rFonts w:cs="Times New Roman"/>
          <w:sz w:val="20"/>
          <w:szCs w:val="20"/>
        </w:rPr>
        <w:t xml:space="preserve"> recorded in the ETR. We let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D</m:t>
            </m:r>
            <m:ctrlPr>
              <w:rPr>
                <w:rFonts w:ascii="Cambria Math" w:hAnsi="Cambria Math" w:cs="Times New Roman"/>
                <w:sz w:val="20"/>
                <w:szCs w:val="20"/>
              </w:rPr>
            </m:ctrlPr>
          </m:e>
          <m:sub>
            <m:r>
              <w:rPr>
                <w:rFonts w:ascii="Cambria Math" w:hAnsi="Cambria Math" w:cs="Times New Roman"/>
                <w:sz w:val="20"/>
                <w:szCs w:val="20"/>
              </w:rPr>
              <m:t>g,t</m:t>
            </m:r>
          </m:sub>
        </m:sSub>
        <m:d>
          <m:dPr>
            <m:ctrlPr>
              <w:rPr>
                <w:rFonts w:ascii="Cambria Math" w:hAnsi="Cambria Math" w:cs="Times New Roman"/>
                <w:i/>
                <w:sz w:val="20"/>
                <w:szCs w:val="20"/>
              </w:rPr>
            </m:ctrlPr>
          </m:dPr>
          <m:e>
            <m:r>
              <w:rPr>
                <w:rFonts w:ascii="Cambria Math" w:hAnsi="Cambria Math" w:cs="Times New Roman"/>
                <w:sz w:val="20"/>
                <w:szCs w:val="20"/>
              </w:rPr>
              <m:t>ϕ</m:t>
            </m:r>
          </m:e>
        </m:d>
      </m:oMath>
      <w:r w:rsidRPr="00435469">
        <w:rPr>
          <w:rFonts w:cs="Times New Roman"/>
          <w:sz w:val="20"/>
          <w:szCs w:val="20"/>
        </w:rPr>
        <w:t xml:space="preserve"> represent </w:t>
      </w:r>
      <w:r w:rsidRPr="00435469">
        <w:rPr>
          <w:rFonts w:cs="Times New Roman"/>
          <w:sz w:val="20"/>
          <w:szCs w:val="20"/>
        </w:rPr>
        <w:lastRenderedPageBreak/>
        <w:t xml:space="preserve">the model estimate for the numbers of people initiated on TB treatment for individuals with sex </w:t>
      </w:r>
      <m:oMath>
        <m:r>
          <w:rPr>
            <w:rFonts w:ascii="Cambria Math" w:hAnsi="Cambria Math" w:cs="Times New Roman"/>
            <w:sz w:val="20"/>
            <w:szCs w:val="20"/>
          </w:rPr>
          <m:t>g</m:t>
        </m:r>
      </m:oMath>
      <w:r w:rsidR="00120A47" w:rsidRPr="00435469">
        <w:rPr>
          <w:rFonts w:cs="Times New Roman"/>
          <w:sz w:val="20"/>
          <w:szCs w:val="20"/>
        </w:rPr>
        <w:t xml:space="preserve">, </w:t>
      </w:r>
      <w:r w:rsidR="00AA3003" w:rsidRPr="00435469">
        <w:rPr>
          <w:rFonts w:cs="Times New Roman"/>
          <w:sz w:val="20"/>
          <w:szCs w:val="20"/>
        </w:rPr>
        <w:t xml:space="preserve">in </w:t>
      </w:r>
      <w:r w:rsidRPr="00435469">
        <w:rPr>
          <w:rFonts w:cs="Times New Roman"/>
          <w:sz w:val="20"/>
          <w:szCs w:val="20"/>
        </w:rPr>
        <w:t xml:space="preserve">year </w:t>
      </w:r>
      <m:oMath>
        <m:r>
          <w:rPr>
            <w:rFonts w:ascii="Cambria Math" w:hAnsi="Cambria Math" w:cs="Times New Roman"/>
            <w:sz w:val="20"/>
            <w:szCs w:val="20"/>
          </w:rPr>
          <m:t>t</m:t>
        </m:r>
      </m:oMath>
      <w:r w:rsidRPr="00435469">
        <w:rPr>
          <w:rFonts w:cs="Times New Roman"/>
          <w:sz w:val="20"/>
          <w:szCs w:val="20"/>
        </w:rPr>
        <w:t xml:space="preserve">; </w:t>
      </w:r>
      <w:r w:rsidR="00AA3003" w:rsidRPr="00435469">
        <w:rPr>
          <w:rFonts w:cs="Times New Roman"/>
          <w:sz w:val="20"/>
          <w:szCs w:val="20"/>
        </w:rPr>
        <w:t xml:space="preserve">where </w:t>
      </w:r>
      <m:oMath>
        <m:r>
          <m:rPr>
            <m:sty m:val="bi"/>
          </m:rPr>
          <w:rPr>
            <w:rFonts w:ascii="Cambria Math" w:hAnsi="Cambria Math" w:cs="Times New Roman"/>
            <w:sz w:val="20"/>
            <w:szCs w:val="20"/>
          </w:rPr>
          <m:t>ϕ</m:t>
        </m:r>
      </m:oMath>
      <w:r w:rsidRPr="00435469">
        <w:rPr>
          <w:rFonts w:cs="Times New Roman"/>
          <w:sz w:val="20"/>
          <w:szCs w:val="20"/>
        </w:rPr>
        <w:t xml:space="preserve"> represents the set of input parameters values.</w:t>
      </w:r>
      <w:r w:rsidR="005D2DFB" w:rsidRPr="00435469">
        <w:rPr>
          <w:rFonts w:cs="Times New Roman"/>
          <w:sz w:val="20"/>
          <w:szCs w:val="20"/>
        </w:rPr>
        <w:t xml:space="preserve"> </w:t>
      </w:r>
      <w:r w:rsidR="00E25497" w:rsidRPr="00435469">
        <w:rPr>
          <w:sz w:val="20"/>
          <w:szCs w:val="20"/>
        </w:rPr>
        <w:t xml:space="preserve">We </w:t>
      </w:r>
      <w:r w:rsidR="005D2DFB" w:rsidRPr="00435469">
        <w:rPr>
          <w:sz w:val="20"/>
          <w:szCs w:val="20"/>
        </w:rPr>
        <w:t xml:space="preserve">then </w:t>
      </w:r>
      <w:r w:rsidR="00E25497" w:rsidRPr="00435469">
        <w:rPr>
          <w:sz w:val="20"/>
          <w:szCs w:val="20"/>
        </w:rPr>
        <w:t xml:space="preserve">estimated </w:t>
      </w:r>
      <m:oMath>
        <m:r>
          <w:rPr>
            <w:rFonts w:ascii="Cambria Math" w:hAnsi="Cambria Math" w:cs="Times New Roman"/>
            <w:sz w:val="20"/>
            <w:szCs w:val="20"/>
          </w:rPr>
          <m:t>γ</m:t>
        </m:r>
      </m:oMath>
      <w:r w:rsidR="00E25497" w:rsidRPr="00435469">
        <w:rPr>
          <w:rFonts w:eastAsiaTheme="minorEastAsia"/>
          <w:sz w:val="20"/>
          <w:szCs w:val="20"/>
        </w:rPr>
        <w:t xml:space="preserve"> as follows</w:t>
      </w:r>
    </w:p>
    <w:p w14:paraId="0AB04726" w14:textId="54380B9B" w:rsidR="000972A3" w:rsidRPr="00435469" w:rsidRDefault="00B116AB" w:rsidP="00955FFB">
      <w:pPr>
        <w:pStyle w:val="1Para"/>
        <w:spacing w:line="240" w:lineRule="auto"/>
        <w:ind w:left="720" w:firstLine="0"/>
        <w:rPr>
          <w:rFonts w:eastAsiaTheme="minorEastAsia"/>
          <w:sz w:val="20"/>
          <w:szCs w:val="20"/>
        </w:rPr>
      </w:pPr>
      <m:oMathPara>
        <m:oMath>
          <m:r>
            <w:rPr>
              <w:rFonts w:ascii="Cambria Math" w:hAnsi="Cambria Math" w:cs="Times New Roman"/>
              <w:sz w:val="20"/>
              <w:szCs w:val="20"/>
            </w:rPr>
            <m:t>γ</m:t>
          </m:r>
          <m:r>
            <w:rPr>
              <w:rFonts w:ascii="Cambria Math" w:eastAsiaTheme="minorEastAsia" w:hAnsi="Cambria Math" w:cs="Times New Roman"/>
              <w:sz w:val="20"/>
              <w:szCs w:val="20"/>
            </w:rPr>
            <m:t xml:space="preserve">= </m:t>
          </m:r>
          <m:f>
            <m:fPr>
              <m:ctrlPr>
                <w:rPr>
                  <w:rFonts w:ascii="Cambria Math" w:hAnsi="Cambria Math" w:cs="Times New Roman"/>
                  <w:i/>
                  <w:sz w:val="20"/>
                  <w:szCs w:val="20"/>
                </w:rPr>
              </m:ctrlPr>
            </m:fPr>
            <m:num>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t</m:t>
                      </m:r>
                    </m:sub>
                    <m:sup/>
                    <m:e>
                      <m:sSub>
                        <m:sSubPr>
                          <m:ctrlPr>
                            <w:rPr>
                              <w:rFonts w:ascii="Cambria Math" w:hAnsi="Cambria Math" w:cs="Times New Roman"/>
                              <w:i/>
                              <w:sz w:val="20"/>
                              <w:szCs w:val="20"/>
                            </w:rPr>
                          </m:ctrlPr>
                        </m:sSubPr>
                        <m:e>
                          <m:r>
                            <w:rPr>
                              <w:rFonts w:ascii="Cambria Math" w:hAnsi="Cambria Math" w:cs="Times New Roman"/>
                              <w:sz w:val="20"/>
                              <w:szCs w:val="20"/>
                            </w:rPr>
                            <m:t>D</m:t>
                          </m:r>
                          <m:ctrlPr>
                            <w:rPr>
                              <w:rFonts w:ascii="Cambria Math" w:hAnsi="Cambria Math" w:cs="Times New Roman"/>
                              <w:sz w:val="20"/>
                              <w:szCs w:val="20"/>
                            </w:rPr>
                          </m:ctrlPr>
                        </m:e>
                        <m:sub>
                          <m:r>
                            <w:rPr>
                              <w:rFonts w:ascii="Cambria Math" w:hAnsi="Cambria Math" w:cs="Times New Roman"/>
                              <w:sz w:val="20"/>
                              <w:szCs w:val="20"/>
                            </w:rPr>
                            <m:t>g,t</m:t>
                          </m:r>
                        </m:sub>
                      </m:sSub>
                    </m:e>
                  </m:nary>
                </m:e>
              </m:nary>
            </m:num>
            <m:den>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t</m:t>
                      </m:r>
                    </m:sub>
                    <m:sup/>
                    <m:e>
                      <m:sSub>
                        <m:sSubPr>
                          <m:ctrlPr>
                            <w:rPr>
                              <w:rFonts w:ascii="Cambria Math" w:hAnsi="Cambria Math" w:cs="Times New Roman"/>
                              <w:i/>
                              <w:sz w:val="20"/>
                              <w:szCs w:val="20"/>
                            </w:rPr>
                          </m:ctrlPr>
                        </m:sSubPr>
                        <m:e>
                          <m:r>
                            <w:rPr>
                              <w:rFonts w:ascii="Cambria Math" w:hAnsi="Cambria Math" w:cs="Times New Roman"/>
                              <w:sz w:val="20"/>
                              <w:szCs w:val="20"/>
                            </w:rPr>
                            <m:t>E</m:t>
                          </m:r>
                          <m:ctrlPr>
                            <w:rPr>
                              <w:rFonts w:ascii="Cambria Math" w:hAnsi="Cambria Math" w:cs="Times New Roman"/>
                              <w:sz w:val="20"/>
                              <w:szCs w:val="20"/>
                            </w:rPr>
                          </m:ctrlPr>
                        </m:e>
                        <m:sub>
                          <m:r>
                            <w:rPr>
                              <w:rFonts w:ascii="Cambria Math" w:hAnsi="Cambria Math" w:cs="Times New Roman"/>
                              <w:sz w:val="20"/>
                              <w:szCs w:val="20"/>
                            </w:rPr>
                            <m:t>g,t</m:t>
                          </m:r>
                        </m:sub>
                      </m:sSub>
                    </m:e>
                  </m:nary>
                </m:e>
              </m:nary>
            </m:den>
          </m:f>
        </m:oMath>
      </m:oMathPara>
    </w:p>
    <w:p w14:paraId="40038540" w14:textId="4EAAAC9C" w:rsidR="00601B77" w:rsidRPr="00435469" w:rsidRDefault="00866B4F" w:rsidP="00955FFB">
      <w:pPr>
        <w:pStyle w:val="1Para"/>
        <w:spacing w:line="240" w:lineRule="auto"/>
        <w:ind w:firstLine="0"/>
        <w:rPr>
          <w:rFonts w:cs="Times New Roman"/>
          <w:sz w:val="20"/>
          <w:szCs w:val="20"/>
        </w:rPr>
      </w:pPr>
      <w:r w:rsidRPr="00435469">
        <w:rPr>
          <w:rFonts w:cs="Times New Roman"/>
          <w:sz w:val="20"/>
          <w:szCs w:val="20"/>
        </w:rPr>
        <w:t>We restricted the factor</w:t>
      </w:r>
      <w:r w:rsidR="00F427E1" w:rsidRPr="00435469">
        <w:rPr>
          <w:rFonts w:cs="Times New Roman"/>
          <w:sz w:val="20"/>
          <w:szCs w:val="20"/>
        </w:rPr>
        <w:t xml:space="preserve"> </w:t>
      </w:r>
      <m:oMath>
        <m:r>
          <w:rPr>
            <w:rFonts w:ascii="Cambria Math" w:hAnsi="Cambria Math" w:cs="Times New Roman"/>
            <w:sz w:val="20"/>
            <w:szCs w:val="20"/>
          </w:rPr>
          <m:t>γ</m:t>
        </m:r>
      </m:oMath>
      <w:r w:rsidRPr="00435469">
        <w:rPr>
          <w:rFonts w:cs="Times New Roman"/>
          <w:sz w:val="20"/>
          <w:szCs w:val="20"/>
        </w:rPr>
        <w:t xml:space="preserve"> to range between </w:t>
      </w:r>
      <w:r w:rsidR="00370D19" w:rsidRPr="00435469">
        <w:rPr>
          <w:rFonts w:cs="Times New Roman"/>
          <w:sz w:val="20"/>
          <w:szCs w:val="20"/>
        </w:rPr>
        <w:t xml:space="preserve">1.0 and 1.3 based on the studies which have attempted to </w:t>
      </w:r>
      <w:r w:rsidR="00D56128" w:rsidRPr="00435469">
        <w:rPr>
          <w:rFonts w:cs="Times New Roman"/>
          <w:sz w:val="20"/>
          <w:szCs w:val="20"/>
        </w:rPr>
        <w:t>estimate</w:t>
      </w:r>
      <w:r w:rsidR="00370D19" w:rsidRPr="00435469">
        <w:rPr>
          <w:rFonts w:cs="Times New Roman"/>
          <w:sz w:val="20"/>
          <w:szCs w:val="20"/>
        </w:rPr>
        <w:t xml:space="preserve"> the ETR data bias</w:t>
      </w:r>
      <w:r w:rsidR="00BC3832" w:rsidRPr="00435469">
        <w:rPr>
          <w:rFonts w:cs="Times New Roman"/>
          <w:sz w:val="20"/>
          <w:szCs w:val="20"/>
        </w:rPr>
        <w:t xml:space="preserve"> </w:t>
      </w:r>
      <w:r w:rsidR="00BC3832" w:rsidRPr="00435469">
        <w:rPr>
          <w:rFonts w:cs="Times New Roman"/>
          <w:sz w:val="20"/>
          <w:szCs w:val="20"/>
        </w:rPr>
        <w:fldChar w:fldCharType="begin" w:fldLock="1"/>
      </w:r>
      <w:r w:rsidR="00A142FF" w:rsidRPr="00435469">
        <w:rPr>
          <w:rFonts w:cs="Times New Roman"/>
          <w:sz w:val="20"/>
          <w:szCs w:val="20"/>
        </w:rPr>
        <w:instrText>ADDIN CSL_CITATION {"citationItems":[{"id":"ITEM-1","itemData":{"DOI":"10.1186/s12889-015-2117-3","ISBN":"1471-2458; 1471-2458","ISSN":"14712458","PMID":"26259599","abstract":"BACKGROUND: Accurate surveillance data are paramount to effective TB control. The Republic of South Africa's National TB Control Program (NTP) has conducted TB surveillance since 1995 and adopted the Electronic TB Register (ETR) in 2005. This evaluation aimed to determine the completeness and reliability of data in the Republic of South Africa's TB Surveillance System.\\n\\nMETHODS: Three of nine provinces, three subdistricts per province, and 54 health facilities were selected by stratified random sampling. At each facility, 30 (or all if &lt;30) patients diagnosed in Quarter 1 2009 were randomly selected for review. Patient information was evaluated across two paper and four electronic sources. Completeness of program indicators between paper and electronic sources was compared with chi-square tests. The kappa statistic was used to evaluate agreement of values.\\n\\nRESULTS: Over one-third (33.7 %) of all persons with presumptive TB recorded as smear positive in the TB Suspect Register did not have any records documenting notification, treatment, or management for TB disease. Of 1339 persons with a record as a TB patient at the facility, 1077 (80 %) were recorded in all data sources. Over 98 % of records contained complete age and sex data. Completeness varied for HIV status (53-86 %; p &lt; 0.001) and DOT during the intensive phase of treatment (17-54 %; p &lt; 0.001). Agreement for sex was excellent across sources (kappa 0.94); moderate for patient type (0.78), treatment regimen (0.79), treatment outcome (0.71); and poor for HIV status (0.33).\\n\\nCONCLUSIONS: The current evaluation revealed that one-third of persons diagnosed with TB disease may not have been notified of their disease or initiated on treatment ('initial defaulters'). The ETR is not capturing all TB patients. Further, among patients with a TB record, completeness and reliability of information in the TB Surveillance System is inconsistent across data sources. Actions are urgently needed to ensure that all diagnosed patients are treated and managed and improve the integrity of surveillance information.","author":[{"dropping-particle":"","family":"Podewils","given":"Laura Jean","non-dropping-particle":"","parse-names":false,"suffix":""},{"dropping-particle":"","family":"Bantubani","given":"Nonkqubela","non-dropping-particle":"","parse-names":false,"suffix":""},{"dropping-particle":"","family":"Bristow","given":"Claire","non-dropping-particle":"","parse-names":false,"suffix":""},{"dropping-particle":"","family":"Bronner","given":"Liza E.","non-dropping-particle":"","parse-names":false,"suffix":""},{"dropping-particle":"","family":"Peters","given":"Annatjie","non-dropping-particle":"","parse-names":false,"suffix":""},{"dropping-particle":"","family":"Pym","given":"Alexander","non-dropping-particle":"","parse-names":false,"suffix":""},{"dropping-particle":"","family":"Mametja","given":"Lerole David","non-dropping-particle":"","parse-names":false,"suffix":""}],"container-title":"BMC Public Health","id":"ITEM-1","issue":"1","issued":{"date-parts":[["2015"]]},"page":"1-11","publisher":"BMC Public Health","title":"Completeness and Reliability of the Republic of South Africa National Tuberculosis (TB) Surveillance System","type":"article-journal","volume":"15"},"uris":["http://www.mendeley.com/documents/?uuid=92ad94d5-a088-4779-a69a-27d1107f37d2"]},{"id":"ITEM-2","itemData":{"DOI":"10.1186/s12913-017-2128-0","ISSN":"14726963","PMID":"28283037","abstract":"Background: Tuberculosis control programs rely on accurate collection of routine surveillance data to inform program decisions including resource allocation and specific interventions. The electronic TB register (ETR.Net) is dependent on accurate data transcription from both paperbased clinical records and registers at the facilities to report treatment outcome data. The study describes the quality of reporting of TB treatment outcomes from facilities in the Ehlanzeni District, Mpumalanga Province. Methods: A descriptive crossectional study of primary healthcare facilities in the district for the period 1 January - 31 December 2010 was performed. New smear positive TB cure rate data was obtained from the ETR.Net followed by verification of paperbased clinical records, both TB folders and the TB register, of 20% of all new smear positive cases across the district for correct reporting to the ETR.Net. Facilities were grouped according to high (&gt;70%) and low cure rates (≤ 70%) as well as high (&gt; 20%) and low (≤ 20%) error proportions in reporting. Kappa statistic was used to determine agreement between paperbased record, TB register and ETR.Net. Results: Of the100 facilities (951 patient clinical records), 51(51%) had high cure rates and high error proportions, 14(14%) had a high cure rate and low error proportion whereas 30(30%) had low cure rates and high error proportions and five (5%) had a low cure rate with low error proportion. Fair agreement was observed (Kappa = 0.33) overall and between registers. Of the 473 patient clinical records which indicated cured, 383(81%) was correctly captured onto the ETR.Net, whereas 51(10.8%) was incorrectly captured and 39(8.2%) was not captured at all. Over reporting of treatment success of 12% occurred on the ETR.Net. Conclusions: The high error proportion in reporting onto the ETR.Net could result in a false sense of improvement in the TB control programme in the Ehlanzeni district.","author":[{"dropping-particle":"","family":"Dreyer","given":"A. W.","non-dropping-particle":"","parse-names":false,"suffix":""},{"dropping-particle":"","family":"Mbambo","given":"D.","non-dropping-particle":"","parse-names":false,"suffix":""},{"dropping-particle":"","family":"Machaba","given":"M.","non-dropping-particle":"","parse-names":false,"suffix":""},{"dropping-particle":"","family":"Oliphant","given":"C. E.M.","non-dropping-particle":"","parse-names":false,"suffix":""},{"dropping-particle":"","family":"Claassens","given":"M. M.","non-dropping-particle":"","parse-names":false,"suffix":""}],"container-title":"BMC Health Services Research","id":"ITEM-2","issue":"1","issued":{"date-parts":[["2017"]]},"page":"1-6","publisher":"BMC Health Services Research","title":"Tuberculosis cure rates and the ETR.Net: Investigating the quality of reporting treatment outcomes from primary healthcare facilities in Mpumalanga province, South Africa","type":"article-journal","volume":"17"},"uris":["http://www.mendeley.com/documents/?uuid=a9a60c1f-c0bb-49c8-be1e-d50a9306017b"]}],"mendeley":{"formattedCitation":"(126,129)","plainTextFormattedCitation":"(126,129)","previouslyFormattedCitation":"(126,129)"},"properties":{"noteIndex":0},"schema":"https://github.com/citation-style-language/schema/raw/master/csl-citation.json"}</w:instrText>
      </w:r>
      <w:r w:rsidR="00BC3832" w:rsidRPr="00435469">
        <w:rPr>
          <w:rFonts w:cs="Times New Roman"/>
          <w:sz w:val="20"/>
          <w:szCs w:val="20"/>
        </w:rPr>
        <w:fldChar w:fldCharType="separate"/>
      </w:r>
      <w:r w:rsidR="0016391D" w:rsidRPr="00435469">
        <w:rPr>
          <w:rFonts w:cs="Times New Roman"/>
          <w:noProof/>
          <w:sz w:val="20"/>
          <w:szCs w:val="20"/>
        </w:rPr>
        <w:t>(126,129)</w:t>
      </w:r>
      <w:r w:rsidR="00BC3832" w:rsidRPr="00435469">
        <w:rPr>
          <w:rFonts w:cs="Times New Roman"/>
          <w:sz w:val="20"/>
          <w:szCs w:val="20"/>
        </w:rPr>
        <w:fldChar w:fldCharType="end"/>
      </w:r>
      <w:r w:rsidR="00370D19" w:rsidRPr="00435469">
        <w:rPr>
          <w:rFonts w:cs="Times New Roman"/>
          <w:sz w:val="20"/>
          <w:szCs w:val="20"/>
        </w:rPr>
        <w:t xml:space="preserve">. From the model, </w:t>
      </w:r>
      <w:r w:rsidR="00316613" w:rsidRPr="00435469">
        <w:rPr>
          <w:rFonts w:cs="Times New Roman"/>
          <w:sz w:val="20"/>
          <w:szCs w:val="20"/>
        </w:rPr>
        <w:t>we es</w:t>
      </w:r>
      <w:r w:rsidR="00FD19A8" w:rsidRPr="00435469">
        <w:rPr>
          <w:rFonts w:cs="Times New Roman"/>
          <w:sz w:val="20"/>
          <w:szCs w:val="20"/>
        </w:rPr>
        <w:t xml:space="preserve">timated </w:t>
      </w:r>
      <m:oMath>
        <m:r>
          <w:rPr>
            <w:rFonts w:ascii="Cambria Math" w:hAnsi="Cambria Math" w:cs="Times New Roman"/>
            <w:sz w:val="20"/>
            <w:szCs w:val="20"/>
          </w:rPr>
          <m:t>γ</m:t>
        </m:r>
      </m:oMath>
      <w:r w:rsidR="00FD19A8" w:rsidRPr="00435469">
        <w:rPr>
          <w:rFonts w:cs="Times New Roman"/>
          <w:sz w:val="20"/>
          <w:szCs w:val="20"/>
        </w:rPr>
        <w:t xml:space="preserve"> to</w:t>
      </w:r>
      <w:r w:rsidR="00BC3832" w:rsidRPr="00435469">
        <w:rPr>
          <w:rFonts w:cs="Times New Roman"/>
          <w:sz w:val="20"/>
          <w:szCs w:val="20"/>
        </w:rPr>
        <w:t xml:space="preserve"> be</w:t>
      </w:r>
      <w:r w:rsidR="00D56128" w:rsidRPr="00435469">
        <w:rPr>
          <w:rFonts w:cs="Times New Roman"/>
          <w:sz w:val="20"/>
          <w:szCs w:val="20"/>
        </w:rPr>
        <w:t xml:space="preserve"> </w:t>
      </w:r>
      <w:r w:rsidR="00601B77" w:rsidRPr="00435469">
        <w:rPr>
          <w:sz w:val="20"/>
          <w:szCs w:val="20"/>
        </w:rPr>
        <w:t>1.</w:t>
      </w:r>
      <w:r w:rsidR="00667062" w:rsidRPr="00435469">
        <w:rPr>
          <w:sz w:val="20"/>
          <w:szCs w:val="20"/>
        </w:rPr>
        <w:t>0</w:t>
      </w:r>
      <w:r w:rsidR="007529A4" w:rsidRPr="00435469">
        <w:rPr>
          <w:sz w:val="20"/>
          <w:szCs w:val="20"/>
        </w:rPr>
        <w:t>8</w:t>
      </w:r>
      <w:r w:rsidR="00FA5716" w:rsidRPr="00435469">
        <w:rPr>
          <w:sz w:val="20"/>
          <w:szCs w:val="20"/>
        </w:rPr>
        <w:t xml:space="preserve"> (95% CI </w:t>
      </w:r>
      <w:r w:rsidR="00C9594D" w:rsidRPr="00435469">
        <w:rPr>
          <w:sz w:val="20"/>
          <w:szCs w:val="20"/>
        </w:rPr>
        <w:t>1.0</w:t>
      </w:r>
      <w:r w:rsidR="007529A4" w:rsidRPr="00435469">
        <w:rPr>
          <w:sz w:val="20"/>
          <w:szCs w:val="20"/>
        </w:rPr>
        <w:t>1</w:t>
      </w:r>
      <w:r w:rsidR="00C9594D" w:rsidRPr="00435469">
        <w:rPr>
          <w:sz w:val="20"/>
          <w:szCs w:val="20"/>
        </w:rPr>
        <w:t xml:space="preserve"> – 1.1</w:t>
      </w:r>
      <w:r w:rsidR="007529A4" w:rsidRPr="00435469">
        <w:rPr>
          <w:sz w:val="20"/>
          <w:szCs w:val="20"/>
        </w:rPr>
        <w:t>8</w:t>
      </w:r>
      <w:r w:rsidR="00C9594D" w:rsidRPr="00435469">
        <w:rPr>
          <w:sz w:val="20"/>
          <w:szCs w:val="20"/>
        </w:rPr>
        <w:t>)</w:t>
      </w:r>
      <w:r w:rsidR="00D56128" w:rsidRPr="00435469">
        <w:rPr>
          <w:sz w:val="20"/>
          <w:szCs w:val="20"/>
        </w:rPr>
        <w:t>.</w:t>
      </w:r>
    </w:p>
    <w:p w14:paraId="038288A8" w14:textId="3B1BF740" w:rsidR="006D3675" w:rsidRPr="00435469" w:rsidRDefault="006D3675" w:rsidP="00955FFB">
      <w:pPr>
        <w:pStyle w:val="1ParaFlushLeft"/>
        <w:spacing w:line="240" w:lineRule="auto"/>
        <w:rPr>
          <w:rFonts w:cs="Times New Roman"/>
          <w:sz w:val="20"/>
          <w:szCs w:val="20"/>
        </w:rPr>
      </w:pPr>
      <w:r w:rsidRPr="00435469">
        <w:rPr>
          <w:rFonts w:cs="Times New Roman"/>
          <w:sz w:val="20"/>
          <w:szCs w:val="20"/>
        </w:rPr>
        <w:t>The</w:t>
      </w:r>
      <w:r w:rsidR="002244F3" w:rsidRPr="00435469">
        <w:rPr>
          <w:rFonts w:cs="Times New Roman"/>
          <w:sz w:val="20"/>
          <w:szCs w:val="20"/>
        </w:rPr>
        <w:t>n the</w:t>
      </w:r>
      <w:r w:rsidRPr="00435469">
        <w:rPr>
          <w:rFonts w:cs="Times New Roman"/>
          <w:sz w:val="20"/>
          <w:szCs w:val="20"/>
        </w:rPr>
        <w:t xml:space="preserve"> likelihood function is given by</w:t>
      </w:r>
    </w:p>
    <w:p w14:paraId="41C135B3" w14:textId="06F20E3B" w:rsidR="006D3675" w:rsidRPr="00435469" w:rsidRDefault="006D3675" w:rsidP="00955FFB">
      <w:pPr>
        <w:pStyle w:val="1ParaFlushLeft"/>
        <w:spacing w:line="240" w:lineRule="auto"/>
        <w:rPr>
          <w:rFonts w:cs="Times New Roman"/>
          <w:sz w:val="20"/>
          <w:szCs w:val="20"/>
        </w:rPr>
      </w:pPr>
      <m:oMathPara>
        <m:oMath>
          <m:r>
            <w:rPr>
              <w:rFonts w:ascii="Cambria Math" w:hAnsi="Cambria Math" w:cs="Times New Roman"/>
              <w:sz w:val="20"/>
              <w:szCs w:val="20"/>
            </w:rPr>
            <m:t>L</m:t>
          </m:r>
          <m:d>
            <m:dPr>
              <m:ctrlPr>
                <w:rPr>
                  <w:rFonts w:ascii="Cambria Math" w:hAnsi="Cambria Math" w:cs="Times New Roman"/>
                  <w:i/>
                  <w:sz w:val="20"/>
                  <w:szCs w:val="20"/>
                </w:rPr>
              </m:ctrlPr>
            </m:dPr>
            <m:e>
              <m:r>
                <m:rPr>
                  <m:sty m:val="bi"/>
                </m:rPr>
                <w:rPr>
                  <w:rFonts w:ascii="Cambria Math" w:hAnsi="Cambria Math" w:cs="Times New Roman"/>
                  <w:sz w:val="20"/>
                  <w:szCs w:val="20"/>
                </w:rPr>
                <m:t>E</m:t>
              </m:r>
            </m:e>
            <m:e>
              <m:r>
                <w:rPr>
                  <w:rFonts w:ascii="Cambria Math" w:hAnsi="Cambria Math" w:cs="Times New Roman"/>
                  <w:sz w:val="20"/>
                  <w:szCs w:val="20"/>
                </w:rPr>
                <m:t>ϕ</m:t>
              </m:r>
            </m:e>
          </m:d>
          <m:r>
            <w:rPr>
              <w:rFonts w:ascii="Cambria Math" w:hAnsi="Cambria Math" w:cs="Times New Roman"/>
              <w:sz w:val="20"/>
              <w:szCs w:val="20"/>
            </w:rPr>
            <m:t xml:space="preserve">= </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g</m:t>
              </m:r>
            </m:sub>
            <m:sup/>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t=2004</m:t>
                  </m:r>
                </m:sub>
                <m:sup>
                  <m:r>
                    <w:rPr>
                      <w:rFonts w:ascii="Cambria Math" w:hAnsi="Cambria Math" w:cs="Times New Roman"/>
                      <w:sz w:val="20"/>
                      <w:szCs w:val="20"/>
                    </w:rPr>
                    <m:t>2016</m:t>
                  </m:r>
                </m:sup>
                <m:e>
                  <m:f>
                    <m:fPr>
                      <m:ctrlPr>
                        <w:rPr>
                          <w:rFonts w:ascii="Cambria Math" w:hAnsi="Cambria Math" w:cs="Times New Roman"/>
                          <w:i/>
                          <w:sz w:val="20"/>
                          <w:szCs w:val="20"/>
                        </w:rPr>
                      </m:ctrlPr>
                    </m:fPr>
                    <m:num>
                      <m:r>
                        <w:rPr>
                          <w:rFonts w:ascii="Cambria Math" w:hAnsi="Cambria Math" w:cs="Times New Roman"/>
                          <w:sz w:val="20"/>
                          <w:szCs w:val="20"/>
                        </w:rPr>
                        <m:t>1</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2π</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e>
                      </m:rad>
                    </m:den>
                  </m:f>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i/>
                              <w:sz w:val="20"/>
                              <w:szCs w:val="20"/>
                            </w:rPr>
                          </m:ctrlPr>
                        </m:dPr>
                        <m:e>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begChr m:val="["/>
                                      <m:endChr m:val="]"/>
                                      <m:ctrlPr>
                                        <w:rPr>
                                          <w:rFonts w:ascii="Cambria Math" w:hAnsi="Cambria Math" w:cs="Times New Roman"/>
                                          <w:i/>
                                          <w:sz w:val="20"/>
                                          <w:szCs w:val="20"/>
                                        </w:rPr>
                                      </m:ctrlPr>
                                    </m:dPr>
                                    <m:e>
                                      <m:func>
                                        <m:funcPr>
                                          <m:ctrlPr>
                                            <w:rPr>
                                              <w:rFonts w:ascii="Cambria Math" w:hAnsi="Cambria Math" w:cs="Times New Roman"/>
                                              <w:sz w:val="20"/>
                                              <w:szCs w:val="20"/>
                                            </w:rPr>
                                          </m:ctrlPr>
                                        </m:funcPr>
                                        <m:fName>
                                          <m:r>
                                            <m:rPr>
                                              <m:sty m:val="p"/>
                                            </m:rPr>
                                            <w:rPr>
                                              <w:rFonts w:ascii="Cambria Math" w:hAnsi="Cambria Math" w:cs="Times New Roman"/>
                                              <w:sz w:val="20"/>
                                              <w:szCs w:val="20"/>
                                            </w:rPr>
                                            <m:t>ln</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g,t</m:t>
                                                  </m:r>
                                                </m:sub>
                                              </m:sSub>
                                              <m:r>
                                                <w:rPr>
                                                  <w:rFonts w:ascii="Cambria Math" w:hAnsi="Cambria Math" w:cs="Times New Roman"/>
                                                  <w:sz w:val="20"/>
                                                  <w:szCs w:val="20"/>
                                                </w:rPr>
                                                <m:t>γ</m:t>
                                              </m:r>
                                            </m:e>
                                          </m:d>
                                        </m:e>
                                      </m:func>
                                      <m:r>
                                        <w:rPr>
                                          <w:rFonts w:ascii="Cambria Math" w:hAnsi="Cambria Math" w:cs="Times New Roman"/>
                                          <w:sz w:val="20"/>
                                          <w:szCs w:val="20"/>
                                        </w:rPr>
                                        <m:t>-</m:t>
                                      </m:r>
                                      <m:func>
                                        <m:funcPr>
                                          <m:ctrlPr>
                                            <w:rPr>
                                              <w:rFonts w:ascii="Cambria Math" w:hAnsi="Cambria Math" w:cs="Times New Roman"/>
                                              <w:sz w:val="20"/>
                                              <w:szCs w:val="20"/>
                                            </w:rPr>
                                          </m:ctrlPr>
                                        </m:funcPr>
                                        <m:fName>
                                          <m:r>
                                            <m:rPr>
                                              <m:sty m:val="p"/>
                                            </m:rPr>
                                            <w:rPr>
                                              <w:rFonts w:ascii="Cambria Math" w:hAnsi="Cambria Math" w:cs="Times New Roman"/>
                                              <w:sz w:val="20"/>
                                              <w:szCs w:val="20"/>
                                            </w:rPr>
                                            <m:t>ln</m:t>
                                          </m:r>
                                          <m:ctrlPr>
                                            <w:rPr>
                                              <w:rFonts w:ascii="Cambria Math" w:hAnsi="Cambria Math" w:cs="Times New Roman"/>
                                              <w:i/>
                                              <w:sz w:val="20"/>
                                              <w:szCs w:val="20"/>
                                            </w:rPr>
                                          </m:ctrlP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D</m:t>
                                                  </m:r>
                                                  <m:ctrlPr>
                                                    <w:rPr>
                                                      <w:rFonts w:ascii="Cambria Math" w:hAnsi="Cambria Math" w:cs="Times New Roman"/>
                                                      <w:sz w:val="20"/>
                                                      <w:szCs w:val="20"/>
                                                    </w:rPr>
                                                  </m:ctrlPr>
                                                </m:e>
                                                <m:sub>
                                                  <m:r>
                                                    <w:rPr>
                                                      <w:rFonts w:ascii="Cambria Math" w:hAnsi="Cambria Math" w:cs="Times New Roman"/>
                                                      <w:sz w:val="20"/>
                                                      <w:szCs w:val="20"/>
                                                    </w:rPr>
                                                    <m:t>g,t</m:t>
                                                  </m:r>
                                                </m:sub>
                                              </m:sSub>
                                              <m:d>
                                                <m:dPr>
                                                  <m:ctrlPr>
                                                    <w:rPr>
                                                      <w:rFonts w:ascii="Cambria Math" w:hAnsi="Cambria Math" w:cs="Times New Roman"/>
                                                      <w:i/>
                                                      <w:sz w:val="20"/>
                                                      <w:szCs w:val="20"/>
                                                    </w:rPr>
                                                  </m:ctrlPr>
                                                </m:dPr>
                                                <m:e>
                                                  <m:r>
                                                    <w:rPr>
                                                      <w:rFonts w:ascii="Cambria Math" w:hAnsi="Cambria Math" w:cs="Times New Roman"/>
                                                      <w:sz w:val="20"/>
                                                      <w:szCs w:val="20"/>
                                                    </w:rPr>
                                                    <m:t>ϕ</m:t>
                                                  </m:r>
                                                </m:e>
                                              </m:d>
                                              <m:r>
                                                <m:rPr>
                                                  <m:sty m:val="p"/>
                                                </m:rPr>
                                                <w:rPr>
                                                  <w:rFonts w:ascii="Cambria Math" w:hAnsi="Cambria Math" w:cs="Times New Roman"/>
                                                  <w:sz w:val="20"/>
                                                  <w:szCs w:val="20"/>
                                                </w:rPr>
                                                <m:t xml:space="preserve"> </m:t>
                                              </m:r>
                                            </m:e>
                                          </m:d>
                                        </m:e>
                                      </m:func>
                                    </m:e>
                                  </m:d>
                                </m:e>
                                <m:sup>
                                  <m:r>
                                    <w:rPr>
                                      <w:rFonts w:ascii="Cambria Math" w:hAnsi="Cambria Math" w:cs="Times New Roman"/>
                                      <w:sz w:val="20"/>
                                      <w:szCs w:val="20"/>
                                    </w:rPr>
                                    <m:t>2</m:t>
                                  </m:r>
                                </m:sup>
                              </m:sSup>
                            </m:num>
                            <m:den>
                              <m:r>
                                <w:rPr>
                                  <w:rFonts w:ascii="Cambria Math" w:hAnsi="Cambria Math" w:cs="Times New Roman"/>
                                  <w:sz w:val="20"/>
                                  <w:szCs w:val="20"/>
                                </w:rPr>
                                <m:t>2</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den>
                          </m:f>
                        </m:e>
                      </m:d>
                    </m:e>
                  </m:func>
                </m:e>
              </m:nary>
            </m:e>
          </m:nary>
        </m:oMath>
      </m:oMathPara>
    </w:p>
    <w:p w14:paraId="17467E67" w14:textId="0F18A4E2" w:rsidR="00537390" w:rsidRPr="00435469" w:rsidRDefault="006D3675" w:rsidP="00955FFB">
      <w:pPr>
        <w:pStyle w:val="1ParaFlushLeft"/>
        <w:spacing w:line="240" w:lineRule="auto"/>
        <w:rPr>
          <w:rFonts w:cs="Times New Roman"/>
          <w:sz w:val="20"/>
          <w:szCs w:val="20"/>
        </w:rPr>
      </w:pPr>
      <w:r w:rsidRPr="00435469">
        <w:rPr>
          <w:rFonts w:cs="Times New Roman"/>
          <w:sz w:val="20"/>
          <w:szCs w:val="20"/>
        </w:rPr>
        <w:t>and the</w:t>
      </w:r>
      <w:r w:rsidR="00911691" w:rsidRPr="00435469">
        <w:rPr>
          <w:rFonts w:cs="Times New Roman"/>
          <w:sz w:val="20"/>
          <w:szCs w:val="20"/>
        </w:rPr>
        <w:t xml:space="preserve"> variance</w:t>
      </w:r>
      <w:r w:rsidRPr="00435469">
        <w:rPr>
          <w:rFonts w:cs="Times New Roman"/>
          <w:sz w:val="20"/>
          <w:szCs w:val="20"/>
        </w:rPr>
        <w:t xml:space="preserve"> </w:t>
      </w:r>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r>
          <w:rPr>
            <w:rFonts w:ascii="Cambria Math" w:hAnsi="Cambria Math" w:cs="Times New Roman"/>
            <w:sz w:val="20"/>
            <w:szCs w:val="20"/>
          </w:rPr>
          <m:t>)</m:t>
        </m:r>
      </m:oMath>
      <w:r w:rsidRPr="00435469">
        <w:rPr>
          <w:rFonts w:cs="Times New Roman"/>
          <w:sz w:val="20"/>
          <w:szCs w:val="20"/>
        </w:rPr>
        <w:t xml:space="preserve"> is set at 0.01. </w:t>
      </w:r>
    </w:p>
    <w:p w14:paraId="62412A48" w14:textId="7AA56DF8" w:rsidR="003E742B" w:rsidRPr="00435469" w:rsidRDefault="006D3675" w:rsidP="00955FFB">
      <w:pPr>
        <w:pStyle w:val="Heading3"/>
        <w:numPr>
          <w:ilvl w:val="2"/>
          <w:numId w:val="18"/>
        </w:numPr>
        <w:rPr>
          <w:color w:val="auto"/>
          <w:sz w:val="20"/>
          <w:szCs w:val="20"/>
        </w:rPr>
      </w:pPr>
      <w:r w:rsidRPr="00435469">
        <w:rPr>
          <w:color w:val="auto"/>
          <w:sz w:val="20"/>
          <w:szCs w:val="20"/>
        </w:rPr>
        <w:t xml:space="preserve"> </w:t>
      </w:r>
      <w:bookmarkStart w:id="333" w:name="_Toc103252960"/>
      <w:r w:rsidR="00EF7766" w:rsidRPr="00435469">
        <w:rPr>
          <w:color w:val="auto"/>
          <w:sz w:val="20"/>
          <w:szCs w:val="20"/>
        </w:rPr>
        <w:t>The l</w:t>
      </w:r>
      <w:r w:rsidRPr="00435469">
        <w:rPr>
          <w:color w:val="auto"/>
          <w:sz w:val="20"/>
          <w:szCs w:val="20"/>
        </w:rPr>
        <w:t>ikelihood for tuberculosis deaths in the electronic tuberculosis</w:t>
      </w:r>
      <w:r w:rsidR="007D3F31" w:rsidRPr="00435469">
        <w:rPr>
          <w:color w:val="auto"/>
          <w:sz w:val="20"/>
          <w:szCs w:val="20"/>
        </w:rPr>
        <w:t xml:space="preserve"> treatment register</w:t>
      </w:r>
      <w:bookmarkEnd w:id="333"/>
    </w:p>
    <w:p w14:paraId="3EEC933F" w14:textId="625B5FC7" w:rsidR="006D3675" w:rsidRPr="00435469" w:rsidRDefault="006D3675" w:rsidP="00955FFB">
      <w:pPr>
        <w:spacing w:line="240" w:lineRule="auto"/>
        <w:rPr>
          <w:rFonts w:eastAsiaTheme="minorEastAsia" w:cs="Times New Roman"/>
          <w:sz w:val="20"/>
          <w:szCs w:val="20"/>
        </w:rPr>
      </w:pPr>
      <w:r w:rsidRPr="00435469">
        <w:rPr>
          <w:rFonts w:cs="Times New Roman"/>
          <w:sz w:val="20"/>
          <w:szCs w:val="20"/>
        </w:rPr>
        <w:t xml:space="preserve">We </w:t>
      </w:r>
      <w:r w:rsidR="005153AE" w:rsidRPr="00435469">
        <w:rPr>
          <w:rFonts w:cs="Times New Roman"/>
          <w:sz w:val="20"/>
          <w:szCs w:val="20"/>
        </w:rPr>
        <w:t>rel</w:t>
      </w:r>
      <w:r w:rsidR="001A331F" w:rsidRPr="00435469">
        <w:rPr>
          <w:rFonts w:cs="Times New Roman"/>
          <w:sz w:val="20"/>
          <w:szCs w:val="20"/>
        </w:rPr>
        <w:t>y</w:t>
      </w:r>
      <w:r w:rsidR="005153AE" w:rsidRPr="00435469">
        <w:rPr>
          <w:rFonts w:cs="Times New Roman"/>
          <w:sz w:val="20"/>
          <w:szCs w:val="20"/>
        </w:rPr>
        <w:t xml:space="preserve"> on the ETR </w:t>
      </w:r>
      <w:r w:rsidR="00AC3AB9" w:rsidRPr="00435469">
        <w:rPr>
          <w:rFonts w:cs="Times New Roman"/>
          <w:sz w:val="20"/>
          <w:szCs w:val="20"/>
        </w:rPr>
        <w:t xml:space="preserve">to calibrate the model to the </w:t>
      </w:r>
      <w:r w:rsidR="001724D5" w:rsidRPr="00435469">
        <w:rPr>
          <w:rFonts w:cs="Times New Roman"/>
          <w:sz w:val="20"/>
          <w:szCs w:val="20"/>
        </w:rPr>
        <w:t xml:space="preserve">proportion of TB deaths </w:t>
      </w:r>
      <w:r w:rsidR="00573EF6" w:rsidRPr="00435469">
        <w:rPr>
          <w:rFonts w:cs="Times New Roman"/>
          <w:sz w:val="20"/>
          <w:szCs w:val="20"/>
        </w:rPr>
        <w:t xml:space="preserve">while </w:t>
      </w:r>
      <w:r w:rsidR="001724D5" w:rsidRPr="00435469">
        <w:rPr>
          <w:rFonts w:cs="Times New Roman"/>
          <w:sz w:val="20"/>
          <w:szCs w:val="20"/>
        </w:rPr>
        <w:t xml:space="preserve">on treatment. We </w:t>
      </w:r>
      <w:r w:rsidRPr="00435469">
        <w:rPr>
          <w:rFonts w:cs="Times New Roman"/>
          <w:sz w:val="20"/>
          <w:szCs w:val="20"/>
        </w:rPr>
        <w:t xml:space="preserve">let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g,t</m:t>
            </m:r>
          </m:sub>
        </m:sSub>
      </m:oMath>
      <w:r w:rsidRPr="00435469">
        <w:rPr>
          <w:rFonts w:cs="Times New Roman"/>
          <w:sz w:val="20"/>
          <w:szCs w:val="20"/>
        </w:rPr>
        <w:t xml:space="preserve"> represent the proportion of TB deaths recorded in the ETR, for individuals of sex g in year </w:t>
      </w:r>
      <m:oMath>
        <m:r>
          <w:rPr>
            <w:rFonts w:ascii="Cambria Math" w:hAnsi="Cambria Math" w:cs="Times New Roman"/>
            <w:sz w:val="20"/>
            <w:szCs w:val="20"/>
          </w:rPr>
          <m:t>t</m:t>
        </m:r>
      </m:oMath>
      <w:r w:rsidR="006B2CBA" w:rsidRPr="00435469">
        <w:rPr>
          <w:rFonts w:eastAsiaTheme="minorEastAsia" w:cs="Times New Roman"/>
          <w:sz w:val="20"/>
          <w:szCs w:val="20"/>
        </w:rPr>
        <w:t xml:space="preserve"> </w:t>
      </w:r>
      <w:r w:rsidR="00A8293E" w:rsidRPr="00435469">
        <w:rPr>
          <w:rFonts w:eastAsiaTheme="minorEastAsia" w:cs="Times New Roman"/>
          <w:sz w:val="20"/>
          <w:szCs w:val="20"/>
        </w:rPr>
        <w:t>(obtained from the outcomes data</w:t>
      </w:r>
      <w:r w:rsidR="00E2116C" w:rsidRPr="00435469">
        <w:rPr>
          <w:rFonts w:eastAsiaTheme="minorEastAsia" w:cs="Times New Roman"/>
          <w:sz w:val="20"/>
          <w:szCs w:val="20"/>
        </w:rPr>
        <w:t>, deaths on treatment</w:t>
      </w:r>
      <w:r w:rsidR="00A8293E" w:rsidRPr="00435469">
        <w:rPr>
          <w:rFonts w:eastAsiaTheme="minorEastAsia" w:cs="Times New Roman"/>
          <w:sz w:val="20"/>
          <w:szCs w:val="20"/>
        </w:rPr>
        <w:t xml:space="preserve">, </w:t>
      </w:r>
      <w:r w:rsidR="00A8293E" w:rsidRPr="00435469">
        <w:rPr>
          <w:rFonts w:eastAsiaTheme="minorEastAsia" w:cs="Times New Roman"/>
          <w:sz w:val="20"/>
          <w:szCs w:val="20"/>
        </w:rPr>
        <w:fldChar w:fldCharType="begin"/>
      </w:r>
      <w:r w:rsidR="00A8293E" w:rsidRPr="00435469">
        <w:rPr>
          <w:rFonts w:eastAsiaTheme="minorEastAsia" w:cs="Times New Roman"/>
          <w:sz w:val="20"/>
          <w:szCs w:val="20"/>
        </w:rPr>
        <w:instrText xml:space="preserve"> REF _Ref89699437 \h </w:instrText>
      </w:r>
      <w:r w:rsidR="00F334C7" w:rsidRPr="00435469">
        <w:rPr>
          <w:rFonts w:eastAsiaTheme="minorEastAsia" w:cs="Times New Roman"/>
          <w:sz w:val="20"/>
          <w:szCs w:val="20"/>
        </w:rPr>
        <w:instrText xml:space="preserve"> \* MERGEFORMAT </w:instrText>
      </w:r>
      <w:r w:rsidR="00A8293E" w:rsidRPr="00435469">
        <w:rPr>
          <w:rFonts w:eastAsiaTheme="minorEastAsia" w:cs="Times New Roman"/>
          <w:sz w:val="20"/>
          <w:szCs w:val="20"/>
        </w:rPr>
      </w:r>
      <w:r w:rsidR="00A8293E" w:rsidRPr="00435469">
        <w:rPr>
          <w:rFonts w:eastAsiaTheme="minorEastAsia" w:cs="Times New Roman"/>
          <w:sz w:val="20"/>
          <w:szCs w:val="20"/>
        </w:rPr>
        <w:fldChar w:fldCharType="separate"/>
      </w:r>
      <w:r w:rsidR="00186C2F" w:rsidRPr="00435469">
        <w:rPr>
          <w:sz w:val="20"/>
          <w:szCs w:val="20"/>
        </w:rPr>
        <w:t xml:space="preserve">Table </w:t>
      </w:r>
      <w:r w:rsidR="00186C2F" w:rsidRPr="00435469">
        <w:rPr>
          <w:noProof/>
          <w:sz w:val="20"/>
          <w:szCs w:val="20"/>
        </w:rPr>
        <w:t>12</w:t>
      </w:r>
      <w:r w:rsidR="00A8293E" w:rsidRPr="00435469">
        <w:rPr>
          <w:rFonts w:eastAsiaTheme="minorEastAsia" w:cs="Times New Roman"/>
          <w:sz w:val="20"/>
          <w:szCs w:val="20"/>
        </w:rPr>
        <w:fldChar w:fldCharType="end"/>
      </w:r>
      <w:r w:rsidR="00A8293E" w:rsidRPr="00435469">
        <w:rPr>
          <w:rFonts w:eastAsiaTheme="minorEastAsia" w:cs="Times New Roman"/>
          <w:sz w:val="20"/>
          <w:szCs w:val="20"/>
        </w:rPr>
        <w:t>)</w:t>
      </w:r>
      <w:r w:rsidR="00D42E84" w:rsidRPr="00435469">
        <w:rPr>
          <w:rFonts w:eastAsiaTheme="minorEastAsia" w:cs="Times New Roman"/>
          <w:sz w:val="20"/>
          <w:szCs w:val="20"/>
        </w:rPr>
        <w:t xml:space="preserve">. </w:t>
      </w:r>
      <w:r w:rsidRPr="00435469">
        <w:rPr>
          <w:rFonts w:cs="Times New Roman"/>
          <w:sz w:val="20"/>
          <w:szCs w:val="20"/>
        </w:rPr>
        <w:t xml:space="preserve">We </w:t>
      </w:r>
      <w:r w:rsidR="00E46E66" w:rsidRPr="00435469">
        <w:rPr>
          <w:rFonts w:cs="Times New Roman"/>
          <w:sz w:val="20"/>
          <w:szCs w:val="20"/>
        </w:rPr>
        <w:t xml:space="preserve">define </w:t>
      </w:r>
      <w:r w:rsidR="007A3205" w:rsidRPr="00435469">
        <w:rPr>
          <w:sz w:val="20"/>
          <w:szCs w:val="20"/>
        </w:rPr>
        <w:t>exp(</w:t>
      </w:r>
      <w:r w:rsidR="007A3205" w:rsidRPr="00435469">
        <w:rPr>
          <w:rFonts w:cs="Times New Roman"/>
          <w:sz w:val="20"/>
          <w:szCs w:val="20"/>
        </w:rPr>
        <w:t>γ</w:t>
      </w:r>
      <w:r w:rsidR="007A3205" w:rsidRPr="00435469">
        <w:rPr>
          <w:sz w:val="20"/>
          <w:szCs w:val="20"/>
        </w:rPr>
        <w:t>)</w:t>
      </w:r>
      <w:r w:rsidR="005153AE" w:rsidRPr="00435469">
        <w:rPr>
          <w:sz w:val="20"/>
          <w:szCs w:val="20"/>
        </w:rPr>
        <w:t xml:space="preserve"> </w:t>
      </w:r>
      <w:r w:rsidR="001C597C" w:rsidRPr="00435469">
        <w:rPr>
          <w:sz w:val="20"/>
          <w:szCs w:val="20"/>
        </w:rPr>
        <w:t xml:space="preserve">as </w:t>
      </w:r>
      <w:r w:rsidR="00E46E66" w:rsidRPr="00435469">
        <w:rPr>
          <w:sz w:val="20"/>
          <w:szCs w:val="20"/>
        </w:rPr>
        <w:t>the ratio of the</w:t>
      </w:r>
      <w:r w:rsidR="00E46E66" w:rsidRPr="00435469">
        <w:rPr>
          <w:i/>
          <w:iCs/>
          <w:sz w:val="20"/>
          <w:szCs w:val="20"/>
        </w:rPr>
        <w:t xml:space="preserve"> true</w:t>
      </w:r>
      <w:r w:rsidR="00E46E66" w:rsidRPr="00435469">
        <w:rPr>
          <w:sz w:val="20"/>
          <w:szCs w:val="20"/>
        </w:rPr>
        <w:t xml:space="preserve"> odds of death to the odds of a death recorded on ETR</w:t>
      </w:r>
      <w:r w:rsidR="00E46E66" w:rsidRPr="00435469" w:rsidDel="00C45F90">
        <w:rPr>
          <w:rFonts w:cs="Times New Roman"/>
          <w:sz w:val="20"/>
          <w:szCs w:val="20"/>
        </w:rPr>
        <w:t xml:space="preserve"> </w:t>
      </w:r>
      <w:r w:rsidR="001C597C" w:rsidRPr="00435469">
        <w:rPr>
          <w:rFonts w:cs="Times New Roman"/>
          <w:sz w:val="20"/>
          <w:szCs w:val="20"/>
        </w:rPr>
        <w:t>(allowing for the possibility that the recorded number of deaths is less than the true number of deaths)</w:t>
      </w:r>
      <w:r w:rsidRPr="00435469">
        <w:rPr>
          <w:rFonts w:cs="Times New Roman"/>
          <w:sz w:val="20"/>
          <w:szCs w:val="20"/>
        </w:rPr>
        <w:t xml:space="preserve">. The model produces estimates of the </w:t>
      </w:r>
      <w:r w:rsidR="00992B15" w:rsidRPr="00435469">
        <w:rPr>
          <w:rFonts w:cs="Times New Roman"/>
          <w:sz w:val="20"/>
          <w:szCs w:val="20"/>
        </w:rPr>
        <w:t>prop</w:t>
      </w:r>
      <w:r w:rsidR="007E7205" w:rsidRPr="00435469">
        <w:rPr>
          <w:rFonts w:cs="Times New Roman"/>
          <w:sz w:val="20"/>
          <w:szCs w:val="20"/>
        </w:rPr>
        <w:t xml:space="preserve">ortion </w:t>
      </w:r>
      <w:r w:rsidRPr="00435469">
        <w:rPr>
          <w:rFonts w:cs="Times New Roman"/>
          <w:sz w:val="20"/>
          <w:szCs w:val="20"/>
        </w:rPr>
        <w:t>of deaths in TB patients</w:t>
      </w:r>
      <w:r w:rsidR="007E7205" w:rsidRPr="00435469">
        <w:rPr>
          <w:rFonts w:cs="Times New Roman"/>
          <w:sz w:val="20"/>
          <w:szCs w:val="20"/>
        </w:rPr>
        <w:t xml:space="preserve"> on treatment</w:t>
      </w:r>
      <w:r w:rsidRPr="00435469">
        <w:rPr>
          <w:rFonts w:cs="Times New Roman"/>
          <w:sz w:val="20"/>
          <w:szCs w:val="20"/>
        </w:rPr>
        <w:t xml:space="preserve"> of sex </w:t>
      </w:r>
      <m:oMath>
        <m:r>
          <w:rPr>
            <w:rFonts w:ascii="Cambria Math" w:hAnsi="Cambria Math" w:cs="Times New Roman"/>
            <w:sz w:val="20"/>
            <w:szCs w:val="20"/>
            <w:vertAlign w:val="subscript"/>
          </w:rPr>
          <m:t>g</m:t>
        </m:r>
      </m:oMath>
      <w:r w:rsidR="0065385B" w:rsidRPr="00435469">
        <w:rPr>
          <w:rFonts w:cs="Times New Roman"/>
          <w:sz w:val="20"/>
          <w:szCs w:val="20"/>
        </w:rPr>
        <w:t xml:space="preserve"> </w:t>
      </w:r>
      <w:r w:rsidRPr="00435469">
        <w:rPr>
          <w:rFonts w:cs="Times New Roman"/>
          <w:sz w:val="20"/>
          <w:szCs w:val="20"/>
        </w:rPr>
        <w:t xml:space="preserve">in year </w:t>
      </w:r>
      <m:oMath>
        <m:r>
          <w:rPr>
            <w:rFonts w:ascii="Cambria Math" w:hAnsi="Cambria Math" w:cs="Times New Roman"/>
            <w:sz w:val="20"/>
            <w:szCs w:val="20"/>
          </w:rPr>
          <m:t>t</m:t>
        </m:r>
      </m:oMath>
      <w:r w:rsidRPr="00435469">
        <w:rPr>
          <w:rFonts w:cs="Times New Roman"/>
          <w:sz w:val="20"/>
          <w:szCs w:val="20"/>
        </w:rPr>
        <w:t xml:space="preserve">, </w:t>
      </w:r>
      <m:oMath>
        <m:sSub>
          <m:sSubPr>
            <m:ctrlPr>
              <w:rPr>
                <w:rFonts w:ascii="Cambria Math" w:hAnsi="Cambria Math" w:cs="Times New Roman"/>
                <w:i/>
                <w:iCs/>
                <w:sz w:val="20"/>
                <w:szCs w:val="20"/>
                <w:vertAlign w:val="subscript"/>
              </w:rPr>
            </m:ctrlPr>
          </m:sSubPr>
          <m:e>
            <m:r>
              <w:rPr>
                <w:rFonts w:ascii="Cambria Math" w:hAnsi="Cambria Math" w:cs="Times New Roman"/>
                <w:sz w:val="20"/>
                <w:szCs w:val="20"/>
              </w:rPr>
              <m:t>D</m:t>
            </m:r>
            <m:ctrlPr>
              <w:rPr>
                <w:rFonts w:ascii="Cambria Math" w:hAnsi="Cambria Math" w:cs="Times New Roman"/>
                <w:i/>
                <w:iCs/>
                <w:sz w:val="20"/>
                <w:szCs w:val="20"/>
              </w:rPr>
            </m:ctrlPr>
          </m:e>
          <m:sub>
            <m:r>
              <w:rPr>
                <w:rFonts w:ascii="Cambria Math" w:hAnsi="Cambria Math" w:cs="Times New Roman"/>
                <w:sz w:val="20"/>
                <w:szCs w:val="20"/>
                <w:vertAlign w:val="subscript"/>
              </w:rPr>
              <m:t>g,t</m:t>
            </m:r>
          </m:sub>
        </m:sSub>
        <m:d>
          <m:dPr>
            <m:ctrlPr>
              <w:rPr>
                <w:rFonts w:ascii="Cambria Math" w:hAnsi="Cambria Math" w:cs="Times New Roman"/>
                <w:i/>
                <w:sz w:val="20"/>
                <w:szCs w:val="20"/>
              </w:rPr>
            </m:ctrlPr>
          </m:dPr>
          <m:e>
            <m:r>
              <w:rPr>
                <w:rFonts w:ascii="Cambria Math" w:hAnsi="Cambria Math" w:cs="Times New Roman"/>
                <w:sz w:val="20"/>
                <w:szCs w:val="20"/>
              </w:rPr>
              <m:t>ϕ</m:t>
            </m:r>
          </m:e>
        </m:d>
      </m:oMath>
      <w:r w:rsidR="00240CB5" w:rsidRPr="00435469">
        <w:rPr>
          <w:rFonts w:eastAsiaTheme="minorEastAsia" w:cs="Times New Roman"/>
          <w:sz w:val="20"/>
          <w:szCs w:val="20"/>
        </w:rPr>
        <w:t xml:space="preserve">, where </w:t>
      </w:r>
      <m:oMath>
        <m:r>
          <w:rPr>
            <w:rFonts w:ascii="Cambria Math" w:hAnsi="Cambria Math" w:cs="Times New Roman"/>
            <w:sz w:val="20"/>
            <w:szCs w:val="20"/>
          </w:rPr>
          <m:t>ϕ</m:t>
        </m:r>
      </m:oMath>
      <w:r w:rsidR="00240CB5" w:rsidRPr="00435469">
        <w:rPr>
          <w:rFonts w:eastAsiaTheme="minorEastAsia" w:cs="Times New Roman"/>
          <w:sz w:val="20"/>
          <w:szCs w:val="20"/>
        </w:rPr>
        <w:t xml:space="preserve"> is the set of input parameters</w:t>
      </w:r>
      <w:r w:rsidRPr="00435469">
        <w:rPr>
          <w:rFonts w:cs="Times New Roman"/>
          <w:sz w:val="20"/>
          <w:szCs w:val="20"/>
        </w:rPr>
        <w:t>. The</w:t>
      </w:r>
      <w:r w:rsidR="007E7205" w:rsidRPr="00435469">
        <w:rPr>
          <w:rFonts w:cs="Times New Roman"/>
          <w:sz w:val="20"/>
          <w:szCs w:val="20"/>
        </w:rPr>
        <w:t>n</w:t>
      </w:r>
      <w:r w:rsidRPr="00435469">
        <w:rPr>
          <w:rFonts w:cs="Times New Roman"/>
          <w:sz w:val="20"/>
          <w:szCs w:val="20"/>
        </w:rPr>
        <w:t xml:space="preserve"> </w:t>
      </w:r>
      <m:oMath>
        <m:r>
          <m:rPr>
            <m:sty m:val="p"/>
          </m:rPr>
          <w:rPr>
            <w:rFonts w:ascii="Cambria Math" w:hAnsi="Cambria Math" w:cs="Times New Roman"/>
            <w:sz w:val="20"/>
            <w:szCs w:val="20"/>
          </w:rPr>
          <m:t>γ</m:t>
        </m:r>
      </m:oMath>
      <w:r w:rsidRPr="00435469">
        <w:rPr>
          <w:rFonts w:eastAsiaTheme="minorEastAsia" w:cs="Times New Roman"/>
          <w:sz w:val="20"/>
          <w:szCs w:val="20"/>
        </w:rPr>
        <w:t xml:space="preserve"> is </w:t>
      </w:r>
      <w:r w:rsidR="001C597C" w:rsidRPr="00435469">
        <w:rPr>
          <w:rFonts w:eastAsiaTheme="minorEastAsia" w:cs="Times New Roman"/>
          <w:sz w:val="20"/>
          <w:szCs w:val="20"/>
        </w:rPr>
        <w:t xml:space="preserve">estimated </w:t>
      </w:r>
      <w:r w:rsidRPr="00435469">
        <w:rPr>
          <w:rFonts w:eastAsiaTheme="minorEastAsia" w:cs="Times New Roman"/>
          <w:sz w:val="20"/>
          <w:szCs w:val="20"/>
        </w:rPr>
        <w:t>as</w:t>
      </w:r>
      <w:r w:rsidR="002D049F" w:rsidRPr="00435469">
        <w:rPr>
          <w:rFonts w:eastAsiaTheme="minorEastAsia" w:cs="Times New Roman"/>
          <w:sz w:val="20"/>
          <w:szCs w:val="20"/>
        </w:rPr>
        <w:t>:</w:t>
      </w:r>
    </w:p>
    <w:p w14:paraId="14D9A537" w14:textId="0611C126" w:rsidR="006D3675" w:rsidRPr="00435469" w:rsidRDefault="006D3675" w:rsidP="00955FFB">
      <w:pPr>
        <w:spacing w:line="240" w:lineRule="auto"/>
        <w:rPr>
          <w:rFonts w:cs="Times New Roman"/>
          <w:sz w:val="20"/>
          <w:szCs w:val="20"/>
        </w:rPr>
      </w:pPr>
      <m:oMathPara>
        <m:oMath>
          <m:r>
            <m:rPr>
              <m:sty m:val="p"/>
            </m:rPr>
            <w:rPr>
              <w:rFonts w:ascii="Cambria Math" w:hAnsi="Cambria Math" w:cs="Times New Roman"/>
              <w:sz w:val="20"/>
              <w:szCs w:val="20"/>
            </w:rPr>
            <m:t>γ=</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13×2</m:t>
              </m:r>
            </m:den>
          </m:f>
          <m:nary>
            <m:naryPr>
              <m:chr m:val="∑"/>
              <m:limLoc m:val="undOvr"/>
              <m:ctrlPr>
                <w:rPr>
                  <w:rFonts w:ascii="Cambria Math" w:hAnsi="Cambria Math" w:cs="Times New Roman"/>
                  <w:i/>
                  <w:sz w:val="20"/>
                  <w:szCs w:val="20"/>
                </w:rPr>
              </m:ctrlPr>
            </m:naryPr>
            <m:sub>
              <m:r>
                <w:rPr>
                  <w:rFonts w:ascii="Cambria Math" w:hAnsi="Cambria Math" w:cs="Times New Roman"/>
                  <w:sz w:val="20"/>
                  <w:szCs w:val="20"/>
                </w:rPr>
                <m:t>t=2004</m:t>
              </m:r>
            </m:sub>
            <m:sup>
              <m:r>
                <w:rPr>
                  <w:rFonts w:ascii="Cambria Math" w:hAnsi="Cambria Math" w:cs="Times New Roman"/>
                  <w:sz w:val="20"/>
                  <w:szCs w:val="20"/>
                </w:rPr>
                <m:t>2016</m:t>
              </m:r>
            </m:sup>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g=0</m:t>
                  </m:r>
                </m:sub>
                <m:sup>
                  <m:r>
                    <w:rPr>
                      <w:rFonts w:ascii="Cambria Math" w:hAnsi="Cambria Math" w:cs="Times New Roman"/>
                      <w:sz w:val="20"/>
                      <w:szCs w:val="20"/>
                    </w:rPr>
                    <m:t>1</m:t>
                  </m:r>
                </m:sup>
                <m:e>
                  <m:func>
                    <m:funcPr>
                      <m:ctrlPr>
                        <w:rPr>
                          <w:rFonts w:ascii="Cambria Math" w:hAnsi="Cambria Math" w:cs="Times New Roman"/>
                          <w:i/>
                          <w:sz w:val="20"/>
                          <w:szCs w:val="20"/>
                        </w:rPr>
                      </m:ctrlPr>
                    </m:funcPr>
                    <m:fName>
                      <m:r>
                        <m:rPr>
                          <m:sty m:val="p"/>
                        </m:rPr>
                        <w:rPr>
                          <w:rFonts w:ascii="Cambria Math" w:hAnsi="Cambria Math" w:cs="Times New Roman"/>
                          <w:sz w:val="20"/>
                          <w:szCs w:val="20"/>
                        </w:rPr>
                        <m:t>logit</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g,t</m:t>
                              </m:r>
                            </m:sub>
                          </m:sSub>
                        </m:e>
                      </m:d>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logit</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g,t</m:t>
                                  </m:r>
                                </m:sub>
                              </m:sSub>
                            </m:e>
                          </m:d>
                        </m:e>
                      </m:func>
                    </m:e>
                  </m:func>
                </m:e>
              </m:nary>
            </m:e>
          </m:nary>
        </m:oMath>
      </m:oMathPara>
    </w:p>
    <w:p w14:paraId="29D56B2E" w14:textId="5D54C090" w:rsidR="004C5B20" w:rsidRPr="00435469" w:rsidRDefault="004C5B20" w:rsidP="00955FFB">
      <w:pPr>
        <w:spacing w:line="240" w:lineRule="auto"/>
        <w:rPr>
          <w:rFonts w:cs="Times New Roman"/>
          <w:sz w:val="20"/>
          <w:szCs w:val="20"/>
        </w:rPr>
      </w:pPr>
      <w:r w:rsidRPr="00435469">
        <w:rPr>
          <w:sz w:val="20"/>
          <w:szCs w:val="20"/>
        </w:rPr>
        <w:t>We set a lower limit of zero (i.e., assuming deaths are not over-reported).</w:t>
      </w:r>
    </w:p>
    <w:p w14:paraId="7CA3F3D6" w14:textId="547BBB83" w:rsidR="006D3675" w:rsidRPr="00435469" w:rsidRDefault="006D3675" w:rsidP="00955FFB">
      <w:pPr>
        <w:spacing w:line="240" w:lineRule="auto"/>
        <w:rPr>
          <w:rFonts w:cs="Times New Roman"/>
          <w:sz w:val="20"/>
          <w:szCs w:val="20"/>
        </w:rPr>
      </w:pPr>
      <w:r w:rsidRPr="00435469">
        <w:rPr>
          <w:rFonts w:cs="Times New Roman"/>
          <w:sz w:val="20"/>
          <w:szCs w:val="20"/>
        </w:rPr>
        <w:t xml:space="preserve">Then, we </w:t>
      </w:r>
      <w:r w:rsidR="0005345A" w:rsidRPr="00435469">
        <w:rPr>
          <w:rFonts w:cs="Times New Roman"/>
          <w:sz w:val="20"/>
          <w:szCs w:val="20"/>
        </w:rPr>
        <w:t xml:space="preserve">also </w:t>
      </w:r>
      <w:r w:rsidR="003832E1" w:rsidRPr="00435469">
        <w:rPr>
          <w:rFonts w:cs="Times New Roman"/>
          <w:sz w:val="20"/>
          <w:szCs w:val="20"/>
        </w:rPr>
        <w:t xml:space="preserve">apply a </w:t>
      </w:r>
      <w:r w:rsidRPr="00435469">
        <w:rPr>
          <w:rFonts w:cs="Times New Roman"/>
          <w:sz w:val="20"/>
          <w:szCs w:val="20"/>
        </w:rPr>
        <w:t xml:space="preserve">logit transformation to the proportions </w:t>
      </w:r>
      <w:r w:rsidR="00AB127B" w:rsidRPr="00435469">
        <w:rPr>
          <w:rFonts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g,t</m:t>
            </m:r>
          </m:sub>
        </m:sSub>
      </m:oMath>
      <w:r w:rsidR="00AB127B" w:rsidRPr="00435469">
        <w:rPr>
          <w:rFonts w:eastAsiaTheme="minorEastAsia"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g,t</m:t>
            </m:r>
          </m:sub>
        </m:sSub>
      </m:oMath>
      <w:r w:rsidR="00AB127B" w:rsidRPr="00435469">
        <w:rPr>
          <w:rFonts w:cs="Times New Roman"/>
          <w:sz w:val="20"/>
          <w:szCs w:val="20"/>
        </w:rPr>
        <w:t xml:space="preserve">) </w:t>
      </w:r>
      <w:r w:rsidRPr="00435469">
        <w:rPr>
          <w:rFonts w:cs="Times New Roman"/>
          <w:sz w:val="20"/>
          <w:szCs w:val="20"/>
        </w:rPr>
        <w:t xml:space="preserve">and specify the </w:t>
      </w:r>
      <w:r w:rsidRPr="00435469">
        <w:rPr>
          <w:rFonts w:cs="Times New Roman"/>
          <w:sz w:val="20"/>
          <w:szCs w:val="20"/>
          <w:lang w:val="en-ZA"/>
        </w:rPr>
        <w:t>likelihood as follows:</w:t>
      </w:r>
    </w:p>
    <w:p w14:paraId="38CE562C" w14:textId="251A027B" w:rsidR="006D3675" w:rsidRPr="00435469" w:rsidRDefault="006D3675" w:rsidP="00955FFB">
      <w:pPr>
        <w:spacing w:line="240" w:lineRule="auto"/>
        <w:rPr>
          <w:rFonts w:eastAsiaTheme="minorEastAsia" w:cs="Times New Roman"/>
          <w:sz w:val="20"/>
          <w:szCs w:val="20"/>
          <w:lang w:val="en-CA"/>
        </w:rPr>
      </w:pPr>
      <m:oMathPara>
        <m:oMath>
          <m:r>
            <w:rPr>
              <w:rFonts w:ascii="Cambria Math" w:hAnsi="Cambria Math" w:cs="Times New Roman"/>
              <w:sz w:val="20"/>
              <w:szCs w:val="20"/>
            </w:rPr>
            <m:t>L</m:t>
          </m:r>
          <m:d>
            <m:dPr>
              <m:ctrlPr>
                <w:rPr>
                  <w:rFonts w:ascii="Cambria Math" w:hAnsi="Cambria Math" w:cs="Times New Roman"/>
                  <w:i/>
                  <w:sz w:val="20"/>
                  <w:szCs w:val="20"/>
                </w:rPr>
              </m:ctrlPr>
            </m:dPr>
            <m:e>
              <m:r>
                <m:rPr>
                  <m:sty m:val="bi"/>
                </m:rPr>
                <w:rPr>
                  <w:rFonts w:ascii="Cambria Math" w:hAnsi="Cambria Math" w:cs="Times New Roman"/>
                  <w:sz w:val="20"/>
                  <w:szCs w:val="20"/>
                </w:rPr>
                <m:t>R</m:t>
              </m:r>
            </m:e>
            <m:e>
              <m:r>
                <w:rPr>
                  <w:rFonts w:ascii="Cambria Math" w:hAnsi="Cambria Math" w:cs="Times New Roman"/>
                  <w:sz w:val="20"/>
                  <w:szCs w:val="20"/>
                </w:rPr>
                <m:t>ϕ</m:t>
              </m:r>
            </m:e>
          </m:d>
          <m:r>
            <w:rPr>
              <w:rFonts w:ascii="Cambria Math" w:hAnsi="Cambria Math" w:cs="Times New Roman"/>
              <w:sz w:val="20"/>
              <w:szCs w:val="20"/>
            </w:rPr>
            <m:t>=</m:t>
          </m:r>
          <m:r>
            <w:rPr>
              <w:rFonts w:ascii="Cambria Math" w:hAnsi="Cambria Math" w:cs="Times New Roman"/>
              <w:sz w:val="20"/>
              <w:szCs w:val="20"/>
              <w:lang w:val="en-CA"/>
            </w:rPr>
            <m:t xml:space="preserve"> </m:t>
          </m:r>
          <m:nary>
            <m:naryPr>
              <m:chr m:val="∏"/>
              <m:limLoc m:val="undOvr"/>
              <m:supHide m:val="1"/>
              <m:ctrlPr>
                <w:rPr>
                  <w:rFonts w:ascii="Cambria Math" w:hAnsi="Cambria Math" w:cs="Times New Roman"/>
                  <w:i/>
                  <w:sz w:val="20"/>
                  <w:szCs w:val="20"/>
                  <w:lang w:val="en-CA"/>
                </w:rPr>
              </m:ctrlPr>
            </m:naryPr>
            <m:sub>
              <m:r>
                <w:rPr>
                  <w:rFonts w:ascii="Cambria Math" w:hAnsi="Cambria Math" w:cs="Times New Roman"/>
                  <w:sz w:val="20"/>
                  <w:szCs w:val="20"/>
                  <w:lang w:val="en-CA"/>
                </w:rPr>
                <m:t>g</m:t>
              </m:r>
            </m:sub>
            <m:sup/>
            <m:e>
              <m:nary>
                <m:naryPr>
                  <m:chr m:val="∏"/>
                  <m:limLoc m:val="undOvr"/>
                  <m:supHide m:val="1"/>
                  <m:ctrlPr>
                    <w:rPr>
                      <w:rFonts w:ascii="Cambria Math" w:hAnsi="Cambria Math" w:cs="Times New Roman"/>
                      <w:i/>
                      <w:sz w:val="20"/>
                      <w:szCs w:val="20"/>
                      <w:lang w:val="en-CA"/>
                    </w:rPr>
                  </m:ctrlPr>
                </m:naryPr>
                <m:sub>
                  <m:r>
                    <w:rPr>
                      <w:rFonts w:ascii="Cambria Math" w:hAnsi="Cambria Math" w:cs="Times New Roman"/>
                      <w:sz w:val="20"/>
                      <w:szCs w:val="20"/>
                      <w:lang w:val="en-CA"/>
                    </w:rPr>
                    <m:t>t</m:t>
                  </m:r>
                </m:sub>
                <m:sup/>
                <m:e>
                  <m:f>
                    <m:fPr>
                      <m:ctrlPr>
                        <w:rPr>
                          <w:rFonts w:ascii="Cambria Math" w:hAnsi="Cambria Math" w:cs="Times New Roman"/>
                          <w:i/>
                          <w:sz w:val="20"/>
                          <w:szCs w:val="20"/>
                        </w:rPr>
                      </m:ctrlPr>
                    </m:fPr>
                    <m:num>
                      <m:r>
                        <w:rPr>
                          <w:rFonts w:ascii="Cambria Math" w:hAnsi="Cambria Math" w:cs="Times New Roman"/>
                          <w:sz w:val="20"/>
                          <w:szCs w:val="20"/>
                        </w:rPr>
                        <m:t>1</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2π</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e>
                      </m:rad>
                    </m:den>
                  </m:f>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i/>
                              <w:sz w:val="20"/>
                              <w:szCs w:val="20"/>
                            </w:rPr>
                          </m:ctrlPr>
                        </m:dPr>
                        <m:e>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begChr m:val="["/>
                                      <m:endChr m:val="]"/>
                                      <m:ctrlPr>
                                        <w:rPr>
                                          <w:rFonts w:ascii="Cambria Math" w:hAnsi="Cambria Math" w:cs="Times New Roman"/>
                                          <w:i/>
                                          <w:sz w:val="20"/>
                                          <w:szCs w:val="20"/>
                                        </w:rPr>
                                      </m:ctrlPr>
                                    </m:dPr>
                                    <m:e>
                                      <m:func>
                                        <m:funcPr>
                                          <m:ctrlPr>
                                            <w:rPr>
                                              <w:rFonts w:ascii="Cambria Math" w:hAnsi="Cambria Math" w:cs="Times New Roman"/>
                                              <w:i/>
                                              <w:sz w:val="20"/>
                                              <w:szCs w:val="20"/>
                                            </w:rPr>
                                          </m:ctrlPr>
                                        </m:funcPr>
                                        <m:fName>
                                          <m:r>
                                            <m:rPr>
                                              <m:sty m:val="p"/>
                                            </m:rPr>
                                            <w:rPr>
                                              <w:rFonts w:ascii="Cambria Math" w:hAnsi="Cambria Math" w:cs="Times New Roman"/>
                                              <w:sz w:val="20"/>
                                              <w:szCs w:val="20"/>
                                            </w:rPr>
                                            <m:t>logit</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g,t</m:t>
                                                  </m:r>
                                                </m:sub>
                                              </m:sSub>
                                            </m:e>
                                          </m:d>
                                        </m:e>
                                      </m:func>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logit</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g,t</m:t>
                                                  </m:r>
                                                </m:sub>
                                              </m:sSub>
                                              <m:d>
                                                <m:dPr>
                                                  <m:ctrlPr>
                                                    <w:rPr>
                                                      <w:rFonts w:ascii="Cambria Math" w:hAnsi="Cambria Math" w:cs="Times New Roman"/>
                                                      <w:i/>
                                                      <w:sz w:val="20"/>
                                                      <w:szCs w:val="20"/>
                                                    </w:rPr>
                                                  </m:ctrlPr>
                                                </m:dPr>
                                                <m:e>
                                                  <m:r>
                                                    <w:rPr>
                                                      <w:rFonts w:ascii="Cambria Math" w:hAnsi="Cambria Math" w:cs="Times New Roman"/>
                                                      <w:sz w:val="20"/>
                                                      <w:szCs w:val="20"/>
                                                    </w:rPr>
                                                    <m:t>ϕ</m:t>
                                                  </m:r>
                                                </m:e>
                                              </m:d>
                                            </m:e>
                                          </m:d>
                                        </m:e>
                                      </m:func>
                                      <m:r>
                                        <w:rPr>
                                          <w:rFonts w:ascii="Cambria Math" w:hAnsi="Cambria Math" w:cs="Times New Roman"/>
                                          <w:sz w:val="20"/>
                                          <w:szCs w:val="20"/>
                                        </w:rPr>
                                        <m:t>-γ</m:t>
                                      </m:r>
                                    </m:e>
                                  </m:d>
                                </m:e>
                                <m:sup>
                                  <m:r>
                                    <w:rPr>
                                      <w:rFonts w:ascii="Cambria Math" w:hAnsi="Cambria Math" w:cs="Times New Roman"/>
                                      <w:sz w:val="20"/>
                                      <w:szCs w:val="20"/>
                                    </w:rPr>
                                    <m:t>2</m:t>
                                  </m:r>
                                </m:sup>
                              </m:sSup>
                            </m:num>
                            <m:den>
                              <m:r>
                                <w:rPr>
                                  <w:rFonts w:ascii="Cambria Math" w:hAnsi="Cambria Math" w:cs="Times New Roman"/>
                                  <w:sz w:val="20"/>
                                  <w:szCs w:val="20"/>
                                </w:rPr>
                                <m:t>2</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den>
                          </m:f>
                        </m:e>
                      </m:d>
                    </m:e>
                  </m:func>
                </m:e>
              </m:nary>
            </m:e>
          </m:nary>
        </m:oMath>
      </m:oMathPara>
    </w:p>
    <w:p w14:paraId="31AD449B" w14:textId="66764216" w:rsidR="006D3675" w:rsidRPr="00435469" w:rsidRDefault="00000000" w:rsidP="00955FFB">
      <w:pPr>
        <w:spacing w:line="240" w:lineRule="auto"/>
        <w:rPr>
          <w:rFonts w:eastAsiaTheme="minorEastAsia" w:cs="Times New Roman"/>
          <w:sz w:val="20"/>
          <w:szCs w:val="20"/>
        </w:rPr>
      </w:pPr>
      <m:oMath>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oMath>
      <w:r w:rsidR="006D3675" w:rsidRPr="00435469">
        <w:rPr>
          <w:rFonts w:eastAsiaTheme="minorEastAsia" w:cs="Times New Roman"/>
          <w:sz w:val="20"/>
          <w:szCs w:val="20"/>
        </w:rPr>
        <w:t xml:space="preserve"> is assumed to be 0.01. </w:t>
      </w:r>
    </w:p>
    <w:p w14:paraId="5CC3FB3B" w14:textId="1837A720" w:rsidR="006D3675" w:rsidRPr="00435469" w:rsidRDefault="00EF7766" w:rsidP="00955FFB">
      <w:pPr>
        <w:pStyle w:val="Heading3"/>
        <w:numPr>
          <w:ilvl w:val="2"/>
          <w:numId w:val="18"/>
        </w:numPr>
        <w:rPr>
          <w:color w:val="auto"/>
          <w:sz w:val="20"/>
          <w:szCs w:val="20"/>
        </w:rPr>
      </w:pPr>
      <w:bookmarkStart w:id="334" w:name="_Toc103252961"/>
      <w:r w:rsidRPr="00435469">
        <w:rPr>
          <w:color w:val="auto"/>
          <w:sz w:val="20"/>
          <w:szCs w:val="20"/>
        </w:rPr>
        <w:t>The l</w:t>
      </w:r>
      <w:r w:rsidR="006D3675" w:rsidRPr="00435469">
        <w:rPr>
          <w:color w:val="auto"/>
          <w:sz w:val="20"/>
          <w:szCs w:val="20"/>
        </w:rPr>
        <w:t>ikelihood for HIV prevalence in the electronic tuberculosis register</w:t>
      </w:r>
      <w:bookmarkEnd w:id="334"/>
    </w:p>
    <w:p w14:paraId="0FB5416B" w14:textId="4AE966CA" w:rsidR="004E327C" w:rsidRPr="00435469" w:rsidRDefault="006D3675" w:rsidP="00955FFB">
      <w:pPr>
        <w:pStyle w:val="1Para"/>
        <w:spacing w:line="240" w:lineRule="auto"/>
        <w:ind w:firstLine="0"/>
        <w:rPr>
          <w:rFonts w:eastAsiaTheme="minorEastAsia" w:cs="Times New Roman"/>
          <w:sz w:val="20"/>
          <w:szCs w:val="20"/>
          <w:lang w:val="en-US"/>
        </w:rPr>
      </w:pPr>
      <w:r w:rsidRPr="00435469">
        <w:rPr>
          <w:rFonts w:cs="Times New Roman"/>
          <w:sz w:val="20"/>
          <w:szCs w:val="20"/>
        </w:rPr>
        <w:t xml:space="preserve">We let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M</m:t>
            </m:r>
            <m:ctrlPr>
              <w:rPr>
                <w:rFonts w:ascii="Cambria Math" w:hAnsi="Cambria Math" w:cs="Times New Roman"/>
                <w:sz w:val="20"/>
                <w:szCs w:val="20"/>
              </w:rPr>
            </m:ctrlPr>
          </m:e>
          <m:sub>
            <m:r>
              <w:rPr>
                <w:rFonts w:ascii="Cambria Math" w:hAnsi="Cambria Math" w:cs="Times New Roman"/>
                <w:sz w:val="20"/>
                <w:szCs w:val="20"/>
              </w:rPr>
              <m:t>t</m:t>
            </m:r>
          </m:sub>
        </m:sSub>
        <m:d>
          <m:dPr>
            <m:ctrlPr>
              <w:rPr>
                <w:rFonts w:ascii="Cambria Math" w:hAnsi="Cambria Math" w:cs="Times New Roman"/>
                <w:i/>
                <w:sz w:val="20"/>
                <w:szCs w:val="20"/>
              </w:rPr>
            </m:ctrlPr>
          </m:dPr>
          <m:e>
            <m:r>
              <w:rPr>
                <w:rFonts w:ascii="Cambria Math" w:hAnsi="Cambria Math" w:cs="Times New Roman"/>
                <w:sz w:val="20"/>
                <w:szCs w:val="20"/>
              </w:rPr>
              <m:t>ϕ</m:t>
            </m:r>
          </m:e>
        </m:d>
      </m:oMath>
      <w:r w:rsidRPr="00435469">
        <w:rPr>
          <w:rFonts w:eastAsiaTheme="minorEastAsia" w:cs="Times New Roman"/>
          <w:sz w:val="20"/>
          <w:szCs w:val="20"/>
        </w:rPr>
        <w:t xml:space="preserve"> be the estimated prevalence of HIV in people who are on TB treatment in the model</w:t>
      </w:r>
      <w:r w:rsidR="00951050" w:rsidRPr="00435469">
        <w:rPr>
          <w:rFonts w:eastAsiaTheme="minorEastAsia" w:cs="Times New Roman"/>
          <w:sz w:val="20"/>
          <w:szCs w:val="20"/>
        </w:rPr>
        <w:t xml:space="preserve">, where </w:t>
      </w:r>
      <m:oMath>
        <m:r>
          <m:rPr>
            <m:sty m:val="bi"/>
          </m:rPr>
          <w:rPr>
            <w:rFonts w:ascii="Cambria Math" w:hAnsi="Cambria Math" w:cs="Times New Roman"/>
            <w:sz w:val="20"/>
            <w:szCs w:val="20"/>
          </w:rPr>
          <m:t>ϕ</m:t>
        </m:r>
      </m:oMath>
      <w:r w:rsidR="00951050" w:rsidRPr="00435469">
        <w:rPr>
          <w:rFonts w:cs="Times New Roman"/>
          <w:sz w:val="20"/>
          <w:szCs w:val="20"/>
        </w:rPr>
        <w:t xml:space="preserve"> represents the set of model input parameters values</w:t>
      </w:r>
      <w:r w:rsidRPr="00435469">
        <w:rPr>
          <w:rFonts w:eastAsiaTheme="minorEastAsia"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t</m:t>
            </m:r>
          </m:sub>
        </m:sSub>
      </m:oMath>
      <w:r w:rsidRPr="00435469">
        <w:rPr>
          <w:rFonts w:eastAsiaTheme="minorEastAsia" w:cs="Times New Roman"/>
          <w:sz w:val="20"/>
          <w:szCs w:val="20"/>
        </w:rPr>
        <w:t xml:space="preserve"> represent the prevalence of HIV in people recorded on the treatment register (based on the ETR data,</w:t>
      </w:r>
      <w:r w:rsidR="00E34866" w:rsidRPr="00435469">
        <w:rPr>
          <w:rFonts w:eastAsiaTheme="minorEastAsia" w:cs="Times New Roman"/>
          <w:sz w:val="20"/>
          <w:szCs w:val="20"/>
        </w:rPr>
        <w:t xml:space="preserve"> </w:t>
      </w:r>
      <w:r w:rsidR="00227CED" w:rsidRPr="00435469">
        <w:rPr>
          <w:rFonts w:eastAsiaTheme="minorEastAsia" w:cs="Times New Roman"/>
          <w:sz w:val="20"/>
          <w:szCs w:val="20"/>
        </w:rPr>
        <w:fldChar w:fldCharType="begin"/>
      </w:r>
      <w:r w:rsidR="00227CED" w:rsidRPr="00435469">
        <w:rPr>
          <w:rFonts w:eastAsiaTheme="minorEastAsia" w:cs="Times New Roman"/>
          <w:sz w:val="20"/>
          <w:szCs w:val="20"/>
        </w:rPr>
        <w:instrText xml:space="preserve"> REF _Ref100004751 \h </w:instrText>
      </w:r>
      <w:r w:rsidR="00955FFB" w:rsidRPr="00435469">
        <w:rPr>
          <w:rFonts w:eastAsiaTheme="minorEastAsia" w:cs="Times New Roman"/>
          <w:sz w:val="20"/>
          <w:szCs w:val="20"/>
        </w:rPr>
        <w:instrText xml:space="preserve"> \* MERGEFORMAT </w:instrText>
      </w:r>
      <w:r w:rsidR="00227CED" w:rsidRPr="00435469">
        <w:rPr>
          <w:rFonts w:eastAsiaTheme="minorEastAsia" w:cs="Times New Roman"/>
          <w:sz w:val="20"/>
          <w:szCs w:val="20"/>
        </w:rPr>
      </w:r>
      <w:r w:rsidR="00227CED" w:rsidRPr="00435469">
        <w:rPr>
          <w:rFonts w:eastAsiaTheme="minorEastAsia" w:cs="Times New Roman"/>
          <w:sz w:val="20"/>
          <w:szCs w:val="20"/>
        </w:rPr>
        <w:fldChar w:fldCharType="separate"/>
      </w:r>
      <w:r w:rsidR="00186C2F" w:rsidRPr="00435469">
        <w:rPr>
          <w:sz w:val="20"/>
          <w:szCs w:val="20"/>
        </w:rPr>
        <w:t xml:space="preserve">Table </w:t>
      </w:r>
      <w:r w:rsidR="00186C2F" w:rsidRPr="00435469">
        <w:rPr>
          <w:noProof/>
          <w:sz w:val="20"/>
          <w:szCs w:val="20"/>
        </w:rPr>
        <w:t>23</w:t>
      </w:r>
      <w:r w:rsidR="00227CED" w:rsidRPr="00435469">
        <w:rPr>
          <w:rFonts w:eastAsiaTheme="minorEastAsia" w:cs="Times New Roman"/>
          <w:sz w:val="20"/>
          <w:szCs w:val="20"/>
        </w:rPr>
        <w:fldChar w:fldCharType="end"/>
      </w:r>
      <w:r w:rsidR="00E34866" w:rsidRPr="00435469">
        <w:rPr>
          <w:rFonts w:eastAsiaTheme="minorEastAsia" w:cs="Times New Roman"/>
          <w:sz w:val="20"/>
          <w:szCs w:val="20"/>
        </w:rPr>
        <w:t>)</w:t>
      </w:r>
      <w:r w:rsidRPr="00435469">
        <w:rPr>
          <w:rFonts w:eastAsiaTheme="minorEastAsia" w:cs="Times New Roman"/>
          <w:sz w:val="20"/>
          <w:szCs w:val="20"/>
        </w:rPr>
        <w:t>.</w:t>
      </w:r>
      <w:r w:rsidR="00531230" w:rsidRPr="00435469">
        <w:rPr>
          <w:rFonts w:eastAsiaTheme="minorEastAsia" w:cs="Times New Roman"/>
          <w:sz w:val="20"/>
          <w:szCs w:val="20"/>
        </w:rPr>
        <w:t xml:space="preserve"> We restricted the</w:t>
      </w:r>
      <w:r w:rsidR="00182260" w:rsidRPr="00435469">
        <w:rPr>
          <w:rFonts w:eastAsiaTheme="minorEastAsia" w:cs="Times New Roman"/>
          <w:sz w:val="20"/>
          <w:szCs w:val="20"/>
        </w:rPr>
        <w:t xml:space="preserve"> calibration to</w:t>
      </w:r>
      <w:r w:rsidR="00531230" w:rsidRPr="00435469">
        <w:rPr>
          <w:rFonts w:eastAsiaTheme="minorEastAsia" w:cs="Times New Roman"/>
          <w:sz w:val="20"/>
          <w:szCs w:val="20"/>
        </w:rPr>
        <w:t xml:space="preserve"> </w:t>
      </w:r>
      <w:r w:rsidR="006F3C84" w:rsidRPr="00435469">
        <w:rPr>
          <w:rFonts w:eastAsiaTheme="minorEastAsia" w:cs="Times New Roman"/>
          <w:sz w:val="20"/>
          <w:szCs w:val="20"/>
        </w:rPr>
        <w:t xml:space="preserve">HIV prevalence between </w:t>
      </w:r>
      <w:r w:rsidR="00A52E9D" w:rsidRPr="00435469">
        <w:rPr>
          <w:rFonts w:eastAsiaTheme="minorEastAsia" w:cs="Times New Roman"/>
          <w:sz w:val="20"/>
          <w:szCs w:val="20"/>
        </w:rPr>
        <w:t xml:space="preserve">2009-2016 because </w:t>
      </w:r>
      <w:r w:rsidR="00BF2C22" w:rsidRPr="00435469">
        <w:rPr>
          <w:rFonts w:eastAsiaTheme="minorEastAsia" w:cs="Times New Roman"/>
          <w:sz w:val="20"/>
          <w:szCs w:val="20"/>
        </w:rPr>
        <w:t>in earlier years,</w:t>
      </w:r>
      <w:r w:rsidR="00015BCC" w:rsidRPr="00435469">
        <w:rPr>
          <w:rFonts w:eastAsiaTheme="minorEastAsia" w:cs="Times New Roman"/>
          <w:sz w:val="20"/>
          <w:szCs w:val="20"/>
        </w:rPr>
        <w:t xml:space="preserve"> </w:t>
      </w:r>
      <w:r w:rsidR="00015BCC" w:rsidRPr="00435469">
        <w:rPr>
          <w:rFonts w:eastAsiaTheme="minorEastAsia" w:cs="Times New Roman"/>
          <w:sz w:val="20"/>
          <w:szCs w:val="20"/>
          <w:lang w:val="en-US"/>
        </w:rPr>
        <w:t>HIV status information was incompletes and</w:t>
      </w:r>
      <w:r w:rsidRPr="00435469">
        <w:rPr>
          <w:rFonts w:eastAsiaTheme="minorEastAsia" w:cs="Times New Roman"/>
          <w:sz w:val="20"/>
          <w:szCs w:val="20"/>
        </w:rPr>
        <w:t xml:space="preserve"> </w:t>
      </w:r>
      <w:r w:rsidR="005E6186" w:rsidRPr="00435469">
        <w:rPr>
          <w:rFonts w:eastAsiaTheme="minorEastAsia" w:cs="Times New Roman"/>
          <w:sz w:val="20"/>
          <w:szCs w:val="20"/>
          <w:lang w:val="en-US"/>
        </w:rPr>
        <w:t xml:space="preserve">there was </w:t>
      </w:r>
      <w:r w:rsidR="00640CD1" w:rsidRPr="00435469">
        <w:rPr>
          <w:rFonts w:eastAsiaTheme="minorEastAsia" w:cs="Times New Roman"/>
          <w:sz w:val="20"/>
          <w:szCs w:val="20"/>
          <w:lang w:val="en-US"/>
        </w:rPr>
        <w:t xml:space="preserve">a </w:t>
      </w:r>
      <w:r w:rsidR="00D90672" w:rsidRPr="00435469">
        <w:rPr>
          <w:rFonts w:eastAsiaTheme="minorEastAsia" w:cs="Times New Roman"/>
          <w:sz w:val="20"/>
          <w:szCs w:val="20"/>
          <w:lang w:val="en-US"/>
        </w:rPr>
        <w:t xml:space="preserve">high </w:t>
      </w:r>
      <w:r w:rsidR="00BF2C22" w:rsidRPr="00435469">
        <w:rPr>
          <w:rFonts w:eastAsiaTheme="minorEastAsia" w:cs="Times New Roman"/>
          <w:sz w:val="20"/>
          <w:szCs w:val="20"/>
          <w:lang w:val="en-US"/>
        </w:rPr>
        <w:t xml:space="preserve">proportion of </w:t>
      </w:r>
      <w:r w:rsidR="00DD7BC7" w:rsidRPr="00435469">
        <w:rPr>
          <w:rFonts w:eastAsiaTheme="minorEastAsia" w:cs="Times New Roman"/>
          <w:sz w:val="20"/>
          <w:szCs w:val="20"/>
          <w:lang w:val="en-US"/>
        </w:rPr>
        <w:t xml:space="preserve">TB patients with </w:t>
      </w:r>
      <w:r w:rsidR="00BF2C22" w:rsidRPr="00435469">
        <w:rPr>
          <w:rFonts w:eastAsiaTheme="minorEastAsia" w:cs="Times New Roman"/>
          <w:sz w:val="20"/>
          <w:szCs w:val="20"/>
          <w:lang w:val="en-US"/>
        </w:rPr>
        <w:t>unknown</w:t>
      </w:r>
      <w:r w:rsidR="00015BCC" w:rsidRPr="00435469">
        <w:rPr>
          <w:rFonts w:eastAsiaTheme="minorEastAsia" w:cs="Times New Roman"/>
          <w:sz w:val="20"/>
          <w:szCs w:val="20"/>
          <w:lang w:val="en-US"/>
        </w:rPr>
        <w:t>/unspecified</w:t>
      </w:r>
      <w:r w:rsidR="00BF2C22" w:rsidRPr="00435469">
        <w:rPr>
          <w:rFonts w:eastAsiaTheme="minorEastAsia" w:cs="Times New Roman"/>
          <w:sz w:val="20"/>
          <w:szCs w:val="20"/>
          <w:lang w:val="en-US"/>
        </w:rPr>
        <w:t xml:space="preserve"> </w:t>
      </w:r>
      <w:r w:rsidR="00640CD1" w:rsidRPr="00435469">
        <w:rPr>
          <w:rFonts w:eastAsiaTheme="minorEastAsia" w:cs="Times New Roman"/>
          <w:sz w:val="20"/>
          <w:szCs w:val="20"/>
          <w:lang w:val="en-US"/>
        </w:rPr>
        <w:t xml:space="preserve">HIV </w:t>
      </w:r>
      <w:r w:rsidR="00BF2C22" w:rsidRPr="00435469">
        <w:rPr>
          <w:rFonts w:eastAsiaTheme="minorEastAsia" w:cs="Times New Roman"/>
          <w:sz w:val="20"/>
          <w:szCs w:val="20"/>
          <w:lang w:val="en-US"/>
        </w:rPr>
        <w:t>status</w:t>
      </w:r>
      <w:r w:rsidR="00BC51C6" w:rsidRPr="00435469">
        <w:rPr>
          <w:rFonts w:eastAsiaTheme="minorEastAsia" w:cs="Times New Roman"/>
          <w:sz w:val="20"/>
          <w:szCs w:val="20"/>
          <w:lang w:val="en-US"/>
        </w:rPr>
        <w:t>.</w:t>
      </w:r>
      <w:r w:rsidR="00015BCC" w:rsidRPr="00435469">
        <w:rPr>
          <w:rFonts w:eastAsiaTheme="minorEastAsia" w:cs="Times New Roman"/>
          <w:sz w:val="20"/>
          <w:szCs w:val="20"/>
          <w:lang w:val="en-US"/>
        </w:rPr>
        <w:t xml:space="preserve"> We have thus </w:t>
      </w:r>
      <w:r w:rsidR="000C12D8" w:rsidRPr="00435469">
        <w:rPr>
          <w:rFonts w:eastAsiaTheme="minorEastAsia" w:cs="Times New Roman"/>
          <w:sz w:val="20"/>
          <w:szCs w:val="20"/>
          <w:lang w:val="en-US"/>
        </w:rPr>
        <w:t>decided to</w:t>
      </w:r>
      <w:r w:rsidR="00BC51C6" w:rsidRPr="00435469">
        <w:rPr>
          <w:rFonts w:eastAsiaTheme="minorEastAsia" w:cs="Times New Roman"/>
          <w:sz w:val="20"/>
          <w:szCs w:val="20"/>
          <w:lang w:val="en-US"/>
        </w:rPr>
        <w:t xml:space="preserve"> include data from 2009 in which HIV testing coverage was </w:t>
      </w:r>
      <w:r w:rsidR="001D4B47" w:rsidRPr="00435469">
        <w:rPr>
          <w:rFonts w:eastAsiaTheme="minorEastAsia" w:cs="Times New Roman"/>
          <w:sz w:val="20"/>
          <w:szCs w:val="20"/>
          <w:lang w:val="en-US"/>
        </w:rPr>
        <w:t xml:space="preserve">at least </w:t>
      </w:r>
      <w:r w:rsidR="00BC51C6" w:rsidRPr="00435469">
        <w:rPr>
          <w:rFonts w:eastAsiaTheme="minorEastAsia" w:cs="Times New Roman"/>
          <w:sz w:val="20"/>
          <w:szCs w:val="20"/>
          <w:lang w:val="en-US"/>
        </w:rPr>
        <w:t>50%</w:t>
      </w:r>
      <w:r w:rsidR="002D5D0A" w:rsidRPr="00435469">
        <w:rPr>
          <w:rFonts w:eastAsiaTheme="minorEastAsia" w:cs="Times New Roman"/>
          <w:sz w:val="20"/>
          <w:szCs w:val="20"/>
          <w:lang w:val="en-US"/>
        </w:rPr>
        <w:t xml:space="preserve"> </w:t>
      </w:r>
      <w:r w:rsidR="002D5D0A" w:rsidRPr="00435469">
        <w:rPr>
          <w:rFonts w:eastAsiaTheme="minorEastAsia" w:cs="Times New Roman"/>
          <w:sz w:val="20"/>
          <w:szCs w:val="20"/>
          <w:lang w:val="en-US"/>
        </w:rPr>
        <w:fldChar w:fldCharType="begin" w:fldLock="1"/>
      </w:r>
      <w:r w:rsidR="00A142FF" w:rsidRPr="00435469">
        <w:rPr>
          <w:rFonts w:eastAsiaTheme="minorEastAsia" w:cs="Times New Roman"/>
          <w:sz w:val="20"/>
          <w:szCs w:val="20"/>
          <w:lang w:val="en-US"/>
        </w:rPr>
        <w:instrText>ADDIN CSL_CITATION {"citationItems":[{"id":"ITEM-1","itemData":{"DOI":"10.1097/QAD.0000000000000721","ISBN":"0000000000000","ISSN":"14735571","PMID":"26091299","abstract":"Background: UNAIDS aims for 90% of HIV-positive individuals to be diagnosed by 2020, but few attempts have been made in developing countries to estimate the fraction of the HIV-positive population that has been diagnosed. Methods: To estimate the rate of HIV diagnosis in South Africa, reported numbers of HIV tests performed in the South African public and private health sectors were aggregated, and estimates of HIV prevalence in individuals tested for HIV were combined. The data were integrated into a mathematical model of the South African HIV epidemic, which was additionally calibrated to estimates of the fraction of the population ever tested for HIV, as reported in three national household surveys. Results: The fraction of HIV-positive adults who were undiagnosed declined from more than 80% in the early 2000s to 23.7% [95% confidence interval (95% CI) 23.1-24.3] in 2012. The undiagnosed proportion in 2012 was substantially higher in men (31.9%, 95% CI 29.7-34.3) than in women (19.0%, 95% CI 17.9-19.9). Projected probabilities of experiencing disease progression (CD4\\+ cell count &lt;350 cells/ml) without diagnosis are more than 50% for most HIV-positive adults over the age of 40. The fraction of HIVpositive adults who are undiagnosed is projected to decline to 8.9% by 2020 if current targets (10 million tests per annum) are met. Conclusion: South Africa has made significant progress in expanding access to HIV testing, and at current testing rates, the target of 90% of HIV-positive adults diagnosed by 2020 is likely to be reached. However, uptake is relatively low in men and older adults.","author":[{"dropping-particle":"","family":"Johnsona","given":"Leigh F.","non-dropping-particle":"","parse-names":false,"suffix":""},{"dropping-particle":"","family":"Rehlea","given":"Thomas M.","non-dropping-particle":"","parse-names":false,"suffix":""},{"dropping-particle":"","family":"Joosteb","given":"Sean","non-dropping-particle":"","parse-names":false,"suffix":""},{"dropping-particle":"","family":"Bekkerc","given":"Linda Gail","non-dropping-particle":"","parse-names":false,"suffix":""}],"container-title":"AIDS","id":"ITEM-1","issue":"11","issued":{"date-parts":[["2015"]]},"page":"1401-1409","title":"Rates of HIV testing and diagnosis in South Africa: Successes and challenges","type":"article-journal","volume":"29"},"uris":["http://www.mendeley.com/documents/?uuid=13c2fb8a-782e-449f-9f78-68e982eb6617"]}],"mendeley":{"formattedCitation":"(130)","plainTextFormattedCitation":"(130)","previouslyFormattedCitation":"(130)"},"properties":{"noteIndex":0},"schema":"https://github.com/citation-style-language/schema/raw/master/csl-citation.json"}</w:instrText>
      </w:r>
      <w:r w:rsidR="002D5D0A" w:rsidRPr="00435469">
        <w:rPr>
          <w:rFonts w:eastAsiaTheme="minorEastAsia" w:cs="Times New Roman"/>
          <w:sz w:val="20"/>
          <w:szCs w:val="20"/>
          <w:lang w:val="en-US"/>
        </w:rPr>
        <w:fldChar w:fldCharType="separate"/>
      </w:r>
      <w:r w:rsidR="0016391D" w:rsidRPr="00435469">
        <w:rPr>
          <w:rFonts w:eastAsiaTheme="minorEastAsia" w:cs="Times New Roman"/>
          <w:noProof/>
          <w:sz w:val="20"/>
          <w:szCs w:val="20"/>
          <w:lang w:val="en-US"/>
        </w:rPr>
        <w:t>(130)</w:t>
      </w:r>
      <w:r w:rsidR="002D5D0A" w:rsidRPr="00435469">
        <w:rPr>
          <w:rFonts w:eastAsiaTheme="minorEastAsia" w:cs="Times New Roman"/>
          <w:sz w:val="20"/>
          <w:szCs w:val="20"/>
          <w:lang w:val="en-US"/>
        </w:rPr>
        <w:fldChar w:fldCharType="end"/>
      </w:r>
      <w:r w:rsidR="00BC51C6" w:rsidRPr="00435469">
        <w:rPr>
          <w:rFonts w:eastAsiaTheme="minorEastAsia" w:cs="Times New Roman"/>
          <w:sz w:val="20"/>
          <w:szCs w:val="20"/>
          <w:lang w:val="en-US"/>
        </w:rPr>
        <w:t>.</w:t>
      </w:r>
    </w:p>
    <w:p w14:paraId="52879608" w14:textId="77777777" w:rsidR="008B67AC" w:rsidRPr="00435469" w:rsidRDefault="008B67AC" w:rsidP="00955FFB">
      <w:pPr>
        <w:pStyle w:val="1Para"/>
        <w:spacing w:line="240" w:lineRule="auto"/>
        <w:ind w:firstLine="0"/>
        <w:rPr>
          <w:rFonts w:eastAsiaTheme="minorEastAsia" w:cs="Times New Roman"/>
          <w:sz w:val="20"/>
          <w:szCs w:val="20"/>
        </w:rPr>
      </w:pPr>
    </w:p>
    <w:p w14:paraId="6589E9A3" w14:textId="36939BD4" w:rsidR="006D3675" w:rsidRPr="00435469" w:rsidRDefault="006D3675" w:rsidP="00955FFB">
      <w:pPr>
        <w:pStyle w:val="1Para"/>
        <w:spacing w:line="240" w:lineRule="auto"/>
        <w:ind w:firstLine="0"/>
        <w:rPr>
          <w:rFonts w:eastAsiaTheme="minorEastAsia" w:cs="Times New Roman"/>
          <w:sz w:val="20"/>
          <w:szCs w:val="20"/>
          <w:lang w:val="en-US"/>
        </w:rPr>
      </w:pPr>
      <w:r w:rsidRPr="00435469">
        <w:rPr>
          <w:rFonts w:eastAsiaTheme="minorEastAsia" w:cs="Times New Roman"/>
          <w:sz w:val="20"/>
          <w:szCs w:val="20"/>
        </w:rPr>
        <w:lastRenderedPageBreak/>
        <w:t xml:space="preserve">We then </w:t>
      </w:r>
      <w:r w:rsidR="00346C82" w:rsidRPr="00435469">
        <w:rPr>
          <w:rFonts w:eastAsiaTheme="minorEastAsia" w:cs="Times New Roman"/>
          <w:sz w:val="20"/>
          <w:szCs w:val="20"/>
        </w:rPr>
        <w:t>define</w:t>
      </w:r>
      <w:r w:rsidRPr="00435469">
        <w:rPr>
          <w:rFonts w:eastAsiaTheme="minorEastAsia" w:cs="Times New Roman"/>
          <w:sz w:val="20"/>
          <w:szCs w:val="20"/>
        </w:rPr>
        <w:t xml:space="preserve"> the likelihood as follows</w:t>
      </w:r>
    </w:p>
    <w:p w14:paraId="76D4FEEF" w14:textId="005C1499" w:rsidR="006D3675" w:rsidRPr="00435469" w:rsidRDefault="006D3675" w:rsidP="00955FFB">
      <w:pPr>
        <w:spacing w:line="240" w:lineRule="auto"/>
        <w:rPr>
          <w:rFonts w:eastAsiaTheme="minorEastAsia" w:cs="Times New Roman"/>
          <w:sz w:val="20"/>
          <w:szCs w:val="20"/>
          <w:lang w:val="en-CA"/>
        </w:rPr>
      </w:pPr>
      <m:oMathPara>
        <m:oMath>
          <m:r>
            <w:rPr>
              <w:rFonts w:ascii="Cambria Math" w:hAnsi="Cambria Math" w:cs="Times New Roman"/>
              <w:sz w:val="20"/>
              <w:szCs w:val="20"/>
            </w:rPr>
            <m:t>L</m:t>
          </m:r>
          <m:d>
            <m:dPr>
              <m:ctrlPr>
                <w:rPr>
                  <w:rFonts w:ascii="Cambria Math" w:hAnsi="Cambria Math" w:cs="Times New Roman"/>
                  <w:i/>
                  <w:sz w:val="20"/>
                  <w:szCs w:val="20"/>
                </w:rPr>
              </m:ctrlPr>
            </m:dPr>
            <m:e>
              <m:r>
                <m:rPr>
                  <m:sty m:val="bi"/>
                </m:rPr>
                <w:rPr>
                  <w:rFonts w:ascii="Cambria Math" w:hAnsi="Cambria Math" w:cs="Times New Roman"/>
                  <w:sz w:val="20"/>
                  <w:szCs w:val="20"/>
                </w:rPr>
                <m:t>H</m:t>
              </m:r>
            </m:e>
            <m:e>
              <m:r>
                <w:rPr>
                  <w:rFonts w:ascii="Cambria Math" w:hAnsi="Cambria Math" w:cs="Times New Roman"/>
                  <w:sz w:val="20"/>
                  <w:szCs w:val="20"/>
                </w:rPr>
                <m:t>ϕ</m:t>
              </m:r>
            </m:e>
          </m:d>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t=2009</m:t>
              </m:r>
            </m:sub>
            <m:sup>
              <m:r>
                <w:rPr>
                  <w:rFonts w:ascii="Cambria Math" w:hAnsi="Cambria Math" w:cs="Times New Roman"/>
                  <w:sz w:val="20"/>
                  <w:szCs w:val="20"/>
                </w:rPr>
                <m:t>2016</m:t>
              </m:r>
            </m:sup>
            <m:e>
              <m:f>
                <m:fPr>
                  <m:ctrlPr>
                    <w:rPr>
                      <w:rFonts w:ascii="Cambria Math" w:hAnsi="Cambria Math" w:cs="Times New Roman"/>
                      <w:i/>
                      <w:sz w:val="20"/>
                      <w:szCs w:val="20"/>
                    </w:rPr>
                  </m:ctrlPr>
                </m:fPr>
                <m:num>
                  <m:r>
                    <w:rPr>
                      <w:rFonts w:ascii="Cambria Math" w:hAnsi="Cambria Math" w:cs="Times New Roman"/>
                      <w:sz w:val="20"/>
                      <w:szCs w:val="20"/>
                    </w:rPr>
                    <m:t>1</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2π</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e>
                  </m:rad>
                </m:den>
              </m:f>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i/>
                          <w:sz w:val="20"/>
                          <w:szCs w:val="20"/>
                        </w:rPr>
                      </m:ctrlPr>
                    </m:dPr>
                    <m:e>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begChr m:val="["/>
                                  <m:endChr m:val="]"/>
                                  <m:ctrlPr>
                                    <w:rPr>
                                      <w:rFonts w:ascii="Cambria Math" w:hAnsi="Cambria Math" w:cs="Times New Roman"/>
                                      <w:i/>
                                      <w:sz w:val="20"/>
                                      <w:szCs w:val="20"/>
                                    </w:rPr>
                                  </m:ctrlPr>
                                </m:dPr>
                                <m:e>
                                  <m:func>
                                    <m:funcPr>
                                      <m:ctrlPr>
                                        <w:rPr>
                                          <w:rFonts w:ascii="Cambria Math" w:hAnsi="Cambria Math" w:cs="Times New Roman"/>
                                          <w:i/>
                                          <w:sz w:val="20"/>
                                          <w:szCs w:val="20"/>
                                        </w:rPr>
                                      </m:ctrlPr>
                                    </m:funcPr>
                                    <m:fName>
                                      <m:func>
                                        <m:funcPr>
                                          <m:ctrlPr>
                                            <w:rPr>
                                              <w:rFonts w:ascii="Cambria Math" w:hAnsi="Cambria Math" w:cs="Times New Roman"/>
                                              <w:i/>
                                              <w:sz w:val="20"/>
                                              <w:szCs w:val="20"/>
                                            </w:rPr>
                                          </m:ctrlPr>
                                        </m:funcPr>
                                        <m:fName>
                                          <m:r>
                                            <m:rPr>
                                              <m:sty m:val="p"/>
                                            </m:rPr>
                                            <w:rPr>
                                              <w:rFonts w:ascii="Cambria Math" w:hAnsi="Cambria Math" w:cs="Times New Roman"/>
                                              <w:sz w:val="20"/>
                                              <w:szCs w:val="20"/>
                                            </w:rPr>
                                            <m:t>logit</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t</m:t>
                                                  </m:r>
                                                </m:sub>
                                              </m:sSub>
                                              <m:r>
                                                <w:rPr>
                                                  <w:rFonts w:ascii="Cambria Math" w:hAnsi="Cambria Math" w:cs="Times New Roman"/>
                                                  <w:sz w:val="20"/>
                                                  <w:szCs w:val="20"/>
                                                </w:rPr>
                                                <m:t>(ϕ)</m:t>
                                              </m:r>
                                            </m:e>
                                          </m:d>
                                        </m:e>
                                      </m:func>
                                      <m:r>
                                        <m:rPr>
                                          <m:sty m:val="p"/>
                                        </m:rPr>
                                        <w:rPr>
                                          <w:rFonts w:ascii="Cambria Math" w:hAnsi="Cambria Math" w:cs="Times New Roman"/>
                                          <w:sz w:val="20"/>
                                          <w:szCs w:val="20"/>
                                        </w:rPr>
                                        <m:t>-logit</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t</m:t>
                                              </m:r>
                                            </m:sub>
                                          </m:sSub>
                                        </m:e>
                                      </m:d>
                                    </m:e>
                                  </m:func>
                                </m:e>
                              </m:d>
                            </m:e>
                            <m:sup>
                              <m:r>
                                <w:rPr>
                                  <w:rFonts w:ascii="Cambria Math" w:hAnsi="Cambria Math" w:cs="Times New Roman"/>
                                  <w:sz w:val="20"/>
                                  <w:szCs w:val="20"/>
                                </w:rPr>
                                <m:t>2</m:t>
                              </m:r>
                            </m:sup>
                          </m:sSup>
                        </m:num>
                        <m:den>
                          <m:r>
                            <w:rPr>
                              <w:rFonts w:ascii="Cambria Math" w:hAnsi="Cambria Math" w:cs="Times New Roman"/>
                              <w:sz w:val="20"/>
                              <w:szCs w:val="20"/>
                            </w:rPr>
                            <m:t>2</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den>
                      </m:f>
                    </m:e>
                  </m:d>
                </m:e>
              </m:func>
            </m:e>
          </m:nary>
        </m:oMath>
      </m:oMathPara>
    </w:p>
    <w:p w14:paraId="6445062A" w14:textId="586E4DFD" w:rsidR="006D3675" w:rsidRPr="00435469" w:rsidRDefault="00425D79" w:rsidP="00955FFB">
      <w:pPr>
        <w:spacing w:line="240" w:lineRule="auto"/>
        <w:rPr>
          <w:rFonts w:eastAsiaTheme="minorEastAsia" w:cs="Times New Roman"/>
          <w:sz w:val="20"/>
          <w:szCs w:val="20"/>
        </w:rPr>
      </w:pPr>
      <w:r w:rsidRPr="00435469">
        <w:rPr>
          <w:rFonts w:eastAsiaTheme="minorEastAsia" w:cs="Times New Roman"/>
          <w:sz w:val="20"/>
          <w:szCs w:val="20"/>
        </w:rPr>
        <w:t>T</w:t>
      </w:r>
      <w:r w:rsidR="006D3675" w:rsidRPr="00435469">
        <w:rPr>
          <w:rFonts w:eastAsiaTheme="minorEastAsia" w:cs="Times New Roman"/>
          <w:sz w:val="20"/>
          <w:szCs w:val="20"/>
        </w:rPr>
        <w:t xml:space="preserve">he variance is set to be 0.01, equivalent to a 95% </w:t>
      </w:r>
      <w:r w:rsidR="009D67B9" w:rsidRPr="00435469">
        <w:rPr>
          <w:rFonts w:eastAsiaTheme="minorEastAsia" w:cs="Times New Roman"/>
          <w:sz w:val="20"/>
          <w:szCs w:val="20"/>
        </w:rPr>
        <w:t>confidence interval</w:t>
      </w:r>
      <w:r w:rsidR="006D3675" w:rsidRPr="00435469">
        <w:rPr>
          <w:rFonts w:eastAsiaTheme="minorEastAsia" w:cs="Times New Roman"/>
          <w:sz w:val="20"/>
          <w:szCs w:val="20"/>
        </w:rPr>
        <w:t xml:space="preserve"> of 55-64% if prevalence is 60%</w:t>
      </w:r>
      <w:r w:rsidR="003525F5" w:rsidRPr="00435469">
        <w:rPr>
          <w:rFonts w:eastAsiaTheme="minorEastAsia" w:cs="Times New Roman"/>
          <w:sz w:val="20"/>
          <w:szCs w:val="20"/>
        </w:rPr>
        <w:t>.</w:t>
      </w:r>
    </w:p>
    <w:p w14:paraId="470A7676" w14:textId="6D7C3A98" w:rsidR="006D3675" w:rsidRPr="00435469" w:rsidRDefault="00792207" w:rsidP="00955FFB">
      <w:pPr>
        <w:pStyle w:val="Heading3"/>
        <w:numPr>
          <w:ilvl w:val="2"/>
          <w:numId w:val="18"/>
        </w:numPr>
        <w:rPr>
          <w:color w:val="auto"/>
          <w:sz w:val="20"/>
          <w:szCs w:val="20"/>
        </w:rPr>
      </w:pPr>
      <w:bookmarkStart w:id="335" w:name="_Toc79099837"/>
      <w:bookmarkStart w:id="336" w:name="_Toc80352165"/>
      <w:bookmarkStart w:id="337" w:name="_Toc87863362"/>
      <w:bookmarkEnd w:id="325"/>
      <w:bookmarkEnd w:id="326"/>
      <w:bookmarkEnd w:id="327"/>
      <w:r w:rsidRPr="00435469">
        <w:rPr>
          <w:color w:val="auto"/>
          <w:sz w:val="20"/>
          <w:szCs w:val="20"/>
        </w:rPr>
        <w:t xml:space="preserve"> </w:t>
      </w:r>
      <w:bookmarkStart w:id="338" w:name="_Toc103252962"/>
      <w:r w:rsidR="006D3675" w:rsidRPr="00435469">
        <w:rPr>
          <w:color w:val="auto"/>
          <w:sz w:val="20"/>
          <w:szCs w:val="20"/>
        </w:rPr>
        <w:t xml:space="preserve">The likelihood for the </w:t>
      </w:r>
      <w:bookmarkStart w:id="339" w:name="_Hlk88204721"/>
      <w:r w:rsidR="006D3675" w:rsidRPr="00435469">
        <w:rPr>
          <w:color w:val="auto"/>
          <w:sz w:val="20"/>
          <w:szCs w:val="20"/>
        </w:rPr>
        <w:t xml:space="preserve">numbers of </w:t>
      </w:r>
      <w:r w:rsidR="000D77FB" w:rsidRPr="00435469">
        <w:rPr>
          <w:rFonts w:cs="Times New Roman"/>
          <w:color w:val="auto"/>
          <w:sz w:val="20"/>
          <w:szCs w:val="20"/>
        </w:rPr>
        <w:t>microbiological</w:t>
      </w:r>
      <w:r w:rsidR="006D3675" w:rsidRPr="00435469">
        <w:rPr>
          <w:rFonts w:cs="Times New Roman"/>
          <w:color w:val="auto"/>
          <w:sz w:val="20"/>
          <w:szCs w:val="20"/>
        </w:rPr>
        <w:t xml:space="preserve"> </w:t>
      </w:r>
      <w:r w:rsidR="000D77FB" w:rsidRPr="00435469">
        <w:rPr>
          <w:color w:val="auto"/>
          <w:sz w:val="20"/>
          <w:szCs w:val="20"/>
        </w:rPr>
        <w:t>tuberculosis tests</w:t>
      </w:r>
      <w:r w:rsidR="006D3675" w:rsidRPr="00435469">
        <w:rPr>
          <w:color w:val="auto"/>
          <w:sz w:val="20"/>
          <w:szCs w:val="20"/>
        </w:rPr>
        <w:t xml:space="preserve"> performed</w:t>
      </w:r>
      <w:bookmarkEnd w:id="335"/>
      <w:bookmarkEnd w:id="336"/>
      <w:bookmarkEnd w:id="337"/>
      <w:bookmarkEnd w:id="338"/>
    </w:p>
    <w:p w14:paraId="12B4CAB7" w14:textId="2EF1B05B" w:rsidR="008D7117" w:rsidRPr="00435469" w:rsidRDefault="00A26DF2" w:rsidP="00955FFB">
      <w:pPr>
        <w:pStyle w:val="1Para"/>
        <w:spacing w:line="240" w:lineRule="auto"/>
        <w:ind w:firstLine="0"/>
        <w:rPr>
          <w:sz w:val="20"/>
          <w:szCs w:val="20"/>
          <w:lang w:val="en-ZA"/>
        </w:rPr>
      </w:pPr>
      <w:r w:rsidRPr="00435469">
        <w:rPr>
          <w:sz w:val="20"/>
          <w:szCs w:val="20"/>
        </w:rPr>
        <w:t xml:space="preserve">We also </w:t>
      </w:r>
      <w:r w:rsidR="00524F7F" w:rsidRPr="00435469">
        <w:rPr>
          <w:sz w:val="20"/>
          <w:szCs w:val="20"/>
        </w:rPr>
        <w:t xml:space="preserve">calibrated our model to </w:t>
      </w:r>
      <w:r w:rsidR="00E372E1" w:rsidRPr="00435469">
        <w:rPr>
          <w:rFonts w:cs="Times New Roman"/>
          <w:sz w:val="20"/>
          <w:szCs w:val="20"/>
        </w:rPr>
        <w:t>the recorded number of microbiological tests performed by the South African National Health La</w:t>
      </w:r>
      <w:r w:rsidR="00DB5D97" w:rsidRPr="00435469">
        <w:rPr>
          <w:rFonts w:cs="Times New Roman"/>
          <w:sz w:val="20"/>
          <w:szCs w:val="20"/>
        </w:rPr>
        <w:t>boratory Service</w:t>
      </w:r>
      <w:r w:rsidR="00570F94" w:rsidRPr="00435469">
        <w:rPr>
          <w:rFonts w:cs="Times New Roman"/>
          <w:sz w:val="20"/>
          <w:szCs w:val="20"/>
        </w:rPr>
        <w:t xml:space="preserve"> (NHLS)</w:t>
      </w:r>
      <w:r w:rsidR="00DB5D97" w:rsidRPr="00435469">
        <w:rPr>
          <w:rFonts w:cs="Times New Roman"/>
          <w:sz w:val="20"/>
          <w:szCs w:val="20"/>
        </w:rPr>
        <w:t>.</w:t>
      </w:r>
      <w:r w:rsidR="00685D22" w:rsidRPr="00435469">
        <w:rPr>
          <w:rFonts w:cs="Times New Roman"/>
          <w:sz w:val="20"/>
          <w:szCs w:val="20"/>
        </w:rPr>
        <w:t xml:space="preserve"> We </w:t>
      </w:r>
      <w:r w:rsidR="00D12749" w:rsidRPr="00435469">
        <w:rPr>
          <w:rFonts w:cs="Times New Roman"/>
          <w:sz w:val="20"/>
          <w:szCs w:val="20"/>
        </w:rPr>
        <w:t>relied on the</w:t>
      </w:r>
      <w:r w:rsidR="00441190" w:rsidRPr="00435469">
        <w:rPr>
          <w:rFonts w:cs="Times New Roman"/>
          <w:sz w:val="20"/>
          <w:szCs w:val="20"/>
        </w:rPr>
        <w:t xml:space="preserve"> </w:t>
      </w:r>
      <w:proofErr w:type="spellStart"/>
      <w:r w:rsidR="00441190" w:rsidRPr="00435469">
        <w:rPr>
          <w:rFonts w:cs="Times New Roman"/>
          <w:sz w:val="20"/>
          <w:szCs w:val="20"/>
        </w:rPr>
        <w:t>Nanoo</w:t>
      </w:r>
      <w:proofErr w:type="spellEnd"/>
      <w:r w:rsidR="00441190" w:rsidRPr="00435469">
        <w:rPr>
          <w:rFonts w:cs="Times New Roman"/>
          <w:sz w:val="20"/>
          <w:szCs w:val="20"/>
        </w:rPr>
        <w:t xml:space="preserve"> </w:t>
      </w:r>
      <w:r w:rsidR="00441190" w:rsidRPr="00435469">
        <w:rPr>
          <w:rFonts w:cs="Times New Roman"/>
          <w:i/>
          <w:iCs/>
          <w:sz w:val="20"/>
          <w:szCs w:val="20"/>
        </w:rPr>
        <w:t>et al</w:t>
      </w:r>
      <w:r w:rsidR="000E20DF" w:rsidRPr="00435469">
        <w:rPr>
          <w:rFonts w:cs="Times New Roman"/>
          <w:i/>
          <w:iCs/>
          <w:sz w:val="20"/>
          <w:szCs w:val="20"/>
        </w:rPr>
        <w:t xml:space="preserve"> </w:t>
      </w:r>
      <w:r w:rsidR="000E20DF" w:rsidRPr="00435469">
        <w:rPr>
          <w:rFonts w:cs="Times New Roman"/>
          <w:sz w:val="20"/>
          <w:szCs w:val="20"/>
        </w:rPr>
        <w:t>study for these data</w:t>
      </w:r>
      <w:r w:rsidR="00ED1075" w:rsidRPr="00435469">
        <w:rPr>
          <w:rFonts w:cs="Times New Roman"/>
          <w:sz w:val="20"/>
          <w:szCs w:val="20"/>
        </w:rPr>
        <w:t xml:space="preserve"> which were </w:t>
      </w:r>
      <w:r w:rsidR="00E77254" w:rsidRPr="00435469">
        <w:rPr>
          <w:rFonts w:cs="Times New Roman"/>
          <w:sz w:val="20"/>
          <w:szCs w:val="20"/>
        </w:rPr>
        <w:t xml:space="preserve">available for </w:t>
      </w:r>
      <w:r w:rsidR="00AE3546" w:rsidRPr="00435469">
        <w:rPr>
          <w:rFonts w:cs="Times New Roman"/>
          <w:sz w:val="20"/>
          <w:szCs w:val="20"/>
        </w:rPr>
        <w:t xml:space="preserve">the years </w:t>
      </w:r>
      <w:r w:rsidR="00ED1075" w:rsidRPr="00435469">
        <w:rPr>
          <w:rFonts w:cs="Times New Roman"/>
          <w:sz w:val="20"/>
          <w:szCs w:val="20"/>
        </w:rPr>
        <w:t xml:space="preserve">2004 </w:t>
      </w:r>
      <w:r w:rsidR="00AE3546" w:rsidRPr="00435469">
        <w:rPr>
          <w:rFonts w:cs="Times New Roman"/>
          <w:sz w:val="20"/>
          <w:szCs w:val="20"/>
        </w:rPr>
        <w:t xml:space="preserve">to </w:t>
      </w:r>
      <w:r w:rsidR="00ED1075" w:rsidRPr="00435469">
        <w:rPr>
          <w:rFonts w:cs="Times New Roman"/>
          <w:sz w:val="20"/>
          <w:szCs w:val="20"/>
        </w:rPr>
        <w:t>201</w:t>
      </w:r>
      <w:r w:rsidR="00E62E6D" w:rsidRPr="00435469">
        <w:rPr>
          <w:rFonts w:cs="Times New Roman"/>
          <w:sz w:val="20"/>
          <w:szCs w:val="20"/>
        </w:rPr>
        <w:t>1</w:t>
      </w:r>
      <w:r w:rsidR="00C0447E" w:rsidRPr="00435469">
        <w:rPr>
          <w:rFonts w:cs="Times New Roman"/>
          <w:sz w:val="20"/>
          <w:szCs w:val="20"/>
        </w:rPr>
        <w:t xml:space="preserve"> </w:t>
      </w:r>
      <w:r w:rsidR="00611EE9" w:rsidRPr="00435469">
        <w:rPr>
          <w:rFonts w:cs="Times New Roman"/>
          <w:sz w:val="20"/>
          <w:szCs w:val="20"/>
        </w:rPr>
        <w:t>(</w:t>
      </w:r>
      <w:r w:rsidR="00611EE9" w:rsidRPr="00435469">
        <w:rPr>
          <w:rFonts w:cs="Times New Roman"/>
          <w:sz w:val="20"/>
          <w:szCs w:val="20"/>
        </w:rPr>
        <w:fldChar w:fldCharType="begin"/>
      </w:r>
      <w:r w:rsidR="00611EE9" w:rsidRPr="00435469">
        <w:rPr>
          <w:rFonts w:cs="Times New Roman"/>
          <w:sz w:val="20"/>
          <w:szCs w:val="20"/>
        </w:rPr>
        <w:instrText xml:space="preserve"> REF _Ref100004871 \h </w:instrText>
      </w:r>
      <w:r w:rsidR="00304411" w:rsidRPr="00435469">
        <w:rPr>
          <w:rFonts w:cs="Times New Roman"/>
          <w:sz w:val="20"/>
          <w:szCs w:val="20"/>
        </w:rPr>
        <w:instrText xml:space="preserve"> \* MERGEFORMAT </w:instrText>
      </w:r>
      <w:r w:rsidR="00611EE9" w:rsidRPr="00435469">
        <w:rPr>
          <w:rFonts w:cs="Times New Roman"/>
          <w:sz w:val="20"/>
          <w:szCs w:val="20"/>
        </w:rPr>
      </w:r>
      <w:r w:rsidR="00611EE9" w:rsidRPr="00435469">
        <w:rPr>
          <w:rFonts w:cs="Times New Roman"/>
          <w:sz w:val="20"/>
          <w:szCs w:val="20"/>
        </w:rPr>
        <w:fldChar w:fldCharType="separate"/>
      </w:r>
      <w:r w:rsidR="00186C2F" w:rsidRPr="00435469">
        <w:rPr>
          <w:sz w:val="20"/>
          <w:szCs w:val="20"/>
        </w:rPr>
        <w:t xml:space="preserve">Table </w:t>
      </w:r>
      <w:r w:rsidR="00186C2F" w:rsidRPr="00435469">
        <w:rPr>
          <w:noProof/>
          <w:sz w:val="20"/>
          <w:szCs w:val="20"/>
        </w:rPr>
        <w:t>24</w:t>
      </w:r>
      <w:r w:rsidR="00611EE9" w:rsidRPr="00435469">
        <w:rPr>
          <w:rFonts w:cs="Times New Roman"/>
          <w:sz w:val="20"/>
          <w:szCs w:val="20"/>
        </w:rPr>
        <w:fldChar w:fldCharType="end"/>
      </w:r>
      <w:r w:rsidR="00611EE9" w:rsidRPr="00435469">
        <w:rPr>
          <w:rFonts w:cs="Times New Roman"/>
          <w:sz w:val="20"/>
          <w:szCs w:val="20"/>
        </w:rPr>
        <w:t>)</w:t>
      </w:r>
      <w:r w:rsidR="000E20DF" w:rsidRPr="00435469">
        <w:rPr>
          <w:rFonts w:cs="Times New Roman"/>
          <w:sz w:val="20"/>
          <w:szCs w:val="20"/>
        </w:rPr>
        <w:t xml:space="preserve"> </w:t>
      </w:r>
      <w:r w:rsidR="000E20DF" w:rsidRPr="00435469">
        <w:rPr>
          <w:rFonts w:cs="Times New Roman"/>
          <w:sz w:val="20"/>
          <w:szCs w:val="20"/>
        </w:rPr>
        <w:fldChar w:fldCharType="begin" w:fldLock="1"/>
      </w:r>
      <w:r w:rsidR="00A142FF" w:rsidRPr="00435469">
        <w:rPr>
          <w:rFonts w:cs="Times New Roman"/>
          <w:sz w:val="20"/>
          <w:szCs w:val="20"/>
        </w:rPr>
        <w:instrText>ADDIN CSL_CITATION {"citationItems":[{"id":"ITEM-1","itemData":{"DOI":"10.1016/S1473-3099(15)00147-4","ISBN":"1474-4457 (Electronic) 1473-3099 (Linking)","ISSN":"14744457","PMID":"26112077","abstract":"Background: South Africa has the highest incidence of tuberculosis in the world, largely resulting from a high population prevalence of HIV infection. We investigated the incidence of microbiologically confirmed pulmonary tuberculosis, and new cases of pulmonary tuberculosis registered for treatment, nationally and provincially in South Africa from 2004 to 2012, during which time there were changes in antiretroviral therapy (ART) coverage among individuals with HIV infection. Methods: We identified cases of microbiologically confirmed pulmonary tuberculosis from 2004 to 2012 from the National Health Laboratory Service Corporate Data Warehouse. New cases registered for treatment were identified from National Department of Health electronic registries. A time series analysis, using autoregressive models, was undertaken on incidence of microbiologically confirmed pulmonary disease nationally and provincially; this trend was also examined relative to ART coverage of adults with HIV infection. Findings: During the 9-year period, 3 523 371 cases of microbiologically confirmed pulmonary tuberculosis were recorded nationally. Annual incidence (per 100 000 population) increased from 650 (95% CI 648-652) in 2004 to 848 (845-850) in 2008, declining to 774 (771-776) by 2012 (9% decrease from 2008 to 2012). Incidence varied by age-group, sex, and province. There was an inverse association between incidence of microbiologically confirmed disease and ART coverage among HIV-infected individuals nationally and provincially. Trends in incidence of tuberculosis cases registered for treatment mirrored those of microbiologically confirmed cases nationally and provincially; however, incidence of microbiologically confirmed cases was consistently higher than cases registered for treatment nationally and in seven of nine provinces. Interpretation: Since its peak in 2008, the incidence of microbiologically confirmed pulmonary tuberculosis in South Africa had declined by 2012; this decline is associated with an increase in ART coverage. Future integration of registries for microbiologically confirmed cases and new cases registered for treatment would improve the assessment of the burden of pulmonary tuberculosis in South Africa. Funding: National Institute for Communicable Diseases: Division of the National Health Laboratory Service, South Africa.","author":[{"dropping-particle":"","family":"Nanoo","given":"Ananta","non-dropping-particle":"","parse-names":false,"suffix":""},{"dropping-particle":"","family":"Izu","given":"Alane","non-dropping-particle":"","parse-names":false,"suffix":""},{"dropping-particle":"","family":"Ismail","given":"Nazir A.","non-dropping-particle":"","parse-names":false,"suffix":""},{"dropping-particle":"","family":"Ihekweazu","given":"Chikwe","non-dropping-particle":"","parse-names":false,"suffix":""},{"dropping-particle":"","family":"Abubakar","given":"Ibrahim","non-dropping-particle":"","parse-names":false,"suffix":""},{"dropping-particle":"","family":"Mametja","given":"David","non-dropping-particle":"","parse-names":false,"suffix":""},{"dropping-particle":"","family":"Madhi","given":"Shabir A.","non-dropping-particle":"","parse-names":false,"suffix":""}],"container-title":"The Lancet Infectious Diseases","id":"ITEM-1","issue":"9","issued":{"date-parts":[["2015"]]},"page":"1066-1076","publisher":"Elsevier Ltd","title":"Nationwide and regional incidence of microbiologically confirmed pulmonary tuberculosis in South Africa, 2004-12: A time series analysis","type":"article-journal","volume":"15"},"uris":["http://www.mendeley.com/documents/?uuid=4ddc49e3-1211-47ad-972c-b7877933ac26"]}],"mendeley":{"formattedCitation":"(54)","plainTextFormattedCitation":"(54)","previouslyFormattedCitation":"(54)"},"properties":{"noteIndex":0},"schema":"https://github.com/citation-style-language/schema/raw/master/csl-citation.json"}</w:instrText>
      </w:r>
      <w:r w:rsidR="000E20DF" w:rsidRPr="00435469">
        <w:rPr>
          <w:rFonts w:cs="Times New Roman"/>
          <w:sz w:val="20"/>
          <w:szCs w:val="20"/>
        </w:rPr>
        <w:fldChar w:fldCharType="separate"/>
      </w:r>
      <w:r w:rsidR="0016391D" w:rsidRPr="00435469">
        <w:rPr>
          <w:rFonts w:cs="Times New Roman"/>
          <w:noProof/>
          <w:sz w:val="20"/>
          <w:szCs w:val="20"/>
        </w:rPr>
        <w:t>(54)</w:t>
      </w:r>
      <w:r w:rsidR="000E20DF" w:rsidRPr="00435469">
        <w:rPr>
          <w:rFonts w:cs="Times New Roman"/>
          <w:sz w:val="20"/>
          <w:szCs w:val="20"/>
        </w:rPr>
        <w:fldChar w:fldCharType="end"/>
      </w:r>
      <w:r w:rsidR="00570F94" w:rsidRPr="00435469">
        <w:rPr>
          <w:rFonts w:cs="Times New Roman"/>
          <w:sz w:val="20"/>
          <w:szCs w:val="20"/>
        </w:rPr>
        <w:t>.</w:t>
      </w:r>
      <w:r w:rsidR="00441190" w:rsidRPr="00435469">
        <w:rPr>
          <w:sz w:val="20"/>
          <w:szCs w:val="20"/>
        </w:rPr>
        <w:t xml:space="preserve"> </w:t>
      </w:r>
      <w:r w:rsidR="00570F94" w:rsidRPr="00435469">
        <w:rPr>
          <w:sz w:val="20"/>
          <w:szCs w:val="20"/>
        </w:rPr>
        <w:t>A</w:t>
      </w:r>
      <w:r w:rsidR="00441190" w:rsidRPr="00435469">
        <w:rPr>
          <w:sz w:val="20"/>
          <w:szCs w:val="20"/>
        </w:rPr>
        <w:t xml:space="preserve">lthough we requested more recent data from the NHLS, we were not able </w:t>
      </w:r>
      <w:r w:rsidR="00570F94" w:rsidRPr="00435469">
        <w:rPr>
          <w:sz w:val="20"/>
          <w:szCs w:val="20"/>
        </w:rPr>
        <w:t>access the data</w:t>
      </w:r>
      <w:r w:rsidR="00AA4BBF" w:rsidRPr="00435469">
        <w:rPr>
          <w:sz w:val="20"/>
          <w:szCs w:val="20"/>
        </w:rPr>
        <w:t>.</w:t>
      </w:r>
      <w:r w:rsidR="00DA62F9" w:rsidRPr="00435469">
        <w:rPr>
          <w:sz w:val="20"/>
          <w:szCs w:val="20"/>
        </w:rPr>
        <w:t xml:space="preserve"> </w:t>
      </w:r>
      <w:r w:rsidR="00102D94" w:rsidRPr="00435469">
        <w:rPr>
          <w:sz w:val="20"/>
          <w:szCs w:val="20"/>
        </w:rPr>
        <w:t xml:space="preserve">These data </w:t>
      </w:r>
      <w:r w:rsidR="00FC6F15" w:rsidRPr="00435469">
        <w:rPr>
          <w:sz w:val="20"/>
          <w:szCs w:val="20"/>
        </w:rPr>
        <w:t>are</w:t>
      </w:r>
      <w:r w:rsidR="00102D94" w:rsidRPr="00435469">
        <w:rPr>
          <w:sz w:val="20"/>
          <w:szCs w:val="20"/>
        </w:rPr>
        <w:t xml:space="preserve"> </w:t>
      </w:r>
      <w:r w:rsidR="008A6DCB" w:rsidRPr="00435469">
        <w:rPr>
          <w:sz w:val="20"/>
          <w:szCs w:val="20"/>
        </w:rPr>
        <w:t>based on</w:t>
      </w:r>
      <w:r w:rsidR="00CB45DF" w:rsidRPr="00435469">
        <w:rPr>
          <w:sz w:val="20"/>
          <w:szCs w:val="20"/>
        </w:rPr>
        <w:t xml:space="preserve"> the </w:t>
      </w:r>
      <w:r w:rsidR="008A7225" w:rsidRPr="00435469">
        <w:rPr>
          <w:sz w:val="20"/>
          <w:szCs w:val="20"/>
        </w:rPr>
        <w:t>samples submitted to the NHLS for TB testing</w:t>
      </w:r>
      <w:r w:rsidR="003B1DC3" w:rsidRPr="00435469">
        <w:rPr>
          <w:sz w:val="20"/>
          <w:szCs w:val="20"/>
        </w:rPr>
        <w:t xml:space="preserve"> </w:t>
      </w:r>
      <w:r w:rsidR="009953F5" w:rsidRPr="00435469">
        <w:rPr>
          <w:sz w:val="20"/>
          <w:szCs w:val="20"/>
        </w:rPr>
        <w:t xml:space="preserve">and </w:t>
      </w:r>
      <w:r w:rsidR="00DD7BC7" w:rsidRPr="00435469">
        <w:rPr>
          <w:sz w:val="20"/>
          <w:szCs w:val="20"/>
        </w:rPr>
        <w:t xml:space="preserve">do not </w:t>
      </w:r>
      <w:r w:rsidR="00FF25D6" w:rsidRPr="00435469">
        <w:rPr>
          <w:sz w:val="20"/>
          <w:szCs w:val="20"/>
        </w:rPr>
        <w:t xml:space="preserve">have </w:t>
      </w:r>
      <w:r w:rsidR="0056456D" w:rsidRPr="00435469">
        <w:rPr>
          <w:sz w:val="20"/>
          <w:szCs w:val="20"/>
        </w:rPr>
        <w:t>unique patient identifie</w:t>
      </w:r>
      <w:r w:rsidR="00AC7D5A" w:rsidRPr="00435469">
        <w:rPr>
          <w:sz w:val="20"/>
          <w:szCs w:val="20"/>
        </w:rPr>
        <w:t>r</w:t>
      </w:r>
      <w:r w:rsidR="00254863" w:rsidRPr="00435469">
        <w:rPr>
          <w:sz w:val="20"/>
          <w:szCs w:val="20"/>
        </w:rPr>
        <w:t xml:space="preserve">s. In the absence of </w:t>
      </w:r>
      <w:r w:rsidR="00B920FC" w:rsidRPr="00435469">
        <w:rPr>
          <w:sz w:val="20"/>
          <w:szCs w:val="20"/>
        </w:rPr>
        <w:t>the unique patient identifiers</w:t>
      </w:r>
      <w:r w:rsidR="008D7117" w:rsidRPr="00435469">
        <w:rPr>
          <w:sz w:val="20"/>
          <w:szCs w:val="20"/>
        </w:rPr>
        <w:t xml:space="preserve">, a probabilistic </w:t>
      </w:r>
      <w:r w:rsidR="008D7117" w:rsidRPr="00435469">
        <w:rPr>
          <w:sz w:val="20"/>
          <w:szCs w:val="20"/>
          <w:lang w:val="en-ZA"/>
        </w:rPr>
        <w:t>record-linking process is used to match multiple specimen records to individual patients</w:t>
      </w:r>
      <w:r w:rsidR="00875AE1" w:rsidRPr="00435469">
        <w:rPr>
          <w:sz w:val="20"/>
          <w:szCs w:val="20"/>
          <w:lang w:val="en-ZA"/>
        </w:rPr>
        <w:t xml:space="preserve">, </w:t>
      </w:r>
      <w:r w:rsidR="00EE0126" w:rsidRPr="00435469">
        <w:rPr>
          <w:sz w:val="20"/>
          <w:szCs w:val="20"/>
          <w:lang w:val="en-ZA"/>
        </w:rPr>
        <w:t xml:space="preserve">which may be </w:t>
      </w:r>
      <w:r w:rsidR="00875AE1" w:rsidRPr="00435469">
        <w:rPr>
          <w:sz w:val="20"/>
          <w:szCs w:val="20"/>
          <w:lang w:val="en-ZA"/>
        </w:rPr>
        <w:t>subject to bias</w:t>
      </w:r>
      <w:r w:rsidR="00564E88" w:rsidRPr="00435469">
        <w:rPr>
          <w:sz w:val="20"/>
          <w:szCs w:val="20"/>
          <w:lang w:val="en-ZA"/>
        </w:rPr>
        <w:t xml:space="preserve"> </w:t>
      </w:r>
      <w:r w:rsidR="00564E88" w:rsidRPr="00435469">
        <w:rPr>
          <w:rFonts w:cs="Times New Roman"/>
          <w:sz w:val="20"/>
          <w:szCs w:val="20"/>
        </w:rPr>
        <w:fldChar w:fldCharType="begin" w:fldLock="1"/>
      </w:r>
      <w:r w:rsidR="00A142FF" w:rsidRPr="00435469">
        <w:rPr>
          <w:rFonts w:cs="Times New Roman"/>
          <w:sz w:val="20"/>
          <w:szCs w:val="20"/>
        </w:rPr>
        <w:instrText>ADDIN CSL_CITATION {"citationItems":[{"id":"ITEM-1","itemData":{"DOI":"10.1016/S1473-3099(15)00147-4","ISBN":"1474-4457 (Electronic) 1473-3099 (Linking)","ISSN":"14744457","PMID":"26112077","abstract":"Background: South Africa has the highest incidence of tuberculosis in the world, largely resulting from a high population prevalence of HIV infection. We investigated the incidence of microbiologically confirmed pulmonary tuberculosis, and new cases of pulmonary tuberculosis registered for treatment, nationally and provincially in South Africa from 2004 to 2012, during which time there were changes in antiretroviral therapy (ART) coverage among individuals with HIV infection. Methods: We identified cases of microbiologically confirmed pulmonary tuberculosis from 2004 to 2012 from the National Health Laboratory Service Corporate Data Warehouse. New cases registered for treatment were identified from National Department of Health electronic registries. A time series analysis, using autoregressive models, was undertaken on incidence of microbiologically confirmed pulmonary disease nationally and provincially; this trend was also examined relative to ART coverage of adults with HIV infection. Findings: During the 9-year period, 3 523 371 cases of microbiologically confirmed pulmonary tuberculosis were recorded nationally. Annual incidence (per 100 000 population) increased from 650 (95% CI 648-652) in 2004 to 848 (845-850) in 2008, declining to 774 (771-776) by 2012 (9% decrease from 2008 to 2012). Incidence varied by age-group, sex, and province. There was an inverse association between incidence of microbiologically confirmed disease and ART coverage among HIV-infected individuals nationally and provincially. Trends in incidence of tuberculosis cases registered for treatment mirrored those of microbiologically confirmed cases nationally and provincially; however, incidence of microbiologically confirmed cases was consistently higher than cases registered for treatment nationally and in seven of nine provinces. Interpretation: Since its peak in 2008, the incidence of microbiologically confirmed pulmonary tuberculosis in South Africa had declined by 2012; this decline is associated with an increase in ART coverage. Future integration of registries for microbiologically confirmed cases and new cases registered for treatment would improve the assessment of the burden of pulmonary tuberculosis in South Africa. Funding: National Institute for Communicable Diseases: Division of the National Health Laboratory Service, South Africa.","author":[{"dropping-particle":"","family":"Nanoo","given":"Ananta","non-dropping-particle":"","parse-names":false,"suffix":""},{"dropping-particle":"","family":"Izu","given":"Alane","non-dropping-particle":"","parse-names":false,"suffix":""},{"dropping-particle":"","family":"Ismail","given":"Nazir A.","non-dropping-particle":"","parse-names":false,"suffix":""},{"dropping-particle":"","family":"Ihekweazu","given":"Chikwe","non-dropping-particle":"","parse-names":false,"suffix":""},{"dropping-particle":"","family":"Abubakar","given":"Ibrahim","non-dropping-particle":"","parse-names":false,"suffix":""},{"dropping-particle":"","family":"Mametja","given":"David","non-dropping-particle":"","parse-names":false,"suffix":""},{"dropping-particle":"","family":"Madhi","given":"Shabir A.","non-dropping-particle":"","parse-names":false,"suffix":""}],"container-title":"The Lancet Infectious Diseases","id":"ITEM-1","issue":"9","issued":{"date-parts":[["2015"]]},"page":"1066-1076","publisher":"Elsevier Ltd","title":"Nationwide and regional incidence of microbiologically confirmed pulmonary tuberculosis in South Africa, 2004-12: A time series analysis","type":"article-journal","volume":"15"},"uris":["http://www.mendeley.com/documents/?uuid=4ddc49e3-1211-47ad-972c-b7877933ac26"]}],"mendeley":{"formattedCitation":"(54)","plainTextFormattedCitation":"(54)","previouslyFormattedCitation":"(54)"},"properties":{"noteIndex":0},"schema":"https://github.com/citation-style-language/schema/raw/master/csl-citation.json"}</w:instrText>
      </w:r>
      <w:r w:rsidR="00564E88" w:rsidRPr="00435469">
        <w:rPr>
          <w:rFonts w:cs="Times New Roman"/>
          <w:sz w:val="20"/>
          <w:szCs w:val="20"/>
        </w:rPr>
        <w:fldChar w:fldCharType="separate"/>
      </w:r>
      <w:r w:rsidR="0016391D" w:rsidRPr="00435469">
        <w:rPr>
          <w:rFonts w:cs="Times New Roman"/>
          <w:noProof/>
          <w:sz w:val="20"/>
          <w:szCs w:val="20"/>
        </w:rPr>
        <w:t>(54)</w:t>
      </w:r>
      <w:r w:rsidR="00564E88" w:rsidRPr="00435469">
        <w:rPr>
          <w:rFonts w:cs="Times New Roman"/>
          <w:sz w:val="20"/>
          <w:szCs w:val="20"/>
        </w:rPr>
        <w:fldChar w:fldCharType="end"/>
      </w:r>
      <w:r w:rsidR="008D7117" w:rsidRPr="00435469">
        <w:rPr>
          <w:sz w:val="20"/>
          <w:szCs w:val="20"/>
          <w:lang w:val="en-ZA"/>
        </w:rPr>
        <w:t xml:space="preserve">. </w:t>
      </w:r>
      <w:r w:rsidR="00EE0126" w:rsidRPr="00435469">
        <w:rPr>
          <w:rFonts w:eastAsiaTheme="minorEastAsia" w:cs="Times New Roman"/>
          <w:sz w:val="20"/>
          <w:szCs w:val="20"/>
        </w:rPr>
        <w:t>W</w:t>
      </w:r>
      <w:r w:rsidR="006461DD" w:rsidRPr="00435469">
        <w:rPr>
          <w:rFonts w:eastAsiaTheme="minorEastAsia" w:cs="Times New Roman"/>
          <w:sz w:val="20"/>
          <w:szCs w:val="20"/>
        </w:rPr>
        <w:t xml:space="preserve">e apply a </w:t>
      </w:r>
      <w:r w:rsidR="00875AE1" w:rsidRPr="00435469">
        <w:rPr>
          <w:rFonts w:eastAsiaTheme="minorEastAsia" w:cs="Times New Roman"/>
          <w:sz w:val="20"/>
          <w:szCs w:val="20"/>
        </w:rPr>
        <w:t xml:space="preserve">factor of 0.9 to these recorded number of laboratory </w:t>
      </w:r>
      <w:r w:rsidR="00CA672A" w:rsidRPr="00435469">
        <w:rPr>
          <w:rFonts w:eastAsiaTheme="minorEastAsia" w:cs="Times New Roman"/>
          <w:sz w:val="20"/>
          <w:szCs w:val="20"/>
        </w:rPr>
        <w:t>tests</w:t>
      </w:r>
      <w:r w:rsidR="00875AE1" w:rsidRPr="00435469">
        <w:rPr>
          <w:rFonts w:eastAsiaTheme="minorEastAsia" w:cs="Times New Roman"/>
          <w:sz w:val="20"/>
          <w:szCs w:val="20"/>
        </w:rPr>
        <w:t xml:space="preserve"> </w:t>
      </w:r>
      <w:r w:rsidR="00875AE1" w:rsidRPr="00435469">
        <w:rPr>
          <w:rFonts w:eastAsiaTheme="minorEastAsia" w:cs="Times New Roman"/>
          <w:sz w:val="20"/>
          <w:szCs w:val="20"/>
          <w:lang w:val="en-US"/>
        </w:rPr>
        <w:t xml:space="preserve">to account for a 10% over-estimation in NHLS due to under-linking </w:t>
      </w:r>
      <w:r w:rsidR="00875AE1" w:rsidRPr="00435469">
        <w:rPr>
          <w:rFonts w:eastAsiaTheme="minorEastAsia" w:cs="Times New Roman"/>
          <w:sz w:val="20"/>
          <w:szCs w:val="20"/>
        </w:rPr>
        <w:t xml:space="preserve">(informed by personal commutation with Harry Moultrie, </w:t>
      </w:r>
      <w:r w:rsidR="000643D8" w:rsidRPr="00435469">
        <w:rPr>
          <w:rFonts w:eastAsiaTheme="minorEastAsia" w:cs="Times New Roman"/>
          <w:sz w:val="20"/>
          <w:szCs w:val="20"/>
          <w:lang w:val="en-US"/>
        </w:rPr>
        <w:t>National Institute for Communicable Diseases</w:t>
      </w:r>
      <w:r w:rsidR="00DE7F50" w:rsidRPr="00435469">
        <w:rPr>
          <w:rFonts w:eastAsiaTheme="minorEastAsia" w:cs="Times New Roman"/>
          <w:sz w:val="20"/>
          <w:szCs w:val="20"/>
          <w:lang w:val="en-US"/>
        </w:rPr>
        <w:t>)</w:t>
      </w:r>
      <w:r w:rsidR="00875AE1" w:rsidRPr="00435469">
        <w:rPr>
          <w:rFonts w:eastAsiaTheme="minorEastAsia" w:cs="Times New Roman"/>
          <w:sz w:val="20"/>
          <w:szCs w:val="20"/>
        </w:rPr>
        <w:t>.</w:t>
      </w:r>
    </w:p>
    <w:bookmarkEnd w:id="339"/>
    <w:p w14:paraId="3583C87B" w14:textId="10578CED" w:rsidR="00162C15" w:rsidRPr="00435469" w:rsidRDefault="006D3675" w:rsidP="00955FFB">
      <w:pPr>
        <w:pStyle w:val="1Para"/>
        <w:spacing w:line="240" w:lineRule="auto"/>
        <w:ind w:firstLine="0"/>
        <w:rPr>
          <w:sz w:val="20"/>
          <w:szCs w:val="20"/>
        </w:rPr>
      </w:pPr>
      <w:r w:rsidRPr="00435469">
        <w:rPr>
          <w:rFonts w:cs="Times New Roman"/>
          <w:sz w:val="20"/>
          <w:szCs w:val="20"/>
        </w:rPr>
        <w:t>We assume that the number of microbiological tests performed follows a Log-Normal distribution and specify a Log-Normal likelihood function for the years 2004 to 201</w:t>
      </w:r>
      <w:r w:rsidR="00006517" w:rsidRPr="00435469">
        <w:rPr>
          <w:rFonts w:cs="Times New Roman"/>
          <w:sz w:val="20"/>
          <w:szCs w:val="20"/>
        </w:rPr>
        <w:t>1</w:t>
      </w:r>
      <w:r w:rsidRPr="00435469">
        <w:rPr>
          <w:rFonts w:cs="Times New Roman"/>
          <w:sz w:val="20"/>
          <w:szCs w:val="20"/>
        </w:rPr>
        <w:t xml:space="preserve">. We let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t</m:t>
            </m:r>
          </m:sub>
        </m:sSub>
      </m:oMath>
      <w:r w:rsidRPr="00435469">
        <w:rPr>
          <w:rFonts w:cs="Times New Roman"/>
          <w:sz w:val="20"/>
          <w:szCs w:val="20"/>
        </w:rPr>
        <w:t xml:space="preserve"> represent the recorded number of microbiological</w:t>
      </w:r>
      <w:r w:rsidR="00E34D40" w:rsidRPr="00435469">
        <w:rPr>
          <w:rFonts w:cs="Times New Roman"/>
          <w:sz w:val="20"/>
          <w:szCs w:val="20"/>
        </w:rPr>
        <w:t xml:space="preserve"> tests </w:t>
      </w:r>
      <w:r w:rsidRPr="00435469">
        <w:rPr>
          <w:rFonts w:cs="Times New Roman"/>
          <w:sz w:val="20"/>
          <w:szCs w:val="20"/>
        </w:rPr>
        <w:t xml:space="preserve">in year </w:t>
      </w:r>
      <m:oMath>
        <m:r>
          <w:rPr>
            <w:rFonts w:ascii="Cambria Math" w:hAnsi="Cambria Math" w:cs="Times New Roman"/>
            <w:sz w:val="20"/>
            <w:szCs w:val="20"/>
          </w:rPr>
          <m:t>t</m:t>
        </m:r>
      </m:oMath>
      <w:r w:rsidRPr="00435469">
        <w:rPr>
          <w:rFonts w:cs="Times New Roman"/>
          <w:sz w:val="20"/>
          <w:szCs w:val="20"/>
        </w:rPr>
        <w:t xml:space="preserve"> as reported by Nanoo </w:t>
      </w:r>
      <w:r w:rsidRPr="00435469">
        <w:rPr>
          <w:rFonts w:cs="Times New Roman"/>
          <w:i/>
          <w:iCs/>
          <w:sz w:val="20"/>
          <w:szCs w:val="20"/>
        </w:rPr>
        <w:t>et al.</w:t>
      </w:r>
      <w:r w:rsidR="00227CED" w:rsidRPr="00435469">
        <w:rPr>
          <w:rFonts w:cs="Times New Roman"/>
          <w:i/>
          <w:iCs/>
          <w:sz w:val="20"/>
          <w:szCs w:val="20"/>
        </w:rPr>
        <w:t xml:space="preserve"> </w:t>
      </w:r>
      <w:r w:rsidR="00227CED" w:rsidRPr="00435469">
        <w:rPr>
          <w:rFonts w:cs="Times New Roman"/>
          <w:sz w:val="20"/>
          <w:szCs w:val="20"/>
        </w:rPr>
        <w:t>(</w:t>
      </w:r>
      <w:r w:rsidR="00227CED" w:rsidRPr="00435469">
        <w:rPr>
          <w:rFonts w:cs="Times New Roman"/>
          <w:sz w:val="20"/>
          <w:szCs w:val="20"/>
        </w:rPr>
        <w:fldChar w:fldCharType="begin"/>
      </w:r>
      <w:r w:rsidR="00227CED" w:rsidRPr="00435469">
        <w:rPr>
          <w:rFonts w:cs="Times New Roman"/>
          <w:sz w:val="20"/>
          <w:szCs w:val="20"/>
        </w:rPr>
        <w:instrText xml:space="preserve"> REF _Ref100004871 \h  \* MERGEFORMAT </w:instrText>
      </w:r>
      <w:r w:rsidR="00227CED" w:rsidRPr="00435469">
        <w:rPr>
          <w:rFonts w:cs="Times New Roman"/>
          <w:sz w:val="20"/>
          <w:szCs w:val="20"/>
        </w:rPr>
      </w:r>
      <w:r w:rsidR="00227CED" w:rsidRPr="00435469">
        <w:rPr>
          <w:rFonts w:cs="Times New Roman"/>
          <w:sz w:val="20"/>
          <w:szCs w:val="20"/>
        </w:rPr>
        <w:fldChar w:fldCharType="separate"/>
      </w:r>
      <w:r w:rsidR="00186C2F" w:rsidRPr="00435469">
        <w:rPr>
          <w:sz w:val="20"/>
          <w:szCs w:val="20"/>
        </w:rPr>
        <w:t>Table 24</w:t>
      </w:r>
      <w:r w:rsidR="00227CED" w:rsidRPr="00435469">
        <w:rPr>
          <w:rFonts w:cs="Times New Roman"/>
          <w:sz w:val="20"/>
          <w:szCs w:val="20"/>
        </w:rPr>
        <w:fldChar w:fldCharType="end"/>
      </w:r>
      <w:r w:rsidR="00227CED" w:rsidRPr="00435469">
        <w:rPr>
          <w:rFonts w:cs="Times New Roman"/>
          <w:sz w:val="20"/>
          <w:szCs w:val="20"/>
        </w:rPr>
        <w:t>)</w:t>
      </w:r>
      <w:r w:rsidR="00106F33" w:rsidRPr="00435469">
        <w:rPr>
          <w:rFonts w:cs="Times New Roman"/>
          <w:sz w:val="20"/>
          <w:szCs w:val="20"/>
        </w:rPr>
        <w:t xml:space="preserve">. Then let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M</m:t>
            </m:r>
            <m:ctrlPr>
              <w:rPr>
                <w:rFonts w:ascii="Cambria Math" w:hAnsi="Cambria Math" w:cs="Times New Roman"/>
                <w:sz w:val="20"/>
                <w:szCs w:val="20"/>
              </w:rPr>
            </m:ctrlPr>
          </m:e>
          <m:sub>
            <m:r>
              <w:rPr>
                <w:rFonts w:ascii="Cambria Math" w:hAnsi="Cambria Math" w:cs="Times New Roman"/>
                <w:sz w:val="20"/>
                <w:szCs w:val="20"/>
              </w:rPr>
              <m:t>t</m:t>
            </m:r>
          </m:sub>
        </m:sSub>
        <m:r>
          <w:rPr>
            <w:rFonts w:ascii="Cambria Math" w:hAnsi="Cambria Math" w:cs="Times New Roman"/>
            <w:sz w:val="20"/>
            <w:szCs w:val="20"/>
          </w:rPr>
          <m:t>(ϕ)</m:t>
        </m:r>
      </m:oMath>
      <w:r w:rsidRPr="00435469">
        <w:rPr>
          <w:rFonts w:eastAsiaTheme="minorEastAsia" w:cs="Times New Roman"/>
          <w:sz w:val="20"/>
          <w:szCs w:val="20"/>
        </w:rPr>
        <w:t xml:space="preserve"> </w:t>
      </w:r>
      <w:r w:rsidRPr="00435469">
        <w:rPr>
          <w:rFonts w:cs="Times New Roman"/>
          <w:sz w:val="20"/>
          <w:szCs w:val="20"/>
        </w:rPr>
        <w:t>represents the model estimates for the number</w:t>
      </w:r>
      <w:r w:rsidR="00E9154D" w:rsidRPr="00435469">
        <w:rPr>
          <w:rFonts w:cs="Times New Roman"/>
          <w:sz w:val="20"/>
          <w:szCs w:val="20"/>
        </w:rPr>
        <w:t xml:space="preserve"> of</w:t>
      </w:r>
      <w:r w:rsidRPr="00435469">
        <w:rPr>
          <w:rFonts w:cs="Times New Roman"/>
          <w:sz w:val="20"/>
          <w:szCs w:val="20"/>
        </w:rPr>
        <w:t xml:space="preserve"> tests performed </w:t>
      </w:r>
      <w:r w:rsidR="00EE0126" w:rsidRPr="00435469">
        <w:rPr>
          <w:rFonts w:cs="Times New Roman"/>
          <w:sz w:val="20"/>
          <w:szCs w:val="20"/>
        </w:rPr>
        <w:t xml:space="preserve">in </w:t>
      </w:r>
      <w:r w:rsidRPr="00435469">
        <w:rPr>
          <w:rFonts w:cs="Times New Roman"/>
          <w:sz w:val="20"/>
          <w:szCs w:val="20"/>
        </w:rPr>
        <w:t xml:space="preserve">year </w:t>
      </w:r>
      <m:oMath>
        <m:r>
          <w:rPr>
            <w:rFonts w:ascii="Cambria Math" w:hAnsi="Cambria Math" w:cs="Times New Roman"/>
            <w:sz w:val="20"/>
            <w:szCs w:val="20"/>
          </w:rPr>
          <m:t>t</m:t>
        </m:r>
      </m:oMath>
      <w:r w:rsidRPr="00435469">
        <w:rPr>
          <w:rFonts w:eastAsiaTheme="minorEastAsia" w:cs="Times New Roman"/>
          <w:sz w:val="20"/>
          <w:szCs w:val="20"/>
        </w:rPr>
        <w:t xml:space="preserve"> </w:t>
      </w:r>
      <w:r w:rsidR="00EE0126" w:rsidRPr="00435469">
        <w:rPr>
          <w:rFonts w:eastAsiaTheme="minorEastAsia" w:cs="Times New Roman"/>
          <w:sz w:val="20"/>
          <w:szCs w:val="20"/>
        </w:rPr>
        <w:t xml:space="preserve">where </w:t>
      </w:r>
      <m:oMath>
        <m:r>
          <w:rPr>
            <w:rFonts w:ascii="Cambria Math" w:hAnsi="Cambria Math" w:cs="Times New Roman"/>
            <w:sz w:val="20"/>
            <w:szCs w:val="20"/>
          </w:rPr>
          <m:t>ϕ</m:t>
        </m:r>
      </m:oMath>
      <w:r w:rsidRPr="00435469">
        <w:rPr>
          <w:rFonts w:cs="Times New Roman"/>
          <w:bCs/>
          <w:sz w:val="20"/>
          <w:szCs w:val="20"/>
        </w:rPr>
        <w:t xml:space="preserve"> </w:t>
      </w:r>
      <w:r w:rsidRPr="00435469">
        <w:rPr>
          <w:rFonts w:cs="Times New Roman"/>
          <w:sz w:val="20"/>
          <w:szCs w:val="20"/>
        </w:rPr>
        <w:t>represents the set of input parameters.</w:t>
      </w:r>
      <w:bookmarkStart w:id="340" w:name="_Ref89259713"/>
      <w:bookmarkStart w:id="341" w:name="_Toc80352738"/>
      <w:bookmarkStart w:id="342" w:name="_Toc87863410"/>
    </w:p>
    <w:p w14:paraId="08E50ECC" w14:textId="630FB311" w:rsidR="006D3675" w:rsidRPr="00435469" w:rsidRDefault="006D3675" w:rsidP="00C0447E">
      <w:pPr>
        <w:pStyle w:val="3CaptionBelowwithNote"/>
        <w:ind w:left="0" w:firstLine="0"/>
        <w:rPr>
          <w:sz w:val="20"/>
          <w:szCs w:val="20"/>
        </w:rPr>
      </w:pPr>
      <w:bookmarkStart w:id="343" w:name="_Ref100004871"/>
      <w:bookmarkStart w:id="344" w:name="_Toc103253677"/>
      <w:r w:rsidRPr="00435469">
        <w:rPr>
          <w:sz w:val="20"/>
          <w:szCs w:val="20"/>
        </w:rPr>
        <w:t xml:space="preserve">Table </w:t>
      </w:r>
      <w:r w:rsidRPr="00435469">
        <w:rPr>
          <w:noProof w:val="0"/>
          <w:sz w:val="20"/>
          <w:szCs w:val="20"/>
        </w:rPr>
        <w:fldChar w:fldCharType="begin"/>
      </w:r>
      <w:r w:rsidRPr="00435469">
        <w:rPr>
          <w:sz w:val="20"/>
          <w:szCs w:val="20"/>
        </w:rPr>
        <w:instrText xml:space="preserve"> SEQ Table \* ARABIC </w:instrText>
      </w:r>
      <w:r w:rsidRPr="00435469">
        <w:rPr>
          <w:noProof w:val="0"/>
          <w:sz w:val="20"/>
          <w:szCs w:val="20"/>
        </w:rPr>
        <w:fldChar w:fldCharType="separate"/>
      </w:r>
      <w:r w:rsidR="00186C2F" w:rsidRPr="00435469">
        <w:rPr>
          <w:sz w:val="20"/>
          <w:szCs w:val="20"/>
        </w:rPr>
        <w:t>24</w:t>
      </w:r>
      <w:r w:rsidRPr="00435469">
        <w:rPr>
          <w:sz w:val="20"/>
          <w:szCs w:val="20"/>
        </w:rPr>
        <w:fldChar w:fldCharType="end"/>
      </w:r>
      <w:bookmarkEnd w:id="340"/>
      <w:bookmarkEnd w:id="343"/>
      <w:r w:rsidRPr="00435469">
        <w:rPr>
          <w:sz w:val="20"/>
          <w:szCs w:val="20"/>
        </w:rPr>
        <w:t xml:space="preserve">: Recorded numbers of </w:t>
      </w:r>
      <w:r w:rsidR="00AD06E0" w:rsidRPr="00435469">
        <w:rPr>
          <w:sz w:val="20"/>
          <w:szCs w:val="20"/>
        </w:rPr>
        <w:t>microbi</w:t>
      </w:r>
      <w:r w:rsidR="00911691" w:rsidRPr="00435469">
        <w:rPr>
          <w:sz w:val="20"/>
          <w:szCs w:val="20"/>
        </w:rPr>
        <w:t>o</w:t>
      </w:r>
      <w:r w:rsidR="00AD06E0" w:rsidRPr="00435469">
        <w:rPr>
          <w:sz w:val="20"/>
          <w:szCs w:val="20"/>
        </w:rPr>
        <w:t xml:space="preserve">logical </w:t>
      </w:r>
      <w:r w:rsidRPr="00435469">
        <w:rPr>
          <w:sz w:val="20"/>
          <w:szCs w:val="20"/>
        </w:rPr>
        <w:t>tuberculosis</w:t>
      </w:r>
      <w:r w:rsidR="00AD06E0" w:rsidRPr="00435469">
        <w:rPr>
          <w:sz w:val="20"/>
          <w:szCs w:val="20"/>
        </w:rPr>
        <w:t xml:space="preserve"> test performed</w:t>
      </w:r>
      <w:r w:rsidRPr="00435469">
        <w:rPr>
          <w:sz w:val="20"/>
          <w:szCs w:val="20"/>
        </w:rPr>
        <w:t xml:space="preserve"> by year</w:t>
      </w:r>
      <w:bookmarkEnd w:id="341"/>
      <w:bookmarkEnd w:id="342"/>
      <w:bookmarkEnd w:id="344"/>
    </w:p>
    <w:tbl>
      <w:tblPr>
        <w:tblW w:w="9360" w:type="dxa"/>
        <w:tblBorders>
          <w:top w:val="single" w:sz="4" w:space="0" w:color="auto"/>
          <w:bottom w:val="single" w:sz="4" w:space="0" w:color="auto"/>
        </w:tblBorders>
        <w:tblLook w:val="04A0" w:firstRow="1" w:lastRow="0" w:firstColumn="1" w:lastColumn="0" w:noHBand="0" w:noVBand="1"/>
      </w:tblPr>
      <w:tblGrid>
        <w:gridCol w:w="2554"/>
        <w:gridCol w:w="850"/>
        <w:gridCol w:w="850"/>
        <w:gridCol w:w="851"/>
        <w:gridCol w:w="851"/>
        <w:gridCol w:w="851"/>
        <w:gridCol w:w="851"/>
        <w:gridCol w:w="851"/>
        <w:gridCol w:w="851"/>
      </w:tblGrid>
      <w:tr w:rsidR="0061685C" w:rsidRPr="00435469" w14:paraId="068DF1B9" w14:textId="77777777" w:rsidTr="003415B1">
        <w:trPr>
          <w:trHeight w:val="290"/>
        </w:trPr>
        <w:tc>
          <w:tcPr>
            <w:tcW w:w="2554" w:type="dxa"/>
            <w:shd w:val="clear" w:color="auto" w:fill="auto"/>
            <w:noWrap/>
            <w:vAlign w:val="bottom"/>
            <w:hideMark/>
          </w:tcPr>
          <w:p w14:paraId="59702E98" w14:textId="77777777" w:rsidR="00514944" w:rsidRPr="00435469" w:rsidRDefault="00514944" w:rsidP="00955FFB">
            <w:pPr>
              <w:spacing w:after="0" w:line="240" w:lineRule="auto"/>
              <w:rPr>
                <w:rFonts w:eastAsia="Times New Roman" w:cs="Times New Roman"/>
                <w:sz w:val="16"/>
                <w:szCs w:val="16"/>
                <w:lang w:val="en-ZA" w:eastAsia="en-ZA"/>
              </w:rPr>
            </w:pPr>
          </w:p>
        </w:tc>
        <w:tc>
          <w:tcPr>
            <w:tcW w:w="850" w:type="dxa"/>
            <w:tcBorders>
              <w:top w:val="single" w:sz="4" w:space="0" w:color="auto"/>
              <w:bottom w:val="single" w:sz="4" w:space="0" w:color="auto"/>
            </w:tcBorders>
            <w:shd w:val="clear" w:color="auto" w:fill="auto"/>
            <w:noWrap/>
            <w:vAlign w:val="bottom"/>
            <w:hideMark/>
          </w:tcPr>
          <w:p w14:paraId="3FB85C14" w14:textId="77777777" w:rsidR="00514944" w:rsidRPr="00435469" w:rsidRDefault="00514944"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2004</w:t>
            </w:r>
          </w:p>
        </w:tc>
        <w:tc>
          <w:tcPr>
            <w:tcW w:w="850" w:type="dxa"/>
            <w:tcBorders>
              <w:top w:val="single" w:sz="4" w:space="0" w:color="auto"/>
              <w:bottom w:val="single" w:sz="4" w:space="0" w:color="auto"/>
            </w:tcBorders>
            <w:shd w:val="clear" w:color="auto" w:fill="auto"/>
            <w:noWrap/>
            <w:vAlign w:val="bottom"/>
            <w:hideMark/>
          </w:tcPr>
          <w:p w14:paraId="1EB14375" w14:textId="77777777" w:rsidR="00514944" w:rsidRPr="00435469" w:rsidRDefault="00514944"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2005</w:t>
            </w:r>
          </w:p>
        </w:tc>
        <w:tc>
          <w:tcPr>
            <w:tcW w:w="851" w:type="dxa"/>
            <w:tcBorders>
              <w:top w:val="single" w:sz="4" w:space="0" w:color="auto"/>
              <w:bottom w:val="single" w:sz="4" w:space="0" w:color="auto"/>
            </w:tcBorders>
            <w:shd w:val="clear" w:color="auto" w:fill="auto"/>
            <w:noWrap/>
            <w:vAlign w:val="bottom"/>
            <w:hideMark/>
          </w:tcPr>
          <w:p w14:paraId="1175B154" w14:textId="77777777" w:rsidR="00514944" w:rsidRPr="00435469" w:rsidRDefault="00514944"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2006</w:t>
            </w:r>
          </w:p>
        </w:tc>
        <w:tc>
          <w:tcPr>
            <w:tcW w:w="851" w:type="dxa"/>
            <w:tcBorders>
              <w:top w:val="single" w:sz="4" w:space="0" w:color="auto"/>
              <w:bottom w:val="single" w:sz="4" w:space="0" w:color="auto"/>
            </w:tcBorders>
            <w:shd w:val="clear" w:color="auto" w:fill="auto"/>
            <w:noWrap/>
            <w:vAlign w:val="bottom"/>
            <w:hideMark/>
          </w:tcPr>
          <w:p w14:paraId="6B20A47A" w14:textId="77777777" w:rsidR="00514944" w:rsidRPr="00435469" w:rsidRDefault="00514944"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2007</w:t>
            </w:r>
          </w:p>
        </w:tc>
        <w:tc>
          <w:tcPr>
            <w:tcW w:w="851" w:type="dxa"/>
            <w:tcBorders>
              <w:top w:val="single" w:sz="4" w:space="0" w:color="auto"/>
              <w:bottom w:val="single" w:sz="4" w:space="0" w:color="auto"/>
            </w:tcBorders>
            <w:shd w:val="clear" w:color="auto" w:fill="auto"/>
            <w:noWrap/>
            <w:vAlign w:val="bottom"/>
            <w:hideMark/>
          </w:tcPr>
          <w:p w14:paraId="5E52C8AA" w14:textId="77777777" w:rsidR="00514944" w:rsidRPr="00435469" w:rsidRDefault="00514944"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2008</w:t>
            </w:r>
          </w:p>
        </w:tc>
        <w:tc>
          <w:tcPr>
            <w:tcW w:w="851" w:type="dxa"/>
            <w:tcBorders>
              <w:top w:val="single" w:sz="4" w:space="0" w:color="auto"/>
              <w:bottom w:val="single" w:sz="4" w:space="0" w:color="auto"/>
            </w:tcBorders>
            <w:shd w:val="clear" w:color="auto" w:fill="auto"/>
            <w:noWrap/>
            <w:vAlign w:val="bottom"/>
            <w:hideMark/>
          </w:tcPr>
          <w:p w14:paraId="28E914C6" w14:textId="77777777" w:rsidR="00514944" w:rsidRPr="00435469" w:rsidRDefault="00514944"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2009</w:t>
            </w:r>
          </w:p>
        </w:tc>
        <w:tc>
          <w:tcPr>
            <w:tcW w:w="851" w:type="dxa"/>
            <w:tcBorders>
              <w:top w:val="single" w:sz="4" w:space="0" w:color="auto"/>
              <w:bottom w:val="single" w:sz="4" w:space="0" w:color="auto"/>
            </w:tcBorders>
            <w:shd w:val="clear" w:color="auto" w:fill="auto"/>
            <w:noWrap/>
            <w:vAlign w:val="bottom"/>
            <w:hideMark/>
          </w:tcPr>
          <w:p w14:paraId="10CEC2CE" w14:textId="77777777" w:rsidR="00514944" w:rsidRPr="00435469" w:rsidRDefault="00514944"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2010</w:t>
            </w:r>
          </w:p>
        </w:tc>
        <w:tc>
          <w:tcPr>
            <w:tcW w:w="851" w:type="dxa"/>
            <w:tcBorders>
              <w:top w:val="single" w:sz="4" w:space="0" w:color="auto"/>
              <w:bottom w:val="single" w:sz="4" w:space="0" w:color="auto"/>
            </w:tcBorders>
            <w:shd w:val="clear" w:color="auto" w:fill="auto"/>
            <w:noWrap/>
            <w:vAlign w:val="bottom"/>
            <w:hideMark/>
          </w:tcPr>
          <w:p w14:paraId="67140843" w14:textId="77777777" w:rsidR="00514944" w:rsidRPr="00435469" w:rsidRDefault="00514944"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2011</w:t>
            </w:r>
          </w:p>
        </w:tc>
      </w:tr>
      <w:tr w:rsidR="0061685C" w:rsidRPr="00435469" w14:paraId="0109C98A" w14:textId="77777777" w:rsidTr="003415B1">
        <w:trPr>
          <w:trHeight w:val="290"/>
        </w:trPr>
        <w:tc>
          <w:tcPr>
            <w:tcW w:w="2554" w:type="dxa"/>
            <w:shd w:val="clear" w:color="auto" w:fill="auto"/>
            <w:noWrap/>
            <w:vAlign w:val="bottom"/>
            <w:hideMark/>
          </w:tcPr>
          <w:p w14:paraId="0E7EF198" w14:textId="0E252C2C" w:rsidR="00514944" w:rsidRPr="00435469" w:rsidRDefault="00514944" w:rsidP="00955FFB">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Total microbiological tests</w:t>
            </w:r>
            <w:r w:rsidR="00247FDD" w:rsidRPr="00435469">
              <w:rPr>
                <w:rFonts w:eastAsia="Times New Roman" w:cs="Times New Roman"/>
                <w:sz w:val="16"/>
                <w:szCs w:val="16"/>
                <w:lang w:val="en-ZA" w:eastAsia="en-ZA"/>
              </w:rPr>
              <w:t xml:space="preserve"> (</w:t>
            </w:r>
            <w:r w:rsidRPr="00435469">
              <w:rPr>
                <w:rFonts w:eastAsia="Times New Roman" w:cs="Times New Roman"/>
                <w:sz w:val="16"/>
                <w:szCs w:val="16"/>
                <w:lang w:val="en-ZA" w:eastAsia="en-ZA"/>
              </w:rPr>
              <w:t>adjusted</w:t>
            </w:r>
            <w:r w:rsidR="00247FDD" w:rsidRPr="00435469">
              <w:rPr>
                <w:rFonts w:eastAsia="Times New Roman" w:cs="Times New Roman"/>
                <w:sz w:val="16"/>
                <w:szCs w:val="16"/>
                <w:lang w:val="en-ZA" w:eastAsia="en-ZA"/>
              </w:rPr>
              <w:t>)</w:t>
            </w:r>
          </w:p>
        </w:tc>
        <w:tc>
          <w:tcPr>
            <w:tcW w:w="850" w:type="dxa"/>
            <w:tcBorders>
              <w:top w:val="single" w:sz="4" w:space="0" w:color="auto"/>
            </w:tcBorders>
            <w:shd w:val="clear" w:color="auto" w:fill="auto"/>
            <w:noWrap/>
            <w:vAlign w:val="bottom"/>
            <w:hideMark/>
          </w:tcPr>
          <w:p w14:paraId="37070E37" w14:textId="77777777" w:rsidR="00514944" w:rsidRPr="00435469" w:rsidRDefault="00514944"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1259747</w:t>
            </w:r>
          </w:p>
        </w:tc>
        <w:tc>
          <w:tcPr>
            <w:tcW w:w="850" w:type="dxa"/>
            <w:tcBorders>
              <w:top w:val="single" w:sz="4" w:space="0" w:color="auto"/>
            </w:tcBorders>
            <w:shd w:val="clear" w:color="auto" w:fill="auto"/>
            <w:noWrap/>
            <w:vAlign w:val="bottom"/>
            <w:hideMark/>
          </w:tcPr>
          <w:p w14:paraId="24B91E16" w14:textId="77777777" w:rsidR="00514944" w:rsidRPr="00435469" w:rsidRDefault="00514944"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1571753</w:t>
            </w:r>
          </w:p>
        </w:tc>
        <w:tc>
          <w:tcPr>
            <w:tcW w:w="851" w:type="dxa"/>
            <w:tcBorders>
              <w:top w:val="single" w:sz="4" w:space="0" w:color="auto"/>
            </w:tcBorders>
            <w:shd w:val="clear" w:color="auto" w:fill="auto"/>
            <w:noWrap/>
            <w:vAlign w:val="bottom"/>
            <w:hideMark/>
          </w:tcPr>
          <w:p w14:paraId="6CC3FE1E" w14:textId="77777777" w:rsidR="00514944" w:rsidRPr="00435469" w:rsidRDefault="00514944"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1844658</w:t>
            </w:r>
          </w:p>
        </w:tc>
        <w:tc>
          <w:tcPr>
            <w:tcW w:w="851" w:type="dxa"/>
            <w:tcBorders>
              <w:top w:val="single" w:sz="4" w:space="0" w:color="auto"/>
            </w:tcBorders>
            <w:shd w:val="clear" w:color="auto" w:fill="auto"/>
            <w:noWrap/>
            <w:vAlign w:val="bottom"/>
            <w:hideMark/>
          </w:tcPr>
          <w:p w14:paraId="35F8B3B8" w14:textId="77777777" w:rsidR="00514944" w:rsidRPr="00435469" w:rsidRDefault="00514944"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2214799</w:t>
            </w:r>
          </w:p>
        </w:tc>
        <w:tc>
          <w:tcPr>
            <w:tcW w:w="851" w:type="dxa"/>
            <w:tcBorders>
              <w:top w:val="single" w:sz="4" w:space="0" w:color="auto"/>
            </w:tcBorders>
            <w:shd w:val="clear" w:color="auto" w:fill="auto"/>
            <w:noWrap/>
            <w:vAlign w:val="bottom"/>
            <w:hideMark/>
          </w:tcPr>
          <w:p w14:paraId="21136633" w14:textId="77777777" w:rsidR="00514944" w:rsidRPr="00435469" w:rsidRDefault="00514944"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2555539</w:t>
            </w:r>
          </w:p>
        </w:tc>
        <w:tc>
          <w:tcPr>
            <w:tcW w:w="851" w:type="dxa"/>
            <w:tcBorders>
              <w:top w:val="single" w:sz="4" w:space="0" w:color="auto"/>
            </w:tcBorders>
            <w:shd w:val="clear" w:color="auto" w:fill="auto"/>
            <w:noWrap/>
            <w:vAlign w:val="bottom"/>
            <w:hideMark/>
          </w:tcPr>
          <w:p w14:paraId="00446987" w14:textId="77777777" w:rsidR="00514944" w:rsidRPr="00435469" w:rsidRDefault="00514944"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2713728</w:t>
            </w:r>
          </w:p>
        </w:tc>
        <w:tc>
          <w:tcPr>
            <w:tcW w:w="851" w:type="dxa"/>
            <w:tcBorders>
              <w:top w:val="single" w:sz="4" w:space="0" w:color="auto"/>
            </w:tcBorders>
            <w:shd w:val="clear" w:color="auto" w:fill="auto"/>
            <w:noWrap/>
            <w:vAlign w:val="bottom"/>
            <w:hideMark/>
          </w:tcPr>
          <w:p w14:paraId="5B911FF5" w14:textId="77777777" w:rsidR="00514944" w:rsidRPr="00435469" w:rsidRDefault="00514944"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3061440</w:t>
            </w:r>
          </w:p>
        </w:tc>
        <w:tc>
          <w:tcPr>
            <w:tcW w:w="851" w:type="dxa"/>
            <w:tcBorders>
              <w:top w:val="single" w:sz="4" w:space="0" w:color="auto"/>
            </w:tcBorders>
            <w:shd w:val="clear" w:color="auto" w:fill="auto"/>
            <w:noWrap/>
            <w:vAlign w:val="bottom"/>
            <w:hideMark/>
          </w:tcPr>
          <w:p w14:paraId="6983D185" w14:textId="77777777" w:rsidR="00514944" w:rsidRPr="00435469" w:rsidRDefault="00514944"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3175857</w:t>
            </w:r>
          </w:p>
        </w:tc>
      </w:tr>
    </w:tbl>
    <w:p w14:paraId="444410D2" w14:textId="4A8DEE20" w:rsidR="006D3675" w:rsidRPr="00435469" w:rsidRDefault="00514944" w:rsidP="00955FFB">
      <w:pPr>
        <w:spacing w:line="240" w:lineRule="auto"/>
        <w:rPr>
          <w:rFonts w:cs="Times New Roman"/>
          <w:sz w:val="20"/>
          <w:szCs w:val="20"/>
        </w:rPr>
      </w:pPr>
      <w:r w:rsidRPr="00435469">
        <w:rPr>
          <w:rFonts w:cs="Times New Roman"/>
          <w:sz w:val="20"/>
          <w:szCs w:val="20"/>
        </w:rPr>
        <w:t>Data s</w:t>
      </w:r>
      <w:r w:rsidR="006D3675" w:rsidRPr="00435469">
        <w:rPr>
          <w:rFonts w:cs="Times New Roman"/>
          <w:sz w:val="20"/>
          <w:szCs w:val="20"/>
        </w:rPr>
        <w:t>ource</w:t>
      </w:r>
      <w:r w:rsidRPr="00435469">
        <w:rPr>
          <w:rFonts w:cs="Times New Roman"/>
          <w:sz w:val="20"/>
          <w:szCs w:val="20"/>
        </w:rPr>
        <w:t>:</w:t>
      </w:r>
      <w:r w:rsidR="006D3675" w:rsidRPr="00435469">
        <w:rPr>
          <w:rFonts w:cs="Times New Roman"/>
          <w:sz w:val="20"/>
          <w:szCs w:val="20"/>
        </w:rPr>
        <w:t xml:space="preserve"> </w:t>
      </w:r>
      <w:proofErr w:type="spellStart"/>
      <w:r w:rsidR="006D3675" w:rsidRPr="00435469">
        <w:rPr>
          <w:rFonts w:cs="Times New Roman"/>
          <w:sz w:val="20"/>
          <w:szCs w:val="20"/>
        </w:rPr>
        <w:t>Nanoo</w:t>
      </w:r>
      <w:proofErr w:type="spellEnd"/>
      <w:r w:rsidR="006D3675" w:rsidRPr="00435469">
        <w:rPr>
          <w:rFonts w:cs="Times New Roman"/>
          <w:sz w:val="20"/>
          <w:szCs w:val="20"/>
        </w:rPr>
        <w:t xml:space="preserve"> et al </w:t>
      </w:r>
      <w:r w:rsidR="006D3675" w:rsidRPr="00435469">
        <w:rPr>
          <w:rFonts w:eastAsia="Times New Roman" w:cs="Times New Roman"/>
          <w:sz w:val="20"/>
          <w:szCs w:val="20"/>
          <w:lang w:eastAsia="en-ZA"/>
        </w:rPr>
        <w:fldChar w:fldCharType="begin" w:fldLock="1"/>
      </w:r>
      <w:r w:rsidR="00A142FF" w:rsidRPr="00435469">
        <w:rPr>
          <w:rFonts w:eastAsia="Times New Roman" w:cs="Times New Roman"/>
          <w:sz w:val="20"/>
          <w:szCs w:val="20"/>
          <w:lang w:eastAsia="en-ZA"/>
        </w:rPr>
        <w:instrText>ADDIN CSL_CITATION {"citationItems":[{"id":"ITEM-1","itemData":{"DOI":"10.1016/S1473-3099(15)00147-4","ISBN":"1474-4457 (Electronic) 1473-3099 (Linking)","ISSN":"14744457","PMID":"26112077","abstract":"Background: South Africa has the highest incidence of tuberculosis in the world, largely resulting from a high population prevalence of HIV infection. We investigated the incidence of microbiologically confirmed pulmonary tuberculosis, and new cases of pulmonary tuberculosis registered for treatment, nationally and provincially in South Africa from 2004 to 2012, during which time there were changes in antiretroviral therapy (ART) coverage among individuals with HIV infection. Methods: We identified cases of microbiologically confirmed pulmonary tuberculosis from 2004 to 2012 from the National Health Laboratory Service Corporate Data Warehouse. New cases registered for treatment were identified from National Department of Health electronic registries. A time series analysis, using autoregressive models, was undertaken on incidence of microbiologically confirmed pulmonary disease nationally and provincially; this trend was also examined relative to ART coverage of adults with HIV infection. Findings: During the 9-year period, 3 523 371 cases of microbiologically confirmed pulmonary tuberculosis were recorded nationally. Annual incidence (per 100 000 population) increased from 650 (95% CI 648-652) in 2004 to 848 (845-850) in 2008, declining to 774 (771-776) by 2012 (9% decrease from 2008 to 2012). Incidence varied by age-group, sex, and province. There was an inverse association between incidence of microbiologically confirmed disease and ART coverage among HIV-infected individuals nationally and provincially. Trends in incidence of tuberculosis cases registered for treatment mirrored those of microbiologically confirmed cases nationally and provincially; however, incidence of microbiologically confirmed cases was consistently higher than cases registered for treatment nationally and in seven of nine provinces. Interpretation: Since its peak in 2008, the incidence of microbiologically confirmed pulmonary tuberculosis in South Africa had declined by 2012; this decline is associated with an increase in ART coverage. Future integration of registries for microbiologically confirmed cases and new cases registered for treatment would improve the assessment of the burden of pulmonary tuberculosis in South Africa. Funding: National Institute for Communicable Diseases: Division of the National Health Laboratory Service, South Africa.","author":[{"dropping-particle":"","family":"Nanoo","given":"Ananta","non-dropping-particle":"","parse-names":false,"suffix":""},{"dropping-particle":"","family":"Izu","given":"Alane","non-dropping-particle":"","parse-names":false,"suffix":""},{"dropping-particle":"","family":"Ismail","given":"Nazir A.","non-dropping-particle":"","parse-names":false,"suffix":""},{"dropping-particle":"","family":"Ihekweazu","given":"Chikwe","non-dropping-particle":"","parse-names":false,"suffix":""},{"dropping-particle":"","family":"Abubakar","given":"Ibrahim","non-dropping-particle":"","parse-names":false,"suffix":""},{"dropping-particle":"","family":"Mametja","given":"David","non-dropping-particle":"","parse-names":false,"suffix":""},{"dropping-particle":"","family":"Madhi","given":"Shabir A.","non-dropping-particle":"","parse-names":false,"suffix":""}],"container-title":"The Lancet Infectious Diseases","id":"ITEM-1","issue":"9","issued":{"date-parts":[["2015"]]},"page":"1066-1076","publisher":"Elsevier Ltd","title":"Nationwide and regional incidence of microbiologically confirmed pulmonary tuberculosis in South Africa, 2004-12: A time series analysis","type":"article-journal","volume":"15"},"uris":["http://www.mendeley.com/documents/?uuid=4ddc49e3-1211-47ad-972c-b7877933ac26"]}],"mendeley":{"formattedCitation":"(54)","plainTextFormattedCitation":"(54)","previouslyFormattedCitation":"(54)"},"properties":{"noteIndex":0},"schema":"https://github.com/citation-style-language/schema/raw/master/csl-citation.json"}</w:instrText>
      </w:r>
      <w:r w:rsidR="006D3675" w:rsidRPr="00435469">
        <w:rPr>
          <w:rFonts w:eastAsia="Times New Roman" w:cs="Times New Roman"/>
          <w:sz w:val="20"/>
          <w:szCs w:val="20"/>
          <w:lang w:eastAsia="en-ZA"/>
        </w:rPr>
        <w:fldChar w:fldCharType="separate"/>
      </w:r>
      <w:r w:rsidR="0016391D" w:rsidRPr="00435469">
        <w:rPr>
          <w:rFonts w:eastAsia="Times New Roman" w:cs="Times New Roman"/>
          <w:noProof/>
          <w:sz w:val="20"/>
          <w:szCs w:val="20"/>
          <w:lang w:eastAsia="en-ZA"/>
        </w:rPr>
        <w:t>(54)</w:t>
      </w:r>
      <w:r w:rsidR="006D3675" w:rsidRPr="00435469">
        <w:rPr>
          <w:rFonts w:eastAsia="Times New Roman" w:cs="Times New Roman"/>
          <w:sz w:val="20"/>
          <w:szCs w:val="20"/>
          <w:lang w:eastAsia="en-ZA"/>
        </w:rPr>
        <w:fldChar w:fldCharType="end"/>
      </w:r>
      <w:r w:rsidR="006D3675" w:rsidRPr="00435469">
        <w:rPr>
          <w:rFonts w:cs="Times New Roman"/>
          <w:sz w:val="20"/>
          <w:szCs w:val="20"/>
        </w:rPr>
        <w:t xml:space="preserve">. </w:t>
      </w:r>
    </w:p>
    <w:p w14:paraId="653CE3E4" w14:textId="539FEB98" w:rsidR="00514944" w:rsidRPr="00435469" w:rsidRDefault="00346C82" w:rsidP="00955FFB">
      <w:pPr>
        <w:autoSpaceDE w:val="0"/>
        <w:autoSpaceDN w:val="0"/>
        <w:adjustRightInd w:val="0"/>
        <w:spacing w:after="0" w:line="240" w:lineRule="auto"/>
        <w:rPr>
          <w:rFonts w:cs="Times New Roman"/>
          <w:sz w:val="20"/>
          <w:szCs w:val="20"/>
        </w:rPr>
      </w:pPr>
      <w:r w:rsidRPr="00435469">
        <w:rPr>
          <w:rFonts w:eastAsiaTheme="minorEastAsia" w:cs="Times New Roman"/>
          <w:sz w:val="20"/>
          <w:szCs w:val="20"/>
        </w:rPr>
        <w:t>We the</w:t>
      </w:r>
      <w:r w:rsidR="00911691" w:rsidRPr="00435469">
        <w:rPr>
          <w:rFonts w:eastAsiaTheme="minorEastAsia" w:cs="Times New Roman"/>
          <w:sz w:val="20"/>
          <w:szCs w:val="20"/>
        </w:rPr>
        <w:t>n</w:t>
      </w:r>
      <w:r w:rsidRPr="00435469">
        <w:rPr>
          <w:rFonts w:eastAsiaTheme="minorEastAsia" w:cs="Times New Roman"/>
          <w:sz w:val="20"/>
          <w:szCs w:val="20"/>
        </w:rPr>
        <w:t xml:space="preserve"> specify the likelihood as follows:</w:t>
      </w:r>
    </w:p>
    <w:p w14:paraId="02463491" w14:textId="243E2784" w:rsidR="006D3675" w:rsidRPr="00435469" w:rsidRDefault="006D3675" w:rsidP="00955FFB">
      <w:pPr>
        <w:spacing w:line="240" w:lineRule="auto"/>
        <w:rPr>
          <w:rFonts w:cs="Times New Roman"/>
          <w:sz w:val="20"/>
          <w:szCs w:val="20"/>
          <w:lang w:val="en-CA"/>
        </w:rPr>
      </w:pPr>
      <m:oMathPara>
        <m:oMath>
          <m:r>
            <w:rPr>
              <w:rFonts w:ascii="Cambria Math" w:hAnsi="Cambria Math" w:cs="Times New Roman"/>
              <w:sz w:val="20"/>
              <w:szCs w:val="20"/>
            </w:rPr>
            <m:t>L</m:t>
          </m:r>
          <m:d>
            <m:dPr>
              <m:ctrlPr>
                <w:rPr>
                  <w:rFonts w:ascii="Cambria Math" w:hAnsi="Cambria Math" w:cs="Times New Roman"/>
                  <w:i/>
                  <w:sz w:val="20"/>
                  <w:szCs w:val="20"/>
                </w:rPr>
              </m:ctrlPr>
            </m:dPr>
            <m:e>
              <m:r>
                <m:rPr>
                  <m:sty m:val="bi"/>
                </m:rPr>
                <w:rPr>
                  <w:rFonts w:ascii="Cambria Math" w:hAnsi="Cambria Math" w:cs="Times New Roman"/>
                  <w:sz w:val="20"/>
                  <w:szCs w:val="20"/>
                </w:rPr>
                <m:t>D</m:t>
              </m:r>
            </m:e>
            <m:e>
              <m:r>
                <w:rPr>
                  <w:rFonts w:ascii="Cambria Math" w:hAnsi="Cambria Math" w:cs="Times New Roman"/>
                  <w:sz w:val="20"/>
                  <w:szCs w:val="20"/>
                </w:rPr>
                <m:t>ϕ</m:t>
              </m:r>
            </m:e>
          </m:d>
          <m:r>
            <w:rPr>
              <w:rFonts w:ascii="Cambria Math" w:hAnsi="Cambria Math" w:cs="Times New Roman"/>
              <w:sz w:val="20"/>
              <w:szCs w:val="20"/>
            </w:rPr>
            <m:t>=</m:t>
          </m:r>
          <m:nary>
            <m:naryPr>
              <m:chr m:val="∏"/>
              <m:limLoc m:val="undOvr"/>
              <m:ctrlPr>
                <w:rPr>
                  <w:rFonts w:ascii="Cambria Math" w:hAnsi="Cambria Math" w:cs="Times New Roman"/>
                  <w:i/>
                  <w:sz w:val="20"/>
                  <w:szCs w:val="20"/>
                  <w:lang w:val="en-CA"/>
                </w:rPr>
              </m:ctrlPr>
            </m:naryPr>
            <m:sub>
              <m:r>
                <w:rPr>
                  <w:rFonts w:ascii="Cambria Math" w:hAnsi="Cambria Math" w:cs="Times New Roman"/>
                  <w:sz w:val="20"/>
                  <w:szCs w:val="20"/>
                  <w:lang w:val="en-CA"/>
                </w:rPr>
                <m:t>t=2004</m:t>
              </m:r>
            </m:sub>
            <m:sup>
              <m:r>
                <w:rPr>
                  <w:rFonts w:ascii="Cambria Math" w:hAnsi="Cambria Math" w:cs="Times New Roman"/>
                  <w:sz w:val="20"/>
                  <w:szCs w:val="20"/>
                  <w:lang w:val="en-CA"/>
                </w:rPr>
                <m:t>2011</m:t>
              </m:r>
            </m:sup>
            <m:e>
              <m:f>
                <m:fPr>
                  <m:ctrlPr>
                    <w:rPr>
                      <w:rFonts w:ascii="Cambria Math" w:hAnsi="Cambria Math" w:cs="Times New Roman"/>
                      <w:i/>
                      <w:sz w:val="20"/>
                      <w:szCs w:val="20"/>
                    </w:rPr>
                  </m:ctrlPr>
                </m:fPr>
                <m:num>
                  <m:r>
                    <w:rPr>
                      <w:rFonts w:ascii="Cambria Math" w:hAnsi="Cambria Math" w:cs="Times New Roman"/>
                      <w:sz w:val="20"/>
                      <w:szCs w:val="20"/>
                    </w:rPr>
                    <m:t>1</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2π</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e>
                  </m:rad>
                </m:den>
              </m:f>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i/>
                          <w:sz w:val="20"/>
                          <w:szCs w:val="20"/>
                        </w:rPr>
                      </m:ctrlPr>
                    </m:dPr>
                    <m:e>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begChr m:val="["/>
                                  <m:endChr m:val="]"/>
                                  <m:ctrlPr>
                                    <w:rPr>
                                      <w:rFonts w:ascii="Cambria Math" w:hAnsi="Cambria Math" w:cs="Times New Roman"/>
                                      <w:i/>
                                      <w:sz w:val="20"/>
                                      <w:szCs w:val="20"/>
                                    </w:rPr>
                                  </m:ctrlPr>
                                </m:dPr>
                                <m:e>
                                  <m:func>
                                    <m:funcPr>
                                      <m:ctrlPr>
                                        <w:rPr>
                                          <w:rFonts w:ascii="Cambria Math" w:hAnsi="Cambria Math" w:cs="Times New Roman"/>
                                          <w:sz w:val="20"/>
                                          <w:szCs w:val="20"/>
                                        </w:rPr>
                                      </m:ctrlPr>
                                    </m:funcPr>
                                    <m:fName>
                                      <m:r>
                                        <m:rPr>
                                          <m:sty m:val="p"/>
                                        </m:rPr>
                                        <w:rPr>
                                          <w:rFonts w:ascii="Cambria Math" w:hAnsi="Cambria Math" w:cs="Times New Roman"/>
                                          <w:sz w:val="20"/>
                                          <w:szCs w:val="20"/>
                                        </w:rPr>
                                        <m:t>ln</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t</m:t>
                                              </m:r>
                                            </m:sub>
                                          </m:sSub>
                                          <m:r>
                                            <w:rPr>
                                              <w:rFonts w:ascii="Cambria Math" w:hAnsi="Cambria Math" w:cs="Times New Roman"/>
                                              <w:sz w:val="20"/>
                                              <w:szCs w:val="20"/>
                                            </w:rPr>
                                            <m:t>γ</m:t>
                                          </m:r>
                                        </m:e>
                                      </m:d>
                                    </m:e>
                                  </m:func>
                                  <m:r>
                                    <w:rPr>
                                      <w:rFonts w:ascii="Cambria Math" w:hAnsi="Cambria Math" w:cs="Times New Roman"/>
                                      <w:sz w:val="20"/>
                                      <w:szCs w:val="20"/>
                                    </w:rPr>
                                    <m:t>-</m:t>
                                  </m:r>
                                  <m:func>
                                    <m:funcPr>
                                      <m:ctrlPr>
                                        <w:rPr>
                                          <w:rFonts w:ascii="Cambria Math" w:hAnsi="Cambria Math" w:cs="Times New Roman"/>
                                          <w:sz w:val="20"/>
                                          <w:szCs w:val="20"/>
                                        </w:rPr>
                                      </m:ctrlPr>
                                    </m:funcPr>
                                    <m:fName>
                                      <m:r>
                                        <m:rPr>
                                          <m:sty m:val="p"/>
                                        </m:rPr>
                                        <w:rPr>
                                          <w:rFonts w:ascii="Cambria Math" w:hAnsi="Cambria Math" w:cs="Times New Roman"/>
                                          <w:sz w:val="20"/>
                                          <w:szCs w:val="20"/>
                                        </w:rPr>
                                        <m:t>ln</m:t>
                                      </m:r>
                                      <m:ctrlPr>
                                        <w:rPr>
                                          <w:rFonts w:ascii="Cambria Math" w:hAnsi="Cambria Math" w:cs="Times New Roman"/>
                                          <w:i/>
                                          <w:sz w:val="20"/>
                                          <w:szCs w:val="20"/>
                                        </w:rPr>
                                      </m:ctrlP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M</m:t>
                                              </m:r>
                                              <m:ctrlPr>
                                                <w:rPr>
                                                  <w:rFonts w:ascii="Cambria Math" w:hAnsi="Cambria Math" w:cs="Times New Roman"/>
                                                  <w:sz w:val="20"/>
                                                  <w:szCs w:val="20"/>
                                                </w:rPr>
                                              </m:ctrlPr>
                                            </m:e>
                                            <m:sub>
                                              <m:r>
                                                <w:rPr>
                                                  <w:rFonts w:ascii="Cambria Math" w:hAnsi="Cambria Math" w:cs="Times New Roman"/>
                                                  <w:sz w:val="20"/>
                                                  <w:szCs w:val="20"/>
                                                </w:rPr>
                                                <m:t>t</m:t>
                                              </m:r>
                                            </m:sub>
                                          </m:sSub>
                                          <m:d>
                                            <m:dPr>
                                              <m:ctrlPr>
                                                <w:rPr>
                                                  <w:rFonts w:ascii="Cambria Math" w:hAnsi="Cambria Math" w:cs="Times New Roman"/>
                                                  <w:i/>
                                                  <w:sz w:val="20"/>
                                                  <w:szCs w:val="20"/>
                                                </w:rPr>
                                              </m:ctrlPr>
                                            </m:dPr>
                                            <m:e>
                                              <m:r>
                                                <w:rPr>
                                                  <w:rFonts w:ascii="Cambria Math" w:hAnsi="Cambria Math" w:cs="Times New Roman"/>
                                                  <w:sz w:val="20"/>
                                                  <w:szCs w:val="20"/>
                                                </w:rPr>
                                                <m:t>ϕ</m:t>
                                              </m:r>
                                            </m:e>
                                          </m:d>
                                          <m:r>
                                            <m:rPr>
                                              <m:sty m:val="p"/>
                                            </m:rPr>
                                            <w:rPr>
                                              <w:rFonts w:ascii="Cambria Math" w:hAnsi="Cambria Math" w:cs="Times New Roman"/>
                                              <w:sz w:val="20"/>
                                              <w:szCs w:val="20"/>
                                            </w:rPr>
                                            <m:t xml:space="preserve">) </m:t>
                                          </m:r>
                                        </m:e>
                                      </m:d>
                                    </m:e>
                                  </m:func>
                                </m:e>
                              </m:d>
                            </m:e>
                            <m:sup>
                              <m:r>
                                <w:rPr>
                                  <w:rFonts w:ascii="Cambria Math" w:hAnsi="Cambria Math" w:cs="Times New Roman"/>
                                  <w:sz w:val="20"/>
                                  <w:szCs w:val="20"/>
                                </w:rPr>
                                <m:t>2</m:t>
                              </m:r>
                            </m:sup>
                          </m:sSup>
                        </m:num>
                        <m:den>
                          <m:r>
                            <w:rPr>
                              <w:rFonts w:ascii="Cambria Math" w:hAnsi="Cambria Math" w:cs="Times New Roman"/>
                              <w:sz w:val="20"/>
                              <w:szCs w:val="20"/>
                            </w:rPr>
                            <m:t>2</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den>
                      </m:f>
                    </m:e>
                  </m:d>
                </m:e>
              </m:func>
            </m:e>
          </m:nary>
        </m:oMath>
      </m:oMathPara>
    </w:p>
    <w:p w14:paraId="5A5B3DD8" w14:textId="77777777" w:rsidR="006D3675" w:rsidRPr="00435469" w:rsidRDefault="006D3675" w:rsidP="00955FFB">
      <w:pPr>
        <w:pStyle w:val="1ParaFlushLeft"/>
        <w:tabs>
          <w:tab w:val="left" w:pos="2370"/>
        </w:tabs>
        <w:spacing w:line="240" w:lineRule="auto"/>
        <w:rPr>
          <w:rFonts w:cs="Times New Roman"/>
          <w:sz w:val="20"/>
          <w:szCs w:val="20"/>
        </w:rPr>
      </w:pPr>
      <w:r w:rsidRPr="00435469">
        <w:rPr>
          <w:rFonts w:cs="Times New Roman"/>
          <w:sz w:val="20"/>
          <w:szCs w:val="20"/>
        </w:rPr>
        <w:t xml:space="preserve">The variance </w:t>
      </w:r>
      <w:r w:rsidRPr="00435469">
        <w:rPr>
          <w:rFonts w:cs="Times New Roman"/>
          <w:sz w:val="20"/>
          <w:szCs w:val="20"/>
          <w:lang w:val="en-US"/>
        </w:rPr>
        <w:t xml:space="preserve">is set to be </w:t>
      </w:r>
      <w:r w:rsidRPr="00435469">
        <w:rPr>
          <w:rFonts w:cs="Times New Roman"/>
          <w:sz w:val="20"/>
          <w:szCs w:val="20"/>
          <w:lang w:val="en-ZA"/>
        </w:rPr>
        <w:t xml:space="preserve">0.01 and </w:t>
      </w:r>
      <m:oMath>
        <m:r>
          <w:rPr>
            <w:rFonts w:ascii="Cambria Math" w:hAnsi="Cambria Math" w:cs="Times New Roman"/>
            <w:sz w:val="20"/>
            <w:szCs w:val="20"/>
          </w:rPr>
          <m:t>γ=0.9</m:t>
        </m:r>
      </m:oMath>
      <w:r w:rsidRPr="00435469">
        <w:rPr>
          <w:rFonts w:eastAsiaTheme="minorEastAsia" w:cs="Times New Roman"/>
          <w:sz w:val="20"/>
          <w:szCs w:val="20"/>
        </w:rPr>
        <w:t>.</w:t>
      </w:r>
    </w:p>
    <w:p w14:paraId="796076E3" w14:textId="40EE7D0F" w:rsidR="006D3675" w:rsidRPr="00435469" w:rsidRDefault="0081108E" w:rsidP="00955FFB">
      <w:pPr>
        <w:pStyle w:val="Heading3"/>
        <w:numPr>
          <w:ilvl w:val="2"/>
          <w:numId w:val="18"/>
        </w:numPr>
        <w:rPr>
          <w:color w:val="auto"/>
          <w:sz w:val="20"/>
          <w:szCs w:val="20"/>
        </w:rPr>
      </w:pPr>
      <w:bookmarkStart w:id="345" w:name="_Toc79099838"/>
      <w:bookmarkStart w:id="346" w:name="_Toc80352166"/>
      <w:bookmarkStart w:id="347" w:name="_Toc87863363"/>
      <w:r w:rsidRPr="00435469">
        <w:rPr>
          <w:color w:val="auto"/>
          <w:sz w:val="20"/>
          <w:szCs w:val="20"/>
        </w:rPr>
        <w:t xml:space="preserve"> </w:t>
      </w:r>
      <w:bookmarkStart w:id="348" w:name="_Toc103252963"/>
      <w:r w:rsidR="006D3675" w:rsidRPr="00435469">
        <w:rPr>
          <w:color w:val="auto"/>
          <w:sz w:val="20"/>
          <w:szCs w:val="20"/>
        </w:rPr>
        <w:t>The likelihood for the prevalence of bacteriologically confirmed active tuberculosis</w:t>
      </w:r>
      <w:bookmarkEnd w:id="345"/>
      <w:bookmarkEnd w:id="346"/>
      <w:bookmarkEnd w:id="347"/>
      <w:bookmarkEnd w:id="348"/>
    </w:p>
    <w:p w14:paraId="04BDD722" w14:textId="6C13E234" w:rsidR="006D3675" w:rsidRPr="00435469" w:rsidRDefault="00911691" w:rsidP="00955FFB">
      <w:pPr>
        <w:pStyle w:val="1Para"/>
        <w:spacing w:line="240" w:lineRule="auto"/>
        <w:ind w:firstLine="0"/>
        <w:rPr>
          <w:rFonts w:cs="Times New Roman"/>
          <w:sz w:val="20"/>
          <w:szCs w:val="20"/>
          <w:lang w:val="en-ZA"/>
        </w:rPr>
      </w:pPr>
      <w:r w:rsidRPr="00435469">
        <w:rPr>
          <w:rFonts w:cs="Times New Roman"/>
          <w:sz w:val="20"/>
          <w:szCs w:val="20"/>
          <w:lang w:val="en-ZA"/>
        </w:rPr>
        <w:t xml:space="preserve">In the 2018 national TB prevalence survey, the </w:t>
      </w:r>
      <w:r w:rsidR="006D3675" w:rsidRPr="00435469">
        <w:rPr>
          <w:rFonts w:cs="Times New Roman"/>
          <w:sz w:val="20"/>
          <w:szCs w:val="20"/>
          <w:lang w:val="en-ZA"/>
        </w:rPr>
        <w:t xml:space="preserve">prevalence of bacteriologically confirmed pulmonary TB in individuals who were 15 years and older was 1 094 (95% CI 835 – 1 352) per 100 000 and 675 (95% CI 494 – 855) per 100 000 for males and females, respectively </w:t>
      </w:r>
      <w:r w:rsidR="006D3675" w:rsidRPr="00435469">
        <w:rPr>
          <w:rFonts w:cs="Times New Roman"/>
          <w:sz w:val="20"/>
          <w:szCs w:val="20"/>
          <w:lang w:val="en-ZA"/>
        </w:rPr>
        <w:fldChar w:fldCharType="begin" w:fldLock="1"/>
      </w:r>
      <w:r w:rsidR="002F049E" w:rsidRPr="00435469">
        <w:rPr>
          <w:rFonts w:cs="Times New Roman"/>
          <w:sz w:val="20"/>
          <w:szCs w:val="20"/>
          <w:lang w:val="en-ZA"/>
        </w:rPr>
        <w:instrText>ADDIN CSL_CITATION {"citationItems":[{"id":"ITEM-1","itemData":{"DOI":"10.1080/1560221031000112230","ISSN":"1560-2214","author":[{"dropping-particle":"","family":"Department of Health","given":"","non-dropping-particle":"","parse-names":false,"suffix":""}],"id":"ITEM-1","issued":{"date-parts":[["2021"]]},"publisher-place":"Pretoria, South Africa","title":"The First National Tuberculosis Prevalence Survey: South Africa 2018","type":"report"},"uris":["http://www.mendeley.com/documents/?uuid=7c5ac305-ecca-436d-afad-2436630ed1ec"]}],"mendeley":{"formattedCitation":"(48)","plainTextFormattedCitation":"(48)","previouslyFormattedCitation":"(48)"},"properties":{"noteIndex":0},"schema":"https://github.com/citation-style-language/schema/raw/master/csl-citation.json"}</w:instrText>
      </w:r>
      <w:r w:rsidR="006D3675" w:rsidRPr="00435469">
        <w:rPr>
          <w:rFonts w:cs="Times New Roman"/>
          <w:sz w:val="20"/>
          <w:szCs w:val="20"/>
          <w:lang w:val="en-ZA"/>
        </w:rPr>
        <w:fldChar w:fldCharType="separate"/>
      </w:r>
      <w:r w:rsidR="0063047A" w:rsidRPr="00435469">
        <w:rPr>
          <w:rFonts w:cs="Times New Roman"/>
          <w:noProof/>
          <w:sz w:val="20"/>
          <w:szCs w:val="20"/>
          <w:lang w:val="en-ZA"/>
        </w:rPr>
        <w:t>(48)</w:t>
      </w:r>
      <w:r w:rsidR="006D3675" w:rsidRPr="00435469">
        <w:rPr>
          <w:rFonts w:cs="Times New Roman"/>
          <w:sz w:val="20"/>
          <w:szCs w:val="20"/>
          <w:lang w:val="en-ZA"/>
        </w:rPr>
        <w:fldChar w:fldCharType="end"/>
      </w:r>
      <w:r w:rsidR="006D3675" w:rsidRPr="00435469">
        <w:rPr>
          <w:rFonts w:cs="Times New Roman"/>
          <w:sz w:val="20"/>
          <w:szCs w:val="20"/>
          <w:lang w:val="en-ZA"/>
        </w:rPr>
        <w:t>.</w:t>
      </w:r>
      <w:r w:rsidR="006D3675" w:rsidRPr="00435469">
        <w:rPr>
          <w:rFonts w:cs="Times New Roman"/>
          <w:b/>
          <w:bCs/>
          <w:sz w:val="20"/>
          <w:szCs w:val="20"/>
          <w:lang w:val="en-ZA"/>
        </w:rPr>
        <w:t xml:space="preserve"> </w:t>
      </w:r>
    </w:p>
    <w:p w14:paraId="7FE887B5" w14:textId="603B67EC" w:rsidR="00596A30" w:rsidRPr="00435469" w:rsidRDefault="006D3675" w:rsidP="00955FFB">
      <w:pPr>
        <w:pStyle w:val="1Para"/>
        <w:spacing w:line="240" w:lineRule="auto"/>
        <w:ind w:firstLine="0"/>
        <w:rPr>
          <w:rFonts w:cs="Times New Roman"/>
          <w:sz w:val="20"/>
          <w:szCs w:val="20"/>
        </w:rPr>
      </w:pPr>
      <w:r w:rsidRPr="00435469">
        <w:rPr>
          <w:rFonts w:cs="Times New Roman"/>
          <w:sz w:val="20"/>
          <w:szCs w:val="20"/>
        </w:rPr>
        <w:t xml:space="preserve">We let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g</m:t>
            </m:r>
          </m:sub>
        </m:sSub>
      </m:oMath>
      <w:r w:rsidRPr="00435469">
        <w:rPr>
          <w:rFonts w:cs="Times New Roman"/>
          <w:i/>
          <w:sz w:val="20"/>
          <w:szCs w:val="20"/>
        </w:rPr>
        <w:t xml:space="preserve"> </w:t>
      </w:r>
      <w:r w:rsidRPr="00435469">
        <w:rPr>
          <w:rFonts w:cs="Times New Roman"/>
          <w:sz w:val="20"/>
          <w:szCs w:val="20"/>
        </w:rPr>
        <w:t xml:space="preserve">be the prevalence of bacteriologically confirmed TB </w:t>
      </w:r>
      <w:r w:rsidRPr="00435469">
        <w:rPr>
          <w:rFonts w:eastAsiaTheme="minorEastAsia" w:cs="Times New Roman"/>
          <w:sz w:val="20"/>
          <w:szCs w:val="20"/>
        </w:rPr>
        <w:t xml:space="preserve">for individuals of sex </w:t>
      </w:r>
      <m:oMath>
        <m:r>
          <w:rPr>
            <w:rFonts w:ascii="Cambria Math" w:hAnsi="Cambria Math" w:cs="Times New Roman"/>
            <w:sz w:val="20"/>
            <w:szCs w:val="20"/>
          </w:rPr>
          <m:t>g</m:t>
        </m:r>
      </m:oMath>
      <w:r w:rsidRPr="00435469">
        <w:rPr>
          <w:rFonts w:eastAsiaTheme="minorEastAsia" w:cs="Times New Roman"/>
          <w:sz w:val="20"/>
          <w:szCs w:val="20"/>
        </w:rPr>
        <w:t xml:space="preserve">, as reported </w:t>
      </w:r>
      <w:r w:rsidR="00313F1D" w:rsidRPr="00435469">
        <w:rPr>
          <w:rFonts w:eastAsiaTheme="minorEastAsia" w:cs="Times New Roman"/>
          <w:sz w:val="20"/>
          <w:szCs w:val="20"/>
        </w:rPr>
        <w:t>for</w:t>
      </w:r>
      <w:r w:rsidRPr="00435469">
        <w:rPr>
          <w:rFonts w:eastAsiaTheme="minorEastAsia" w:cs="Times New Roman"/>
          <w:sz w:val="20"/>
          <w:szCs w:val="20"/>
        </w:rPr>
        <w:t xml:space="preserve"> the 1</w:t>
      </w:r>
      <w:r w:rsidRPr="00435469">
        <w:rPr>
          <w:rFonts w:eastAsiaTheme="minorEastAsia" w:cs="Times New Roman"/>
          <w:sz w:val="20"/>
          <w:szCs w:val="20"/>
          <w:vertAlign w:val="superscript"/>
        </w:rPr>
        <w:t>st</w:t>
      </w:r>
      <w:r w:rsidRPr="00435469">
        <w:rPr>
          <w:rFonts w:eastAsiaTheme="minorEastAsia" w:cs="Times New Roman"/>
          <w:sz w:val="20"/>
          <w:szCs w:val="20"/>
        </w:rPr>
        <w:t xml:space="preserve"> South African National Prevalence Survey</w:t>
      </w:r>
      <w:r w:rsidR="007A7AE3" w:rsidRPr="00435469">
        <w:rPr>
          <w:rFonts w:eastAsiaTheme="minorEastAsia" w:cs="Times New Roman"/>
          <w:sz w:val="20"/>
          <w:szCs w:val="20"/>
        </w:rPr>
        <w:t xml:space="preserve"> </w:t>
      </w:r>
      <w:r w:rsidR="00313F1D" w:rsidRPr="00435469">
        <w:rPr>
          <w:rFonts w:eastAsiaTheme="minorEastAsia" w:cs="Times New Roman"/>
          <w:sz w:val="20"/>
          <w:szCs w:val="20"/>
        </w:rPr>
        <w:t xml:space="preserve">(2018) </w:t>
      </w:r>
      <w:r w:rsidR="007A7AE3" w:rsidRPr="00435469">
        <w:rPr>
          <w:rFonts w:cs="Times New Roman"/>
          <w:sz w:val="20"/>
          <w:szCs w:val="20"/>
          <w:lang w:val="en-ZA"/>
        </w:rPr>
        <w:fldChar w:fldCharType="begin" w:fldLock="1"/>
      </w:r>
      <w:r w:rsidR="002F049E" w:rsidRPr="00435469">
        <w:rPr>
          <w:rFonts w:cs="Times New Roman"/>
          <w:sz w:val="20"/>
          <w:szCs w:val="20"/>
          <w:lang w:val="en-ZA"/>
        </w:rPr>
        <w:instrText>ADDIN CSL_CITATION {"citationItems":[{"id":"ITEM-1","itemData":{"DOI":"10.1080/1560221031000112230","ISSN":"1560-2214","author":[{"dropping-particle":"","family":"Department of Health","given":"","non-dropping-particle":"","parse-names":false,"suffix":""}],"id":"ITEM-1","issued":{"date-parts":[["2021"]]},"publisher-place":"Pretoria, South Africa","title":"The First National Tuberculosis Prevalence Survey: South Africa 2018","type":"report"},"uris":["http://www.mendeley.com/documents/?uuid=7c5ac305-ecca-436d-afad-2436630ed1ec"]}],"mendeley":{"formattedCitation":"(48)","plainTextFormattedCitation":"(48)","previouslyFormattedCitation":"(48)"},"properties":{"noteIndex":0},"schema":"https://github.com/citation-style-language/schema/raw/master/csl-citation.json"}</w:instrText>
      </w:r>
      <w:r w:rsidR="007A7AE3" w:rsidRPr="00435469">
        <w:rPr>
          <w:rFonts w:cs="Times New Roman"/>
          <w:sz w:val="20"/>
          <w:szCs w:val="20"/>
          <w:lang w:val="en-ZA"/>
        </w:rPr>
        <w:fldChar w:fldCharType="separate"/>
      </w:r>
      <w:r w:rsidR="0063047A" w:rsidRPr="00435469">
        <w:rPr>
          <w:rFonts w:cs="Times New Roman"/>
          <w:noProof/>
          <w:sz w:val="20"/>
          <w:szCs w:val="20"/>
          <w:lang w:val="en-ZA"/>
        </w:rPr>
        <w:t>(48)</w:t>
      </w:r>
      <w:r w:rsidR="007A7AE3" w:rsidRPr="00435469">
        <w:rPr>
          <w:rFonts w:cs="Times New Roman"/>
          <w:sz w:val="20"/>
          <w:szCs w:val="20"/>
          <w:lang w:val="en-ZA"/>
        </w:rPr>
        <w:fldChar w:fldCharType="end"/>
      </w:r>
      <w:r w:rsidRPr="00435469">
        <w:rPr>
          <w:rFonts w:cs="Times New Roman"/>
          <w:sz w:val="20"/>
          <w:szCs w:val="20"/>
        </w:rPr>
        <w:t xml:space="preserve">. Then let </w:t>
      </w:r>
      <m:oMath>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g</m:t>
            </m:r>
          </m:sub>
        </m:sSub>
        <m:d>
          <m:dPr>
            <m:ctrlPr>
              <w:rPr>
                <w:rFonts w:ascii="Cambria Math" w:hAnsi="Cambria Math" w:cs="Times New Roman"/>
                <w:i/>
                <w:sz w:val="20"/>
                <w:szCs w:val="20"/>
              </w:rPr>
            </m:ctrlPr>
          </m:dPr>
          <m:e>
            <m:r>
              <w:rPr>
                <w:rFonts w:ascii="Cambria Math" w:hAnsi="Cambria Math" w:cs="Times New Roman"/>
                <w:sz w:val="20"/>
                <w:szCs w:val="20"/>
              </w:rPr>
              <m:t>ϕ</m:t>
            </m:r>
          </m:e>
        </m:d>
      </m:oMath>
      <w:r w:rsidRPr="00435469">
        <w:rPr>
          <w:rFonts w:cs="Times New Roman"/>
          <w:sz w:val="20"/>
          <w:szCs w:val="20"/>
        </w:rPr>
        <w:t xml:space="preserve"> represent the model estimates of the prevalence of</w:t>
      </w:r>
      <w:r w:rsidR="007B46F8" w:rsidRPr="00435469">
        <w:rPr>
          <w:rFonts w:cs="Times New Roman"/>
          <w:sz w:val="20"/>
          <w:szCs w:val="20"/>
        </w:rPr>
        <w:t xml:space="preserve"> </w:t>
      </w:r>
      <w:r w:rsidR="000427AB" w:rsidRPr="00435469">
        <w:rPr>
          <w:rFonts w:cs="Times New Roman"/>
          <w:sz w:val="20"/>
          <w:szCs w:val="20"/>
        </w:rPr>
        <w:t xml:space="preserve">pulmonary </w:t>
      </w:r>
      <w:r w:rsidRPr="00435469">
        <w:rPr>
          <w:rFonts w:cs="Times New Roman"/>
          <w:sz w:val="20"/>
          <w:szCs w:val="20"/>
        </w:rPr>
        <w:t>TB</w:t>
      </w:r>
      <w:r w:rsidR="000427AB" w:rsidRPr="00435469">
        <w:rPr>
          <w:rFonts w:cs="Times New Roman"/>
          <w:sz w:val="20"/>
          <w:szCs w:val="20"/>
        </w:rPr>
        <w:t xml:space="preserve">, </w:t>
      </w:r>
      <w:r w:rsidR="000445C9" w:rsidRPr="00435469">
        <w:rPr>
          <w:rFonts w:cs="Times New Roman"/>
          <w:sz w:val="20"/>
          <w:szCs w:val="20"/>
        </w:rPr>
        <w:t xml:space="preserve">of </w:t>
      </w:r>
      <w:r w:rsidRPr="00435469">
        <w:rPr>
          <w:rFonts w:eastAsiaTheme="minorEastAsia" w:cs="Times New Roman"/>
          <w:sz w:val="20"/>
          <w:szCs w:val="20"/>
        </w:rPr>
        <w:t xml:space="preserve">sex </w:t>
      </w:r>
      <m:oMath>
        <m:r>
          <w:rPr>
            <w:rFonts w:ascii="Cambria Math" w:hAnsi="Cambria Math" w:cs="Times New Roman"/>
            <w:sz w:val="20"/>
            <w:szCs w:val="20"/>
          </w:rPr>
          <m:t>g</m:t>
        </m:r>
      </m:oMath>
      <w:r w:rsidRPr="00435469">
        <w:rPr>
          <w:rFonts w:cs="Times New Roman"/>
          <w:sz w:val="20"/>
          <w:szCs w:val="20"/>
        </w:rPr>
        <w:t xml:space="preserve">; where ϕ is the set of input parameter values. </w:t>
      </w:r>
    </w:p>
    <w:p w14:paraId="1E7F0F26" w14:textId="750A0930" w:rsidR="00DF4B17" w:rsidRPr="00435469" w:rsidRDefault="00092264" w:rsidP="00955FFB">
      <w:pPr>
        <w:pStyle w:val="1Para"/>
        <w:spacing w:line="240" w:lineRule="auto"/>
        <w:ind w:firstLine="0"/>
        <w:rPr>
          <w:rFonts w:cs="Times New Roman"/>
          <w:sz w:val="20"/>
          <w:szCs w:val="20"/>
          <w:lang w:val="en-US"/>
        </w:rPr>
      </w:pPr>
      <w:r w:rsidRPr="00435469">
        <w:rPr>
          <w:rFonts w:cs="Times New Roman"/>
          <w:sz w:val="20"/>
          <w:szCs w:val="20"/>
        </w:rPr>
        <w:t>Based o</w:t>
      </w:r>
      <w:r w:rsidR="00244FF3" w:rsidRPr="00435469">
        <w:rPr>
          <w:rFonts w:cs="Times New Roman"/>
          <w:sz w:val="20"/>
          <w:szCs w:val="20"/>
        </w:rPr>
        <w:t xml:space="preserve">n the </w:t>
      </w:r>
      <w:r w:rsidR="00DD59A9" w:rsidRPr="00435469">
        <w:rPr>
          <w:rFonts w:cs="Times New Roman"/>
          <w:sz w:val="20"/>
          <w:szCs w:val="20"/>
        </w:rPr>
        <w:t xml:space="preserve">South </w:t>
      </w:r>
      <w:r w:rsidR="00EB6977" w:rsidRPr="00435469">
        <w:rPr>
          <w:rFonts w:cs="Times New Roman"/>
          <w:sz w:val="20"/>
          <w:szCs w:val="20"/>
        </w:rPr>
        <w:t>African studies</w:t>
      </w:r>
      <w:r w:rsidR="00244FF3" w:rsidRPr="00435469">
        <w:rPr>
          <w:rFonts w:cs="Times New Roman"/>
          <w:sz w:val="20"/>
          <w:szCs w:val="20"/>
        </w:rPr>
        <w:t xml:space="preserve"> </w:t>
      </w:r>
      <w:r w:rsidR="00766382" w:rsidRPr="00435469">
        <w:rPr>
          <w:rFonts w:cs="Times New Roman"/>
          <w:sz w:val="20"/>
          <w:szCs w:val="20"/>
        </w:rPr>
        <w:t xml:space="preserve">by </w:t>
      </w:r>
      <w:r w:rsidR="00A06D8E" w:rsidRPr="00435469">
        <w:rPr>
          <w:rFonts w:cs="Times New Roman"/>
          <w:sz w:val="20"/>
          <w:szCs w:val="20"/>
        </w:rPr>
        <w:t xml:space="preserve">Pepper </w:t>
      </w:r>
      <w:r w:rsidR="00A06D8E" w:rsidRPr="00435469">
        <w:rPr>
          <w:rFonts w:cs="Times New Roman"/>
          <w:i/>
          <w:iCs/>
          <w:sz w:val="20"/>
          <w:szCs w:val="20"/>
        </w:rPr>
        <w:t>et al</w:t>
      </w:r>
      <w:r w:rsidR="00225641" w:rsidRPr="00435469">
        <w:rPr>
          <w:rFonts w:cs="Times New Roman"/>
          <w:sz w:val="20"/>
          <w:szCs w:val="20"/>
        </w:rPr>
        <w:t xml:space="preserve"> and Gupta </w:t>
      </w:r>
      <w:r w:rsidR="00225641" w:rsidRPr="00435469">
        <w:rPr>
          <w:rFonts w:cs="Times New Roman"/>
          <w:i/>
          <w:iCs/>
          <w:sz w:val="20"/>
          <w:szCs w:val="20"/>
        </w:rPr>
        <w:t>et</w:t>
      </w:r>
      <w:r w:rsidR="00443C4D" w:rsidRPr="00435469">
        <w:rPr>
          <w:rFonts w:cs="Times New Roman"/>
          <w:i/>
          <w:iCs/>
          <w:sz w:val="20"/>
          <w:szCs w:val="20"/>
        </w:rPr>
        <w:t xml:space="preserve"> al</w:t>
      </w:r>
      <w:r w:rsidR="00766382" w:rsidRPr="00435469">
        <w:rPr>
          <w:rFonts w:cs="Times New Roman"/>
          <w:sz w:val="20"/>
          <w:szCs w:val="20"/>
        </w:rPr>
        <w:t>,</w:t>
      </w:r>
      <w:r w:rsidR="00FA051E" w:rsidRPr="00435469">
        <w:rPr>
          <w:rFonts w:cs="Times New Roman"/>
          <w:sz w:val="20"/>
          <w:szCs w:val="20"/>
        </w:rPr>
        <w:t xml:space="preserve"> the e</w:t>
      </w:r>
      <w:r w:rsidR="004864A2" w:rsidRPr="00435469">
        <w:rPr>
          <w:rFonts w:cs="Times New Roman"/>
          <w:sz w:val="20"/>
          <w:szCs w:val="20"/>
        </w:rPr>
        <w:t>stimated</w:t>
      </w:r>
      <w:r w:rsidR="00FA051E" w:rsidRPr="00435469">
        <w:rPr>
          <w:rFonts w:cs="Times New Roman"/>
          <w:sz w:val="20"/>
          <w:szCs w:val="20"/>
        </w:rPr>
        <w:t xml:space="preserve"> </w:t>
      </w:r>
      <w:r w:rsidR="00843C35" w:rsidRPr="00435469">
        <w:rPr>
          <w:rFonts w:cs="Times New Roman"/>
          <w:sz w:val="20"/>
          <w:szCs w:val="20"/>
        </w:rPr>
        <w:t>proportion of TB cases that are exclusively</w:t>
      </w:r>
      <w:r w:rsidRPr="00435469">
        <w:rPr>
          <w:rFonts w:cs="Times New Roman"/>
          <w:sz w:val="20"/>
          <w:szCs w:val="20"/>
        </w:rPr>
        <w:t xml:space="preserve"> </w:t>
      </w:r>
      <w:r w:rsidR="002C4FFE" w:rsidRPr="00435469">
        <w:rPr>
          <w:rFonts w:cs="Times New Roman"/>
          <w:sz w:val="20"/>
          <w:szCs w:val="20"/>
        </w:rPr>
        <w:t>e</w:t>
      </w:r>
      <w:proofErr w:type="spellStart"/>
      <w:r w:rsidR="002C4FFE" w:rsidRPr="00435469">
        <w:rPr>
          <w:rFonts w:cs="Times New Roman"/>
          <w:sz w:val="20"/>
          <w:szCs w:val="20"/>
          <w:lang w:val="en-US"/>
        </w:rPr>
        <w:t>xtra</w:t>
      </w:r>
      <w:proofErr w:type="spellEnd"/>
      <w:r w:rsidR="002747B0" w:rsidRPr="00435469">
        <w:rPr>
          <w:rFonts w:cs="Times New Roman"/>
          <w:sz w:val="20"/>
          <w:szCs w:val="20"/>
          <w:lang w:val="en-US"/>
        </w:rPr>
        <w:t>-</w:t>
      </w:r>
      <w:r w:rsidR="002C4FFE" w:rsidRPr="00435469">
        <w:rPr>
          <w:rFonts w:cs="Times New Roman"/>
          <w:sz w:val="20"/>
          <w:szCs w:val="20"/>
          <w:lang w:val="en-US"/>
        </w:rPr>
        <w:t>pulmonary tuberculosis (EPTB)</w:t>
      </w:r>
      <w:r w:rsidR="004864A2" w:rsidRPr="00435469">
        <w:rPr>
          <w:rFonts w:cs="Times New Roman"/>
          <w:sz w:val="20"/>
          <w:szCs w:val="20"/>
          <w:lang w:val="en-US"/>
        </w:rPr>
        <w:t xml:space="preserve"> in HIV-</w:t>
      </w:r>
      <w:r w:rsidR="00E17765" w:rsidRPr="00435469">
        <w:rPr>
          <w:rFonts w:cs="Times New Roman"/>
          <w:sz w:val="20"/>
          <w:szCs w:val="20"/>
          <w:lang w:val="en-US"/>
        </w:rPr>
        <w:t>negative</w:t>
      </w:r>
      <w:r w:rsidR="004864A2" w:rsidRPr="00435469">
        <w:rPr>
          <w:rFonts w:cs="Times New Roman"/>
          <w:sz w:val="20"/>
          <w:szCs w:val="20"/>
          <w:lang w:val="en-US"/>
        </w:rPr>
        <w:t xml:space="preserve"> individuals </w:t>
      </w:r>
      <w:r w:rsidR="00384F02" w:rsidRPr="00435469">
        <w:rPr>
          <w:rFonts w:cs="Times New Roman"/>
          <w:sz w:val="20"/>
          <w:szCs w:val="20"/>
          <w:lang w:val="en-US"/>
        </w:rPr>
        <w:t xml:space="preserve">was </w:t>
      </w:r>
      <w:r w:rsidR="004864A2" w:rsidRPr="00435469">
        <w:rPr>
          <w:rFonts w:cs="Times New Roman"/>
          <w:sz w:val="20"/>
          <w:szCs w:val="20"/>
          <w:lang w:val="en-US"/>
        </w:rPr>
        <w:t xml:space="preserve">13.5% and </w:t>
      </w:r>
      <w:r w:rsidR="00E17765" w:rsidRPr="00435469">
        <w:rPr>
          <w:rFonts w:cs="Times New Roman"/>
          <w:sz w:val="20"/>
          <w:szCs w:val="20"/>
          <w:lang w:val="en-US"/>
        </w:rPr>
        <w:t>8.2%, respectively</w:t>
      </w:r>
      <w:r w:rsidR="00DD1A35" w:rsidRPr="00435469">
        <w:rPr>
          <w:rFonts w:cs="Times New Roman"/>
          <w:sz w:val="20"/>
          <w:szCs w:val="20"/>
          <w:lang w:val="en-US"/>
        </w:rPr>
        <w:t xml:space="preserve"> </w:t>
      </w:r>
      <w:r w:rsidR="00DD1A35" w:rsidRPr="00435469">
        <w:rPr>
          <w:rFonts w:cs="Times New Roman"/>
          <w:sz w:val="20"/>
          <w:szCs w:val="20"/>
          <w:lang w:val="en-US"/>
        </w:rPr>
        <w:fldChar w:fldCharType="begin" w:fldLock="1"/>
      </w:r>
      <w:r w:rsidR="002F049E" w:rsidRPr="00435469">
        <w:rPr>
          <w:rFonts w:cs="Times New Roman"/>
          <w:sz w:val="20"/>
          <w:szCs w:val="20"/>
          <w:lang w:val="en-US"/>
        </w:rPr>
        <w:instrText>ADDIN CSL_CITATION {"citationItems":[{"id":"ITEM-1","itemData":{"DOI":"10.1186/s12981-015-0076-5","ISSN":"17426405","abstract":"© 2015 Pepper et al. Background: Identifying those at increased risk of death during TB treatment is a priority in resource-constrained settings. We performed this study to determine predictors of mortality during TB treatment. Methods: We performed a retrospective analysis of a TB surveillance population in a high HIV prevalence area that was recorded in ETR.net (Electronic Tuberculosis Register). Adult TB cases initiated TB treatment from 2007 through 2009 in Khayelitsha, South Africa. Cox proportional hazards models were used to identify risk factors for death  (after multiple imputations for missing data). Model selection was performed using Akaike's Information Criterion to obtain the most relevant predictors of death. Results: Of 16,209 adult TB cases, 851 (5.3 %) died during TB treatment. In all TB cases, advancing age, co-infection with HIV, a prior history of TB and the presence of both pulmonary and extra-pulmonary TB were independently associated with an increasing hazard of death. In HIV-infected TB cases, advancing age and female gender were independently associated with an increasing hazard of death. Increasing CD4 counts and antiretroviral treatment during TB treatment were protective against death. In HIV-uninfected TB cases, advancing age was independently associated with death, whereas smear-positive disease was protective. Conclusion: We identified several independent predictors of death during TB treatment in resource-constrained settings. Our findings inform resource-constrained settings about certain subgroups of TB patients that should be targeted to improve mortality during TB treatment.","author":[{"dropping-particle":"","family":"Pepper","given":"Dominique J.","non-dropping-particle":"","parse-names":false,"suffix":""},{"dropping-particle":"","family":"Schomaker","given":"Michael","non-dropping-particle":"","parse-names":false,"suffix":""},{"dropping-particle":"","family":"Wilkinson","given":"Robert J.","non-dropping-particle":"","parse-names":false,"suffix":""},{"dropping-particle":"","family":"Azevedo","given":"Virginia","non-dropping-particle":"","parse-names":false,"suffix":""},{"dropping-particle":"","family":"Maartens","given":"Gary","non-dropping-particle":"","parse-names":false,"suffix":""}],"container-title":"AIDS Research and Therapy","id":"ITEM-1","issue":"1","issued":{"date-parts":[["2015"]]},"page":"1-9","publisher":"BioMed Central","title":"Independent predictors of tuberculosis mortality in a high HIV prevalence setting: A retrospective cohort study","type":"article-journal","volume":"12"},"uris":["http://www.mendeley.com/documents/?uuid=3d10b293-2347-4563-b477-2417fa0ee547"]},{"id":"ITEM-2","itemData":{"DOI":"10.5588/ijtld.13.0032.Impact","ISBN":"2122633255","PMID":"1000000221","abstract":"Background—The impact of HIV-infection and CD4 count on diagnosis of tuberculosis (TB) at a population level is incompletely defined. Objective—To determine how HIV-infection and CD4 count affect disease site, sputum smear status and overall rate of laboratory confirmation (sputum smear microscopy or culture) of TB cases under routine programme conditions. Design—Retrospective analysis of the 2009 electronic TB register for Cape Town, South Africa. Results—Of 29,478 TB cases notified in 2009, HIV-status was known in 25,744 (87.3%) of cases of which 13,237 (51.4%) were HIV-positive. Of these, 61.2% had CD4 cell counts &lt;200 cells/µL, 82.7% had counts &lt;350 cells/µL. Laboratory confirmation of TB (by smear or culture) was obtained less frequently in HIV-infected than HIV-uninfected adult cases (53.9% versus 74.3%; P&lt;0.001). HIV-infection was associated with higher proportions of sputum smear-negative and extrapulmonary TB and lower grades of sputum smear-positivity even among those with CD4 counts ≥ 500 cells/µL. However, the relationship between the proportion of cases testing smear- positive and CD4 count was non-linear. Conclusion—Much TB lacks laboratory confirmation in this setting despite good laboratory services. HIV-associated TB is more difficult to diagnose even at high CD4 cell counts &gt;500 cells/µL, suggesting an early impact after HIV-sero-conversion.","author":[{"dropping-particle":"","family":"Gupta","given":"Rishi K.","non-dropping-particle":"","parse-names":false,"suffix":""},{"dropping-particle":"","family":"Lawn","given":"Stephen D.","non-dropping-particle":"","parse-names":false,"suffix":""},{"dropping-particle":"","family":"Bekker","given":"Linda-Gail","non-dropping-particle":"","parse-names":false,"suffix":""},{"dropping-particle":"","family":"Caldwell","given":"Judy","non-dropping-particle":"","parse-names":false,"suffix":""},{"dropping-particle":"","family":"Kaplan","given":"Richard","non-dropping-particle":"","parse-names":false,"suffix":""},{"dropping-particle":"","family":"Wood","given":"Robin","non-dropping-particle":"","parse-names":false,"suffix":""}],"container-title":"Int J Tuberc Lung Dis","id":"ITEM-2","issue":"8","issued":{"date-parts":[["2013"]]},"page":"1014-1022","title":"Impact of HIV and CD4 count on tuberculosis diagnosis: analysis of citywide data from Cape Town, South Africa","type":"article-journal","volume":"17"},"uris":["http://www.mendeley.com/documents/?uuid=29ab6114-9cfb-4576-9e66-488e86781998"]}],"mendeley":{"formattedCitation":"(24,73)","plainTextFormattedCitation":"(24,73)","previouslyFormattedCitation":"(24,73)"},"properties":{"noteIndex":0},"schema":"https://github.com/citation-style-language/schema/raw/master/csl-citation.json"}</w:instrText>
      </w:r>
      <w:r w:rsidR="00DD1A35" w:rsidRPr="00435469">
        <w:rPr>
          <w:rFonts w:cs="Times New Roman"/>
          <w:sz w:val="20"/>
          <w:szCs w:val="20"/>
          <w:lang w:val="en-US"/>
        </w:rPr>
        <w:fldChar w:fldCharType="separate"/>
      </w:r>
      <w:r w:rsidR="0063047A" w:rsidRPr="00435469">
        <w:rPr>
          <w:rFonts w:cs="Times New Roman"/>
          <w:noProof/>
          <w:sz w:val="20"/>
          <w:szCs w:val="20"/>
          <w:lang w:val="en-US"/>
        </w:rPr>
        <w:t>(24,73)</w:t>
      </w:r>
      <w:r w:rsidR="00DD1A35" w:rsidRPr="00435469">
        <w:rPr>
          <w:rFonts w:cs="Times New Roman"/>
          <w:sz w:val="20"/>
          <w:szCs w:val="20"/>
          <w:lang w:val="en-US"/>
        </w:rPr>
        <w:fldChar w:fldCharType="end"/>
      </w:r>
      <w:r w:rsidR="00E17765" w:rsidRPr="00435469">
        <w:rPr>
          <w:rFonts w:cs="Times New Roman"/>
          <w:sz w:val="20"/>
          <w:szCs w:val="20"/>
          <w:lang w:val="en-US"/>
        </w:rPr>
        <w:t xml:space="preserve">. </w:t>
      </w:r>
      <w:r w:rsidR="00DD1A35" w:rsidRPr="00435469">
        <w:rPr>
          <w:rFonts w:cs="Times New Roman"/>
          <w:sz w:val="20"/>
          <w:szCs w:val="20"/>
          <w:lang w:val="en-US"/>
        </w:rPr>
        <w:t xml:space="preserve">The South African </w:t>
      </w:r>
      <w:r w:rsidR="00384F02" w:rsidRPr="00435469">
        <w:rPr>
          <w:rFonts w:cs="Times New Roman"/>
          <w:sz w:val="20"/>
          <w:szCs w:val="20"/>
          <w:lang w:val="en-US"/>
        </w:rPr>
        <w:t xml:space="preserve">TB </w:t>
      </w:r>
      <w:r w:rsidR="00DD1A35" w:rsidRPr="00435469">
        <w:rPr>
          <w:rFonts w:cs="Times New Roman"/>
          <w:sz w:val="20"/>
          <w:szCs w:val="20"/>
          <w:lang w:val="en-US"/>
        </w:rPr>
        <w:t xml:space="preserve">prevalence survey </w:t>
      </w:r>
      <w:r w:rsidR="00384F02" w:rsidRPr="00435469">
        <w:rPr>
          <w:rFonts w:cs="Times New Roman"/>
          <w:sz w:val="20"/>
          <w:szCs w:val="20"/>
          <w:lang w:val="en-US"/>
        </w:rPr>
        <w:t>report a</w:t>
      </w:r>
      <w:r w:rsidR="00DD1A35" w:rsidRPr="00435469">
        <w:rPr>
          <w:rFonts w:cs="Times New Roman"/>
          <w:sz w:val="20"/>
          <w:szCs w:val="20"/>
          <w:lang w:val="en-US"/>
        </w:rPr>
        <w:t xml:space="preserve">ssumed </w:t>
      </w:r>
      <w:r w:rsidR="00384F02" w:rsidRPr="00435469">
        <w:rPr>
          <w:rFonts w:cs="Times New Roman"/>
          <w:sz w:val="20"/>
          <w:szCs w:val="20"/>
          <w:lang w:val="en-US"/>
        </w:rPr>
        <w:t xml:space="preserve">that </w:t>
      </w:r>
      <w:r w:rsidR="00DD1A35" w:rsidRPr="00435469">
        <w:rPr>
          <w:rFonts w:cs="Times New Roman"/>
          <w:sz w:val="20"/>
          <w:szCs w:val="20"/>
          <w:lang w:val="en-US"/>
        </w:rPr>
        <w:t xml:space="preserve">the </w:t>
      </w:r>
      <w:r w:rsidR="005B2626" w:rsidRPr="00435469">
        <w:rPr>
          <w:rFonts w:cs="Times New Roman"/>
          <w:sz w:val="20"/>
          <w:szCs w:val="20"/>
          <w:lang w:val="en-US"/>
        </w:rPr>
        <w:t xml:space="preserve">proportion </w:t>
      </w:r>
      <w:r w:rsidR="00DD1A35" w:rsidRPr="00435469">
        <w:rPr>
          <w:rFonts w:cs="Times New Roman"/>
          <w:sz w:val="20"/>
          <w:szCs w:val="20"/>
          <w:lang w:val="en-US"/>
        </w:rPr>
        <w:t xml:space="preserve">of </w:t>
      </w:r>
      <w:r w:rsidR="005B2626" w:rsidRPr="00435469">
        <w:rPr>
          <w:rFonts w:cs="Times New Roman"/>
          <w:sz w:val="20"/>
          <w:szCs w:val="20"/>
          <w:lang w:val="en-US"/>
        </w:rPr>
        <w:t xml:space="preserve">TB cases that were exclusively </w:t>
      </w:r>
      <w:r w:rsidR="00DD1A35" w:rsidRPr="00435469">
        <w:rPr>
          <w:rFonts w:cs="Times New Roman"/>
          <w:sz w:val="20"/>
          <w:szCs w:val="20"/>
          <w:lang w:val="en-US"/>
        </w:rPr>
        <w:t xml:space="preserve">extra-pulmonary TB </w:t>
      </w:r>
      <w:r w:rsidR="001F3E1D" w:rsidRPr="00435469">
        <w:rPr>
          <w:rFonts w:cs="Times New Roman"/>
          <w:sz w:val="20"/>
          <w:szCs w:val="20"/>
          <w:lang w:val="en-US"/>
        </w:rPr>
        <w:t>was</w:t>
      </w:r>
      <w:r w:rsidR="00DD1A35" w:rsidRPr="00435469">
        <w:rPr>
          <w:rFonts w:cs="Times New Roman"/>
          <w:sz w:val="20"/>
          <w:szCs w:val="20"/>
          <w:lang w:val="en-US"/>
        </w:rPr>
        <w:t xml:space="preserve"> 9.7% </w:t>
      </w:r>
      <w:r w:rsidR="00DD1A35" w:rsidRPr="00435469">
        <w:rPr>
          <w:rFonts w:cs="Times New Roman"/>
          <w:sz w:val="20"/>
          <w:szCs w:val="20"/>
          <w:lang w:val="en-ZA"/>
        </w:rPr>
        <w:fldChar w:fldCharType="begin" w:fldLock="1"/>
      </w:r>
      <w:r w:rsidR="002F049E" w:rsidRPr="00435469">
        <w:rPr>
          <w:rFonts w:cs="Times New Roman"/>
          <w:sz w:val="20"/>
          <w:szCs w:val="20"/>
          <w:lang w:val="en-ZA"/>
        </w:rPr>
        <w:instrText>ADDIN CSL_CITATION {"citationItems":[{"id":"ITEM-1","itemData":{"DOI":"10.1080/1560221031000112230","ISSN":"1560-2214","author":[{"dropping-particle":"","family":"Department of Health","given":"","non-dropping-particle":"","parse-names":false,"suffix":""}],"id":"ITEM-1","issued":{"date-parts":[["2021"]]},"publisher-place":"Pretoria, South Africa","title":"The First National Tuberculosis Prevalence Survey: South Africa 2018","type":"report"},"uris":["http://www.mendeley.com/documents/?uuid=7c5ac305-ecca-436d-afad-2436630ed1ec"]}],"mendeley":{"formattedCitation":"(48)","plainTextFormattedCitation":"(48)","previouslyFormattedCitation":"(48)"},"properties":{"noteIndex":0},"schema":"https://github.com/citation-style-language/schema/raw/master/csl-citation.json"}</w:instrText>
      </w:r>
      <w:r w:rsidR="00DD1A35" w:rsidRPr="00435469">
        <w:rPr>
          <w:rFonts w:cs="Times New Roman"/>
          <w:sz w:val="20"/>
          <w:szCs w:val="20"/>
          <w:lang w:val="en-ZA"/>
        </w:rPr>
        <w:fldChar w:fldCharType="separate"/>
      </w:r>
      <w:r w:rsidR="0063047A" w:rsidRPr="00435469">
        <w:rPr>
          <w:rFonts w:cs="Times New Roman"/>
          <w:noProof/>
          <w:sz w:val="20"/>
          <w:szCs w:val="20"/>
          <w:lang w:val="en-ZA"/>
        </w:rPr>
        <w:t>(48)</w:t>
      </w:r>
      <w:r w:rsidR="00DD1A35" w:rsidRPr="00435469">
        <w:rPr>
          <w:rFonts w:cs="Times New Roman"/>
          <w:sz w:val="20"/>
          <w:szCs w:val="20"/>
          <w:lang w:val="en-ZA"/>
        </w:rPr>
        <w:fldChar w:fldCharType="end"/>
      </w:r>
      <w:r w:rsidR="00DD1A35" w:rsidRPr="00435469">
        <w:rPr>
          <w:rFonts w:cs="Times New Roman"/>
          <w:sz w:val="20"/>
          <w:szCs w:val="20"/>
          <w:lang w:val="en-ZA"/>
        </w:rPr>
        <w:t xml:space="preserve">. </w:t>
      </w:r>
      <w:r w:rsidR="00843C35" w:rsidRPr="00435469">
        <w:rPr>
          <w:rFonts w:cs="Times New Roman"/>
          <w:sz w:val="20"/>
          <w:szCs w:val="20"/>
          <w:lang w:val="en-US"/>
        </w:rPr>
        <w:t>I</w:t>
      </w:r>
      <w:r w:rsidR="00B121BD" w:rsidRPr="00435469">
        <w:rPr>
          <w:rFonts w:cs="Times New Roman"/>
          <w:sz w:val="20"/>
          <w:szCs w:val="20"/>
          <w:lang w:val="en-US"/>
        </w:rPr>
        <w:t>n our model</w:t>
      </w:r>
      <w:r w:rsidR="00A14D7D" w:rsidRPr="00435469">
        <w:rPr>
          <w:rFonts w:cs="Times New Roman"/>
          <w:sz w:val="20"/>
          <w:szCs w:val="20"/>
          <w:lang w:val="en-US"/>
        </w:rPr>
        <w:t xml:space="preserve"> we assumed the </w:t>
      </w:r>
      <w:r w:rsidR="00843C35" w:rsidRPr="00435469">
        <w:rPr>
          <w:rFonts w:cs="Times New Roman"/>
          <w:sz w:val="20"/>
          <w:szCs w:val="20"/>
          <w:lang w:val="en-US"/>
        </w:rPr>
        <w:lastRenderedPageBreak/>
        <w:t>proportion of TB cases that are exclusively</w:t>
      </w:r>
      <w:r w:rsidR="00504511" w:rsidRPr="00435469">
        <w:rPr>
          <w:rFonts w:cs="Times New Roman"/>
          <w:sz w:val="20"/>
          <w:szCs w:val="20"/>
          <w:lang w:val="en-US"/>
        </w:rPr>
        <w:t xml:space="preserve"> E</w:t>
      </w:r>
      <w:r w:rsidR="001803AF" w:rsidRPr="00435469">
        <w:rPr>
          <w:rFonts w:cs="Times New Roman"/>
          <w:sz w:val="20"/>
          <w:szCs w:val="20"/>
          <w:lang w:val="en-US"/>
        </w:rPr>
        <w:t>P</w:t>
      </w:r>
      <w:r w:rsidR="00504511" w:rsidRPr="00435469">
        <w:rPr>
          <w:rFonts w:cs="Times New Roman"/>
          <w:sz w:val="20"/>
          <w:szCs w:val="20"/>
          <w:lang w:val="en-US"/>
        </w:rPr>
        <w:t>TB</w:t>
      </w:r>
      <w:r w:rsidR="00EB78E5" w:rsidRPr="00435469">
        <w:rPr>
          <w:rFonts w:cs="Times New Roman"/>
          <w:sz w:val="20"/>
          <w:szCs w:val="20"/>
          <w:lang w:val="en-US"/>
        </w:rPr>
        <w:t xml:space="preserve"> (</w:t>
      </w: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s=0</m:t>
            </m:r>
          </m:sub>
        </m:sSub>
        <m:r>
          <w:rPr>
            <w:rFonts w:ascii="Cambria Math" w:hAnsi="Cambria Math" w:cs="Times New Roman"/>
            <w:sz w:val="20"/>
            <w:szCs w:val="20"/>
            <w:lang w:val="en-US"/>
          </w:rPr>
          <m:t>)</m:t>
        </m:r>
      </m:oMath>
      <w:r w:rsidR="00666884" w:rsidRPr="00435469">
        <w:rPr>
          <w:rFonts w:cs="Times New Roman"/>
          <w:sz w:val="20"/>
          <w:szCs w:val="20"/>
          <w:lang w:val="en-US"/>
        </w:rPr>
        <w:t xml:space="preserve"> for those with </w:t>
      </w:r>
      <w:r w:rsidR="00EB78E5" w:rsidRPr="00435469">
        <w:rPr>
          <w:rFonts w:cs="Times New Roman"/>
          <w:sz w:val="20"/>
          <w:szCs w:val="20"/>
          <w:lang w:val="en-US"/>
        </w:rPr>
        <w:t>HIV-negative</w:t>
      </w:r>
      <w:r w:rsidR="00A26AC8" w:rsidRPr="00435469">
        <w:rPr>
          <w:rFonts w:cs="Times New Roman"/>
          <w:sz w:val="20"/>
          <w:szCs w:val="20"/>
          <w:lang w:val="en-US"/>
        </w:rPr>
        <w:t xml:space="preserve"> </w:t>
      </w:r>
      <w:r w:rsidR="00666884" w:rsidRPr="00435469">
        <w:rPr>
          <w:rFonts w:cs="Times New Roman"/>
          <w:sz w:val="20"/>
          <w:szCs w:val="20"/>
          <w:lang w:val="en-US"/>
        </w:rPr>
        <w:t>status</w:t>
      </w:r>
      <w:r w:rsidR="0000102B" w:rsidRPr="00435469">
        <w:rPr>
          <w:rFonts w:cs="Times New Roman"/>
          <w:sz w:val="20"/>
          <w:szCs w:val="20"/>
          <w:lang w:val="en-US"/>
        </w:rPr>
        <w:t xml:space="preserve"> (</w:t>
      </w:r>
      <m:oMath>
        <m:r>
          <w:rPr>
            <w:rFonts w:ascii="Cambria Math" w:hAnsi="Cambria Math" w:cs="Times New Roman"/>
            <w:sz w:val="20"/>
            <w:szCs w:val="20"/>
            <w:lang w:val="en-US"/>
          </w:rPr>
          <m:t>s=0</m:t>
        </m:r>
      </m:oMath>
      <w:r w:rsidR="00A26AC8" w:rsidRPr="00435469">
        <w:rPr>
          <w:rFonts w:cs="Times New Roman"/>
          <w:sz w:val="20"/>
          <w:szCs w:val="20"/>
          <w:lang w:val="en-US"/>
        </w:rPr>
        <w:t>)</w:t>
      </w:r>
      <w:r w:rsidR="00EB78E5" w:rsidRPr="00435469">
        <w:rPr>
          <w:rFonts w:cs="Times New Roman"/>
          <w:sz w:val="20"/>
          <w:szCs w:val="20"/>
          <w:lang w:val="en-US"/>
        </w:rPr>
        <w:t xml:space="preserve"> to be 10%</w:t>
      </w:r>
      <w:r w:rsidR="0000102B" w:rsidRPr="00435469">
        <w:rPr>
          <w:rFonts w:cs="Times New Roman"/>
          <w:sz w:val="20"/>
          <w:szCs w:val="20"/>
          <w:lang w:val="en-US"/>
        </w:rPr>
        <w:t xml:space="preserve">. </w:t>
      </w:r>
      <w:r w:rsidR="00270D56" w:rsidRPr="00435469">
        <w:rPr>
          <w:rFonts w:cs="Times New Roman"/>
          <w:sz w:val="20"/>
          <w:szCs w:val="20"/>
          <w:lang w:val="en-US"/>
        </w:rPr>
        <w:t>Among HIV-positive individuals</w:t>
      </w:r>
      <w:r w:rsidR="00346BD7" w:rsidRPr="00435469">
        <w:rPr>
          <w:rFonts w:cs="Times New Roman"/>
          <w:sz w:val="20"/>
          <w:szCs w:val="20"/>
          <w:lang w:val="en-US"/>
        </w:rPr>
        <w:t>,</w:t>
      </w:r>
      <w:r w:rsidR="00270D56" w:rsidRPr="00435469">
        <w:rPr>
          <w:rFonts w:cs="Times New Roman"/>
          <w:sz w:val="20"/>
          <w:szCs w:val="20"/>
          <w:lang w:val="en-US"/>
        </w:rPr>
        <w:t xml:space="preserve"> the </w:t>
      </w:r>
      <w:r w:rsidR="00843C35" w:rsidRPr="00435469">
        <w:rPr>
          <w:rFonts w:cs="Times New Roman"/>
          <w:sz w:val="20"/>
          <w:szCs w:val="20"/>
          <w:lang w:val="en-US"/>
        </w:rPr>
        <w:t xml:space="preserve">proportion of TB cases that are exclusively </w:t>
      </w:r>
      <w:r w:rsidR="00270D56" w:rsidRPr="00435469">
        <w:rPr>
          <w:rFonts w:cs="Times New Roman"/>
          <w:sz w:val="20"/>
          <w:szCs w:val="20"/>
          <w:lang w:val="en-US"/>
        </w:rPr>
        <w:t>EPTB is slightly higher</w:t>
      </w:r>
      <w:r w:rsidR="001701FC" w:rsidRPr="00435469">
        <w:rPr>
          <w:rFonts w:cs="Times New Roman"/>
          <w:sz w:val="20"/>
          <w:szCs w:val="20"/>
          <w:lang w:val="en-US"/>
        </w:rPr>
        <w:t>,</w:t>
      </w:r>
      <w:r w:rsidR="00270D56" w:rsidRPr="00435469">
        <w:rPr>
          <w:rFonts w:cs="Times New Roman"/>
          <w:sz w:val="20"/>
          <w:szCs w:val="20"/>
          <w:lang w:val="en-US"/>
        </w:rPr>
        <w:t xml:space="preserve"> estimated at </w:t>
      </w:r>
      <w:r w:rsidR="00225641" w:rsidRPr="00435469">
        <w:rPr>
          <w:rFonts w:cs="Times New Roman"/>
          <w:sz w:val="20"/>
          <w:szCs w:val="20"/>
          <w:lang w:val="en-US"/>
        </w:rPr>
        <w:t>26</w:t>
      </w:r>
      <w:r w:rsidR="00EE1A1C" w:rsidRPr="00435469">
        <w:rPr>
          <w:rFonts w:cs="Times New Roman"/>
          <w:sz w:val="20"/>
          <w:szCs w:val="20"/>
          <w:lang w:val="en-US"/>
        </w:rPr>
        <w:t>.3</w:t>
      </w:r>
      <w:r w:rsidR="00225641" w:rsidRPr="00435469">
        <w:rPr>
          <w:rFonts w:cs="Times New Roman"/>
          <w:sz w:val="20"/>
          <w:szCs w:val="20"/>
          <w:lang w:val="en-US"/>
        </w:rPr>
        <w:t xml:space="preserve">% </w:t>
      </w:r>
      <w:r w:rsidR="00EE1A1C" w:rsidRPr="00435469">
        <w:rPr>
          <w:rFonts w:cs="Times New Roman"/>
          <w:sz w:val="20"/>
          <w:szCs w:val="20"/>
          <w:lang w:val="en-US"/>
        </w:rPr>
        <w:t>and 17.6%</w:t>
      </w:r>
      <w:r w:rsidR="00225641" w:rsidRPr="00435469">
        <w:rPr>
          <w:rFonts w:cs="Times New Roman"/>
          <w:sz w:val="20"/>
          <w:szCs w:val="20"/>
          <w:lang w:val="en-US"/>
        </w:rPr>
        <w:t xml:space="preserve"> </w:t>
      </w:r>
      <w:r w:rsidR="001701FC" w:rsidRPr="00435469">
        <w:rPr>
          <w:rFonts w:cs="Times New Roman"/>
          <w:sz w:val="20"/>
          <w:szCs w:val="20"/>
          <w:lang w:val="en-US"/>
        </w:rPr>
        <w:t xml:space="preserve">by </w:t>
      </w:r>
      <w:r w:rsidR="00225641" w:rsidRPr="00435469">
        <w:rPr>
          <w:rFonts w:cs="Times New Roman"/>
          <w:sz w:val="20"/>
          <w:szCs w:val="20"/>
        </w:rPr>
        <w:t xml:space="preserve">Pepper </w:t>
      </w:r>
      <w:r w:rsidR="00225641" w:rsidRPr="00435469">
        <w:rPr>
          <w:rFonts w:cs="Times New Roman"/>
          <w:i/>
          <w:iCs/>
          <w:sz w:val="20"/>
          <w:szCs w:val="20"/>
        </w:rPr>
        <w:t xml:space="preserve">et al </w:t>
      </w:r>
      <w:r w:rsidR="00225641" w:rsidRPr="00435469">
        <w:rPr>
          <w:rFonts w:cs="Times New Roman"/>
          <w:sz w:val="20"/>
          <w:szCs w:val="20"/>
        </w:rPr>
        <w:t xml:space="preserve">and Gupta </w:t>
      </w:r>
      <w:r w:rsidR="00225641" w:rsidRPr="00435469">
        <w:rPr>
          <w:rFonts w:cs="Times New Roman"/>
          <w:i/>
          <w:iCs/>
          <w:sz w:val="20"/>
          <w:szCs w:val="20"/>
        </w:rPr>
        <w:t>et</w:t>
      </w:r>
      <w:r w:rsidR="00EE1A1C" w:rsidRPr="00435469">
        <w:rPr>
          <w:rFonts w:cs="Times New Roman"/>
          <w:i/>
          <w:iCs/>
          <w:sz w:val="20"/>
          <w:szCs w:val="20"/>
        </w:rPr>
        <w:t xml:space="preserve"> al</w:t>
      </w:r>
      <w:r w:rsidR="001701FC" w:rsidRPr="00435469">
        <w:rPr>
          <w:rFonts w:cs="Times New Roman"/>
          <w:sz w:val="20"/>
          <w:szCs w:val="20"/>
        </w:rPr>
        <w:t xml:space="preserve">, </w:t>
      </w:r>
      <w:r w:rsidR="00B24C0E" w:rsidRPr="00435469">
        <w:rPr>
          <w:rFonts w:cs="Times New Roman"/>
          <w:sz w:val="20"/>
          <w:szCs w:val="20"/>
        </w:rPr>
        <w:t>respectively</w:t>
      </w:r>
      <w:r w:rsidR="00B24C0E" w:rsidRPr="00435469">
        <w:rPr>
          <w:rFonts w:cs="Times New Roman"/>
          <w:sz w:val="20"/>
          <w:szCs w:val="20"/>
          <w:lang w:val="en-US"/>
        </w:rPr>
        <w:t xml:space="preserve"> </w:t>
      </w:r>
      <w:r w:rsidR="00B24C0E" w:rsidRPr="00435469">
        <w:rPr>
          <w:rFonts w:cs="Times New Roman"/>
          <w:sz w:val="20"/>
          <w:szCs w:val="20"/>
          <w:lang w:val="en-US"/>
        </w:rPr>
        <w:fldChar w:fldCharType="begin" w:fldLock="1"/>
      </w:r>
      <w:r w:rsidR="002F049E" w:rsidRPr="00435469">
        <w:rPr>
          <w:rFonts w:cs="Times New Roman"/>
          <w:sz w:val="20"/>
          <w:szCs w:val="20"/>
          <w:lang w:val="en-US"/>
        </w:rPr>
        <w:instrText>ADDIN CSL_CITATION {"citationItems":[{"id":"ITEM-1","itemData":{"DOI":"10.1186/s12981-015-0076-5","ISSN":"17426405","abstract":"© 2015 Pepper et al. Background: Identifying those at increased risk of death during TB treatment is a priority in resource-constrained settings. We performed this study to determine predictors of mortality during TB treatment. Methods: We performed a retrospective analysis of a TB surveillance population in a high HIV prevalence area that was recorded in ETR.net (Electronic Tuberculosis Register). Adult TB cases initiated TB treatment from 2007 through 2009 in Khayelitsha, South Africa. Cox proportional hazards models were used to identify risk factors for death  (after multiple imputations for missing data). Model selection was performed using Akaike's Information Criterion to obtain the most relevant predictors of death. Results: Of 16,209 adult TB cases, 851 (5.3 %) died during TB treatment. In all TB cases, advancing age, co-infection with HIV, a prior history of TB and the presence of both pulmonary and extra-pulmonary TB were independently associated with an increasing hazard of death. In HIV-infected TB cases, advancing age and female gender were independently associated with an increasing hazard of death. Increasing CD4 counts and antiretroviral treatment during TB treatment were protective against death. In HIV-uninfected TB cases, advancing age was independently associated with death, whereas smear-positive disease was protective. Conclusion: We identified several independent predictors of death during TB treatment in resource-constrained settings. Our findings inform resource-constrained settings about certain subgroups of TB patients that should be targeted to improve mortality during TB treatment.","author":[{"dropping-particle":"","family":"Pepper","given":"Dominique J.","non-dropping-particle":"","parse-names":false,"suffix":""},{"dropping-particle":"","family":"Schomaker","given":"Michael","non-dropping-particle":"","parse-names":false,"suffix":""},{"dropping-particle":"","family":"Wilkinson","given":"Robert J.","non-dropping-particle":"","parse-names":false,"suffix":""},{"dropping-particle":"","family":"Azevedo","given":"Virginia","non-dropping-particle":"","parse-names":false,"suffix":""},{"dropping-particle":"","family":"Maartens","given":"Gary","non-dropping-particle":"","parse-names":false,"suffix":""}],"container-title":"AIDS Research and Therapy","id":"ITEM-1","issue":"1","issued":{"date-parts":[["2015"]]},"page":"1-9","publisher":"BioMed Central","title":"Independent predictors of tuberculosis mortality in a high HIV prevalence setting: A retrospective cohort study","type":"article-journal","volume":"12"},"uris":["http://www.mendeley.com/documents/?uuid=3d10b293-2347-4563-b477-2417fa0ee547"]},{"id":"ITEM-2","itemData":{"DOI":"10.5588/ijtld.13.0032.Impact","ISBN":"2122633255","PMID":"1000000221","abstract":"Background—The impact of HIV-infection and CD4 count on diagnosis of tuberculosis (TB) at a population level is incompletely defined. Objective—To determine how HIV-infection and CD4 count affect disease site, sputum smear status and overall rate of laboratory confirmation (sputum smear microscopy or culture) of TB cases under routine programme conditions. Design—Retrospective analysis of the 2009 electronic TB register for Cape Town, South Africa. Results—Of 29,478 TB cases notified in 2009, HIV-status was known in 25,744 (87.3%) of cases of which 13,237 (51.4%) were HIV-positive. Of these, 61.2% had CD4 cell counts &lt;200 cells/µL, 82.7% had counts &lt;350 cells/µL. Laboratory confirmation of TB (by smear or culture) was obtained less frequently in HIV-infected than HIV-uninfected adult cases (53.9% versus 74.3%; P&lt;0.001). HIV-infection was associated with higher proportions of sputum smear-negative and extrapulmonary TB and lower grades of sputum smear-positivity even among those with CD4 counts ≥ 500 cells/µL. However, the relationship between the proportion of cases testing smear- positive and CD4 count was non-linear. Conclusion—Much TB lacks laboratory confirmation in this setting despite good laboratory services. HIV-associated TB is more difficult to diagnose even at high CD4 cell counts &gt;500 cells/µL, suggesting an early impact after HIV-sero-conversion.","author":[{"dropping-particle":"","family":"Gupta","given":"Rishi K.","non-dropping-particle":"","parse-names":false,"suffix":""},{"dropping-particle":"","family":"Lawn","given":"Stephen D.","non-dropping-particle":"","parse-names":false,"suffix":""},{"dropping-particle":"","family":"Bekker","given":"Linda-Gail","non-dropping-particle":"","parse-names":false,"suffix":""},{"dropping-particle":"","family":"Caldwell","given":"Judy","non-dropping-particle":"","parse-names":false,"suffix":""},{"dropping-particle":"","family":"Kaplan","given":"Richard","non-dropping-particle":"","parse-names":false,"suffix":""},{"dropping-particle":"","family":"Wood","given":"Robin","non-dropping-particle":"","parse-names":false,"suffix":""}],"container-title":"Int J Tuberc Lung Dis","id":"ITEM-2","issue":"8","issued":{"date-parts":[["2013"]]},"page":"1014-1022","title":"Impact of HIV and CD4 count on tuberculosis diagnosis: analysis of citywide data from Cape Town, South Africa","type":"article-journal","volume":"17"},"uris":["http://www.mendeley.com/documents/?uuid=29ab6114-9cfb-4576-9e66-488e86781998"]}],"mendeley":{"formattedCitation":"(24,73)","plainTextFormattedCitation":"(24,73)","previouslyFormattedCitation":"(24,73)"},"properties":{"noteIndex":0},"schema":"https://github.com/citation-style-language/schema/raw/master/csl-citation.json"}</w:instrText>
      </w:r>
      <w:r w:rsidR="00B24C0E" w:rsidRPr="00435469">
        <w:rPr>
          <w:rFonts w:cs="Times New Roman"/>
          <w:sz w:val="20"/>
          <w:szCs w:val="20"/>
          <w:lang w:val="en-US"/>
        </w:rPr>
        <w:fldChar w:fldCharType="separate"/>
      </w:r>
      <w:r w:rsidR="0063047A" w:rsidRPr="00435469">
        <w:rPr>
          <w:rFonts w:cs="Times New Roman"/>
          <w:noProof/>
          <w:sz w:val="20"/>
          <w:szCs w:val="20"/>
          <w:lang w:val="en-US"/>
        </w:rPr>
        <w:t>(24,73)</w:t>
      </w:r>
      <w:r w:rsidR="00B24C0E" w:rsidRPr="00435469">
        <w:rPr>
          <w:rFonts w:cs="Times New Roman"/>
          <w:sz w:val="20"/>
          <w:szCs w:val="20"/>
          <w:lang w:val="en-US"/>
        </w:rPr>
        <w:fldChar w:fldCharType="end"/>
      </w:r>
      <w:r w:rsidR="00B24C0E" w:rsidRPr="00435469">
        <w:rPr>
          <w:rFonts w:cs="Times New Roman"/>
          <w:sz w:val="20"/>
          <w:szCs w:val="20"/>
          <w:lang w:val="en-US"/>
        </w:rPr>
        <w:t xml:space="preserve">. </w:t>
      </w:r>
      <w:r w:rsidR="003342FD" w:rsidRPr="00435469">
        <w:rPr>
          <w:rFonts w:cs="Times New Roman"/>
          <w:sz w:val="20"/>
          <w:szCs w:val="20"/>
          <w:lang w:val="en-US"/>
        </w:rPr>
        <w:t>We therefore assumed</w:t>
      </w:r>
      <w:r w:rsidR="00F106CA" w:rsidRPr="00435469">
        <w:rPr>
          <w:rFonts w:cs="Times New Roman"/>
          <w:sz w:val="20"/>
          <w:szCs w:val="20"/>
          <w:lang w:val="en-US"/>
        </w:rPr>
        <w:t xml:space="preserve"> 22%,</w:t>
      </w:r>
      <w:r w:rsidR="003342FD" w:rsidRPr="00435469">
        <w:rPr>
          <w:rFonts w:cs="Times New Roman"/>
          <w:sz w:val="20"/>
          <w:szCs w:val="20"/>
          <w:lang w:val="en-US"/>
        </w:rPr>
        <w:t xml:space="preserve"> the </w:t>
      </w:r>
      <w:r w:rsidR="00B44C4A" w:rsidRPr="00435469">
        <w:rPr>
          <w:rFonts w:cs="Times New Roman"/>
          <w:sz w:val="20"/>
          <w:szCs w:val="20"/>
          <w:lang w:val="en-US"/>
        </w:rPr>
        <w:t xml:space="preserve">average </w:t>
      </w:r>
      <w:r w:rsidR="00F106CA" w:rsidRPr="00435469">
        <w:rPr>
          <w:rFonts w:cs="Times New Roman"/>
          <w:sz w:val="20"/>
          <w:szCs w:val="20"/>
          <w:lang w:val="en-US"/>
        </w:rPr>
        <w:t xml:space="preserve">from </w:t>
      </w:r>
      <w:r w:rsidR="00B44C4A" w:rsidRPr="00435469">
        <w:rPr>
          <w:rFonts w:cs="Times New Roman"/>
          <w:sz w:val="20"/>
          <w:szCs w:val="20"/>
          <w:lang w:val="en-US"/>
        </w:rPr>
        <w:t xml:space="preserve">these two studies </w:t>
      </w:r>
      <w:r w:rsidR="00C7181E" w:rsidRPr="00435469">
        <w:rPr>
          <w:rFonts w:cs="Times New Roman"/>
          <w:sz w:val="20"/>
          <w:szCs w:val="20"/>
          <w:lang w:val="en-US"/>
        </w:rPr>
        <w:fldChar w:fldCharType="begin" w:fldLock="1"/>
      </w:r>
      <w:r w:rsidR="002F049E" w:rsidRPr="00435469">
        <w:rPr>
          <w:rFonts w:cs="Times New Roman"/>
          <w:sz w:val="20"/>
          <w:szCs w:val="20"/>
          <w:lang w:val="en-US"/>
        </w:rPr>
        <w:instrText>ADDIN CSL_CITATION {"citationItems":[{"id":"ITEM-1","itemData":{"DOI":"10.1186/s12981-015-0076-5","ISSN":"17426405","abstract":"© 2015 Pepper et al. Background: Identifying those at increased risk of death during TB treatment is a priority in resource-constrained settings. We performed this study to determine predictors of mortality during TB treatment. Methods: We performed a retrospective analysis of a TB surveillance population in a high HIV prevalence area that was recorded in ETR.net (Electronic Tuberculosis Register). Adult TB cases initiated TB treatment from 2007 through 2009 in Khayelitsha, South Africa. Cox proportional hazards models were used to identify risk factors for death  (after multiple imputations for missing data). Model selection was performed using Akaike's Information Criterion to obtain the most relevant predictors of death. Results: Of 16,209 adult TB cases, 851 (5.3 %) died during TB treatment. In all TB cases, advancing age, co-infection with HIV, a prior history of TB and the presence of both pulmonary and extra-pulmonary TB were independently associated with an increasing hazard of death. In HIV-infected TB cases, advancing age and female gender were independently associated with an increasing hazard of death. Increasing CD4 counts and antiretroviral treatment during TB treatment were protective against death. In HIV-uninfected TB cases, advancing age was independently associated with death, whereas smear-positive disease was protective. Conclusion: We identified several independent predictors of death during TB treatment in resource-constrained settings. Our findings inform resource-constrained settings about certain subgroups of TB patients that should be targeted to improve mortality during TB treatment.","author":[{"dropping-particle":"","family":"Pepper","given":"Dominique J.","non-dropping-particle":"","parse-names":false,"suffix":""},{"dropping-particle":"","family":"Schomaker","given":"Michael","non-dropping-particle":"","parse-names":false,"suffix":""},{"dropping-particle":"","family":"Wilkinson","given":"Robert J.","non-dropping-particle":"","parse-names":false,"suffix":""},{"dropping-particle":"","family":"Azevedo","given":"Virginia","non-dropping-particle":"","parse-names":false,"suffix":""},{"dropping-particle":"","family":"Maartens","given":"Gary","non-dropping-particle":"","parse-names":false,"suffix":""}],"container-title":"AIDS Research and Therapy","id":"ITEM-1","issue":"1","issued":{"date-parts":[["2015"]]},"page":"1-9","publisher":"BioMed Central","title":"Independent predictors of tuberculosis mortality in a high HIV prevalence setting: A retrospective cohort study","type":"article-journal","volume":"12"},"uris":["http://www.mendeley.com/documents/?uuid=3d10b293-2347-4563-b477-2417fa0ee547"]},{"id":"ITEM-2","itemData":{"DOI":"10.5588/ijtld.13.0032.Impact","ISBN":"2122633255","PMID":"1000000221","abstract":"Background—The impact of HIV-infection and CD4 count on diagnosis of tuberculosis (TB) at a population level is incompletely defined. Objective—To determine how HIV-infection and CD4 count affect disease site, sputum smear status and overall rate of laboratory confirmation (sputum smear microscopy or culture) of TB cases under routine programme conditions. Design—Retrospective analysis of the 2009 electronic TB register for Cape Town, South Africa. Results—Of 29,478 TB cases notified in 2009, HIV-status was known in 25,744 (87.3%) of cases of which 13,237 (51.4%) were HIV-positive. Of these, 61.2% had CD4 cell counts &lt;200 cells/µL, 82.7% had counts &lt;350 cells/µL. Laboratory confirmation of TB (by smear or culture) was obtained less frequently in HIV-infected than HIV-uninfected adult cases (53.9% versus 74.3%; P&lt;0.001). HIV-infection was associated with higher proportions of sputum smear-negative and extrapulmonary TB and lower grades of sputum smear-positivity even among those with CD4 counts ≥ 500 cells/µL. However, the relationship between the proportion of cases testing smear- positive and CD4 count was non-linear. Conclusion—Much TB lacks laboratory confirmation in this setting despite good laboratory services. HIV-associated TB is more difficult to diagnose even at high CD4 cell counts &gt;500 cells/µL, suggesting an early impact after HIV-sero-conversion.","author":[{"dropping-particle":"","family":"Gupta","given":"Rishi K.","non-dropping-particle":"","parse-names":false,"suffix":""},{"dropping-particle":"","family":"Lawn","given":"Stephen D.","non-dropping-particle":"","parse-names":false,"suffix":""},{"dropping-particle":"","family":"Bekker","given":"Linda-Gail","non-dropping-particle":"","parse-names":false,"suffix":""},{"dropping-particle":"","family":"Caldwell","given":"Judy","non-dropping-particle":"","parse-names":false,"suffix":""},{"dropping-particle":"","family":"Kaplan","given":"Richard","non-dropping-particle":"","parse-names":false,"suffix":""},{"dropping-particle":"","family":"Wood","given":"Robin","non-dropping-particle":"","parse-names":false,"suffix":""}],"container-title":"Int J Tuberc Lung Dis","id":"ITEM-2","issue":"8","issued":{"date-parts":[["2013"]]},"page":"1014-1022","title":"Impact of HIV and CD4 count on tuberculosis diagnosis: analysis of citywide data from Cape Town, South Africa","type":"article-journal","volume":"17"},"uris":["http://www.mendeley.com/documents/?uuid=29ab6114-9cfb-4576-9e66-488e86781998"]}],"mendeley":{"formattedCitation":"(24,73)","plainTextFormattedCitation":"(24,73)","previouslyFormattedCitation":"(24,73)"},"properties":{"noteIndex":0},"schema":"https://github.com/citation-style-language/schema/raw/master/csl-citation.json"}</w:instrText>
      </w:r>
      <w:r w:rsidR="00C7181E" w:rsidRPr="00435469">
        <w:rPr>
          <w:rFonts w:cs="Times New Roman"/>
          <w:sz w:val="20"/>
          <w:szCs w:val="20"/>
          <w:lang w:val="en-US"/>
        </w:rPr>
        <w:fldChar w:fldCharType="separate"/>
      </w:r>
      <w:r w:rsidR="0063047A" w:rsidRPr="00435469">
        <w:rPr>
          <w:rFonts w:cs="Times New Roman"/>
          <w:noProof/>
          <w:sz w:val="20"/>
          <w:szCs w:val="20"/>
          <w:lang w:val="en-US"/>
        </w:rPr>
        <w:t>(24,73)</w:t>
      </w:r>
      <w:r w:rsidR="00C7181E" w:rsidRPr="00435469">
        <w:rPr>
          <w:rFonts w:cs="Times New Roman"/>
          <w:sz w:val="20"/>
          <w:szCs w:val="20"/>
          <w:lang w:val="en-US"/>
        </w:rPr>
        <w:fldChar w:fldCharType="end"/>
      </w:r>
      <w:r w:rsidR="00C7181E" w:rsidRPr="00435469">
        <w:rPr>
          <w:rFonts w:cs="Times New Roman"/>
          <w:sz w:val="20"/>
          <w:szCs w:val="20"/>
          <w:lang w:val="en-US"/>
        </w:rPr>
        <w:t xml:space="preserve"> </w:t>
      </w:r>
      <w:r w:rsidR="00B44C4A" w:rsidRPr="00435469">
        <w:rPr>
          <w:rFonts w:cs="Times New Roman"/>
          <w:sz w:val="20"/>
          <w:szCs w:val="20"/>
          <w:lang w:val="en-US"/>
        </w:rPr>
        <w:t xml:space="preserve">to represent the </w:t>
      </w:r>
      <w:r w:rsidR="00843C35" w:rsidRPr="00435469">
        <w:rPr>
          <w:rFonts w:cs="Times New Roman"/>
          <w:sz w:val="20"/>
          <w:szCs w:val="20"/>
          <w:lang w:val="en-US"/>
        </w:rPr>
        <w:t xml:space="preserve">proportion of TB cases that are exclusively </w:t>
      </w:r>
      <w:r w:rsidR="003342FD" w:rsidRPr="00435469">
        <w:rPr>
          <w:rFonts w:cs="Times New Roman"/>
          <w:sz w:val="20"/>
          <w:szCs w:val="20"/>
          <w:lang w:val="en-US"/>
        </w:rPr>
        <w:t>EPTB in HIV-positive</w:t>
      </w:r>
      <w:r w:rsidR="006A060A" w:rsidRPr="00435469">
        <w:rPr>
          <w:rFonts w:cs="Times New Roman"/>
          <w:sz w:val="20"/>
          <w:szCs w:val="20"/>
          <w:lang w:val="en-US"/>
        </w:rPr>
        <w:t xml:space="preserve"> (</w:t>
      </w:r>
      <m:oMath>
        <m:r>
          <m:rPr>
            <m:sty m:val="p"/>
          </m:rPr>
          <w:rPr>
            <w:rFonts w:ascii="Cambria Math" w:hAnsi="Cambria Math" w:cs="Times New Roman"/>
            <w:sz w:val="20"/>
            <w:szCs w:val="20"/>
            <w:lang w:val="en-US"/>
          </w:rPr>
          <m:t>s=1</m:t>
        </m:r>
      </m:oMath>
      <w:r w:rsidR="006A060A" w:rsidRPr="00435469">
        <w:rPr>
          <w:rFonts w:cs="Times New Roman"/>
          <w:sz w:val="20"/>
          <w:szCs w:val="20"/>
          <w:lang w:val="en-US"/>
        </w:rPr>
        <w:t>)</w:t>
      </w:r>
      <w:r w:rsidR="003342FD" w:rsidRPr="00435469">
        <w:rPr>
          <w:rFonts w:cs="Times New Roman"/>
          <w:sz w:val="20"/>
          <w:szCs w:val="20"/>
          <w:lang w:val="en-US"/>
        </w:rPr>
        <w:t xml:space="preserve"> individuals </w:t>
      </w:r>
      <w:r w:rsidR="00C7181E" w:rsidRPr="00435469">
        <w:rPr>
          <w:rFonts w:cs="Times New Roman"/>
          <w:sz w:val="20"/>
          <w:szCs w:val="20"/>
          <w:lang w:val="en-US"/>
        </w:rPr>
        <w:t>(</w:t>
      </w: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s=1</m:t>
            </m:r>
          </m:sub>
        </m:sSub>
      </m:oMath>
      <w:r w:rsidR="00C7181E" w:rsidRPr="00435469">
        <w:rPr>
          <w:rFonts w:cs="Times New Roman"/>
          <w:iCs/>
          <w:sz w:val="20"/>
          <w:szCs w:val="20"/>
          <w:lang w:val="en-US"/>
        </w:rPr>
        <w:t>)</w:t>
      </w:r>
      <w:r w:rsidR="00F106CA" w:rsidRPr="00435469">
        <w:rPr>
          <w:rFonts w:cs="Times New Roman"/>
          <w:sz w:val="20"/>
          <w:szCs w:val="20"/>
          <w:lang w:val="en-US"/>
        </w:rPr>
        <w:t xml:space="preserve">. </w:t>
      </w:r>
    </w:p>
    <w:p w14:paraId="1036AD10" w14:textId="13D4FC07" w:rsidR="009D58D0" w:rsidRPr="00435469" w:rsidRDefault="00DF4B17" w:rsidP="00955FFB">
      <w:pPr>
        <w:pStyle w:val="1Para"/>
        <w:spacing w:line="240" w:lineRule="auto"/>
        <w:ind w:firstLine="0"/>
        <w:rPr>
          <w:rFonts w:eastAsiaTheme="minorEastAsia" w:cs="Times New Roman"/>
          <w:sz w:val="20"/>
          <w:szCs w:val="20"/>
        </w:rPr>
      </w:pPr>
      <w:r w:rsidRPr="00435469">
        <w:rPr>
          <w:rFonts w:cs="Times New Roman"/>
          <w:sz w:val="20"/>
          <w:szCs w:val="20"/>
          <w:lang w:val="en-US"/>
        </w:rPr>
        <w:t xml:space="preserve">Then, for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g</m:t>
            </m:r>
          </m:sub>
        </m:sSub>
      </m:oMath>
      <w:r w:rsidR="005B475E" w:rsidRPr="00435469">
        <w:rPr>
          <w:rFonts w:eastAsiaTheme="minorEastAsia" w:cs="Times New Roman"/>
          <w:sz w:val="20"/>
          <w:szCs w:val="20"/>
        </w:rPr>
        <w:t xml:space="preserve"> </w:t>
      </w:r>
      <w:r w:rsidRPr="00435469">
        <w:rPr>
          <w:rFonts w:eastAsiaTheme="minorEastAsia" w:cs="Times New Roman"/>
          <w:sz w:val="20"/>
          <w:szCs w:val="20"/>
        </w:rPr>
        <w:t xml:space="preserve">the </w:t>
      </w:r>
      <w:r w:rsidR="005B475E" w:rsidRPr="00435469">
        <w:rPr>
          <w:rFonts w:eastAsiaTheme="minorEastAsia" w:cs="Times New Roman"/>
          <w:sz w:val="20"/>
          <w:szCs w:val="20"/>
        </w:rPr>
        <w:t>total</w:t>
      </w:r>
      <w:r w:rsidRPr="00435469">
        <w:rPr>
          <w:rFonts w:eastAsiaTheme="minorEastAsia" w:cs="Times New Roman"/>
          <w:sz w:val="20"/>
          <w:szCs w:val="20"/>
        </w:rPr>
        <w:t xml:space="preserve"> number of</w:t>
      </w:r>
      <w:r w:rsidR="005B475E" w:rsidRPr="00435469">
        <w:rPr>
          <w:rFonts w:eastAsiaTheme="minorEastAsia" w:cs="Times New Roman"/>
          <w:sz w:val="20"/>
          <w:szCs w:val="20"/>
        </w:rPr>
        <w:t xml:space="preserve"> active TB </w:t>
      </w:r>
      <w:r w:rsidR="002E37A9" w:rsidRPr="00435469">
        <w:rPr>
          <w:rFonts w:eastAsiaTheme="minorEastAsia" w:cs="Times New Roman"/>
          <w:sz w:val="20"/>
          <w:szCs w:val="20"/>
        </w:rPr>
        <w:t xml:space="preserve">cases in HIV-positive individuals;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oMath>
      <w:r w:rsidR="008F06D4" w:rsidRPr="00435469">
        <w:rPr>
          <w:rFonts w:eastAsiaTheme="minorEastAsia" w:cs="Times New Roman"/>
          <w:sz w:val="20"/>
          <w:szCs w:val="20"/>
        </w:rPr>
        <w:t xml:space="preserve"> </w:t>
      </w:r>
      <w:r w:rsidRPr="00435469">
        <w:rPr>
          <w:rFonts w:eastAsiaTheme="minorEastAsia" w:cs="Times New Roman"/>
          <w:sz w:val="20"/>
          <w:szCs w:val="20"/>
        </w:rPr>
        <w:t xml:space="preserve">the </w:t>
      </w:r>
      <w:r w:rsidR="008F06D4" w:rsidRPr="00435469">
        <w:rPr>
          <w:rFonts w:eastAsiaTheme="minorEastAsia" w:cs="Times New Roman"/>
          <w:sz w:val="20"/>
          <w:szCs w:val="20"/>
        </w:rPr>
        <w:t xml:space="preserve">total </w:t>
      </w:r>
      <w:r w:rsidRPr="00435469">
        <w:rPr>
          <w:rFonts w:eastAsiaTheme="minorEastAsia" w:cs="Times New Roman"/>
          <w:sz w:val="20"/>
          <w:szCs w:val="20"/>
        </w:rPr>
        <w:t xml:space="preserve">number of </w:t>
      </w:r>
      <w:r w:rsidR="008F06D4" w:rsidRPr="00435469">
        <w:rPr>
          <w:rFonts w:eastAsiaTheme="minorEastAsia" w:cs="Times New Roman"/>
          <w:sz w:val="20"/>
          <w:szCs w:val="20"/>
        </w:rPr>
        <w:t>active TB cases in HIV-negative individuals</w:t>
      </w:r>
      <w:r w:rsidR="005A735C" w:rsidRPr="00435469">
        <w:rPr>
          <w:rFonts w:eastAsiaTheme="minorEastAsia"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g</m:t>
            </m:r>
          </m:sub>
        </m:sSub>
      </m:oMath>
      <w:r w:rsidR="005A735C" w:rsidRPr="00435469">
        <w:rPr>
          <w:rFonts w:eastAsiaTheme="minorEastAsia" w:cs="Times New Roman"/>
          <w:sz w:val="20"/>
          <w:szCs w:val="20"/>
        </w:rPr>
        <w:t xml:space="preserve"> the total</w:t>
      </w:r>
      <w:r w:rsidR="005C7ED3" w:rsidRPr="00435469">
        <w:rPr>
          <w:rFonts w:eastAsiaTheme="minorEastAsia" w:cs="Times New Roman"/>
          <w:sz w:val="20"/>
          <w:szCs w:val="20"/>
        </w:rPr>
        <w:t xml:space="preserve"> number of people in the</w:t>
      </w:r>
      <w:r w:rsidR="005A735C" w:rsidRPr="00435469">
        <w:rPr>
          <w:rFonts w:eastAsiaTheme="minorEastAsia" w:cs="Times New Roman"/>
          <w:sz w:val="20"/>
          <w:szCs w:val="20"/>
        </w:rPr>
        <w:t xml:space="preserve"> population</w:t>
      </w:r>
      <w:r w:rsidR="005C7ED3" w:rsidRPr="00435469">
        <w:rPr>
          <w:rFonts w:eastAsiaTheme="minorEastAsia" w:cs="Times New Roman"/>
          <w:sz w:val="20"/>
          <w:szCs w:val="20"/>
        </w:rPr>
        <w:t>, for sex</w:t>
      </w:r>
      <w:r w:rsidR="008D0E06" w:rsidRPr="00435469">
        <w:rPr>
          <w:rFonts w:eastAsiaTheme="minorEastAsia" w:cs="Times New Roman"/>
          <w:sz w:val="20"/>
          <w:szCs w:val="20"/>
        </w:rPr>
        <w:t xml:space="preserve"> </w:t>
      </w:r>
      <m:oMath>
        <m:r>
          <w:rPr>
            <w:rFonts w:ascii="Cambria Math" w:hAnsi="Cambria Math" w:cs="Times New Roman"/>
            <w:sz w:val="20"/>
            <w:szCs w:val="20"/>
          </w:rPr>
          <m:t>g</m:t>
        </m:r>
      </m:oMath>
      <w:r w:rsidR="008D0E06" w:rsidRPr="00435469">
        <w:rPr>
          <w:rFonts w:eastAsiaTheme="minorEastAsia" w:cs="Times New Roman"/>
          <w:sz w:val="20"/>
          <w:szCs w:val="20"/>
        </w:rPr>
        <w:t xml:space="preserve">, we estimated the prevalence of pulmonary TB as </w:t>
      </w:r>
    </w:p>
    <w:p w14:paraId="6B1C5561" w14:textId="2E699A2E" w:rsidR="00A37A87" w:rsidRPr="00435469" w:rsidRDefault="00000000" w:rsidP="00DF1D5E">
      <w:pPr>
        <w:pStyle w:val="1Para"/>
        <w:spacing w:line="240" w:lineRule="auto"/>
        <w:ind w:firstLine="0"/>
        <w:jc w:val="center"/>
        <w:rPr>
          <w:rFonts w:cs="Times New Roman"/>
          <w:b/>
          <w:bCs/>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g</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d>
              <m:dPr>
                <m:ctrlPr>
                  <w:rPr>
                    <w:rFonts w:ascii="Cambria Math" w:hAnsi="Cambria Math" w:cs="Times New Roman"/>
                    <w:i/>
                    <w:sz w:val="20"/>
                    <w:szCs w:val="20"/>
                    <w:lang w:val="en-US"/>
                  </w:rPr>
                </m:ctrlPr>
              </m:dPr>
              <m:e>
                <m:r>
                  <m:rPr>
                    <m:sty m:val="p"/>
                  </m:rPr>
                  <w:rPr>
                    <w:rFonts w:ascii="Cambria Math" w:hAnsi="Cambria Math" w:cs="Times New Roman"/>
                    <w:sz w:val="20"/>
                    <w:szCs w:val="20"/>
                  </w:rPr>
                  <m:t>1.0-</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ctrlPr>
                      <w:rPr>
                        <w:rFonts w:ascii="Cambria Math" w:hAnsi="Cambria Math" w:cs="Times New Roman"/>
                        <w:sz w:val="20"/>
                        <w:szCs w:val="20"/>
                      </w:rPr>
                    </m:ctrlPr>
                  </m:e>
                  <m:sub>
                    <m:r>
                      <m:rPr>
                        <m:sty m:val="p"/>
                      </m:rPr>
                      <w:rPr>
                        <w:rFonts w:ascii="Cambria Math" w:hAnsi="Cambria Math" w:cs="Times New Roman"/>
                        <w:sz w:val="20"/>
                        <w:szCs w:val="20"/>
                        <w:lang w:val="en-US"/>
                      </w:rPr>
                      <m:t>0</m:t>
                    </m:r>
                  </m:sub>
                </m:sSub>
              </m:e>
            </m:d>
            <m:r>
              <w:rPr>
                <w:rFonts w:ascii="Cambria Math" w:hAnsi="Cambria Math" w:cs="Times New Roman"/>
                <w:sz w:val="20"/>
                <w:szCs w:val="20"/>
                <w:lang w:val="en-US"/>
              </w:rPr>
              <m:t xml:space="preserve">+ </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g</m:t>
                </m:r>
              </m:sub>
            </m:sSub>
            <m:d>
              <m:dPr>
                <m:ctrlPr>
                  <w:rPr>
                    <w:rFonts w:ascii="Cambria Math" w:hAnsi="Cambria Math" w:cs="Times New Roman"/>
                    <w:i/>
                    <w:sz w:val="20"/>
                    <w:szCs w:val="20"/>
                  </w:rPr>
                </m:ctrlPr>
              </m:dPr>
              <m:e>
                <m:r>
                  <m:rPr>
                    <m:sty m:val="p"/>
                  </m:rPr>
                  <w:rPr>
                    <w:rFonts w:ascii="Cambria Math" w:hAnsi="Cambria Math" w:cs="Times New Roman"/>
                    <w:sz w:val="20"/>
                    <w:szCs w:val="20"/>
                  </w:rPr>
                  <m:t>1.0-</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ctrlPr>
                      <w:rPr>
                        <w:rFonts w:ascii="Cambria Math" w:hAnsi="Cambria Math" w:cs="Times New Roman"/>
                        <w:sz w:val="20"/>
                        <w:szCs w:val="20"/>
                      </w:rPr>
                    </m:ctrlPr>
                  </m:e>
                  <m:sub>
                    <m:r>
                      <m:rPr>
                        <m:sty m:val="p"/>
                      </m:rPr>
                      <w:rPr>
                        <w:rFonts w:ascii="Cambria Math" w:hAnsi="Cambria Math" w:cs="Times New Roman"/>
                        <w:sz w:val="20"/>
                        <w:szCs w:val="20"/>
                        <w:lang w:val="en-US"/>
                      </w:rPr>
                      <m:t>1</m:t>
                    </m:r>
                  </m:sub>
                </m:sSub>
                <m:ctrlPr>
                  <w:rPr>
                    <w:rFonts w:ascii="Cambria Math" w:hAnsi="Cambria Math" w:cs="Times New Roman"/>
                    <w:i/>
                    <w:sz w:val="20"/>
                    <w:szCs w:val="20"/>
                    <w:lang w:val="en-US"/>
                  </w:rPr>
                </m:ctrlPr>
              </m:e>
            </m:d>
            <m:ctrlPr>
              <w:rPr>
                <w:rFonts w:ascii="Cambria Math" w:hAnsi="Cambria Math" w:cs="Times New Roman"/>
                <w:i/>
                <w:sz w:val="20"/>
                <w:szCs w:val="20"/>
                <w:lang w:val="en-US"/>
              </w:rPr>
            </m:ctrlPr>
          </m:e>
        </m:d>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 xml:space="preserve"> T</m:t>
            </m:r>
          </m:e>
          <m:sub>
            <m:r>
              <w:rPr>
                <w:rFonts w:ascii="Cambria Math" w:hAnsi="Cambria Math" w:cs="Times New Roman"/>
                <w:sz w:val="20"/>
                <w:szCs w:val="20"/>
                <w:lang w:val="en-US"/>
              </w:rPr>
              <m:t>g</m:t>
            </m:r>
          </m:sub>
        </m:sSub>
      </m:oMath>
      <w:r w:rsidR="000445C9" w:rsidRPr="00435469">
        <w:rPr>
          <w:rFonts w:eastAsiaTheme="minorEastAsia" w:cs="Times New Roman"/>
          <w:sz w:val="20"/>
          <w:szCs w:val="20"/>
          <w:lang w:val="en-US"/>
        </w:rPr>
        <w:t>.</w:t>
      </w:r>
    </w:p>
    <w:p w14:paraId="5D7FF0D8" w14:textId="6F063C4D" w:rsidR="006D3675" w:rsidRPr="00435469" w:rsidRDefault="005678A8" w:rsidP="00955FFB">
      <w:pPr>
        <w:pStyle w:val="1Para"/>
        <w:spacing w:line="240" w:lineRule="auto"/>
        <w:ind w:firstLine="0"/>
        <w:rPr>
          <w:rFonts w:cs="Times New Roman"/>
          <w:sz w:val="20"/>
          <w:szCs w:val="20"/>
        </w:rPr>
      </w:pPr>
      <w:r w:rsidRPr="00435469">
        <w:rPr>
          <w:rFonts w:cs="Times New Roman"/>
          <w:sz w:val="20"/>
          <w:szCs w:val="20"/>
        </w:rPr>
        <w:t>W</w:t>
      </w:r>
      <w:r w:rsidR="0011222A" w:rsidRPr="00435469">
        <w:rPr>
          <w:rFonts w:cs="Times New Roman"/>
          <w:sz w:val="20"/>
          <w:szCs w:val="20"/>
        </w:rPr>
        <w:t xml:space="preserve">e </w:t>
      </w:r>
      <w:r w:rsidR="006D3675" w:rsidRPr="00435469">
        <w:rPr>
          <w:rFonts w:cs="Times New Roman"/>
          <w:sz w:val="20"/>
          <w:szCs w:val="20"/>
        </w:rPr>
        <w:t xml:space="preserve">applied </w:t>
      </w:r>
      <w:r w:rsidR="0011222A" w:rsidRPr="00435469">
        <w:rPr>
          <w:rFonts w:cs="Times New Roman"/>
          <w:sz w:val="20"/>
          <w:szCs w:val="20"/>
        </w:rPr>
        <w:t xml:space="preserve">a logit transformation </w:t>
      </w:r>
      <w:r w:rsidR="006D3675" w:rsidRPr="00435469">
        <w:rPr>
          <w:rFonts w:cs="Times New Roman"/>
          <w:sz w:val="20"/>
          <w:szCs w:val="20"/>
        </w:rPr>
        <w:t xml:space="preserve">to these prevalence proportions from the prevalence survey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g</m:t>
            </m:r>
          </m:sub>
        </m:sSub>
      </m:oMath>
      <w:r w:rsidR="006D3675" w:rsidRPr="00435469">
        <w:rPr>
          <w:rFonts w:cs="Times New Roman"/>
          <w:sz w:val="20"/>
          <w:szCs w:val="20"/>
        </w:rPr>
        <w:t xml:space="preserve">) and model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g</m:t>
            </m:r>
          </m:sub>
        </m:sSub>
        <m:d>
          <m:dPr>
            <m:ctrlPr>
              <w:rPr>
                <w:rFonts w:ascii="Cambria Math" w:hAnsi="Cambria Math" w:cs="Times New Roman"/>
                <w:i/>
                <w:sz w:val="20"/>
                <w:szCs w:val="20"/>
              </w:rPr>
            </m:ctrlPr>
          </m:dPr>
          <m:e>
            <m:r>
              <w:rPr>
                <w:rFonts w:ascii="Cambria Math" w:hAnsi="Cambria Math" w:cs="Times New Roman"/>
                <w:sz w:val="20"/>
                <w:szCs w:val="20"/>
              </w:rPr>
              <m:t>ϕ</m:t>
            </m:r>
          </m:e>
        </m:d>
      </m:oMath>
      <w:r w:rsidR="006D3675" w:rsidRPr="00435469">
        <w:rPr>
          <w:rFonts w:eastAsiaTheme="minorEastAsia" w:cs="Times New Roman"/>
          <w:sz w:val="20"/>
          <w:szCs w:val="20"/>
        </w:rPr>
        <w:t xml:space="preserve">). </w:t>
      </w:r>
      <w:r w:rsidR="003C75AA" w:rsidRPr="00435469">
        <w:rPr>
          <w:rFonts w:eastAsiaTheme="minorEastAsia" w:cs="Times New Roman"/>
          <w:sz w:val="20"/>
          <w:szCs w:val="20"/>
        </w:rPr>
        <w:t xml:space="preserve"> </w:t>
      </w:r>
      <w:r w:rsidR="006D3675" w:rsidRPr="00435469">
        <w:rPr>
          <w:rFonts w:cs="Times New Roman"/>
          <w:sz w:val="20"/>
          <w:szCs w:val="20"/>
          <w:lang w:val="en-ZA"/>
        </w:rPr>
        <w:t>The</w:t>
      </w:r>
      <w:r w:rsidR="00573F37" w:rsidRPr="00435469">
        <w:rPr>
          <w:rFonts w:cs="Times New Roman"/>
          <w:sz w:val="20"/>
          <w:szCs w:val="20"/>
          <w:lang w:val="en-ZA"/>
        </w:rPr>
        <w:t>n the</w:t>
      </w:r>
      <w:r w:rsidR="006D3675" w:rsidRPr="00435469">
        <w:rPr>
          <w:rFonts w:cs="Times New Roman"/>
          <w:sz w:val="20"/>
          <w:szCs w:val="20"/>
          <w:lang w:val="en-ZA"/>
        </w:rPr>
        <w:t xml:space="preserve"> likelihood is represented by:</w:t>
      </w:r>
    </w:p>
    <w:p w14:paraId="10476B9C" w14:textId="7176EEF8" w:rsidR="006D3675" w:rsidRPr="00435469" w:rsidRDefault="006D3675" w:rsidP="00955FFB">
      <w:pPr>
        <w:spacing w:line="240" w:lineRule="auto"/>
        <w:rPr>
          <w:rFonts w:eastAsiaTheme="minorEastAsia" w:cs="Times New Roman"/>
          <w:sz w:val="20"/>
          <w:szCs w:val="20"/>
          <w:lang w:val="en-CA"/>
        </w:rPr>
      </w:pPr>
      <m:oMathPara>
        <m:oMath>
          <m:r>
            <w:rPr>
              <w:rFonts w:ascii="Cambria Math" w:hAnsi="Cambria Math" w:cs="Times New Roman"/>
              <w:sz w:val="20"/>
              <w:szCs w:val="20"/>
            </w:rPr>
            <m:t>L</m:t>
          </m:r>
          <m:d>
            <m:dPr>
              <m:ctrlPr>
                <w:rPr>
                  <w:rFonts w:ascii="Cambria Math" w:hAnsi="Cambria Math" w:cs="Times New Roman"/>
                  <w:i/>
                  <w:sz w:val="20"/>
                  <w:szCs w:val="20"/>
                </w:rPr>
              </m:ctrlPr>
            </m:dPr>
            <m:e>
              <m:r>
                <m:rPr>
                  <m:sty m:val="bi"/>
                </m:rPr>
                <w:rPr>
                  <w:rFonts w:ascii="Cambria Math" w:hAnsi="Cambria Math" w:cs="Times New Roman"/>
                  <w:sz w:val="20"/>
                  <w:szCs w:val="20"/>
                </w:rPr>
                <m:t>P</m:t>
              </m:r>
            </m:e>
            <m:e>
              <m:r>
                <w:rPr>
                  <w:rFonts w:ascii="Cambria Math" w:hAnsi="Cambria Math" w:cs="Times New Roman"/>
                  <w:sz w:val="20"/>
                  <w:szCs w:val="20"/>
                </w:rPr>
                <m:t>ϕ</m:t>
              </m:r>
            </m:e>
          </m:d>
          <m:r>
            <w:rPr>
              <w:rFonts w:ascii="Cambria Math" w:hAnsi="Cambria Math" w:cs="Times New Roman"/>
              <w:sz w:val="20"/>
              <w:szCs w:val="20"/>
            </w:rPr>
            <m:t>=</m:t>
          </m:r>
          <m:r>
            <w:rPr>
              <w:rFonts w:ascii="Cambria Math" w:hAnsi="Cambria Math" w:cs="Times New Roman"/>
              <w:sz w:val="20"/>
              <w:szCs w:val="20"/>
              <w:lang w:val="en-CA"/>
            </w:rPr>
            <m:t xml:space="preserve"> </m:t>
          </m:r>
          <m:nary>
            <m:naryPr>
              <m:chr m:val="∏"/>
              <m:limLoc m:val="undOvr"/>
              <m:supHide m:val="1"/>
              <m:ctrlPr>
                <w:rPr>
                  <w:rFonts w:ascii="Cambria Math" w:hAnsi="Cambria Math" w:cs="Times New Roman"/>
                  <w:i/>
                  <w:sz w:val="20"/>
                  <w:szCs w:val="20"/>
                  <w:lang w:val="en-CA"/>
                </w:rPr>
              </m:ctrlPr>
            </m:naryPr>
            <m:sub>
              <m:r>
                <w:rPr>
                  <w:rFonts w:ascii="Cambria Math" w:hAnsi="Cambria Math" w:cs="Times New Roman"/>
                  <w:sz w:val="20"/>
                  <w:szCs w:val="20"/>
                  <w:lang w:val="en-CA"/>
                </w:rPr>
                <m:t>g</m:t>
              </m:r>
            </m:sub>
            <m:sup/>
            <m:e>
              <m:f>
                <m:fPr>
                  <m:ctrlPr>
                    <w:rPr>
                      <w:rFonts w:ascii="Cambria Math" w:hAnsi="Cambria Math" w:cs="Times New Roman"/>
                      <w:i/>
                      <w:sz w:val="20"/>
                      <w:szCs w:val="20"/>
                    </w:rPr>
                  </m:ctrlPr>
                </m:fPr>
                <m:num>
                  <m:r>
                    <w:rPr>
                      <w:rFonts w:ascii="Cambria Math" w:hAnsi="Cambria Math" w:cs="Times New Roman"/>
                      <w:sz w:val="20"/>
                      <w:szCs w:val="20"/>
                    </w:rPr>
                    <m:t>1</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2π</m:t>
                      </m:r>
                      <m:sSubSup>
                        <m:sSubSupPr>
                          <m:ctrlPr>
                            <w:rPr>
                              <w:rFonts w:ascii="Cambria Math" w:hAnsi="Cambria Math" w:cs="Times New Roman"/>
                              <w:i/>
                              <w:sz w:val="20"/>
                              <w:szCs w:val="20"/>
                            </w:rPr>
                          </m:ctrlPr>
                        </m:sSubSupPr>
                        <m:e>
                          <m:r>
                            <w:rPr>
                              <w:rFonts w:ascii="Cambria Math" w:hAnsi="Cambria Math" w:cs="Times New Roman"/>
                              <w:sz w:val="20"/>
                              <w:szCs w:val="20"/>
                            </w:rPr>
                            <m:t>σ</m:t>
                          </m:r>
                        </m:e>
                        <m:sub>
                          <m:r>
                            <w:rPr>
                              <w:rFonts w:ascii="Cambria Math" w:hAnsi="Cambria Math" w:cs="Times New Roman"/>
                              <w:sz w:val="20"/>
                              <w:szCs w:val="20"/>
                            </w:rPr>
                            <m:t>g</m:t>
                          </m:r>
                        </m:sub>
                        <m:sup>
                          <m:r>
                            <w:rPr>
                              <w:rFonts w:ascii="Cambria Math" w:hAnsi="Cambria Math" w:cs="Times New Roman"/>
                              <w:sz w:val="20"/>
                              <w:szCs w:val="20"/>
                            </w:rPr>
                            <m:t>2</m:t>
                          </m:r>
                        </m:sup>
                      </m:sSubSup>
                    </m:e>
                  </m:rad>
                </m:den>
              </m:f>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i/>
                          <w:sz w:val="20"/>
                          <w:szCs w:val="20"/>
                        </w:rPr>
                      </m:ctrlPr>
                    </m:dPr>
                    <m:e>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begChr m:val="["/>
                                  <m:endChr m:val="]"/>
                                  <m:ctrlPr>
                                    <w:rPr>
                                      <w:rFonts w:ascii="Cambria Math" w:hAnsi="Cambria Math" w:cs="Times New Roman"/>
                                      <w:i/>
                                      <w:sz w:val="20"/>
                                      <w:szCs w:val="20"/>
                                    </w:rPr>
                                  </m:ctrlPr>
                                </m:dPr>
                                <m:e>
                                  <m:func>
                                    <m:funcPr>
                                      <m:ctrlPr>
                                        <w:rPr>
                                          <w:rFonts w:ascii="Cambria Math" w:hAnsi="Cambria Math" w:cs="Times New Roman"/>
                                          <w:i/>
                                          <w:sz w:val="20"/>
                                          <w:szCs w:val="20"/>
                                        </w:rPr>
                                      </m:ctrlPr>
                                    </m:funcPr>
                                    <m:fName>
                                      <m:r>
                                        <m:rPr>
                                          <m:sty m:val="p"/>
                                        </m:rPr>
                                        <w:rPr>
                                          <w:rFonts w:ascii="Cambria Math" w:hAnsi="Cambria Math" w:cs="Times New Roman"/>
                                          <w:sz w:val="20"/>
                                          <w:szCs w:val="20"/>
                                        </w:rPr>
                                        <m:t>logit</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g</m:t>
                                              </m:r>
                                            </m:sub>
                                          </m:sSub>
                                        </m:e>
                                      </m:d>
                                    </m:e>
                                  </m:func>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logit</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g</m:t>
                                              </m:r>
                                            </m:sub>
                                          </m:sSub>
                                          <m:d>
                                            <m:dPr>
                                              <m:ctrlPr>
                                                <w:rPr>
                                                  <w:rFonts w:ascii="Cambria Math" w:hAnsi="Cambria Math" w:cs="Times New Roman"/>
                                                  <w:i/>
                                                  <w:sz w:val="20"/>
                                                  <w:szCs w:val="20"/>
                                                </w:rPr>
                                              </m:ctrlPr>
                                            </m:dPr>
                                            <m:e>
                                              <m:r>
                                                <w:rPr>
                                                  <w:rFonts w:ascii="Cambria Math" w:hAnsi="Cambria Math" w:cs="Times New Roman"/>
                                                  <w:sz w:val="20"/>
                                                  <w:szCs w:val="20"/>
                                                </w:rPr>
                                                <m:t>ϕ</m:t>
                                              </m:r>
                                            </m:e>
                                          </m:d>
                                          <m:r>
                                            <w:rPr>
                                              <w:rFonts w:ascii="Cambria Math" w:hAnsi="Cambria Math" w:cs="Times New Roman"/>
                                              <w:sz w:val="20"/>
                                              <w:szCs w:val="20"/>
                                            </w:rPr>
                                            <m:t xml:space="preserve">) </m:t>
                                          </m:r>
                                        </m:e>
                                      </m:d>
                                    </m:e>
                                  </m:func>
                                </m:e>
                              </m:d>
                            </m:e>
                            <m:sup>
                              <m:r>
                                <w:rPr>
                                  <w:rFonts w:ascii="Cambria Math" w:hAnsi="Cambria Math" w:cs="Times New Roman"/>
                                  <w:sz w:val="20"/>
                                  <w:szCs w:val="20"/>
                                </w:rPr>
                                <m:t>2</m:t>
                              </m:r>
                            </m:sup>
                          </m:sSup>
                        </m:num>
                        <m:den>
                          <m:r>
                            <w:rPr>
                              <w:rFonts w:ascii="Cambria Math" w:hAnsi="Cambria Math" w:cs="Times New Roman"/>
                              <w:sz w:val="20"/>
                              <w:szCs w:val="20"/>
                            </w:rPr>
                            <m:t>2</m:t>
                          </m:r>
                          <m:sSubSup>
                            <m:sSubSupPr>
                              <m:ctrlPr>
                                <w:rPr>
                                  <w:rFonts w:ascii="Cambria Math" w:hAnsi="Cambria Math" w:cs="Times New Roman"/>
                                  <w:i/>
                                  <w:sz w:val="20"/>
                                  <w:szCs w:val="20"/>
                                </w:rPr>
                              </m:ctrlPr>
                            </m:sSubSupPr>
                            <m:e>
                              <m:r>
                                <w:rPr>
                                  <w:rFonts w:ascii="Cambria Math" w:hAnsi="Cambria Math" w:cs="Times New Roman"/>
                                  <w:sz w:val="20"/>
                                  <w:szCs w:val="20"/>
                                </w:rPr>
                                <m:t>σ</m:t>
                              </m:r>
                            </m:e>
                            <m:sub>
                              <m:r>
                                <w:rPr>
                                  <w:rFonts w:ascii="Cambria Math" w:hAnsi="Cambria Math" w:cs="Times New Roman"/>
                                  <w:sz w:val="20"/>
                                  <w:szCs w:val="20"/>
                                </w:rPr>
                                <m:t>g</m:t>
                              </m:r>
                            </m:sub>
                            <m:sup>
                              <m:r>
                                <w:rPr>
                                  <w:rFonts w:ascii="Cambria Math" w:hAnsi="Cambria Math" w:cs="Times New Roman"/>
                                  <w:sz w:val="20"/>
                                  <w:szCs w:val="20"/>
                                </w:rPr>
                                <m:t>2</m:t>
                              </m:r>
                            </m:sup>
                          </m:sSubSup>
                        </m:den>
                      </m:f>
                    </m:e>
                  </m:d>
                </m:e>
              </m:func>
            </m:e>
          </m:nary>
        </m:oMath>
      </m:oMathPara>
    </w:p>
    <w:p w14:paraId="1EF801B0" w14:textId="45A545A0" w:rsidR="006D3675" w:rsidRPr="00435469" w:rsidRDefault="00573F37" w:rsidP="00955FFB">
      <w:pPr>
        <w:spacing w:line="240" w:lineRule="auto"/>
        <w:rPr>
          <w:rFonts w:eastAsiaTheme="minorEastAsia" w:cs="Times New Roman"/>
          <w:sz w:val="20"/>
          <w:szCs w:val="20"/>
          <w:lang w:val="en-CA"/>
        </w:rPr>
      </w:pPr>
      <w:r w:rsidRPr="00435469">
        <w:rPr>
          <w:rFonts w:eastAsiaTheme="minorEastAsia" w:cs="Times New Roman"/>
          <w:sz w:val="20"/>
          <w:szCs w:val="20"/>
          <w:lang w:val="en-CA"/>
        </w:rPr>
        <w:t>and t</w:t>
      </w:r>
      <w:r w:rsidR="006D3675" w:rsidRPr="00435469">
        <w:rPr>
          <w:rFonts w:eastAsiaTheme="minorEastAsia" w:cs="Times New Roman"/>
          <w:sz w:val="20"/>
          <w:szCs w:val="20"/>
          <w:lang w:val="en-CA"/>
        </w:rPr>
        <w:t>he variance is calculated as</w:t>
      </w:r>
      <w:r w:rsidR="00566CFE" w:rsidRPr="00435469">
        <w:rPr>
          <w:rFonts w:eastAsiaTheme="minorEastAsia" w:cs="Times New Roman"/>
          <w:sz w:val="20"/>
          <w:szCs w:val="20"/>
          <w:lang w:val="en-CA"/>
        </w:rPr>
        <w:t>:</w:t>
      </w:r>
      <w:r w:rsidR="006D3675" w:rsidRPr="00435469">
        <w:rPr>
          <w:rFonts w:eastAsiaTheme="minorEastAsia" w:cs="Times New Roman"/>
          <w:sz w:val="20"/>
          <w:szCs w:val="20"/>
          <w:lang w:val="en-CA"/>
        </w:rPr>
        <w:t xml:space="preserve"> </w:t>
      </w:r>
    </w:p>
    <w:p w14:paraId="2B657164" w14:textId="139E8809" w:rsidR="006D3675" w:rsidRPr="00435469" w:rsidRDefault="00000000" w:rsidP="00955FFB">
      <w:pPr>
        <w:spacing w:line="240" w:lineRule="auto"/>
        <w:rPr>
          <w:rFonts w:eastAsiaTheme="minorEastAsia"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σ</m:t>
              </m:r>
            </m:e>
            <m:sub>
              <m:r>
                <w:rPr>
                  <w:rFonts w:ascii="Cambria Math" w:hAnsi="Cambria Math" w:cs="Times New Roman"/>
                  <w:sz w:val="20"/>
                  <w:szCs w:val="20"/>
                </w:rPr>
                <m:t>g</m:t>
              </m:r>
            </m:sub>
            <m:sup>
              <m:r>
                <w:rPr>
                  <w:rFonts w:ascii="Cambria Math" w:hAnsi="Cambria Math" w:cs="Times New Roman"/>
                  <w:sz w:val="20"/>
                  <w:szCs w:val="20"/>
                </w:rPr>
                <m:t>2</m:t>
              </m:r>
            </m:sup>
          </m:sSubSup>
          <m:r>
            <w:rPr>
              <w:rFonts w:ascii="Cambria Math" w:hAnsi="Cambria Math" w:cs="Times New Roman"/>
              <w:sz w:val="20"/>
              <w:szCs w:val="20"/>
            </w:rPr>
            <m:t>=</m:t>
          </m:r>
          <m:r>
            <w:rPr>
              <w:rFonts w:ascii="Cambria Math" w:eastAsiaTheme="minorEastAsia" w:hAnsi="Cambria Math" w:cs="Times New Roman"/>
              <w:sz w:val="20"/>
              <w:szCs w:val="20"/>
            </w:rPr>
            <m:t xml:space="preserve"> </m:t>
          </m:r>
          <m:sSup>
            <m:sSupPr>
              <m:ctrlPr>
                <w:rPr>
                  <w:rFonts w:ascii="Cambria Math" w:hAnsi="Cambria Math" w:cs="Times New Roman"/>
                  <w:i/>
                  <w:sz w:val="20"/>
                  <w:szCs w:val="20"/>
                </w:rPr>
              </m:ctrlPr>
            </m:sSupPr>
            <m:e>
              <m:d>
                <m:dPr>
                  <m:ctrlPr>
                    <w:rPr>
                      <w:rFonts w:ascii="Cambria Math" w:eastAsiaTheme="minorEastAsia" w:hAnsi="Cambria Math" w:cs="Times New Roman"/>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0.1</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g</m:t>
                          </m:r>
                        </m:sub>
                      </m:sSub>
                    </m:num>
                    <m:den>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g</m:t>
                          </m:r>
                        </m:sub>
                      </m:sSub>
                      <m:d>
                        <m:dPr>
                          <m:ctrlPr>
                            <w:rPr>
                              <w:rFonts w:ascii="Cambria Math" w:hAnsi="Cambria Math" w:cs="Times New Roman"/>
                              <w:i/>
                              <w:sz w:val="20"/>
                              <w:szCs w:val="20"/>
                            </w:rPr>
                          </m:ctrlPr>
                        </m:dPr>
                        <m:e>
                          <m:r>
                            <w:rPr>
                              <w:rFonts w:ascii="Cambria Math" w:hAnsi="Cambria Math" w:cs="Times New Roman"/>
                              <w:sz w:val="20"/>
                              <w:szCs w:val="20"/>
                            </w:rPr>
                            <m:t>1-</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g</m:t>
                              </m:r>
                            </m:sub>
                          </m:sSub>
                        </m:e>
                      </m:d>
                    </m:den>
                  </m:f>
                </m:e>
              </m:d>
              <m:ctrlPr>
                <w:rPr>
                  <w:rFonts w:ascii="Cambria Math" w:eastAsiaTheme="minorEastAsia" w:hAnsi="Cambria Math" w:cs="Times New Roman"/>
                  <w:i/>
                  <w:sz w:val="20"/>
                  <w:szCs w:val="20"/>
                </w:rPr>
              </m:ctrlPr>
            </m:e>
            <m:sup>
              <m:r>
                <w:rPr>
                  <w:rFonts w:ascii="Cambria Math" w:hAnsi="Cambria Math" w:cs="Times New Roman"/>
                  <w:sz w:val="20"/>
                  <w:szCs w:val="20"/>
                </w:rPr>
                <m:t>2</m:t>
              </m:r>
            </m:sup>
          </m:sSup>
        </m:oMath>
      </m:oMathPara>
    </w:p>
    <w:p w14:paraId="572172AE" w14:textId="18FDEE3A" w:rsidR="006D3675" w:rsidRPr="00435469" w:rsidRDefault="006D3675" w:rsidP="00955FFB">
      <w:pPr>
        <w:tabs>
          <w:tab w:val="left" w:pos="1320"/>
        </w:tabs>
        <w:spacing w:line="240" w:lineRule="auto"/>
        <w:rPr>
          <w:rFonts w:eastAsiaTheme="minorEastAsia" w:cs="Times New Roman"/>
          <w:sz w:val="20"/>
          <w:szCs w:val="20"/>
        </w:rPr>
      </w:pPr>
      <w:r w:rsidRPr="00435469">
        <w:rPr>
          <w:rFonts w:eastAsiaTheme="minorEastAsia"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g</m:t>
            </m:r>
          </m:sub>
        </m:sSub>
      </m:oMath>
      <w:r w:rsidRPr="00435469">
        <w:rPr>
          <w:rFonts w:eastAsiaTheme="minorEastAsia" w:cs="Times New Roman"/>
          <w:sz w:val="20"/>
          <w:szCs w:val="20"/>
        </w:rPr>
        <w:t xml:space="preserve"> </w:t>
      </w:r>
      <w:r w:rsidR="005B2626" w:rsidRPr="00435469">
        <w:rPr>
          <w:rFonts w:eastAsiaTheme="minorEastAsia" w:cs="Times New Roman"/>
          <w:sz w:val="20"/>
          <w:szCs w:val="20"/>
        </w:rPr>
        <w:t xml:space="preserve">is </w:t>
      </w:r>
      <w:r w:rsidRPr="00435469">
        <w:rPr>
          <w:rFonts w:eastAsiaTheme="minorEastAsia" w:cs="Times New Roman"/>
          <w:sz w:val="20"/>
          <w:szCs w:val="20"/>
        </w:rPr>
        <w:t xml:space="preserve">the point prevalence and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g</m:t>
            </m:r>
          </m:sub>
        </m:sSub>
      </m:oMath>
      <w:r w:rsidRPr="00435469">
        <w:rPr>
          <w:rFonts w:eastAsiaTheme="minorEastAsia" w:cs="Times New Roman"/>
          <w:sz w:val="20"/>
          <w:szCs w:val="20"/>
        </w:rPr>
        <w:t xml:space="preserve"> is the survey </w:t>
      </w:r>
      <w:r w:rsidR="00E779EA" w:rsidRPr="00435469">
        <w:rPr>
          <w:rFonts w:eastAsiaTheme="minorEastAsia" w:cs="Times New Roman"/>
          <w:sz w:val="20"/>
          <w:szCs w:val="20"/>
        </w:rPr>
        <w:t xml:space="preserve">standard </w:t>
      </w:r>
      <w:r w:rsidRPr="00435469">
        <w:rPr>
          <w:rFonts w:eastAsiaTheme="minorEastAsia" w:cs="Times New Roman"/>
          <w:sz w:val="20"/>
          <w:szCs w:val="20"/>
        </w:rPr>
        <w:t>error</w:t>
      </w:r>
      <w:r w:rsidR="00D337D1" w:rsidRPr="00435469">
        <w:rPr>
          <w:rFonts w:eastAsiaTheme="minorEastAsia" w:cs="Times New Roman"/>
          <w:sz w:val="20"/>
          <w:szCs w:val="20"/>
        </w:rPr>
        <w:t xml:space="preserve"> estimated from the </w:t>
      </w:r>
      <w:r w:rsidR="00D07530" w:rsidRPr="00435469">
        <w:rPr>
          <w:rFonts w:eastAsiaTheme="minorEastAsia" w:cs="Times New Roman"/>
          <w:sz w:val="20"/>
          <w:szCs w:val="20"/>
        </w:rPr>
        <w:t xml:space="preserve">confidence </w:t>
      </w:r>
      <w:proofErr w:type="gramStart"/>
      <w:r w:rsidR="00D07530" w:rsidRPr="00435469">
        <w:rPr>
          <w:rFonts w:eastAsiaTheme="minorEastAsia" w:cs="Times New Roman"/>
          <w:sz w:val="20"/>
          <w:szCs w:val="20"/>
        </w:rPr>
        <w:t>intervals</w:t>
      </w:r>
      <w:r w:rsidRPr="00435469">
        <w:rPr>
          <w:rFonts w:eastAsiaTheme="minorEastAsia" w:cs="Times New Roman"/>
          <w:sz w:val="20"/>
          <w:szCs w:val="20"/>
        </w:rPr>
        <w:t>.</w:t>
      </w:r>
      <w:proofErr w:type="gramEnd"/>
      <w:r w:rsidRPr="00435469">
        <w:rPr>
          <w:rFonts w:eastAsiaTheme="minorEastAsia" w:cs="Times New Roman"/>
          <w:sz w:val="20"/>
          <w:szCs w:val="20"/>
        </w:rPr>
        <w:t xml:space="preserve"> </w:t>
      </w:r>
      <w:r w:rsidR="00447ECB" w:rsidRPr="00435469">
        <w:rPr>
          <w:rFonts w:eastAsiaTheme="minorEastAsia" w:cs="Times New Roman"/>
          <w:sz w:val="20"/>
          <w:szCs w:val="20"/>
        </w:rPr>
        <w:t>W</w:t>
      </w:r>
      <w:r w:rsidR="00447ECB" w:rsidRPr="00435469">
        <w:rPr>
          <w:sz w:val="20"/>
          <w:szCs w:val="20"/>
        </w:rPr>
        <w:t xml:space="preserve">e multiplied the </w:t>
      </w:r>
      <w:r w:rsidR="00E779EA" w:rsidRPr="00435469">
        <w:rPr>
          <w:sz w:val="20"/>
          <w:szCs w:val="20"/>
        </w:rPr>
        <w:t xml:space="preserve">survey </w:t>
      </w:r>
      <w:r w:rsidR="00447ECB" w:rsidRPr="00435469">
        <w:rPr>
          <w:sz w:val="20"/>
          <w:szCs w:val="20"/>
        </w:rPr>
        <w:t xml:space="preserve">standard error by a factor of 0.1 </w:t>
      </w:r>
      <w:r w:rsidR="00273189" w:rsidRPr="00435469">
        <w:rPr>
          <w:sz w:val="20"/>
          <w:szCs w:val="20"/>
        </w:rPr>
        <w:t>to</w:t>
      </w:r>
      <w:r w:rsidR="00447ECB" w:rsidRPr="00435469">
        <w:rPr>
          <w:sz w:val="20"/>
          <w:szCs w:val="20"/>
        </w:rPr>
        <w:t xml:space="preserve"> ensure the model produced a better fit to the TB prevalence survey data</w:t>
      </w:r>
      <w:r w:rsidR="00AD2FAF" w:rsidRPr="00435469">
        <w:rPr>
          <w:sz w:val="20"/>
          <w:szCs w:val="20"/>
        </w:rPr>
        <w:t xml:space="preserve"> </w:t>
      </w:r>
      <w:r w:rsidR="00FB739A" w:rsidRPr="00435469">
        <w:rPr>
          <w:sz w:val="20"/>
          <w:szCs w:val="20"/>
        </w:rPr>
        <w:t>(</w:t>
      </w:r>
      <w:r w:rsidR="00AD2FAF" w:rsidRPr="00435469">
        <w:rPr>
          <w:sz w:val="20"/>
          <w:szCs w:val="20"/>
        </w:rPr>
        <w:t xml:space="preserve">as the </w:t>
      </w:r>
      <w:r w:rsidR="00C30A74" w:rsidRPr="00435469">
        <w:rPr>
          <w:sz w:val="20"/>
          <w:szCs w:val="20"/>
        </w:rPr>
        <w:t>TB prevalence survey would</w:t>
      </w:r>
      <w:r w:rsidR="00FB739A" w:rsidRPr="00435469">
        <w:rPr>
          <w:sz w:val="20"/>
          <w:szCs w:val="20"/>
        </w:rPr>
        <w:t xml:space="preserve"> </w:t>
      </w:r>
      <w:r w:rsidR="00E779EA" w:rsidRPr="00435469">
        <w:rPr>
          <w:sz w:val="20"/>
          <w:szCs w:val="20"/>
        </w:rPr>
        <w:t xml:space="preserve">otherwise </w:t>
      </w:r>
      <w:r w:rsidR="00FB739A" w:rsidRPr="00435469">
        <w:rPr>
          <w:sz w:val="20"/>
          <w:szCs w:val="20"/>
        </w:rPr>
        <w:t xml:space="preserve">get very little weight relative to other </w:t>
      </w:r>
      <w:r w:rsidR="00660DC7" w:rsidRPr="00435469">
        <w:rPr>
          <w:sz w:val="20"/>
          <w:szCs w:val="20"/>
        </w:rPr>
        <w:t xml:space="preserve">data sources and </w:t>
      </w:r>
      <w:r w:rsidR="00E779EA" w:rsidRPr="00435469">
        <w:rPr>
          <w:sz w:val="20"/>
          <w:szCs w:val="20"/>
        </w:rPr>
        <w:t>our initial attempts to fit the model did not give good fits to the survey prevalence without the 0.1 adjustment</w:t>
      </w:r>
      <w:r w:rsidR="00FB739A" w:rsidRPr="00435469">
        <w:rPr>
          <w:sz w:val="20"/>
          <w:szCs w:val="20"/>
        </w:rPr>
        <w:t>).</w:t>
      </w:r>
    </w:p>
    <w:p w14:paraId="39395075" w14:textId="7CA27043" w:rsidR="006D3675" w:rsidRPr="00435469" w:rsidRDefault="0081108E" w:rsidP="00955FFB">
      <w:pPr>
        <w:pStyle w:val="Heading3"/>
        <w:numPr>
          <w:ilvl w:val="2"/>
          <w:numId w:val="18"/>
        </w:numPr>
        <w:rPr>
          <w:rFonts w:cs="Times New Roman"/>
          <w:color w:val="auto"/>
          <w:sz w:val="20"/>
          <w:szCs w:val="20"/>
        </w:rPr>
      </w:pPr>
      <w:bookmarkStart w:id="349" w:name="_Toc79099839"/>
      <w:bookmarkStart w:id="350" w:name="_Toc80352167"/>
      <w:bookmarkStart w:id="351" w:name="_Toc87863364"/>
      <w:r w:rsidRPr="00435469">
        <w:rPr>
          <w:rFonts w:cs="Times New Roman"/>
          <w:color w:val="auto"/>
          <w:sz w:val="20"/>
          <w:szCs w:val="20"/>
        </w:rPr>
        <w:t xml:space="preserve"> </w:t>
      </w:r>
      <w:bookmarkStart w:id="352" w:name="_Toc103252964"/>
      <w:r w:rsidR="006D3675" w:rsidRPr="00435469">
        <w:rPr>
          <w:rFonts w:cs="Times New Roman"/>
          <w:color w:val="auto"/>
          <w:sz w:val="20"/>
          <w:szCs w:val="20"/>
        </w:rPr>
        <w:t>Generating posterior distributions</w:t>
      </w:r>
      <w:bookmarkEnd w:id="349"/>
      <w:bookmarkEnd w:id="350"/>
      <w:bookmarkEnd w:id="351"/>
      <w:bookmarkEnd w:id="352"/>
      <w:r w:rsidR="006D3675" w:rsidRPr="00435469">
        <w:rPr>
          <w:rFonts w:cs="Times New Roman"/>
          <w:color w:val="auto"/>
          <w:sz w:val="20"/>
          <w:szCs w:val="20"/>
        </w:rPr>
        <w:t xml:space="preserve"> </w:t>
      </w:r>
    </w:p>
    <w:p w14:paraId="66D06AC6" w14:textId="56FE1A0C" w:rsidR="006D3675" w:rsidRPr="00435469" w:rsidRDefault="006D3675" w:rsidP="00955FFB">
      <w:pPr>
        <w:pStyle w:val="1Para"/>
        <w:spacing w:line="240" w:lineRule="auto"/>
        <w:ind w:firstLine="0"/>
        <w:rPr>
          <w:rFonts w:eastAsiaTheme="minorEastAsia" w:cs="Times New Roman"/>
          <w:sz w:val="20"/>
          <w:szCs w:val="20"/>
        </w:rPr>
      </w:pPr>
      <w:r w:rsidRPr="00435469">
        <w:rPr>
          <w:rFonts w:cs="Times New Roman"/>
          <w:sz w:val="20"/>
          <w:szCs w:val="20"/>
        </w:rPr>
        <w:t xml:space="preserve">The posterior distributions were simulated numerically by implementing the Incremental Mixture Importance Sampling (IMIS) algorithm </w:t>
      </w:r>
      <w:r w:rsidRPr="00435469">
        <w:rPr>
          <w:rFonts w:cs="Times New Roman"/>
          <w:sz w:val="20"/>
          <w:szCs w:val="20"/>
        </w:rPr>
        <w:fldChar w:fldCharType="begin" w:fldLock="1"/>
      </w:r>
      <w:r w:rsidR="00A142FF" w:rsidRPr="00435469">
        <w:rPr>
          <w:rFonts w:cs="Times New Roman"/>
          <w:sz w:val="20"/>
          <w:szCs w:val="20"/>
        </w:rPr>
        <w:instrText>ADDIN CSL_CITATION {"citationItems":[{"id":"ITEM-1","itemData":{"DOI":"10.1161/CIRCULATIONAHA.110.956839","ISBN":"6176321972","ISSN":"15378276","PMID":"1000000221","abstract":"With the effectiveness of therapeutic agents ever decreasing and the increased incidence of multi-drug resistant pathogens, there is a clear need for administration of more potent, potentially more toxic, drugs. Alternatively, biopharmaceuticals may hold potential but require specialised protection from premature in vivo degradation. Thus, a paralleled need for specialised drug delivery systems has arisen. Although cell-mediated drug delivery is not a completely novel concept, the few applications described to date are not yet ready for in vivo application, for various reasons such as drug-induced carrier cell death, limited control over the site and timing of drug release and/or drug degradation by the host immune system. Here, we present our hypothesis for a new drug delivery system, which aims to negate these limitations. We propose transport of nanoparticle-encapsulated drugs inside autologous macrophages polarised to M1 phenotype for high mobility and treated to induce transient phagosome maturation arrest. In addition, we propose a significant shift of existing paradigms in the study of host-microbe interactions, in order to study microbial host immune evasion and dissemination patterns for their therapeutic utilisation in the context of drug delivery. We describe a system in which microbial strategies may be adopted to facilitate absolute control over drug delivery, and without sacrificing the host carrier cells. We provide a comprehensive summary of the lessons we can learn from microbes in the context of drug delivery and discuss their feasibility for in vivo therapeutic application. We then describe our proposed “synthetic microbe drug delivery system” in detail. In our opinion, this multidisciplinary approach may hold the solution to effective, controlled drug delivery.","author":[{"dropping-particle":"","family":"Raftery","given":"Adrian E.","non-dropping-particle":"","parse-names":false,"suffix":""},{"dropping-particle":"","family":"Bao","given":"Le","non-dropping-particle":"","parse-names":false,"suffix":""}],"container-title":"Biometrics","id":"ITEM-1","issue":"4","issued":{"date-parts":[["2010"]]},"page":"1162–1173","title":"Estimating and Projecting Trends in HIV/AIDS Generalized Epidemics Using Incremental Mixture Importance Sampling","type":"article-journal","volume":"66"},"uris":["http://www.mendeley.com/documents/?uuid=dedff07d-19bd-48ed-a9cd-911b6f633434"]}],"mendeley":{"formattedCitation":"(131)","plainTextFormattedCitation":"(131)","previouslyFormattedCitation":"(131)"},"properties":{"noteIndex":0},"schema":"https://github.com/citation-style-language/schema/raw/master/csl-citation.json"}</w:instrText>
      </w:r>
      <w:r w:rsidRPr="00435469">
        <w:rPr>
          <w:rFonts w:cs="Times New Roman"/>
          <w:sz w:val="20"/>
          <w:szCs w:val="20"/>
        </w:rPr>
        <w:fldChar w:fldCharType="separate"/>
      </w:r>
      <w:r w:rsidR="0016391D" w:rsidRPr="00435469">
        <w:rPr>
          <w:rFonts w:cs="Times New Roman"/>
          <w:noProof/>
          <w:sz w:val="20"/>
          <w:szCs w:val="20"/>
        </w:rPr>
        <w:t>(131)</w:t>
      </w:r>
      <w:r w:rsidRPr="00435469">
        <w:rPr>
          <w:rFonts w:cs="Times New Roman"/>
          <w:sz w:val="20"/>
          <w:szCs w:val="20"/>
        </w:rPr>
        <w:fldChar w:fldCharType="end"/>
      </w:r>
      <w:r w:rsidR="006D25CF" w:rsidRPr="00435469">
        <w:rPr>
          <w:rFonts w:cs="Times New Roman"/>
          <w:sz w:val="20"/>
          <w:szCs w:val="20"/>
        </w:rPr>
        <w:t xml:space="preserve"> in the following steps:</w:t>
      </w:r>
    </w:p>
    <w:p w14:paraId="649D18B3" w14:textId="394E4ACE" w:rsidR="006D3675" w:rsidRPr="00435469" w:rsidRDefault="006D3675" w:rsidP="00955FFB">
      <w:pPr>
        <w:pStyle w:val="1Para"/>
        <w:numPr>
          <w:ilvl w:val="0"/>
          <w:numId w:val="6"/>
        </w:numPr>
        <w:spacing w:line="240" w:lineRule="auto"/>
        <w:rPr>
          <w:rFonts w:eastAsiaTheme="minorEastAsia" w:cs="Times New Roman"/>
          <w:sz w:val="20"/>
          <w:szCs w:val="20"/>
        </w:rPr>
      </w:pPr>
      <w:r w:rsidRPr="00435469">
        <w:rPr>
          <w:rFonts w:cs="Times New Roman"/>
          <w:sz w:val="20"/>
          <w:szCs w:val="20"/>
        </w:rPr>
        <w:t xml:space="preserve"> </w:t>
      </w:r>
      <m:oMath>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N</m:t>
            </m:r>
          </m:e>
          <m:sub>
            <m:r>
              <w:rPr>
                <w:rFonts w:ascii="Cambria Math" w:eastAsiaTheme="minorEastAsia" w:hAnsi="Cambria Math" w:cs="Times New Roman"/>
                <w:sz w:val="20"/>
                <w:szCs w:val="20"/>
                <w:lang w:val="en-GB"/>
              </w:rPr>
              <m:t>0</m:t>
            </m:r>
          </m:sub>
        </m:sSub>
        <m:r>
          <w:rPr>
            <w:rFonts w:ascii="Cambria Math" w:eastAsiaTheme="minorEastAsia" w:hAnsi="Cambria Math" w:cs="Times New Roman"/>
            <w:sz w:val="20"/>
            <w:szCs w:val="20"/>
            <w:lang w:val="en-GB"/>
          </w:rPr>
          <m:t>=10 000</m:t>
        </m:r>
      </m:oMath>
      <w:r w:rsidRPr="00435469">
        <w:rPr>
          <w:rFonts w:eastAsiaTheme="minorEastAsia" w:cs="Times New Roman"/>
          <w:iCs/>
          <w:sz w:val="20"/>
          <w:szCs w:val="20"/>
          <w:lang w:val="en-GB"/>
        </w:rPr>
        <w:t xml:space="preserve"> input parameters were randomly drawn from the prior distributions in</w:t>
      </w:r>
      <w:r w:rsidR="001F7534" w:rsidRPr="00435469">
        <w:rPr>
          <w:rFonts w:eastAsiaTheme="minorEastAsia" w:cs="Times New Roman"/>
          <w:iCs/>
          <w:sz w:val="20"/>
          <w:szCs w:val="20"/>
          <w:lang w:val="en-GB"/>
        </w:rPr>
        <w:t xml:space="preserve"> </w:t>
      </w:r>
      <w:r w:rsidR="004B3606" w:rsidRPr="00435469">
        <w:rPr>
          <w:rFonts w:eastAsiaTheme="minorEastAsia" w:cs="Times New Roman"/>
          <w:iCs/>
          <w:sz w:val="20"/>
          <w:szCs w:val="20"/>
          <w:lang w:val="en-GB"/>
        </w:rPr>
        <w:fldChar w:fldCharType="begin"/>
      </w:r>
      <w:r w:rsidR="004B3606" w:rsidRPr="00435469">
        <w:rPr>
          <w:rFonts w:eastAsiaTheme="minorEastAsia" w:cs="Times New Roman"/>
          <w:iCs/>
          <w:sz w:val="20"/>
          <w:szCs w:val="20"/>
          <w:lang w:val="en-GB"/>
        </w:rPr>
        <w:instrText xml:space="preserve"> REF _Ref89695448 \h </w:instrText>
      </w:r>
      <w:r w:rsidR="00955FFB" w:rsidRPr="00435469">
        <w:rPr>
          <w:rFonts w:eastAsiaTheme="minorEastAsia" w:cs="Times New Roman"/>
          <w:iCs/>
          <w:sz w:val="20"/>
          <w:szCs w:val="20"/>
          <w:lang w:val="en-GB"/>
        </w:rPr>
        <w:instrText xml:space="preserve"> \* MERGEFORMAT </w:instrText>
      </w:r>
      <w:r w:rsidR="004B3606" w:rsidRPr="00435469">
        <w:rPr>
          <w:rFonts w:eastAsiaTheme="minorEastAsia" w:cs="Times New Roman"/>
          <w:iCs/>
          <w:sz w:val="20"/>
          <w:szCs w:val="20"/>
          <w:lang w:val="en-GB"/>
        </w:rPr>
      </w:r>
      <w:r w:rsidR="004B3606" w:rsidRPr="00435469">
        <w:rPr>
          <w:rFonts w:eastAsiaTheme="minorEastAsia" w:cs="Times New Roman"/>
          <w:iCs/>
          <w:sz w:val="20"/>
          <w:szCs w:val="20"/>
          <w:lang w:val="en-GB"/>
        </w:rPr>
        <w:fldChar w:fldCharType="separate"/>
      </w:r>
      <w:r w:rsidR="00186C2F" w:rsidRPr="00435469">
        <w:rPr>
          <w:sz w:val="20"/>
          <w:szCs w:val="20"/>
        </w:rPr>
        <w:t xml:space="preserve">Table </w:t>
      </w:r>
      <w:r w:rsidR="00186C2F" w:rsidRPr="00435469">
        <w:rPr>
          <w:noProof/>
          <w:sz w:val="20"/>
          <w:szCs w:val="20"/>
        </w:rPr>
        <w:t>20</w:t>
      </w:r>
      <w:r w:rsidR="004B3606" w:rsidRPr="00435469">
        <w:rPr>
          <w:rFonts w:eastAsiaTheme="minorEastAsia" w:cs="Times New Roman"/>
          <w:iCs/>
          <w:sz w:val="20"/>
          <w:szCs w:val="20"/>
          <w:lang w:val="en-GB"/>
        </w:rPr>
        <w:fldChar w:fldCharType="end"/>
      </w:r>
      <w:r w:rsidRPr="00435469">
        <w:rPr>
          <w:rFonts w:eastAsiaTheme="minorEastAsia" w:cs="Times New Roman"/>
          <w:iCs/>
          <w:sz w:val="20"/>
          <w:szCs w:val="20"/>
          <w:lang w:val="en-GB"/>
        </w:rPr>
        <w:t>.</w:t>
      </w:r>
      <w:r w:rsidRPr="00435469">
        <w:rPr>
          <w:rFonts w:cs="Times New Roman"/>
          <w:sz w:val="20"/>
          <w:szCs w:val="20"/>
        </w:rPr>
        <w:t xml:space="preserve"> </w:t>
      </w:r>
      <w:r w:rsidR="00824C0F" w:rsidRPr="00435469">
        <w:rPr>
          <w:rFonts w:cs="Times New Roman"/>
          <w:sz w:val="20"/>
          <w:szCs w:val="20"/>
        </w:rPr>
        <w:t xml:space="preserve">Here </w:t>
      </w:r>
      <m:oMath>
        <m:sSub>
          <m:sSubPr>
            <m:ctrlPr>
              <w:rPr>
                <w:rFonts w:ascii="Cambria Math" w:hAnsi="Cambria Math" w:cs="Times New Roman"/>
                <w:sz w:val="20"/>
                <w:szCs w:val="20"/>
              </w:rPr>
            </m:ctrlPr>
          </m:sSubPr>
          <m:e>
            <m:r>
              <w:rPr>
                <w:rFonts w:ascii="Cambria Math" w:hAnsi="Cambria Math" w:cs="Times New Roman"/>
                <w:sz w:val="20"/>
                <w:szCs w:val="20"/>
              </w:rPr>
              <m:t>ϕ</m:t>
            </m:r>
          </m:e>
          <m:sub>
            <m:r>
              <m:rPr>
                <m:sty m:val="p"/>
              </m:rPr>
              <w:rPr>
                <w:rFonts w:ascii="Cambria Math" w:hAnsi="Cambria Math" w:cs="Times New Roman"/>
                <w:sz w:val="20"/>
                <w:szCs w:val="20"/>
              </w:rPr>
              <m:t>i</m:t>
            </m:r>
          </m:sub>
        </m:sSub>
      </m:oMath>
      <w:r w:rsidRPr="00435469">
        <w:rPr>
          <w:rFonts w:eastAsiaTheme="minorEastAsia" w:cs="Times New Roman"/>
          <w:sz w:val="20"/>
          <w:szCs w:val="20"/>
        </w:rPr>
        <w:t xml:space="preserve">, for </w:t>
      </w:r>
      <m:oMath>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i=1,  2,  3,…, N</m:t>
            </m:r>
          </m:e>
          <m:sub>
            <m:r>
              <w:rPr>
                <w:rFonts w:ascii="Cambria Math" w:eastAsiaTheme="minorEastAsia" w:hAnsi="Cambria Math" w:cs="Times New Roman"/>
                <w:sz w:val="20"/>
                <w:szCs w:val="20"/>
                <w:lang w:val="en-GB"/>
              </w:rPr>
              <m:t>0</m:t>
            </m:r>
          </m:sub>
        </m:sSub>
      </m:oMath>
      <w:r w:rsidRPr="00435469">
        <w:rPr>
          <w:rFonts w:eastAsiaTheme="minorEastAsia" w:cs="Times New Roman"/>
          <w:iCs/>
          <w:sz w:val="20"/>
          <w:szCs w:val="20"/>
          <w:lang w:val="en-GB"/>
        </w:rPr>
        <w:t xml:space="preserve">, </w:t>
      </w:r>
      <w:r w:rsidRPr="00435469">
        <w:rPr>
          <w:rFonts w:eastAsiaTheme="minorEastAsia" w:cs="Times New Roman"/>
          <w:sz w:val="20"/>
          <w:szCs w:val="20"/>
        </w:rPr>
        <w:t xml:space="preserve">is the set of </w:t>
      </w:r>
      <w:r w:rsidRPr="00435469">
        <w:rPr>
          <w:rFonts w:eastAsiaTheme="minorEastAsia" w:cs="Times New Roman"/>
          <w:iCs/>
          <w:sz w:val="20"/>
          <w:szCs w:val="20"/>
          <w:lang w:val="en-GB"/>
        </w:rPr>
        <w:t>different parameter combinations.</w:t>
      </w:r>
    </w:p>
    <w:p w14:paraId="79C98502" w14:textId="28913BA9" w:rsidR="006D3675" w:rsidRPr="00435469" w:rsidRDefault="006D3675" w:rsidP="00955FFB">
      <w:pPr>
        <w:pStyle w:val="1Para"/>
        <w:numPr>
          <w:ilvl w:val="0"/>
          <w:numId w:val="6"/>
        </w:numPr>
        <w:spacing w:line="240" w:lineRule="auto"/>
        <w:rPr>
          <w:rFonts w:eastAsiaTheme="minorEastAsia" w:cs="Times New Roman"/>
          <w:sz w:val="20"/>
          <w:szCs w:val="20"/>
        </w:rPr>
      </w:pPr>
      <w:r w:rsidRPr="00435469">
        <w:rPr>
          <w:rFonts w:eastAsiaTheme="minorEastAsia" w:cs="Times New Roman"/>
          <w:iCs/>
          <w:sz w:val="20"/>
          <w:szCs w:val="20"/>
          <w:lang w:val="en-GB"/>
        </w:rPr>
        <w:t xml:space="preserve"> For each parameter set</w:t>
      </w:r>
      <m:oMath>
        <m:sSub>
          <m:sSubPr>
            <m:ctrlPr>
              <w:rPr>
                <w:rFonts w:ascii="Cambria Math" w:hAnsi="Cambria Math" w:cs="Times New Roman"/>
                <w:i/>
                <w:sz w:val="20"/>
                <w:szCs w:val="20"/>
              </w:rPr>
            </m:ctrlPr>
          </m:sSubPr>
          <m:e>
            <m:r>
              <w:rPr>
                <w:rFonts w:ascii="Cambria Math" w:hAnsi="Cambria Math" w:cs="Times New Roman"/>
                <w:sz w:val="20"/>
                <w:szCs w:val="20"/>
              </w:rPr>
              <m:t xml:space="preserve"> ϕ</m:t>
            </m:r>
          </m:e>
          <m:sub>
            <m:r>
              <w:rPr>
                <w:rFonts w:ascii="Cambria Math" w:hAnsi="Cambria Math" w:cs="Times New Roman"/>
                <w:sz w:val="20"/>
                <w:szCs w:val="20"/>
              </w:rPr>
              <m:t>i</m:t>
            </m:r>
          </m:sub>
        </m:sSub>
      </m:oMath>
      <w:r w:rsidRPr="00435469">
        <w:rPr>
          <w:rFonts w:eastAsiaTheme="minorEastAsia" w:cs="Times New Roman"/>
          <w:sz w:val="20"/>
          <w:szCs w:val="20"/>
        </w:rPr>
        <w:t xml:space="preserve">, a likelihood </w:t>
      </w:r>
      <m:oMath>
        <m:sSub>
          <m:sSubPr>
            <m:ctrlPr>
              <w:rPr>
                <w:rFonts w:ascii="Cambria Math" w:hAnsi="Cambria Math" w:cs="Times New Roman"/>
                <w:sz w:val="20"/>
                <w:szCs w:val="20"/>
              </w:rPr>
            </m:ctrlPr>
          </m:sSubPr>
          <m:e>
            <m:r>
              <w:rPr>
                <w:rFonts w:ascii="Cambria Math" w:hAnsi="Cambria Math" w:cs="Times New Roman"/>
                <w:sz w:val="20"/>
                <w:szCs w:val="20"/>
              </w:rPr>
              <m:t>L</m:t>
            </m:r>
          </m:e>
          <m:sub>
            <m:r>
              <w:rPr>
                <w:rFonts w:ascii="Cambria Math" w:hAnsi="Cambria Math" w:cs="Times New Roman"/>
                <w:sz w:val="20"/>
                <w:szCs w:val="20"/>
              </w:rPr>
              <m:t>i</m:t>
            </m:r>
          </m:sub>
        </m:sSub>
      </m:oMath>
      <w:r w:rsidRPr="00435469">
        <w:rPr>
          <w:rFonts w:eastAsiaTheme="minorEastAsia" w:cs="Times New Roman"/>
          <w:sz w:val="20"/>
          <w:szCs w:val="20"/>
        </w:rPr>
        <w:t xml:space="preserve"> was calculated</w:t>
      </w:r>
      <w:r w:rsidR="00824C0F" w:rsidRPr="00435469">
        <w:rPr>
          <w:rFonts w:eastAsiaTheme="minorEastAsia" w:cs="Times New Roman"/>
          <w:sz w:val="20"/>
          <w:szCs w:val="20"/>
        </w:rPr>
        <w:t>, by multiplying together the likelihood expressions in sections 11.1-11.7</w:t>
      </w:r>
      <w:r w:rsidRPr="00435469">
        <w:rPr>
          <w:rFonts w:eastAsiaTheme="minorEastAsia" w:cs="Times New Roman"/>
          <w:sz w:val="20"/>
          <w:szCs w:val="20"/>
        </w:rPr>
        <w:t>.</w:t>
      </w:r>
    </w:p>
    <w:p w14:paraId="430092D7" w14:textId="77777777" w:rsidR="006D3675" w:rsidRPr="00435469" w:rsidRDefault="006D3675" w:rsidP="00955FFB">
      <w:pPr>
        <w:pStyle w:val="1Para"/>
        <w:numPr>
          <w:ilvl w:val="0"/>
          <w:numId w:val="6"/>
        </w:numPr>
        <w:spacing w:line="240" w:lineRule="auto"/>
        <w:rPr>
          <w:rFonts w:eastAsiaTheme="minorEastAsia" w:cs="Times New Roman"/>
          <w:sz w:val="20"/>
          <w:szCs w:val="20"/>
        </w:rPr>
      </w:pPr>
      <w:r w:rsidRPr="00435469">
        <w:rPr>
          <w:rFonts w:eastAsiaTheme="minorEastAsia" w:cs="Times New Roman"/>
          <w:sz w:val="20"/>
          <w:szCs w:val="20"/>
        </w:rPr>
        <w:t xml:space="preserve">Weights </w:t>
      </w:r>
      <m:oMath>
        <m:sSubSup>
          <m:sSubSupPr>
            <m:ctrlPr>
              <w:rPr>
                <w:rFonts w:ascii="Cambria Math" w:eastAsiaTheme="minorEastAsia" w:hAnsi="Cambria Math" w:cs="Times New Roman"/>
                <w:i/>
                <w:iCs/>
                <w:sz w:val="20"/>
                <w:szCs w:val="20"/>
                <w:lang w:val="en-GB"/>
              </w:rPr>
            </m:ctrlPr>
          </m:sSubSupPr>
          <m:e>
            <m:r>
              <w:rPr>
                <w:rFonts w:ascii="Cambria Math" w:eastAsiaTheme="minorEastAsia" w:hAnsi="Cambria Math" w:cs="Times New Roman"/>
                <w:sz w:val="20"/>
                <w:szCs w:val="20"/>
                <w:lang w:val="en-GB"/>
              </w:rPr>
              <m:t>w</m:t>
            </m:r>
          </m:e>
          <m:sub>
            <m:r>
              <w:rPr>
                <w:rFonts w:ascii="Cambria Math" w:eastAsiaTheme="minorEastAsia" w:hAnsi="Cambria Math" w:cs="Times New Roman"/>
                <w:sz w:val="20"/>
                <w:szCs w:val="20"/>
                <w:lang w:val="en-GB"/>
              </w:rPr>
              <m:t>i</m:t>
            </m:r>
          </m:sub>
          <m:sup>
            <m:r>
              <w:rPr>
                <w:rFonts w:ascii="Cambria Math" w:eastAsiaTheme="minorEastAsia" w:hAnsi="Cambria Math" w:cs="Times New Roman"/>
                <w:sz w:val="20"/>
                <w:szCs w:val="20"/>
                <w:lang w:val="en-GB"/>
              </w:rPr>
              <m:t>0</m:t>
            </m:r>
          </m:sup>
        </m:sSubSup>
      </m:oMath>
      <w:r w:rsidRPr="00435469">
        <w:rPr>
          <w:rFonts w:eastAsiaTheme="minorEastAsia" w:cs="Times New Roman"/>
          <w:sz w:val="20"/>
          <w:szCs w:val="20"/>
        </w:rPr>
        <w:t xml:space="preserve"> were calculated as a ratio of the likelihood </w:t>
      </w:r>
      <m:oMath>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L</m:t>
            </m:r>
          </m:e>
          <m:sub>
            <m:r>
              <w:rPr>
                <w:rFonts w:ascii="Cambria Math" w:eastAsiaTheme="minorEastAsia" w:hAnsi="Cambria Math" w:cs="Times New Roman"/>
                <w:sz w:val="20"/>
                <w:szCs w:val="20"/>
                <w:lang w:val="en-GB"/>
              </w:rPr>
              <m:t>i</m:t>
            </m:r>
          </m:sub>
        </m:sSub>
      </m:oMath>
      <w:r w:rsidRPr="00435469">
        <w:rPr>
          <w:rFonts w:eastAsiaTheme="minorEastAsia" w:cs="Times New Roman"/>
          <w:sz w:val="20"/>
          <w:szCs w:val="20"/>
        </w:rPr>
        <w:t xml:space="preserve"> over the sum of all likelihoods.</w:t>
      </w:r>
    </w:p>
    <w:p w14:paraId="080E185A" w14:textId="77777777" w:rsidR="006D3675" w:rsidRPr="00435469" w:rsidRDefault="00000000" w:rsidP="00955FFB">
      <w:pPr>
        <w:pStyle w:val="1Para"/>
        <w:spacing w:line="240" w:lineRule="auto"/>
        <w:ind w:left="1080" w:firstLine="0"/>
        <w:rPr>
          <w:rFonts w:eastAsiaTheme="minorEastAsia" w:cs="Times New Roman"/>
          <w:iCs/>
          <w:sz w:val="20"/>
          <w:szCs w:val="20"/>
          <w:lang w:val="en-GB"/>
        </w:rPr>
      </w:pPr>
      <m:oMathPara>
        <m:oMath>
          <m:sSubSup>
            <m:sSubSupPr>
              <m:ctrlPr>
                <w:rPr>
                  <w:rFonts w:ascii="Cambria Math" w:eastAsiaTheme="minorEastAsia" w:hAnsi="Cambria Math" w:cs="Times New Roman"/>
                  <w:i/>
                  <w:iCs/>
                  <w:sz w:val="20"/>
                  <w:szCs w:val="20"/>
                  <w:lang w:val="en-GB"/>
                </w:rPr>
              </m:ctrlPr>
            </m:sSubSupPr>
            <m:e>
              <m:r>
                <w:rPr>
                  <w:rFonts w:ascii="Cambria Math" w:eastAsiaTheme="minorEastAsia" w:hAnsi="Cambria Math" w:cs="Times New Roman"/>
                  <w:sz w:val="20"/>
                  <w:szCs w:val="20"/>
                  <w:lang w:val="en-GB"/>
                </w:rPr>
                <m:t>w</m:t>
              </m:r>
            </m:e>
            <m:sub>
              <m:r>
                <w:rPr>
                  <w:rFonts w:ascii="Cambria Math" w:eastAsiaTheme="minorEastAsia" w:hAnsi="Cambria Math" w:cs="Times New Roman"/>
                  <w:sz w:val="20"/>
                  <w:szCs w:val="20"/>
                  <w:lang w:val="en-GB"/>
                </w:rPr>
                <m:t>i</m:t>
              </m:r>
            </m:sub>
            <m:sup>
              <m:r>
                <w:rPr>
                  <w:rFonts w:ascii="Cambria Math" w:eastAsiaTheme="minorEastAsia" w:hAnsi="Cambria Math" w:cs="Times New Roman"/>
                  <w:sz w:val="20"/>
                  <w:szCs w:val="20"/>
                  <w:lang w:val="en-GB"/>
                </w:rPr>
                <m:t>0</m:t>
              </m:r>
            </m:sup>
          </m:sSubSup>
          <m:r>
            <w:rPr>
              <w:rFonts w:ascii="Cambria Math" w:eastAsiaTheme="minorEastAsia" w:hAnsi="Cambria Math" w:cs="Times New Roman"/>
              <w:sz w:val="20"/>
              <w:szCs w:val="20"/>
              <w:lang w:val="en-GB"/>
            </w:rPr>
            <m:t>=</m:t>
          </m:r>
          <m:f>
            <m:fPr>
              <m:ctrlPr>
                <w:rPr>
                  <w:rFonts w:ascii="Cambria Math" w:eastAsiaTheme="minorEastAsia" w:hAnsi="Cambria Math" w:cs="Times New Roman"/>
                  <w:i/>
                  <w:iCs/>
                  <w:sz w:val="20"/>
                  <w:szCs w:val="20"/>
                  <w:lang w:val="en-GB"/>
                </w:rPr>
              </m:ctrlPr>
            </m:fPr>
            <m:num>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L</m:t>
                  </m:r>
                </m:e>
                <m:sub>
                  <m:r>
                    <w:rPr>
                      <w:rFonts w:ascii="Cambria Math" w:eastAsiaTheme="minorEastAsia" w:hAnsi="Cambria Math" w:cs="Times New Roman"/>
                      <w:sz w:val="20"/>
                      <w:szCs w:val="20"/>
                      <w:lang w:val="en-GB"/>
                    </w:rPr>
                    <m:t>i</m:t>
                  </m:r>
                </m:sub>
              </m:sSub>
            </m:num>
            <m:den>
              <m:nary>
                <m:naryPr>
                  <m:chr m:val="∑"/>
                  <m:limLoc m:val="subSup"/>
                  <m:ctrlPr>
                    <w:rPr>
                      <w:rFonts w:ascii="Cambria Math" w:eastAsiaTheme="minorEastAsia" w:hAnsi="Cambria Math" w:cs="Times New Roman"/>
                      <w:i/>
                      <w:iCs/>
                      <w:sz w:val="20"/>
                      <w:szCs w:val="20"/>
                      <w:lang w:val="en-GB"/>
                    </w:rPr>
                  </m:ctrlPr>
                </m:naryPr>
                <m:sub>
                  <m:r>
                    <w:rPr>
                      <w:rFonts w:ascii="Cambria Math" w:eastAsiaTheme="minorEastAsia" w:hAnsi="Cambria Math" w:cs="Times New Roman"/>
                      <w:sz w:val="20"/>
                      <w:szCs w:val="20"/>
                      <w:lang w:val="en-GB"/>
                    </w:rPr>
                    <m:t>j=0</m:t>
                  </m:r>
                </m:sub>
                <m:sup>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N</m:t>
                      </m:r>
                    </m:e>
                    <m:sub>
                      <m:r>
                        <w:rPr>
                          <w:rFonts w:ascii="Cambria Math" w:eastAsiaTheme="minorEastAsia" w:hAnsi="Cambria Math" w:cs="Times New Roman"/>
                          <w:sz w:val="20"/>
                          <w:szCs w:val="20"/>
                          <w:lang w:val="en-GB"/>
                        </w:rPr>
                        <m:t>0</m:t>
                      </m:r>
                    </m:sub>
                  </m:sSub>
                </m:sup>
                <m:e>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L</m:t>
                      </m:r>
                    </m:e>
                    <m:sub>
                      <m:r>
                        <w:rPr>
                          <w:rFonts w:ascii="Cambria Math" w:eastAsiaTheme="minorEastAsia" w:hAnsi="Cambria Math" w:cs="Times New Roman"/>
                          <w:sz w:val="20"/>
                          <w:szCs w:val="20"/>
                          <w:lang w:val="en-GB"/>
                        </w:rPr>
                        <m:t>j</m:t>
                      </m:r>
                    </m:sub>
                  </m:sSub>
                </m:e>
              </m:nary>
            </m:den>
          </m:f>
        </m:oMath>
      </m:oMathPara>
    </w:p>
    <w:p w14:paraId="1FC8EACC" w14:textId="74BCDCBB" w:rsidR="006D3675" w:rsidRPr="00435469" w:rsidRDefault="006D3675" w:rsidP="00955FFB">
      <w:pPr>
        <w:pStyle w:val="1Para"/>
        <w:numPr>
          <w:ilvl w:val="0"/>
          <w:numId w:val="6"/>
        </w:numPr>
        <w:spacing w:line="240" w:lineRule="auto"/>
        <w:rPr>
          <w:rFonts w:eastAsiaTheme="minorEastAsia" w:cs="Times New Roman"/>
          <w:sz w:val="20"/>
          <w:szCs w:val="20"/>
          <w:lang w:val="en-US"/>
        </w:rPr>
      </w:pPr>
      <w:r w:rsidRPr="00435469">
        <w:rPr>
          <w:rFonts w:eastAsiaTheme="minorEastAsia" w:cs="Times New Roman"/>
          <w:sz w:val="20"/>
          <w:szCs w:val="20"/>
          <w:lang w:val="en-ZA"/>
        </w:rPr>
        <w:t xml:space="preserve">Importance sampling was then performed </w:t>
      </w:r>
      <w:r w:rsidRPr="00435469">
        <w:rPr>
          <w:rFonts w:cs="Times New Roman"/>
          <w:sz w:val="20"/>
          <w:szCs w:val="20"/>
          <w:shd w:val="clear" w:color="auto" w:fill="FFFFFF"/>
        </w:rPr>
        <w:t xml:space="preserve">to concentrate sampling in regions of parameter spaces that yield the </w:t>
      </w:r>
      <w:r w:rsidRPr="00435469">
        <w:rPr>
          <w:rFonts w:cs="Times New Roman"/>
          <w:sz w:val="20"/>
          <w:szCs w:val="20"/>
        </w:rPr>
        <w:t>highest likelihood values</w:t>
      </w:r>
      <w:r w:rsidRPr="00435469">
        <w:rPr>
          <w:rFonts w:eastAsiaTheme="minorEastAsia" w:cs="Times New Roman"/>
          <w:sz w:val="20"/>
          <w:szCs w:val="20"/>
          <w:lang w:val="en-ZA"/>
        </w:rPr>
        <w:t xml:space="preserve">. </w:t>
      </w:r>
      <w:r w:rsidR="004A3D18" w:rsidRPr="00435469">
        <w:rPr>
          <w:rFonts w:eastAsiaTheme="minorEastAsia" w:cs="Times New Roman"/>
          <w:sz w:val="20"/>
          <w:szCs w:val="20"/>
          <w:lang w:val="en-ZA"/>
        </w:rPr>
        <w:t>T</w:t>
      </w:r>
      <w:r w:rsidRPr="00435469">
        <w:rPr>
          <w:rFonts w:eastAsiaTheme="minorEastAsia" w:cs="Times New Roman"/>
          <w:sz w:val="20"/>
          <w:szCs w:val="20"/>
          <w:lang w:val="en-ZA"/>
        </w:rPr>
        <w:t>he following steps were repeated (</w:t>
      </w:r>
      <w:r w:rsidRPr="00435469">
        <w:rPr>
          <w:rFonts w:eastAsiaTheme="minorEastAsia" w:cs="Times New Roman"/>
          <w:i/>
          <w:iCs/>
          <w:sz w:val="20"/>
          <w:szCs w:val="20"/>
          <w:lang w:val="en-ZA"/>
        </w:rPr>
        <w:t>k</w:t>
      </w:r>
      <w:r w:rsidRPr="00435469">
        <w:rPr>
          <w:rFonts w:eastAsiaTheme="minorEastAsia" w:cs="Times New Roman"/>
          <w:sz w:val="20"/>
          <w:szCs w:val="20"/>
          <w:lang w:val="en-ZA"/>
        </w:rPr>
        <w:t>-times) until a stopping criterion was met.</w:t>
      </w:r>
    </w:p>
    <w:p w14:paraId="79E44D20" w14:textId="77777777" w:rsidR="006D3675" w:rsidRPr="00435469" w:rsidRDefault="006D3675" w:rsidP="00955FFB">
      <w:pPr>
        <w:pStyle w:val="1Para"/>
        <w:numPr>
          <w:ilvl w:val="1"/>
          <w:numId w:val="7"/>
        </w:numPr>
        <w:spacing w:line="240" w:lineRule="auto"/>
        <w:rPr>
          <w:rFonts w:eastAsiaTheme="minorEastAsia" w:cs="Times New Roman"/>
          <w:iCs/>
          <w:sz w:val="20"/>
          <w:szCs w:val="20"/>
          <w:lang w:val="en-GB"/>
        </w:rPr>
      </w:pPr>
      <w:r w:rsidRPr="00435469">
        <w:rPr>
          <w:rFonts w:eastAsiaTheme="minorEastAsia" w:cs="Times New Roman"/>
          <w:sz w:val="20"/>
          <w:szCs w:val="20"/>
        </w:rPr>
        <w:lastRenderedPageBreak/>
        <w:t xml:space="preserve">The weights were sorted, and the maximum weight </w:t>
      </w:r>
      <w:r w:rsidRPr="00435469">
        <w:rPr>
          <w:rFonts w:eastAsiaTheme="minorEastAsia" w:cs="Times New Roman"/>
          <w:iCs/>
          <w:sz w:val="20"/>
          <w:szCs w:val="20"/>
          <w:lang w:val="en-GB"/>
        </w:rPr>
        <w:t xml:space="preserve">was found and set as the centre of the new sampling distribution </w:t>
      </w:r>
      <m:oMath>
        <m:sSubSup>
          <m:sSubSupPr>
            <m:ctrlPr>
              <w:rPr>
                <w:rFonts w:ascii="Cambria Math" w:eastAsiaTheme="minorEastAsia" w:hAnsi="Cambria Math" w:cs="Times New Roman"/>
                <w:i/>
                <w:iCs/>
                <w:sz w:val="20"/>
                <w:szCs w:val="20"/>
                <w:lang w:val="en-GB"/>
              </w:rPr>
            </m:ctrlPr>
          </m:sSubSupPr>
          <m:e>
            <m:r>
              <w:rPr>
                <w:rFonts w:ascii="Cambria Math" w:hAnsi="Cambria Math" w:cs="Times New Roman"/>
                <w:sz w:val="20"/>
                <w:szCs w:val="20"/>
              </w:rPr>
              <m:t>ϕ</m:t>
            </m:r>
          </m:e>
          <m:sub>
            <m:r>
              <w:rPr>
                <w:rFonts w:ascii="Cambria Math" w:eastAsiaTheme="minorEastAsia" w:hAnsi="Cambria Math" w:cs="Times New Roman"/>
                <w:sz w:val="20"/>
                <w:szCs w:val="20"/>
                <w:lang w:val="en-GB"/>
              </w:rPr>
              <m:t>i</m:t>
            </m:r>
          </m:sub>
          <m:sup>
            <m:r>
              <w:rPr>
                <w:rFonts w:ascii="Cambria Math" w:eastAsiaTheme="minorEastAsia" w:hAnsi="Cambria Math" w:cs="Times New Roman"/>
                <w:sz w:val="20"/>
                <w:szCs w:val="20"/>
                <w:lang w:val="en-GB"/>
              </w:rPr>
              <m:t>(k)</m:t>
            </m:r>
          </m:sup>
        </m:sSubSup>
      </m:oMath>
      <w:r w:rsidRPr="00435469">
        <w:rPr>
          <w:rFonts w:eastAsiaTheme="minorEastAsia" w:cs="Times New Roman"/>
          <w:iCs/>
          <w:sz w:val="20"/>
          <w:szCs w:val="20"/>
          <w:lang w:val="en-GB"/>
        </w:rPr>
        <w:t xml:space="preserve">. </w:t>
      </w:r>
    </w:p>
    <w:p w14:paraId="466FCD98" w14:textId="77777777" w:rsidR="006D3675" w:rsidRPr="00435469" w:rsidRDefault="006D3675" w:rsidP="00955FFB">
      <w:pPr>
        <w:pStyle w:val="1Para"/>
        <w:numPr>
          <w:ilvl w:val="1"/>
          <w:numId w:val="7"/>
        </w:numPr>
        <w:spacing w:line="240" w:lineRule="auto"/>
        <w:rPr>
          <w:rFonts w:eastAsiaTheme="minorEastAsia" w:cs="Times New Roman"/>
          <w:iCs/>
          <w:sz w:val="20"/>
          <w:szCs w:val="20"/>
          <w:lang w:val="en-GB"/>
        </w:rPr>
      </w:pPr>
      <w:proofErr w:type="spellStart"/>
      <w:r w:rsidRPr="00435469">
        <w:rPr>
          <w:rFonts w:eastAsiaTheme="minorEastAsia" w:cs="Times New Roman"/>
          <w:iCs/>
          <w:sz w:val="20"/>
          <w:szCs w:val="20"/>
          <w:lang w:val="en-GB"/>
        </w:rPr>
        <w:t>Mahalanobis</w:t>
      </w:r>
      <w:proofErr w:type="spellEnd"/>
      <w:r w:rsidRPr="00435469">
        <w:rPr>
          <w:rFonts w:eastAsiaTheme="minorEastAsia" w:cs="Times New Roman"/>
          <w:iCs/>
          <w:sz w:val="20"/>
          <w:szCs w:val="20"/>
          <w:lang w:val="en-GB"/>
        </w:rPr>
        <w:t xml:space="preserve"> distances between the centre </w:t>
      </w:r>
      <m:oMath>
        <m:sSubSup>
          <m:sSubSupPr>
            <m:ctrlPr>
              <w:rPr>
                <w:rFonts w:ascii="Cambria Math" w:eastAsiaTheme="minorEastAsia" w:hAnsi="Cambria Math" w:cs="Times New Roman"/>
                <w:i/>
                <w:iCs/>
                <w:sz w:val="20"/>
                <w:szCs w:val="20"/>
                <w:lang w:val="en-GB"/>
              </w:rPr>
            </m:ctrlPr>
          </m:sSubSupPr>
          <m:e>
            <m:r>
              <w:rPr>
                <w:rFonts w:ascii="Cambria Math" w:hAnsi="Cambria Math" w:cs="Times New Roman"/>
                <w:sz w:val="20"/>
                <w:szCs w:val="20"/>
              </w:rPr>
              <m:t>ϕ</m:t>
            </m:r>
          </m:e>
          <m:sub>
            <m:r>
              <w:rPr>
                <w:rFonts w:ascii="Cambria Math" w:eastAsiaTheme="minorEastAsia" w:hAnsi="Cambria Math" w:cs="Times New Roman"/>
                <w:sz w:val="20"/>
                <w:szCs w:val="20"/>
                <w:lang w:val="en-GB"/>
              </w:rPr>
              <m:t>i</m:t>
            </m:r>
          </m:sub>
          <m:sup>
            <m:r>
              <w:rPr>
                <w:rFonts w:ascii="Cambria Math" w:eastAsiaTheme="minorEastAsia" w:hAnsi="Cambria Math" w:cs="Times New Roman"/>
                <w:sz w:val="20"/>
                <w:szCs w:val="20"/>
                <w:lang w:val="en-GB"/>
              </w:rPr>
              <m:t>(k)</m:t>
            </m:r>
          </m:sup>
        </m:sSubSup>
      </m:oMath>
      <w:r w:rsidRPr="00435469">
        <w:rPr>
          <w:rFonts w:eastAsiaTheme="minorEastAsia" w:cs="Times New Roman"/>
          <w:iCs/>
          <w:sz w:val="20"/>
          <w:szCs w:val="20"/>
          <w:lang w:val="en-GB"/>
        </w:rPr>
        <w:t xml:space="preserve"> and other prior points </w:t>
      </w:r>
      <m:oMath>
        <m:sSub>
          <m:sSubPr>
            <m:ctrlPr>
              <w:rPr>
                <w:rFonts w:ascii="Cambria Math" w:eastAsiaTheme="minorEastAsia" w:hAnsi="Cambria Math" w:cs="Times New Roman"/>
                <w:i/>
                <w:iCs/>
                <w:sz w:val="20"/>
                <w:szCs w:val="20"/>
                <w:lang w:val="en-GB"/>
              </w:rPr>
            </m:ctrlPr>
          </m:sSubPr>
          <m:e>
            <m:r>
              <w:rPr>
                <w:rFonts w:ascii="Cambria Math" w:hAnsi="Cambria Math" w:cs="Times New Roman"/>
                <w:sz w:val="20"/>
                <w:szCs w:val="20"/>
              </w:rPr>
              <m:t>ϕ</m:t>
            </m:r>
          </m:e>
          <m:sub>
            <m:r>
              <w:rPr>
                <w:rFonts w:ascii="Cambria Math" w:eastAsiaTheme="minorEastAsia" w:hAnsi="Cambria Math" w:cs="Times New Roman"/>
                <w:sz w:val="20"/>
                <w:szCs w:val="20"/>
                <w:lang w:val="en-GB"/>
              </w:rPr>
              <m:t>i</m:t>
            </m:r>
          </m:sub>
        </m:sSub>
      </m:oMath>
      <w:r w:rsidRPr="00435469">
        <w:rPr>
          <w:rFonts w:eastAsiaTheme="minorEastAsia" w:cs="Times New Roman"/>
          <w:iCs/>
          <w:sz w:val="20"/>
          <w:szCs w:val="20"/>
          <w:lang w:val="en-GB"/>
        </w:rPr>
        <w:t xml:space="preserve"> were calculated. These were sorted, and the smallest distances were recorded. Finally, the</w:t>
      </w:r>
      <w:r w:rsidRPr="00435469">
        <w:rPr>
          <w:rFonts w:eastAsiaTheme="minorEastAsia" w:cs="Times New Roman"/>
          <w:sz w:val="20"/>
          <w:szCs w:val="20"/>
          <w:lang w:val="en-US"/>
        </w:rPr>
        <w:t xml:space="preserve"> </w:t>
      </w:r>
      <w:proofErr w:type="spellStart"/>
      <w:r w:rsidRPr="00435469">
        <w:rPr>
          <w:rFonts w:eastAsiaTheme="minorEastAsia" w:cs="Times New Roman"/>
          <w:sz w:val="20"/>
          <w:szCs w:val="20"/>
          <w:lang w:val="en-US"/>
        </w:rPr>
        <w:t>Mahalanobis</w:t>
      </w:r>
      <w:proofErr w:type="spellEnd"/>
      <w:r w:rsidRPr="00435469">
        <w:rPr>
          <w:rFonts w:eastAsiaTheme="minorEastAsia" w:cs="Times New Roman"/>
          <w:sz w:val="20"/>
          <w:szCs w:val="20"/>
          <w:lang w:val="en-US"/>
        </w:rPr>
        <w:t xml:space="preserve"> distances were calculated with respect to the covariance of prior distributions.</w:t>
      </w:r>
    </w:p>
    <w:p w14:paraId="4A2F1B8E" w14:textId="77777777" w:rsidR="006D3675" w:rsidRPr="00435469" w:rsidRDefault="006D3675" w:rsidP="00955FFB">
      <w:pPr>
        <w:pStyle w:val="1Para"/>
        <w:numPr>
          <w:ilvl w:val="1"/>
          <w:numId w:val="7"/>
        </w:numPr>
        <w:spacing w:line="240" w:lineRule="auto"/>
        <w:rPr>
          <w:rFonts w:eastAsiaTheme="minorEastAsia" w:cs="Times New Roman"/>
          <w:iCs/>
          <w:sz w:val="20"/>
          <w:szCs w:val="20"/>
          <w:lang w:val="en-GB"/>
        </w:rPr>
      </w:pPr>
      <w:r w:rsidRPr="00435469">
        <w:rPr>
          <w:rFonts w:eastAsiaTheme="minorEastAsia" w:cs="Times New Roman"/>
          <w:sz w:val="20"/>
          <w:szCs w:val="20"/>
          <w:lang w:val="en-US"/>
        </w:rPr>
        <w:t xml:space="preserve">B prior points </w:t>
      </w:r>
      <m:oMath>
        <m:sSub>
          <m:sSubPr>
            <m:ctrlPr>
              <w:rPr>
                <w:rFonts w:ascii="Cambria Math" w:eastAsiaTheme="minorEastAsia" w:hAnsi="Cambria Math" w:cs="Times New Roman"/>
                <w:i/>
                <w:iCs/>
                <w:sz w:val="20"/>
                <w:szCs w:val="20"/>
                <w:lang w:val="en-GB"/>
              </w:rPr>
            </m:ctrlPr>
          </m:sSubPr>
          <m:e>
            <m:r>
              <w:rPr>
                <w:rFonts w:ascii="Cambria Math" w:hAnsi="Cambria Math" w:cs="Times New Roman"/>
                <w:sz w:val="20"/>
                <w:szCs w:val="20"/>
              </w:rPr>
              <m:t>ϕ</m:t>
            </m:r>
          </m:e>
          <m:sub>
            <m:r>
              <w:rPr>
                <w:rFonts w:ascii="Cambria Math" w:eastAsiaTheme="minorEastAsia" w:hAnsi="Cambria Math" w:cs="Times New Roman"/>
                <w:sz w:val="20"/>
                <w:szCs w:val="20"/>
                <w:lang w:val="en-GB"/>
              </w:rPr>
              <m:t>i</m:t>
            </m:r>
          </m:sub>
        </m:sSub>
      </m:oMath>
      <w:r w:rsidRPr="00435469">
        <w:rPr>
          <w:rFonts w:eastAsiaTheme="minorEastAsia" w:cs="Times New Roman"/>
          <w:sz w:val="20"/>
          <w:szCs w:val="20"/>
          <w:lang w:val="en-US"/>
        </w:rPr>
        <w:t xml:space="preserve"> with the smallest distance to </w:t>
      </w:r>
      <m:oMath>
        <m:sSubSup>
          <m:sSubSupPr>
            <m:ctrlPr>
              <w:rPr>
                <w:rFonts w:ascii="Cambria Math" w:eastAsiaTheme="minorEastAsia" w:hAnsi="Cambria Math" w:cs="Times New Roman"/>
                <w:i/>
                <w:iCs/>
                <w:sz w:val="20"/>
                <w:szCs w:val="20"/>
                <w:lang w:val="en-GB"/>
              </w:rPr>
            </m:ctrlPr>
          </m:sSubSupPr>
          <m:e>
            <m:r>
              <w:rPr>
                <w:rFonts w:ascii="Cambria Math" w:hAnsi="Cambria Math" w:cs="Times New Roman"/>
                <w:sz w:val="20"/>
                <w:szCs w:val="20"/>
              </w:rPr>
              <m:t>ϕ</m:t>
            </m:r>
          </m:e>
          <m:sub>
            <m:r>
              <w:rPr>
                <w:rFonts w:ascii="Cambria Math" w:eastAsiaTheme="minorEastAsia" w:hAnsi="Cambria Math" w:cs="Times New Roman"/>
                <w:sz w:val="20"/>
                <w:szCs w:val="20"/>
                <w:lang w:val="en-GB"/>
              </w:rPr>
              <m:t>i</m:t>
            </m:r>
          </m:sub>
          <m:sup>
            <m:r>
              <w:rPr>
                <w:rFonts w:ascii="Cambria Math" w:eastAsiaTheme="minorEastAsia" w:hAnsi="Cambria Math" w:cs="Times New Roman"/>
                <w:sz w:val="20"/>
                <w:szCs w:val="20"/>
                <w:lang w:val="en-GB"/>
              </w:rPr>
              <m:t>(k)</m:t>
            </m:r>
          </m:sup>
        </m:sSubSup>
      </m:oMath>
      <w:r w:rsidRPr="00435469">
        <w:rPr>
          <w:rFonts w:eastAsiaTheme="minorEastAsia" w:cs="Times New Roman"/>
          <w:iCs/>
          <w:sz w:val="20"/>
          <w:szCs w:val="20"/>
          <w:lang w:val="en-GB"/>
        </w:rPr>
        <w:t xml:space="preserve"> were selected as a set. Then a weighted covariance of these points in B</w:t>
      </w:r>
      <w:r w:rsidRPr="00435469">
        <w:rPr>
          <w:rFonts w:eastAsiaTheme="minorEastAsia" w:cs="Times New Roman"/>
          <w:b/>
          <w:bCs/>
          <w:iCs/>
          <w:sz w:val="20"/>
          <w:szCs w:val="20"/>
          <w:lang w:val="en-GB"/>
        </w:rPr>
        <w:t xml:space="preserve"> </w:t>
      </w:r>
      <w:r w:rsidRPr="00435469">
        <w:rPr>
          <w:rFonts w:eastAsiaTheme="minorEastAsia" w:cs="Times New Roman"/>
          <w:iCs/>
          <w:sz w:val="20"/>
          <w:szCs w:val="20"/>
          <w:lang w:val="en-GB"/>
        </w:rPr>
        <w:t>was calculated.</w:t>
      </w:r>
    </w:p>
    <w:p w14:paraId="0C41008A" w14:textId="77777777" w:rsidR="006D3675" w:rsidRPr="00435469" w:rsidRDefault="006D3675" w:rsidP="00955FFB">
      <w:pPr>
        <w:pStyle w:val="1Para"/>
        <w:numPr>
          <w:ilvl w:val="1"/>
          <w:numId w:val="7"/>
        </w:numPr>
        <w:spacing w:line="240" w:lineRule="auto"/>
        <w:rPr>
          <w:rFonts w:eastAsiaTheme="minorEastAsia" w:cs="Times New Roman"/>
          <w:sz w:val="20"/>
          <w:szCs w:val="20"/>
          <w:lang w:val="en-ZA"/>
        </w:rPr>
      </w:pPr>
      <w:r w:rsidRPr="00435469">
        <w:rPr>
          <w:rFonts w:eastAsiaTheme="minorEastAsia" w:cs="Times New Roman"/>
          <w:sz w:val="20"/>
          <w:szCs w:val="20"/>
          <w:lang w:val="en-ZA"/>
        </w:rPr>
        <w:t xml:space="preserve">New inputs were sampled from a Gaussian distribution. (These points are those with the smallest distance from the max weight </w:t>
      </w:r>
      <m:oMath>
        <m:sSubSup>
          <m:sSubSupPr>
            <m:ctrlPr>
              <w:rPr>
                <w:rFonts w:ascii="Cambria Math" w:eastAsiaTheme="minorEastAsia" w:hAnsi="Cambria Math" w:cs="Times New Roman"/>
                <w:i/>
                <w:iCs/>
                <w:sz w:val="20"/>
                <w:szCs w:val="20"/>
                <w:lang w:val="en-GB"/>
              </w:rPr>
            </m:ctrlPr>
          </m:sSubSupPr>
          <m:e>
            <m:r>
              <w:rPr>
                <w:rFonts w:ascii="Cambria Math" w:hAnsi="Cambria Math" w:cs="Times New Roman"/>
                <w:sz w:val="20"/>
                <w:szCs w:val="20"/>
              </w:rPr>
              <m:t>ϕ</m:t>
            </m:r>
          </m:e>
          <m:sub>
            <m:r>
              <w:rPr>
                <w:rFonts w:ascii="Cambria Math" w:eastAsiaTheme="minorEastAsia" w:hAnsi="Cambria Math" w:cs="Times New Roman"/>
                <w:sz w:val="20"/>
                <w:szCs w:val="20"/>
                <w:lang w:val="en-GB"/>
              </w:rPr>
              <m:t>i</m:t>
            </m:r>
          </m:sub>
          <m:sup>
            <m:r>
              <w:rPr>
                <w:rFonts w:ascii="Cambria Math" w:eastAsiaTheme="minorEastAsia" w:hAnsi="Cambria Math" w:cs="Times New Roman"/>
                <w:sz w:val="20"/>
                <w:szCs w:val="20"/>
                <w:lang w:val="en-GB"/>
              </w:rPr>
              <m:t>(k)</m:t>
            </m:r>
          </m:sup>
        </m:sSubSup>
      </m:oMath>
      <w:r w:rsidRPr="00435469">
        <w:rPr>
          <w:rFonts w:eastAsiaTheme="minorEastAsia" w:cs="Times New Roman"/>
          <w:iCs/>
          <w:sz w:val="20"/>
          <w:szCs w:val="20"/>
          <w:lang w:val="en-GB"/>
        </w:rPr>
        <w:t>).</w:t>
      </w:r>
    </w:p>
    <w:p w14:paraId="34BE5B77" w14:textId="77777777" w:rsidR="006D3675" w:rsidRPr="00435469" w:rsidRDefault="006D3675" w:rsidP="00955FFB">
      <w:pPr>
        <w:pStyle w:val="1Para"/>
        <w:numPr>
          <w:ilvl w:val="1"/>
          <w:numId w:val="7"/>
        </w:numPr>
        <w:spacing w:line="240" w:lineRule="auto"/>
        <w:rPr>
          <w:rFonts w:eastAsiaTheme="minorEastAsia" w:cs="Times New Roman"/>
          <w:sz w:val="20"/>
          <w:szCs w:val="20"/>
          <w:lang w:val="en-ZA"/>
        </w:rPr>
      </w:pPr>
      <w:r w:rsidRPr="00435469">
        <w:rPr>
          <w:rFonts w:eastAsiaTheme="minorEastAsia" w:cs="Times New Roman"/>
          <w:sz w:val="20"/>
          <w:szCs w:val="20"/>
          <w:lang w:val="en-ZA"/>
        </w:rPr>
        <w:t xml:space="preserve">Then a new likelihood was calculated using the new inputs. The new inputs were then combined with previous inputs from prior distributions and used to calculate new weights  </w:t>
      </w:r>
    </w:p>
    <w:p w14:paraId="05C7B9F4" w14:textId="77777777" w:rsidR="006D3675" w:rsidRPr="00435469" w:rsidRDefault="00000000" w:rsidP="00955FFB">
      <w:pPr>
        <w:pStyle w:val="1Para"/>
        <w:spacing w:line="240" w:lineRule="auto"/>
        <w:ind w:left="360" w:firstLine="0"/>
        <w:rPr>
          <w:rFonts w:eastAsiaTheme="minorEastAsia" w:cs="Times New Roman"/>
          <w:sz w:val="20"/>
          <w:szCs w:val="20"/>
        </w:rPr>
      </w:pPr>
      <m:oMathPara>
        <m:oMath>
          <m:sSubSup>
            <m:sSubSupPr>
              <m:ctrlPr>
                <w:rPr>
                  <w:rFonts w:ascii="Cambria Math" w:eastAsiaTheme="minorEastAsia" w:hAnsi="Cambria Math" w:cs="Times New Roman"/>
                  <w:i/>
                  <w:iCs/>
                  <w:sz w:val="20"/>
                  <w:szCs w:val="20"/>
                  <w:lang w:val="en-GB"/>
                </w:rPr>
              </m:ctrlPr>
            </m:sSubSupPr>
            <m:e>
              <m:r>
                <w:rPr>
                  <w:rFonts w:ascii="Cambria Math" w:eastAsiaTheme="minorEastAsia" w:hAnsi="Cambria Math" w:cs="Times New Roman"/>
                  <w:sz w:val="20"/>
                  <w:szCs w:val="20"/>
                  <w:lang w:val="en-GB"/>
                </w:rPr>
                <m:t>w</m:t>
              </m:r>
            </m:e>
            <m:sub>
              <m:r>
                <w:rPr>
                  <w:rFonts w:ascii="Cambria Math" w:eastAsiaTheme="minorEastAsia" w:hAnsi="Cambria Math" w:cs="Times New Roman"/>
                  <w:sz w:val="20"/>
                  <w:szCs w:val="20"/>
                  <w:lang w:val="en-GB"/>
                </w:rPr>
                <m:t>i</m:t>
              </m:r>
            </m:sub>
            <m:sup>
              <m:r>
                <w:rPr>
                  <w:rFonts w:ascii="Cambria Math" w:eastAsiaTheme="minorEastAsia" w:hAnsi="Cambria Math" w:cs="Times New Roman"/>
                  <w:sz w:val="20"/>
                  <w:szCs w:val="20"/>
                  <w:lang w:val="en-GB"/>
                </w:rPr>
                <m:t>k</m:t>
              </m:r>
            </m:sup>
          </m:sSubSup>
          <m:r>
            <w:rPr>
              <w:rFonts w:ascii="Cambria Math" w:eastAsiaTheme="minorEastAsia" w:hAnsi="Cambria Math" w:cs="Times New Roman"/>
              <w:sz w:val="20"/>
              <w:szCs w:val="20"/>
              <w:lang w:val="en-GB"/>
            </w:rPr>
            <m:t>=c</m:t>
          </m:r>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L</m:t>
              </m:r>
            </m:e>
            <m:sub>
              <m:r>
                <w:rPr>
                  <w:rFonts w:ascii="Cambria Math" w:eastAsiaTheme="minorEastAsia" w:hAnsi="Cambria Math" w:cs="Times New Roman"/>
                  <w:sz w:val="20"/>
                  <w:szCs w:val="20"/>
                  <w:lang w:val="en-GB"/>
                </w:rPr>
                <m:t>i</m:t>
              </m:r>
            </m:sub>
          </m:sSub>
          <m:r>
            <w:rPr>
              <w:rFonts w:ascii="Cambria Math" w:eastAsiaTheme="minorEastAsia" w:hAnsi="Cambria Math" w:cs="Times New Roman"/>
              <w:sz w:val="20"/>
              <w:szCs w:val="20"/>
              <w:lang w:val="en-GB"/>
            </w:rPr>
            <m:t>×</m:t>
          </m:r>
          <m:f>
            <m:fPr>
              <m:ctrlPr>
                <w:rPr>
                  <w:rFonts w:ascii="Cambria Math" w:eastAsiaTheme="minorEastAsia" w:hAnsi="Cambria Math" w:cs="Times New Roman"/>
                  <w:i/>
                  <w:iCs/>
                  <w:sz w:val="20"/>
                  <w:szCs w:val="20"/>
                  <w:lang w:val="en-GB"/>
                </w:rPr>
              </m:ctrlPr>
            </m:fPr>
            <m:num>
              <m:r>
                <w:rPr>
                  <w:rFonts w:ascii="Cambria Math" w:eastAsiaTheme="minorEastAsia" w:hAnsi="Cambria Math" w:cs="Times New Roman"/>
                  <w:sz w:val="20"/>
                  <w:szCs w:val="20"/>
                  <w:lang w:val="en-GB"/>
                </w:rPr>
                <m:t>p(</m:t>
              </m:r>
              <m:sSub>
                <m:sSubPr>
                  <m:ctrlPr>
                    <w:rPr>
                      <w:rFonts w:ascii="Cambria Math" w:eastAsiaTheme="minorEastAsia" w:hAnsi="Cambria Math" w:cs="Times New Roman"/>
                      <w:i/>
                      <w:iCs/>
                      <w:sz w:val="20"/>
                      <w:szCs w:val="20"/>
                      <w:lang w:val="en-GB"/>
                    </w:rPr>
                  </m:ctrlPr>
                </m:sSubPr>
                <m:e>
                  <m:r>
                    <w:rPr>
                      <w:rFonts w:ascii="Cambria Math" w:hAnsi="Cambria Math" w:cs="Times New Roman"/>
                      <w:sz w:val="20"/>
                      <w:szCs w:val="20"/>
                    </w:rPr>
                    <m:t>ϕ</m:t>
                  </m:r>
                </m:e>
                <m:sub>
                  <m:r>
                    <w:rPr>
                      <w:rFonts w:ascii="Cambria Math" w:eastAsiaTheme="minorEastAsia" w:hAnsi="Cambria Math" w:cs="Times New Roman"/>
                      <w:sz w:val="20"/>
                      <w:szCs w:val="20"/>
                      <w:lang w:val="en-GB"/>
                    </w:rPr>
                    <m:t>i</m:t>
                  </m:r>
                </m:sub>
              </m:sSub>
              <m:r>
                <w:rPr>
                  <w:rFonts w:ascii="Cambria Math" w:eastAsiaTheme="minorEastAsia" w:hAnsi="Cambria Math" w:cs="Times New Roman"/>
                  <w:sz w:val="20"/>
                  <w:szCs w:val="20"/>
                  <w:lang w:val="en-GB"/>
                </w:rPr>
                <m:t>)</m:t>
              </m:r>
            </m:num>
            <m:den>
              <m:sSup>
                <m:sSupPr>
                  <m:ctrlPr>
                    <w:rPr>
                      <w:rFonts w:ascii="Cambria Math" w:eastAsiaTheme="minorEastAsia" w:hAnsi="Cambria Math" w:cs="Times New Roman"/>
                      <w:i/>
                      <w:iCs/>
                      <w:sz w:val="20"/>
                      <w:szCs w:val="20"/>
                      <w:lang w:val="en-GB"/>
                    </w:rPr>
                  </m:ctrlPr>
                </m:sSupPr>
                <m:e>
                  <m:r>
                    <w:rPr>
                      <w:rFonts w:ascii="Cambria Math" w:eastAsiaTheme="minorEastAsia" w:hAnsi="Cambria Math" w:cs="Times New Roman"/>
                      <w:sz w:val="20"/>
                      <w:szCs w:val="20"/>
                      <w:lang w:val="en-GB"/>
                    </w:rPr>
                    <m:t>q</m:t>
                  </m:r>
                </m:e>
                <m:sup>
                  <m:d>
                    <m:dPr>
                      <m:ctrlPr>
                        <w:rPr>
                          <w:rFonts w:ascii="Cambria Math" w:eastAsiaTheme="minorEastAsia" w:hAnsi="Cambria Math" w:cs="Times New Roman"/>
                          <w:i/>
                          <w:iCs/>
                          <w:sz w:val="20"/>
                          <w:szCs w:val="20"/>
                          <w:lang w:val="en-GB"/>
                        </w:rPr>
                      </m:ctrlPr>
                    </m:dPr>
                    <m:e>
                      <m:r>
                        <w:rPr>
                          <w:rFonts w:ascii="Cambria Math" w:eastAsiaTheme="minorEastAsia" w:hAnsi="Cambria Math" w:cs="Times New Roman"/>
                          <w:sz w:val="20"/>
                          <w:szCs w:val="20"/>
                          <w:lang w:val="en-GB"/>
                        </w:rPr>
                        <m:t>k</m:t>
                      </m:r>
                    </m:e>
                  </m:d>
                </m:sup>
              </m:sSup>
              <m:r>
                <w:rPr>
                  <w:rFonts w:ascii="Cambria Math" w:eastAsiaTheme="minorEastAsia" w:hAnsi="Cambria Math" w:cs="Times New Roman"/>
                  <w:sz w:val="20"/>
                  <w:szCs w:val="20"/>
                  <w:lang w:val="en-GB"/>
                </w:rPr>
                <m:t>(</m:t>
              </m:r>
              <m:r>
                <w:rPr>
                  <w:rFonts w:ascii="Cambria Math" w:hAnsi="Cambria Math" w:cs="Times New Roman"/>
                  <w:sz w:val="20"/>
                  <w:szCs w:val="20"/>
                </w:rPr>
                <m:t>ϕ</m:t>
              </m:r>
              <m:r>
                <w:rPr>
                  <w:rFonts w:ascii="Cambria Math" w:eastAsiaTheme="minorEastAsia" w:hAnsi="Cambria Math" w:cs="Times New Roman"/>
                  <w:sz w:val="20"/>
                  <w:szCs w:val="20"/>
                  <w:lang w:val="en-GB"/>
                </w:rPr>
                <m:t>)</m:t>
              </m:r>
            </m:den>
          </m:f>
        </m:oMath>
      </m:oMathPara>
    </w:p>
    <w:p w14:paraId="5A357153" w14:textId="77777777" w:rsidR="006D3675" w:rsidRPr="00435469" w:rsidRDefault="006D3675" w:rsidP="00955FFB">
      <w:pPr>
        <w:pStyle w:val="1Para"/>
        <w:spacing w:line="240" w:lineRule="auto"/>
        <w:ind w:left="2160" w:firstLine="0"/>
        <w:rPr>
          <w:rFonts w:eastAsiaTheme="minorEastAsia" w:cs="Times New Roman"/>
          <w:sz w:val="20"/>
          <w:szCs w:val="20"/>
        </w:rPr>
      </w:pPr>
      <w:r w:rsidRPr="00435469">
        <w:rPr>
          <w:rFonts w:eastAsiaTheme="minorEastAsia" w:cs="Times New Roman"/>
          <w:sz w:val="20"/>
          <w:szCs w:val="20"/>
        </w:rPr>
        <w:t>Where c is</w:t>
      </w:r>
      <w:r w:rsidRPr="00435469">
        <w:rPr>
          <w:rFonts w:eastAsiaTheme="minorEastAsia" w:cs="Times New Roman"/>
          <w:sz w:val="20"/>
          <w:szCs w:val="20"/>
          <w:lang w:val="en-ZA"/>
        </w:rPr>
        <w:t xml:space="preserve"> chosen so that the weights add to 1 and </w:t>
      </w:r>
      <m:oMath>
        <m:sSup>
          <m:sSupPr>
            <m:ctrlPr>
              <w:rPr>
                <w:rFonts w:ascii="Cambria Math" w:eastAsiaTheme="minorEastAsia" w:hAnsi="Cambria Math" w:cs="Times New Roman"/>
                <w:i/>
                <w:iCs/>
                <w:sz w:val="20"/>
                <w:szCs w:val="20"/>
                <w:lang w:val="en-GB"/>
              </w:rPr>
            </m:ctrlPr>
          </m:sSupPr>
          <m:e>
            <m:r>
              <w:rPr>
                <w:rFonts w:ascii="Cambria Math" w:eastAsiaTheme="minorEastAsia" w:hAnsi="Cambria Math" w:cs="Times New Roman"/>
                <w:sz w:val="20"/>
                <w:szCs w:val="20"/>
                <w:lang w:val="en-GB"/>
              </w:rPr>
              <m:t>q</m:t>
            </m:r>
          </m:e>
          <m:sup>
            <m:d>
              <m:dPr>
                <m:ctrlPr>
                  <w:rPr>
                    <w:rFonts w:ascii="Cambria Math" w:eastAsiaTheme="minorEastAsia" w:hAnsi="Cambria Math" w:cs="Times New Roman"/>
                    <w:i/>
                    <w:iCs/>
                    <w:sz w:val="20"/>
                    <w:szCs w:val="20"/>
                    <w:lang w:val="en-GB"/>
                  </w:rPr>
                </m:ctrlPr>
              </m:dPr>
              <m:e>
                <m:r>
                  <w:rPr>
                    <w:rFonts w:ascii="Cambria Math" w:eastAsiaTheme="minorEastAsia" w:hAnsi="Cambria Math" w:cs="Times New Roman"/>
                    <w:sz w:val="20"/>
                    <w:szCs w:val="20"/>
                    <w:lang w:val="en-GB"/>
                  </w:rPr>
                  <m:t>k</m:t>
                </m:r>
              </m:e>
            </m:d>
          </m:sup>
        </m:sSup>
      </m:oMath>
      <w:r w:rsidRPr="00435469">
        <w:rPr>
          <w:rFonts w:eastAsiaTheme="minorEastAsia" w:cs="Times New Roman"/>
          <w:iCs/>
          <w:sz w:val="20"/>
          <w:szCs w:val="20"/>
          <w:lang w:val="en-GB"/>
        </w:rPr>
        <w:t xml:space="preserve"> is the mixture sampling distribution: </w:t>
      </w:r>
    </w:p>
    <w:p w14:paraId="4F495305" w14:textId="77777777" w:rsidR="006D3675" w:rsidRPr="00435469" w:rsidRDefault="00000000" w:rsidP="00955FFB">
      <w:pPr>
        <w:autoSpaceDE w:val="0"/>
        <w:autoSpaceDN w:val="0"/>
        <w:adjustRightInd w:val="0"/>
        <w:spacing w:before="240" w:line="240" w:lineRule="auto"/>
        <w:jc w:val="center"/>
        <w:rPr>
          <w:rFonts w:eastAsiaTheme="minorEastAsia" w:cs="Times New Roman"/>
          <w:iCs/>
          <w:sz w:val="20"/>
          <w:szCs w:val="20"/>
          <w:lang w:val="en-GB"/>
        </w:rPr>
      </w:pPr>
      <m:oMathPara>
        <m:oMath>
          <m:sSup>
            <m:sSupPr>
              <m:ctrlPr>
                <w:rPr>
                  <w:rFonts w:ascii="Cambria Math" w:eastAsiaTheme="minorEastAsia" w:hAnsi="Cambria Math" w:cs="Times New Roman"/>
                  <w:i/>
                  <w:iCs/>
                  <w:sz w:val="20"/>
                  <w:szCs w:val="20"/>
                  <w:lang w:val="en-GB"/>
                </w:rPr>
              </m:ctrlPr>
            </m:sSupPr>
            <m:e>
              <m:r>
                <w:rPr>
                  <w:rFonts w:ascii="Cambria Math" w:eastAsiaTheme="minorEastAsia" w:hAnsi="Cambria Math" w:cs="Times New Roman"/>
                  <w:sz w:val="20"/>
                  <w:szCs w:val="20"/>
                  <w:lang w:val="en-GB"/>
                </w:rPr>
                <m:t>q</m:t>
              </m:r>
            </m:e>
            <m:sup>
              <m:d>
                <m:dPr>
                  <m:ctrlPr>
                    <w:rPr>
                      <w:rFonts w:ascii="Cambria Math" w:eastAsiaTheme="minorEastAsia" w:hAnsi="Cambria Math" w:cs="Times New Roman"/>
                      <w:i/>
                      <w:iCs/>
                      <w:sz w:val="20"/>
                      <w:szCs w:val="20"/>
                      <w:lang w:val="en-GB"/>
                    </w:rPr>
                  </m:ctrlPr>
                </m:dPr>
                <m:e>
                  <m:r>
                    <w:rPr>
                      <w:rFonts w:ascii="Cambria Math" w:eastAsiaTheme="minorEastAsia" w:hAnsi="Cambria Math" w:cs="Times New Roman"/>
                      <w:sz w:val="20"/>
                      <w:szCs w:val="20"/>
                      <w:lang w:val="en-GB"/>
                    </w:rPr>
                    <m:t>k</m:t>
                  </m:r>
                </m:e>
              </m:d>
            </m:sup>
          </m:sSup>
          <m:r>
            <w:rPr>
              <w:rFonts w:ascii="Cambria Math" w:eastAsiaTheme="minorEastAsia" w:hAnsi="Cambria Math" w:cs="Times New Roman"/>
              <w:sz w:val="20"/>
              <w:szCs w:val="20"/>
              <w:lang w:val="en-GB"/>
            </w:rPr>
            <m:t>= </m:t>
          </m:r>
          <m:f>
            <m:fPr>
              <m:ctrlPr>
                <w:rPr>
                  <w:rFonts w:ascii="Cambria Math" w:eastAsiaTheme="minorEastAsia" w:hAnsi="Cambria Math" w:cs="Times New Roman"/>
                  <w:i/>
                  <w:iCs/>
                  <w:sz w:val="20"/>
                  <w:szCs w:val="20"/>
                  <w:lang w:val="en-GB"/>
                </w:rPr>
              </m:ctrlPr>
            </m:fPr>
            <m:num>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N</m:t>
                  </m:r>
                </m:e>
                <m:sub>
                  <m:r>
                    <w:rPr>
                      <w:rFonts w:ascii="Cambria Math" w:eastAsiaTheme="minorEastAsia" w:hAnsi="Cambria Math" w:cs="Times New Roman"/>
                      <w:sz w:val="20"/>
                      <w:szCs w:val="20"/>
                      <w:lang w:val="en-GB"/>
                    </w:rPr>
                    <m:t>0</m:t>
                  </m:r>
                </m:sub>
              </m:sSub>
            </m:num>
            <m:den>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N</m:t>
                  </m:r>
                </m:e>
                <m:sub>
                  <m:r>
                    <w:rPr>
                      <w:rFonts w:ascii="Cambria Math" w:eastAsiaTheme="minorEastAsia" w:hAnsi="Cambria Math" w:cs="Times New Roman"/>
                      <w:sz w:val="20"/>
                      <w:szCs w:val="20"/>
                      <w:lang w:val="en-GB"/>
                    </w:rPr>
                    <m:t>k</m:t>
                  </m:r>
                </m:sub>
              </m:sSub>
            </m:den>
          </m:f>
          <m:r>
            <w:rPr>
              <w:rFonts w:ascii="Cambria Math" w:eastAsiaTheme="minorEastAsia" w:hAnsi="Cambria Math" w:cs="Times New Roman"/>
              <w:sz w:val="20"/>
              <w:szCs w:val="20"/>
              <w:lang w:val="en-GB"/>
            </w:rPr>
            <m:t>p+</m:t>
          </m:r>
          <m:f>
            <m:fPr>
              <m:ctrlPr>
                <w:rPr>
                  <w:rFonts w:ascii="Cambria Math" w:eastAsiaTheme="minorEastAsia" w:hAnsi="Cambria Math" w:cs="Times New Roman"/>
                  <w:i/>
                  <w:iCs/>
                  <w:sz w:val="20"/>
                  <w:szCs w:val="20"/>
                  <w:lang w:val="en-GB"/>
                </w:rPr>
              </m:ctrlPr>
            </m:fPr>
            <m:num>
              <m:r>
                <w:rPr>
                  <w:rFonts w:ascii="Cambria Math" w:eastAsiaTheme="minorEastAsia" w:hAnsi="Cambria Math" w:cs="Times New Roman"/>
                  <w:sz w:val="20"/>
                  <w:szCs w:val="20"/>
                  <w:lang w:val="en-GB"/>
                </w:rPr>
                <m:t>B</m:t>
              </m:r>
            </m:num>
            <m:den>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N</m:t>
                  </m:r>
                </m:e>
                <m:sub>
                  <m:r>
                    <w:rPr>
                      <w:rFonts w:ascii="Cambria Math" w:eastAsiaTheme="minorEastAsia" w:hAnsi="Cambria Math" w:cs="Times New Roman"/>
                      <w:sz w:val="20"/>
                      <w:szCs w:val="20"/>
                      <w:lang w:val="en-GB"/>
                    </w:rPr>
                    <m:t>k</m:t>
                  </m:r>
                </m:sub>
              </m:sSub>
            </m:den>
          </m:f>
          <m:nary>
            <m:naryPr>
              <m:chr m:val="∑"/>
              <m:limLoc m:val="subSup"/>
              <m:ctrlPr>
                <w:rPr>
                  <w:rFonts w:ascii="Cambria Math" w:eastAsiaTheme="minorEastAsia" w:hAnsi="Cambria Math" w:cs="Times New Roman"/>
                  <w:i/>
                  <w:iCs/>
                  <w:sz w:val="20"/>
                  <w:szCs w:val="20"/>
                  <w:lang w:val="en-GB"/>
                </w:rPr>
              </m:ctrlPr>
            </m:naryPr>
            <m:sub>
              <m:r>
                <w:rPr>
                  <w:rFonts w:ascii="Cambria Math" w:eastAsiaTheme="minorEastAsia" w:hAnsi="Cambria Math" w:cs="Times New Roman"/>
                  <w:sz w:val="20"/>
                  <w:szCs w:val="20"/>
                  <w:lang w:val="en-GB"/>
                </w:rPr>
                <m:t>s=1</m:t>
              </m:r>
            </m:sub>
            <m:sup>
              <m:r>
                <w:rPr>
                  <w:rFonts w:ascii="Cambria Math" w:eastAsiaTheme="minorEastAsia" w:hAnsi="Cambria Math" w:cs="Times New Roman"/>
                  <w:sz w:val="20"/>
                  <w:szCs w:val="20"/>
                  <w:lang w:val="en-GB"/>
                </w:rPr>
                <m:t>(k)</m:t>
              </m:r>
            </m:sup>
            <m:e>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H</m:t>
                  </m:r>
                </m:e>
                <m:sub>
                  <m:r>
                    <w:rPr>
                      <w:rFonts w:ascii="Cambria Math" w:eastAsiaTheme="minorEastAsia" w:hAnsi="Cambria Math" w:cs="Times New Roman"/>
                      <w:sz w:val="20"/>
                      <w:szCs w:val="20"/>
                      <w:lang w:val="en-GB"/>
                    </w:rPr>
                    <m:t>s</m:t>
                  </m:r>
                </m:sub>
              </m:sSub>
            </m:e>
          </m:nary>
        </m:oMath>
      </m:oMathPara>
    </w:p>
    <w:p w14:paraId="4B02C6CD" w14:textId="77777777" w:rsidR="006D3675" w:rsidRPr="00435469" w:rsidRDefault="006D3675" w:rsidP="006B5F74">
      <w:pPr>
        <w:autoSpaceDE w:val="0"/>
        <w:autoSpaceDN w:val="0"/>
        <w:adjustRightInd w:val="0"/>
        <w:spacing w:after="0" w:line="240" w:lineRule="auto"/>
        <w:ind w:left="1440" w:firstLine="720"/>
        <w:rPr>
          <w:rFonts w:cs="Times New Roman"/>
          <w:sz w:val="20"/>
          <w:szCs w:val="20"/>
        </w:rPr>
      </w:pPr>
      <w:r w:rsidRPr="00435469">
        <w:rPr>
          <w:rFonts w:eastAsiaTheme="minorEastAsia" w:cs="Times New Roman"/>
          <w:iCs/>
          <w:sz w:val="20"/>
          <w:szCs w:val="20"/>
          <w:lang w:val="en-GB"/>
        </w:rPr>
        <w:t xml:space="preserve">And </w:t>
      </w:r>
      <m:oMath>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N</m:t>
            </m:r>
          </m:e>
          <m:sub>
            <m:r>
              <w:rPr>
                <w:rFonts w:ascii="Cambria Math" w:eastAsiaTheme="minorEastAsia" w:hAnsi="Cambria Math" w:cs="Times New Roman"/>
                <w:sz w:val="20"/>
                <w:szCs w:val="20"/>
                <w:lang w:val="en-GB"/>
              </w:rPr>
              <m:t>k</m:t>
            </m:r>
          </m:sub>
        </m:sSub>
      </m:oMath>
      <w:r w:rsidRPr="00435469">
        <w:rPr>
          <w:rFonts w:eastAsiaTheme="minorEastAsia" w:cs="Times New Roman"/>
          <w:sz w:val="20"/>
          <w:szCs w:val="20"/>
        </w:rPr>
        <w:t xml:space="preserve"> is the total number of inputs up to the k-th iteration.</w:t>
      </w:r>
    </w:p>
    <w:p w14:paraId="44917419" w14:textId="7B61A329" w:rsidR="006D3675" w:rsidRPr="00435469" w:rsidRDefault="006D3675" w:rsidP="00955FFB">
      <w:pPr>
        <w:pStyle w:val="1Para"/>
        <w:numPr>
          <w:ilvl w:val="0"/>
          <w:numId w:val="6"/>
        </w:numPr>
        <w:spacing w:line="240" w:lineRule="auto"/>
        <w:rPr>
          <w:rFonts w:eastAsiaTheme="minorEastAsia" w:cs="Times New Roman"/>
          <w:sz w:val="20"/>
          <w:szCs w:val="20"/>
        </w:rPr>
      </w:pPr>
      <w:r w:rsidRPr="00435469">
        <w:rPr>
          <w:rFonts w:eastAsiaTheme="minorEastAsia" w:cs="Times New Roman"/>
          <w:sz w:val="20"/>
          <w:szCs w:val="20"/>
        </w:rPr>
        <w:t xml:space="preserve">From the posterior sample, J = 1 000 parameter combinations were resampled. The </w:t>
      </w:r>
      <w:r w:rsidR="00824C0F" w:rsidRPr="00435469">
        <w:rPr>
          <w:rFonts w:eastAsiaTheme="minorEastAsia" w:cs="Times New Roman"/>
          <w:sz w:val="20"/>
          <w:szCs w:val="20"/>
        </w:rPr>
        <w:t xml:space="preserve">posterior </w:t>
      </w:r>
      <w:r w:rsidRPr="00435469">
        <w:rPr>
          <w:rFonts w:eastAsiaTheme="minorEastAsia" w:cs="Times New Roman"/>
          <w:sz w:val="20"/>
          <w:szCs w:val="20"/>
        </w:rPr>
        <w:t xml:space="preserve">means for the model estimates were calculated as the </w:t>
      </w:r>
      <w:r w:rsidR="00824C0F" w:rsidRPr="00435469">
        <w:rPr>
          <w:rFonts w:eastAsiaTheme="minorEastAsia" w:cs="Times New Roman"/>
          <w:sz w:val="20"/>
          <w:szCs w:val="20"/>
        </w:rPr>
        <w:t xml:space="preserve">average </w:t>
      </w:r>
      <w:r w:rsidRPr="00435469">
        <w:rPr>
          <w:rFonts w:eastAsiaTheme="minorEastAsia" w:cs="Times New Roman"/>
          <w:sz w:val="20"/>
          <w:szCs w:val="20"/>
        </w:rPr>
        <w:t xml:space="preserve">of all outputs generated over 1000 </w:t>
      </w:r>
      <w:r w:rsidR="00824C0F" w:rsidRPr="00435469">
        <w:rPr>
          <w:rFonts w:eastAsiaTheme="minorEastAsia" w:cs="Times New Roman"/>
          <w:sz w:val="20"/>
          <w:szCs w:val="20"/>
        </w:rPr>
        <w:t>samples</w:t>
      </w:r>
      <w:r w:rsidRPr="00435469">
        <w:rPr>
          <w:rFonts w:eastAsiaTheme="minorEastAsia" w:cs="Times New Roman"/>
          <w:sz w:val="20"/>
          <w:szCs w:val="20"/>
        </w:rPr>
        <w:t>. 95% intervals were calculated by taking the 0.25</w:t>
      </w:r>
      <w:r w:rsidRPr="00435469">
        <w:rPr>
          <w:rFonts w:eastAsiaTheme="minorEastAsia" w:cs="Times New Roman"/>
          <w:sz w:val="20"/>
          <w:szCs w:val="20"/>
          <w:vertAlign w:val="superscript"/>
        </w:rPr>
        <w:t>th</w:t>
      </w:r>
      <w:r w:rsidRPr="00435469">
        <w:rPr>
          <w:rFonts w:eastAsiaTheme="minorEastAsia" w:cs="Times New Roman"/>
          <w:sz w:val="20"/>
          <w:szCs w:val="20"/>
        </w:rPr>
        <w:t xml:space="preserve"> and the 0.975</w:t>
      </w:r>
      <w:r w:rsidRPr="00435469">
        <w:rPr>
          <w:rFonts w:eastAsiaTheme="minorEastAsia" w:cs="Times New Roman"/>
          <w:sz w:val="20"/>
          <w:szCs w:val="20"/>
          <w:vertAlign w:val="superscript"/>
        </w:rPr>
        <w:t>th</w:t>
      </w:r>
      <w:r w:rsidRPr="00435469">
        <w:rPr>
          <w:rFonts w:eastAsiaTheme="minorEastAsia" w:cs="Times New Roman"/>
          <w:sz w:val="20"/>
          <w:szCs w:val="20"/>
        </w:rPr>
        <w:t xml:space="preserve"> percentiles of the outputs. </w:t>
      </w:r>
    </w:p>
    <w:p w14:paraId="1B1FC3D1" w14:textId="141CF366" w:rsidR="006D3675" w:rsidRPr="00435469" w:rsidRDefault="006D3675" w:rsidP="00955FFB">
      <w:pPr>
        <w:pStyle w:val="1Para"/>
        <w:spacing w:line="240" w:lineRule="auto"/>
        <w:ind w:firstLine="0"/>
        <w:rPr>
          <w:rFonts w:eastAsiaTheme="minorEastAsia" w:cs="Times New Roman"/>
          <w:iCs/>
          <w:sz w:val="20"/>
          <w:szCs w:val="20"/>
          <w:lang w:val="en-GB"/>
        </w:rPr>
      </w:pPr>
      <w:r w:rsidRPr="00435469">
        <w:rPr>
          <w:rFonts w:eastAsiaTheme="minorEastAsia" w:cs="Times New Roman"/>
          <w:sz w:val="20"/>
          <w:szCs w:val="20"/>
          <w:lang w:val="en-ZA"/>
        </w:rPr>
        <w:t xml:space="preserve">The stopping criterion was set to be reached when the expected fraction of unique parameter combinations in the posterior sample is at least </w:t>
      </w:r>
      <m:oMath>
        <m:r>
          <w:rPr>
            <w:rFonts w:ascii="Cambria Math" w:eastAsiaTheme="minorEastAsia" w:hAnsi="Cambria Math" w:cs="Times New Roman"/>
            <w:sz w:val="20"/>
            <w:szCs w:val="20"/>
            <w:lang w:val="en-GB"/>
          </w:rPr>
          <m:t>0.4</m:t>
        </m:r>
      </m:oMath>
      <w:r w:rsidRPr="00435469">
        <w:rPr>
          <w:rFonts w:eastAsiaTheme="minorEastAsia" w:cs="Times New Roman"/>
          <w:sz w:val="20"/>
          <w:szCs w:val="20"/>
          <w:lang w:val="en-ZA"/>
        </w:rPr>
        <w:t xml:space="preserve">. </w:t>
      </w:r>
      <w:r w:rsidRPr="00435469">
        <w:rPr>
          <w:rFonts w:cs="Times New Roman"/>
          <w:sz w:val="20"/>
          <w:szCs w:val="20"/>
        </w:rPr>
        <w:t>The expected number of unique parameter combinations is calculated as</w:t>
      </w:r>
    </w:p>
    <w:p w14:paraId="2CA7EF82" w14:textId="77777777" w:rsidR="006D3675" w:rsidRPr="00435469" w:rsidRDefault="00000000" w:rsidP="00955FFB">
      <w:pPr>
        <w:pStyle w:val="1Para"/>
        <w:spacing w:line="240" w:lineRule="auto"/>
        <w:rPr>
          <w:rFonts w:eastAsiaTheme="minorEastAsia" w:cs="Times New Roman"/>
          <w:sz w:val="20"/>
          <w:szCs w:val="20"/>
          <w:lang w:val="en-ZA"/>
        </w:rPr>
      </w:pPr>
      <m:oMathPara>
        <m:oMath>
          <m:f>
            <m:fPr>
              <m:ctrlPr>
                <w:rPr>
                  <w:rFonts w:ascii="Cambria Math" w:eastAsiaTheme="minorEastAsia" w:hAnsi="Cambria Math" w:cs="Times New Roman"/>
                  <w:i/>
                  <w:iCs/>
                  <w:sz w:val="20"/>
                  <w:szCs w:val="20"/>
                  <w:lang w:val="en-GB"/>
                </w:rPr>
              </m:ctrlPr>
            </m:fPr>
            <m:num>
              <m:r>
                <w:rPr>
                  <w:rFonts w:ascii="Cambria Math" w:eastAsiaTheme="minorEastAsia" w:hAnsi="Cambria Math" w:cs="Times New Roman"/>
                  <w:sz w:val="20"/>
                  <w:szCs w:val="20"/>
                  <w:lang w:val="en-GB"/>
                </w:rPr>
                <m:t>1</m:t>
              </m:r>
            </m:num>
            <m:den>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N</m:t>
                  </m:r>
                </m:e>
                <m:sub>
                  <m:r>
                    <w:rPr>
                      <w:rFonts w:ascii="Cambria Math" w:eastAsiaTheme="minorEastAsia" w:hAnsi="Cambria Math" w:cs="Times New Roman"/>
                      <w:sz w:val="20"/>
                      <w:szCs w:val="20"/>
                      <w:lang w:val="en-GB"/>
                    </w:rPr>
                    <m:t>k</m:t>
                  </m:r>
                </m:sub>
              </m:sSub>
            </m:den>
          </m:f>
          <m:nary>
            <m:naryPr>
              <m:chr m:val="∑"/>
              <m:ctrlPr>
                <w:rPr>
                  <w:rFonts w:ascii="Cambria Math" w:eastAsiaTheme="minorEastAsia" w:hAnsi="Cambria Math" w:cs="Times New Roman"/>
                  <w:i/>
                  <w:iCs/>
                  <w:sz w:val="20"/>
                  <w:szCs w:val="20"/>
                  <w:lang w:val="en-ZA"/>
                </w:rPr>
              </m:ctrlPr>
            </m:naryPr>
            <m:sub>
              <m:r>
                <w:rPr>
                  <w:rFonts w:ascii="Cambria Math" w:eastAsiaTheme="minorEastAsia" w:hAnsi="Cambria Math" w:cs="Times New Roman"/>
                  <w:sz w:val="20"/>
                  <w:szCs w:val="20"/>
                  <w:lang w:val="en-GB"/>
                </w:rPr>
                <m:t>i=1</m:t>
              </m:r>
            </m:sub>
            <m:sup>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N</m:t>
                  </m:r>
                </m:e>
                <m:sub>
                  <m:r>
                    <w:rPr>
                      <w:rFonts w:ascii="Cambria Math" w:eastAsiaTheme="minorEastAsia" w:hAnsi="Cambria Math" w:cs="Times New Roman"/>
                      <w:sz w:val="20"/>
                      <w:szCs w:val="20"/>
                      <w:lang w:val="en-GB"/>
                    </w:rPr>
                    <m:t>k</m:t>
                  </m:r>
                </m:sub>
              </m:sSub>
            </m:sup>
            <m:e>
              <m:d>
                <m:dPr>
                  <m:ctrlPr>
                    <w:rPr>
                      <w:rFonts w:ascii="Cambria Math" w:eastAsiaTheme="minorEastAsia" w:hAnsi="Cambria Math" w:cs="Times New Roman"/>
                      <w:i/>
                      <w:iCs/>
                      <w:sz w:val="20"/>
                      <w:szCs w:val="20"/>
                      <w:lang w:val="en-GB"/>
                    </w:rPr>
                  </m:ctrlPr>
                </m:dPr>
                <m:e>
                  <m:r>
                    <w:rPr>
                      <w:rFonts w:ascii="Cambria Math" w:eastAsiaTheme="minorEastAsia" w:hAnsi="Cambria Math" w:cs="Times New Roman"/>
                      <w:sz w:val="20"/>
                      <w:szCs w:val="20"/>
                      <w:lang w:val="en-GB"/>
                    </w:rPr>
                    <m:t>1-</m:t>
                  </m:r>
                  <m:sSup>
                    <m:sSupPr>
                      <m:ctrlPr>
                        <w:rPr>
                          <w:rFonts w:ascii="Cambria Math" w:eastAsiaTheme="minorEastAsia" w:hAnsi="Cambria Math" w:cs="Times New Roman"/>
                          <w:i/>
                          <w:iCs/>
                          <w:sz w:val="20"/>
                          <w:szCs w:val="20"/>
                          <w:lang w:val="en-GB"/>
                        </w:rPr>
                      </m:ctrlPr>
                    </m:sSupPr>
                    <m:e>
                      <m:d>
                        <m:dPr>
                          <m:ctrlPr>
                            <w:rPr>
                              <w:rFonts w:ascii="Cambria Math" w:eastAsiaTheme="minorEastAsia" w:hAnsi="Cambria Math" w:cs="Times New Roman"/>
                              <w:i/>
                              <w:iCs/>
                              <w:sz w:val="20"/>
                              <w:szCs w:val="20"/>
                              <w:lang w:val="en-GB"/>
                            </w:rPr>
                          </m:ctrlPr>
                        </m:dPr>
                        <m:e>
                          <m:r>
                            <w:rPr>
                              <w:rFonts w:ascii="Cambria Math" w:eastAsiaTheme="minorEastAsia" w:hAnsi="Cambria Math" w:cs="Times New Roman"/>
                              <w:sz w:val="20"/>
                              <w:szCs w:val="20"/>
                              <w:lang w:val="en-GB"/>
                            </w:rPr>
                            <m:t>1-</m:t>
                          </m:r>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w</m:t>
                              </m:r>
                            </m:e>
                            <m:sub>
                              <m:r>
                                <w:rPr>
                                  <w:rFonts w:ascii="Cambria Math" w:eastAsiaTheme="minorEastAsia" w:hAnsi="Cambria Math" w:cs="Times New Roman"/>
                                  <w:sz w:val="20"/>
                                  <w:szCs w:val="20"/>
                                  <w:lang w:val="en-GB"/>
                                </w:rPr>
                                <m:t>i</m:t>
                              </m:r>
                            </m:sub>
                          </m:sSub>
                        </m:e>
                      </m:d>
                    </m:e>
                    <m:sup>
                      <m:r>
                        <w:rPr>
                          <w:rFonts w:ascii="Cambria Math" w:eastAsiaTheme="minorEastAsia" w:hAnsi="Cambria Math" w:cs="Times New Roman"/>
                          <w:sz w:val="20"/>
                          <w:szCs w:val="20"/>
                          <w:lang w:val="en-GB"/>
                        </w:rPr>
                        <m:t>J</m:t>
                      </m:r>
                    </m:sup>
                  </m:sSup>
                </m:e>
              </m:d>
            </m:e>
          </m:nary>
        </m:oMath>
      </m:oMathPara>
    </w:p>
    <w:p w14:paraId="2241F8F1" w14:textId="137707F7" w:rsidR="00B80B27" w:rsidRPr="00435469" w:rsidRDefault="00000000" w:rsidP="00955FFB">
      <w:pPr>
        <w:pStyle w:val="1Para"/>
        <w:spacing w:line="240" w:lineRule="auto"/>
        <w:ind w:firstLine="0"/>
        <w:rPr>
          <w:rFonts w:eastAsiaTheme="minorEastAsia" w:cs="Times New Roman"/>
          <w:sz w:val="20"/>
          <w:szCs w:val="20"/>
          <w:lang w:val="en-ZA"/>
        </w:rPr>
      </w:pPr>
      <m:oMath>
        <m:sSub>
          <m:sSubPr>
            <m:ctrlPr>
              <w:rPr>
                <w:rFonts w:ascii="Cambria Math" w:eastAsiaTheme="minorEastAsia" w:hAnsi="Cambria Math" w:cs="Times New Roman"/>
                <w:i/>
                <w:iCs/>
                <w:sz w:val="20"/>
                <w:szCs w:val="20"/>
                <w:lang w:val="en-GB"/>
              </w:rPr>
            </m:ctrlPr>
          </m:sSubPr>
          <m:e>
            <m:r>
              <w:rPr>
                <w:rFonts w:ascii="Cambria Math" w:eastAsiaTheme="minorEastAsia" w:hAnsi="Cambria Math" w:cs="Times New Roman"/>
                <w:sz w:val="20"/>
                <w:szCs w:val="20"/>
                <w:lang w:val="en-GB"/>
              </w:rPr>
              <m:t>N</m:t>
            </m:r>
          </m:e>
          <m:sub>
            <m:r>
              <w:rPr>
                <w:rFonts w:ascii="Cambria Math" w:eastAsiaTheme="minorEastAsia" w:hAnsi="Cambria Math" w:cs="Times New Roman"/>
                <w:sz w:val="20"/>
                <w:szCs w:val="20"/>
                <w:lang w:val="en-GB"/>
              </w:rPr>
              <m:t>k</m:t>
            </m:r>
          </m:sub>
        </m:sSub>
      </m:oMath>
      <w:r w:rsidR="006D3675" w:rsidRPr="00435469">
        <w:rPr>
          <w:rFonts w:eastAsiaTheme="minorEastAsia" w:cs="Times New Roman"/>
          <w:sz w:val="20"/>
          <w:szCs w:val="20"/>
          <w:lang w:val="en-ZA"/>
        </w:rPr>
        <w:t xml:space="preserve"> is the total number of inputs up to the k-th iteration, and J is the number of </w:t>
      </w:r>
      <w:proofErr w:type="gramStart"/>
      <w:r w:rsidR="006D3675" w:rsidRPr="00435469">
        <w:rPr>
          <w:rFonts w:eastAsiaTheme="minorEastAsia" w:cs="Times New Roman"/>
          <w:sz w:val="20"/>
          <w:szCs w:val="20"/>
          <w:lang w:val="en-ZA"/>
        </w:rPr>
        <w:t>resamples.</w:t>
      </w:r>
      <w:proofErr w:type="gramEnd"/>
    </w:p>
    <w:p w14:paraId="58794B0C" w14:textId="77777777" w:rsidR="00475958" w:rsidRPr="00435469" w:rsidRDefault="00475958" w:rsidP="00955FFB">
      <w:pPr>
        <w:pStyle w:val="1Para"/>
        <w:spacing w:line="240" w:lineRule="auto"/>
        <w:ind w:firstLine="0"/>
        <w:rPr>
          <w:rFonts w:eastAsiaTheme="minorEastAsia" w:cs="Times New Roman"/>
          <w:sz w:val="20"/>
          <w:szCs w:val="20"/>
          <w:lang w:val="en-ZA"/>
        </w:rPr>
      </w:pPr>
    </w:p>
    <w:p w14:paraId="737701EF" w14:textId="77777777" w:rsidR="00FE4C57" w:rsidRPr="00435469" w:rsidRDefault="00FE4C57" w:rsidP="00955FFB">
      <w:pPr>
        <w:pStyle w:val="1Para"/>
        <w:spacing w:line="240" w:lineRule="auto"/>
        <w:ind w:firstLine="0"/>
        <w:rPr>
          <w:rFonts w:eastAsiaTheme="minorEastAsia" w:cs="Times New Roman"/>
          <w:sz w:val="20"/>
          <w:szCs w:val="20"/>
          <w:lang w:val="en-ZA"/>
        </w:rPr>
      </w:pPr>
    </w:p>
    <w:p w14:paraId="0906D0F9" w14:textId="77777777" w:rsidR="00E51D22" w:rsidRPr="00435469" w:rsidRDefault="00E51D22" w:rsidP="00955FFB">
      <w:pPr>
        <w:pStyle w:val="1Para"/>
        <w:spacing w:line="240" w:lineRule="auto"/>
        <w:ind w:firstLine="0"/>
        <w:rPr>
          <w:rFonts w:eastAsiaTheme="minorEastAsia" w:cs="Times New Roman"/>
          <w:sz w:val="20"/>
          <w:szCs w:val="20"/>
          <w:lang w:val="en-ZA"/>
        </w:rPr>
      </w:pPr>
    </w:p>
    <w:p w14:paraId="36A00A88" w14:textId="77777777" w:rsidR="00E51D22" w:rsidRPr="00435469" w:rsidRDefault="00E51D22" w:rsidP="00955FFB">
      <w:pPr>
        <w:pStyle w:val="1Para"/>
        <w:spacing w:line="240" w:lineRule="auto"/>
        <w:ind w:firstLine="0"/>
        <w:rPr>
          <w:rFonts w:eastAsiaTheme="minorEastAsia" w:cs="Times New Roman"/>
          <w:sz w:val="20"/>
          <w:szCs w:val="20"/>
          <w:lang w:val="en-ZA"/>
        </w:rPr>
      </w:pPr>
    </w:p>
    <w:p w14:paraId="1F8DE552" w14:textId="77777777" w:rsidR="006D3675" w:rsidRPr="00435469" w:rsidRDefault="006D3675" w:rsidP="00955FFB">
      <w:pPr>
        <w:pStyle w:val="Heading2"/>
        <w:numPr>
          <w:ilvl w:val="1"/>
          <w:numId w:val="18"/>
        </w:numPr>
        <w:rPr>
          <w:color w:val="auto"/>
          <w:sz w:val="20"/>
          <w:szCs w:val="20"/>
        </w:rPr>
      </w:pPr>
      <w:bookmarkStart w:id="353" w:name="_Ref87524145"/>
      <w:bookmarkStart w:id="354" w:name="_Toc87863365"/>
      <w:bookmarkStart w:id="355" w:name="_Toc103252965"/>
      <w:bookmarkStart w:id="356" w:name="_Toc87274801"/>
      <w:r w:rsidRPr="00435469">
        <w:rPr>
          <w:color w:val="auto"/>
          <w:sz w:val="20"/>
          <w:szCs w:val="20"/>
        </w:rPr>
        <w:lastRenderedPageBreak/>
        <w:t>Results from model calibration</w:t>
      </w:r>
      <w:bookmarkEnd w:id="353"/>
      <w:bookmarkEnd w:id="354"/>
      <w:bookmarkEnd w:id="355"/>
      <w:r w:rsidRPr="00435469">
        <w:rPr>
          <w:color w:val="auto"/>
          <w:sz w:val="20"/>
          <w:szCs w:val="20"/>
        </w:rPr>
        <w:t xml:space="preserve"> </w:t>
      </w:r>
    </w:p>
    <w:p w14:paraId="21A336E2" w14:textId="693E9D8E" w:rsidR="006D3675" w:rsidRPr="00435469" w:rsidRDefault="006D3675" w:rsidP="00955FFB">
      <w:pPr>
        <w:pStyle w:val="Heading3"/>
        <w:numPr>
          <w:ilvl w:val="2"/>
          <w:numId w:val="18"/>
        </w:numPr>
        <w:rPr>
          <w:color w:val="auto"/>
          <w:sz w:val="20"/>
          <w:szCs w:val="20"/>
        </w:rPr>
      </w:pPr>
      <w:bookmarkStart w:id="357" w:name="_Toc103252966"/>
      <w:r w:rsidRPr="00435469">
        <w:rPr>
          <w:color w:val="auto"/>
          <w:sz w:val="20"/>
          <w:szCs w:val="20"/>
        </w:rPr>
        <w:t>Comparison of prior and posterior distributions</w:t>
      </w:r>
      <w:bookmarkEnd w:id="357"/>
    </w:p>
    <w:p w14:paraId="0FB8820B" w14:textId="51D719E5" w:rsidR="006C1A18" w:rsidRPr="00435469" w:rsidRDefault="00A900BF" w:rsidP="00955FFB">
      <w:pPr>
        <w:pStyle w:val="1Para"/>
        <w:spacing w:line="240" w:lineRule="auto"/>
        <w:ind w:firstLine="0"/>
        <w:rPr>
          <w:sz w:val="20"/>
          <w:szCs w:val="20"/>
          <w:lang w:val="en-US"/>
        </w:rPr>
      </w:pPr>
      <w:bookmarkStart w:id="358" w:name="_Ref88395169"/>
      <w:r w:rsidRPr="00435469">
        <w:rPr>
          <w:sz w:val="20"/>
          <w:szCs w:val="20"/>
        </w:rPr>
        <w:t xml:space="preserve">As indicated in </w:t>
      </w:r>
      <w:r w:rsidR="0069603B" w:rsidRPr="00435469">
        <w:rPr>
          <w:sz w:val="20"/>
          <w:szCs w:val="20"/>
        </w:rPr>
        <w:fldChar w:fldCharType="begin"/>
      </w:r>
      <w:r w:rsidR="0069603B" w:rsidRPr="00435469">
        <w:rPr>
          <w:sz w:val="20"/>
          <w:szCs w:val="20"/>
        </w:rPr>
        <w:instrText xml:space="preserve"> REF _Ref89695448 \h  \* MERGEFORMAT </w:instrText>
      </w:r>
      <w:r w:rsidR="0069603B" w:rsidRPr="00435469">
        <w:rPr>
          <w:sz w:val="20"/>
          <w:szCs w:val="20"/>
        </w:rPr>
      </w:r>
      <w:r w:rsidR="0069603B" w:rsidRPr="00435469">
        <w:rPr>
          <w:sz w:val="20"/>
          <w:szCs w:val="20"/>
        </w:rPr>
        <w:fldChar w:fldCharType="separate"/>
      </w:r>
      <w:r w:rsidR="00186C2F" w:rsidRPr="00435469">
        <w:rPr>
          <w:sz w:val="20"/>
          <w:szCs w:val="20"/>
        </w:rPr>
        <w:t>Table 20</w:t>
      </w:r>
      <w:r w:rsidR="0069603B" w:rsidRPr="00435469">
        <w:rPr>
          <w:sz w:val="20"/>
          <w:szCs w:val="20"/>
        </w:rPr>
        <w:fldChar w:fldCharType="end"/>
      </w:r>
      <w:r w:rsidR="0069603B" w:rsidRPr="00435469">
        <w:rPr>
          <w:sz w:val="20"/>
          <w:szCs w:val="20"/>
        </w:rPr>
        <w:t xml:space="preserve">, </w:t>
      </w:r>
      <w:r w:rsidR="00D7304F" w:rsidRPr="00435469">
        <w:rPr>
          <w:sz w:val="20"/>
          <w:szCs w:val="20"/>
        </w:rPr>
        <w:t xml:space="preserve">most of the TB natural history </w:t>
      </w:r>
      <w:r w:rsidR="0069603B" w:rsidRPr="00435469">
        <w:rPr>
          <w:sz w:val="20"/>
          <w:szCs w:val="20"/>
        </w:rPr>
        <w:t>parameters</w:t>
      </w:r>
      <w:r w:rsidR="00FF5075" w:rsidRPr="00435469">
        <w:rPr>
          <w:sz w:val="20"/>
          <w:szCs w:val="20"/>
        </w:rPr>
        <w:t xml:space="preserve"> </w:t>
      </w:r>
      <w:r w:rsidR="0069603B" w:rsidRPr="00435469">
        <w:rPr>
          <w:sz w:val="20"/>
          <w:szCs w:val="20"/>
        </w:rPr>
        <w:t xml:space="preserve">were </w:t>
      </w:r>
      <w:r w:rsidR="00420EAF" w:rsidRPr="00435469">
        <w:rPr>
          <w:sz w:val="20"/>
          <w:szCs w:val="20"/>
        </w:rPr>
        <w:t xml:space="preserve">estimated in a separate analysis </w:t>
      </w:r>
      <w:r w:rsidR="00FF5075" w:rsidRPr="00435469">
        <w:rPr>
          <w:sz w:val="20"/>
          <w:szCs w:val="20"/>
        </w:rPr>
        <w:t xml:space="preserve">and fixed </w:t>
      </w:r>
      <w:r w:rsidR="0066262E" w:rsidRPr="00435469">
        <w:rPr>
          <w:sz w:val="20"/>
          <w:szCs w:val="20"/>
        </w:rPr>
        <w:t>in this current analysis.</w:t>
      </w:r>
      <w:r w:rsidR="008127C0" w:rsidRPr="00435469">
        <w:rPr>
          <w:sz w:val="20"/>
          <w:szCs w:val="20"/>
        </w:rPr>
        <w:t xml:space="preserve"> </w:t>
      </w:r>
      <w:r w:rsidR="00915F5B" w:rsidRPr="00435469">
        <w:rPr>
          <w:sz w:val="20"/>
          <w:szCs w:val="20"/>
        </w:rPr>
        <w:fldChar w:fldCharType="begin"/>
      </w:r>
      <w:r w:rsidR="00915F5B" w:rsidRPr="00435469">
        <w:rPr>
          <w:sz w:val="20"/>
          <w:szCs w:val="20"/>
        </w:rPr>
        <w:instrText xml:space="preserve"> REF _Ref99870201 \h </w:instrText>
      </w:r>
      <w:r w:rsidR="00955FFB" w:rsidRPr="00435469">
        <w:rPr>
          <w:sz w:val="20"/>
          <w:szCs w:val="20"/>
        </w:rPr>
        <w:instrText xml:space="preserve"> \* MERGEFORMAT </w:instrText>
      </w:r>
      <w:r w:rsidR="00915F5B" w:rsidRPr="00435469">
        <w:rPr>
          <w:sz w:val="20"/>
          <w:szCs w:val="20"/>
        </w:rPr>
      </w:r>
      <w:r w:rsidR="00915F5B" w:rsidRPr="00435469">
        <w:rPr>
          <w:sz w:val="20"/>
          <w:szCs w:val="20"/>
        </w:rPr>
        <w:fldChar w:fldCharType="separate"/>
      </w:r>
      <w:r w:rsidR="00186C2F" w:rsidRPr="00435469">
        <w:rPr>
          <w:sz w:val="20"/>
          <w:szCs w:val="20"/>
        </w:rPr>
        <w:t xml:space="preserve">Table </w:t>
      </w:r>
      <w:r w:rsidR="00186C2F" w:rsidRPr="00435469">
        <w:rPr>
          <w:noProof/>
          <w:sz w:val="20"/>
          <w:szCs w:val="20"/>
        </w:rPr>
        <w:t>25</w:t>
      </w:r>
      <w:r w:rsidR="00915F5B" w:rsidRPr="00435469">
        <w:rPr>
          <w:sz w:val="20"/>
          <w:szCs w:val="20"/>
        </w:rPr>
        <w:fldChar w:fldCharType="end"/>
      </w:r>
      <w:r w:rsidR="0066262E" w:rsidRPr="00435469">
        <w:rPr>
          <w:sz w:val="20"/>
          <w:szCs w:val="20"/>
        </w:rPr>
        <w:t xml:space="preserve"> below shows the </w:t>
      </w:r>
      <w:r w:rsidR="00B16F10" w:rsidRPr="00435469">
        <w:rPr>
          <w:sz w:val="20"/>
          <w:szCs w:val="20"/>
        </w:rPr>
        <w:t>prior and posterior distributions for parameters varied in this current analysis.</w:t>
      </w:r>
      <w:r w:rsidR="00751B9E" w:rsidRPr="00435469">
        <w:rPr>
          <w:sz w:val="20"/>
          <w:szCs w:val="20"/>
        </w:rPr>
        <w:t xml:space="preserve"> </w:t>
      </w:r>
      <w:r w:rsidR="008F7DE8" w:rsidRPr="00435469">
        <w:rPr>
          <w:sz w:val="20"/>
          <w:szCs w:val="20"/>
        </w:rPr>
        <w:t xml:space="preserve">Most of </w:t>
      </w:r>
      <w:r w:rsidR="00F42915" w:rsidRPr="00435469">
        <w:rPr>
          <w:sz w:val="20"/>
          <w:szCs w:val="20"/>
        </w:rPr>
        <w:t xml:space="preserve">the </w:t>
      </w:r>
      <w:r w:rsidR="007E63D0" w:rsidRPr="00435469">
        <w:rPr>
          <w:sz w:val="20"/>
          <w:szCs w:val="20"/>
        </w:rPr>
        <w:t xml:space="preserve">prior and posterior distributions means </w:t>
      </w:r>
      <w:r w:rsidR="00120AF3" w:rsidRPr="00435469">
        <w:rPr>
          <w:sz w:val="20"/>
          <w:szCs w:val="20"/>
        </w:rPr>
        <w:t>we</w:t>
      </w:r>
      <w:r w:rsidR="00F42915" w:rsidRPr="00435469">
        <w:rPr>
          <w:sz w:val="20"/>
          <w:szCs w:val="20"/>
        </w:rPr>
        <w:t xml:space="preserve">re similar </w:t>
      </w:r>
      <w:r w:rsidR="007E63D0" w:rsidRPr="00435469">
        <w:rPr>
          <w:sz w:val="20"/>
          <w:szCs w:val="20"/>
        </w:rPr>
        <w:t xml:space="preserve">and </w:t>
      </w:r>
      <w:r w:rsidR="008F7DE8" w:rsidRPr="00435469">
        <w:rPr>
          <w:sz w:val="20"/>
          <w:szCs w:val="20"/>
        </w:rPr>
        <w:t>the</w:t>
      </w:r>
      <w:r w:rsidR="00085822" w:rsidRPr="00435469">
        <w:rPr>
          <w:sz w:val="20"/>
          <w:szCs w:val="20"/>
        </w:rPr>
        <w:t xml:space="preserve"> 95% confidence intervals </w:t>
      </w:r>
      <w:r w:rsidR="008F7DE8" w:rsidRPr="00435469">
        <w:rPr>
          <w:sz w:val="20"/>
          <w:szCs w:val="20"/>
        </w:rPr>
        <w:t xml:space="preserve">overlap. </w:t>
      </w:r>
      <w:r w:rsidR="00085822" w:rsidRPr="00435469">
        <w:rPr>
          <w:sz w:val="20"/>
          <w:szCs w:val="20"/>
          <w:shd w:val="clear" w:color="auto" w:fill="FFFFFF" w:themeFill="background1"/>
        </w:rPr>
        <w:t xml:space="preserve">However, </w:t>
      </w:r>
      <w:r w:rsidR="0055039E" w:rsidRPr="00435469">
        <w:rPr>
          <w:sz w:val="20"/>
          <w:szCs w:val="20"/>
          <w:shd w:val="clear" w:color="auto" w:fill="FFFFFF" w:themeFill="background1"/>
        </w:rPr>
        <w:t>there w</w:t>
      </w:r>
      <w:r w:rsidR="001120EC" w:rsidRPr="00435469">
        <w:rPr>
          <w:sz w:val="20"/>
          <w:szCs w:val="20"/>
          <w:shd w:val="clear" w:color="auto" w:fill="FFFFFF" w:themeFill="background1"/>
        </w:rPr>
        <w:t>ere</w:t>
      </w:r>
      <w:r w:rsidR="009633E5" w:rsidRPr="00435469">
        <w:rPr>
          <w:sz w:val="20"/>
          <w:szCs w:val="20"/>
          <w:shd w:val="clear" w:color="auto" w:fill="FFFFFF" w:themeFill="background1"/>
        </w:rPr>
        <w:t xml:space="preserve"> slight</w:t>
      </w:r>
      <w:r w:rsidR="0055039E" w:rsidRPr="00435469">
        <w:rPr>
          <w:sz w:val="20"/>
          <w:szCs w:val="20"/>
          <w:shd w:val="clear" w:color="auto" w:fill="FFFFFF" w:themeFill="background1"/>
        </w:rPr>
        <w:t xml:space="preserve"> differ</w:t>
      </w:r>
      <w:r w:rsidR="0008535E" w:rsidRPr="00435469">
        <w:rPr>
          <w:sz w:val="20"/>
          <w:szCs w:val="20"/>
          <w:shd w:val="clear" w:color="auto" w:fill="FFFFFF" w:themeFill="background1"/>
        </w:rPr>
        <w:t>ences</w:t>
      </w:r>
      <w:r w:rsidR="008A31C9" w:rsidRPr="00435469">
        <w:rPr>
          <w:sz w:val="20"/>
          <w:szCs w:val="20"/>
          <w:shd w:val="clear" w:color="auto" w:fill="FFFFFF" w:themeFill="background1"/>
        </w:rPr>
        <w:t xml:space="preserve"> between the prior and posterior</w:t>
      </w:r>
      <w:r w:rsidR="0008535E" w:rsidRPr="00435469">
        <w:rPr>
          <w:sz w:val="20"/>
          <w:szCs w:val="20"/>
          <w:shd w:val="clear" w:color="auto" w:fill="FFFFFF" w:themeFill="background1"/>
        </w:rPr>
        <w:t xml:space="preserve"> </w:t>
      </w:r>
      <w:r w:rsidR="008A31C9" w:rsidRPr="00435469">
        <w:rPr>
          <w:sz w:val="20"/>
          <w:szCs w:val="20"/>
          <w:shd w:val="clear" w:color="auto" w:fill="FFFFFF" w:themeFill="background1"/>
        </w:rPr>
        <w:t>di</w:t>
      </w:r>
      <w:r w:rsidR="00BA065D" w:rsidRPr="00435469">
        <w:rPr>
          <w:sz w:val="20"/>
          <w:szCs w:val="20"/>
          <w:shd w:val="clear" w:color="auto" w:fill="FFFFFF" w:themeFill="background1"/>
        </w:rPr>
        <w:t>stributions for the parameters for effects of risk factors</w:t>
      </w:r>
      <w:r w:rsidR="00120AF3" w:rsidRPr="00435469">
        <w:rPr>
          <w:sz w:val="20"/>
          <w:szCs w:val="20"/>
          <w:shd w:val="clear" w:color="auto" w:fill="FFFFFF" w:themeFill="background1"/>
        </w:rPr>
        <w:t xml:space="preserve"> (</w:t>
      </w:r>
      <w:r w:rsidR="00C238C0" w:rsidRPr="00435469">
        <w:rPr>
          <w:sz w:val="20"/>
          <w:szCs w:val="20"/>
          <w:shd w:val="clear" w:color="auto" w:fill="FFFFFF" w:themeFill="background1"/>
        </w:rPr>
        <w:t xml:space="preserve">alcohol abuse, diabetes, </w:t>
      </w:r>
      <w:r w:rsidR="00A22104" w:rsidRPr="00435469">
        <w:rPr>
          <w:sz w:val="20"/>
          <w:szCs w:val="20"/>
          <w:shd w:val="clear" w:color="auto" w:fill="FFFFFF" w:themeFill="background1"/>
        </w:rPr>
        <w:t>smoking, and low BMI</w:t>
      </w:r>
      <w:r w:rsidR="00120AF3" w:rsidRPr="00435469">
        <w:rPr>
          <w:sz w:val="20"/>
          <w:szCs w:val="20"/>
          <w:shd w:val="clear" w:color="auto" w:fill="FFFFFF" w:themeFill="background1"/>
        </w:rPr>
        <w:t>)</w:t>
      </w:r>
      <w:r w:rsidR="00BA065D" w:rsidRPr="00435469">
        <w:rPr>
          <w:sz w:val="20"/>
          <w:szCs w:val="20"/>
          <w:shd w:val="clear" w:color="auto" w:fill="FFFFFF" w:themeFill="background1"/>
        </w:rPr>
        <w:t>.</w:t>
      </w:r>
      <w:r w:rsidR="001A0C18" w:rsidRPr="00435469">
        <w:rPr>
          <w:sz w:val="20"/>
          <w:szCs w:val="20"/>
          <w:shd w:val="clear" w:color="auto" w:fill="FFFFFF" w:themeFill="background1"/>
        </w:rPr>
        <w:t xml:space="preserve"> </w:t>
      </w:r>
      <w:r w:rsidR="001A0C18" w:rsidRPr="00435469">
        <w:rPr>
          <w:sz w:val="20"/>
          <w:szCs w:val="20"/>
          <w:shd w:val="clear" w:color="auto" w:fill="FFFFFF" w:themeFill="background1"/>
          <w:lang w:val="en-US"/>
        </w:rPr>
        <w:t xml:space="preserve">This </w:t>
      </w:r>
      <w:r w:rsidR="00FF1CDA" w:rsidRPr="00435469">
        <w:rPr>
          <w:sz w:val="20"/>
          <w:szCs w:val="20"/>
          <w:shd w:val="clear" w:color="auto" w:fill="FFFFFF" w:themeFill="background1"/>
          <w:lang w:val="en-US"/>
        </w:rPr>
        <w:t>reflects</w:t>
      </w:r>
      <w:r w:rsidR="001A0C18" w:rsidRPr="00435469">
        <w:rPr>
          <w:sz w:val="20"/>
          <w:szCs w:val="20"/>
          <w:shd w:val="clear" w:color="auto" w:fill="FFFFFF" w:themeFill="background1"/>
          <w:lang w:val="en-US"/>
        </w:rPr>
        <w:t xml:space="preserve"> the </w:t>
      </w:r>
      <w:r w:rsidR="00A456CC" w:rsidRPr="00435469">
        <w:rPr>
          <w:sz w:val="20"/>
          <w:szCs w:val="20"/>
          <w:shd w:val="clear" w:color="auto" w:fill="FFFFFF" w:themeFill="background1"/>
          <w:lang w:val="en-US"/>
        </w:rPr>
        <w:t>uncertainty asso</w:t>
      </w:r>
      <w:r w:rsidR="00762CC1" w:rsidRPr="00435469">
        <w:rPr>
          <w:sz w:val="20"/>
          <w:szCs w:val="20"/>
          <w:shd w:val="clear" w:color="auto" w:fill="FFFFFF" w:themeFill="background1"/>
          <w:lang w:val="en-US"/>
        </w:rPr>
        <w:t>ciated with</w:t>
      </w:r>
      <w:r w:rsidR="009D3149" w:rsidRPr="00435469">
        <w:rPr>
          <w:sz w:val="20"/>
          <w:szCs w:val="20"/>
          <w:shd w:val="clear" w:color="auto" w:fill="FFFFFF" w:themeFill="background1"/>
          <w:lang w:val="en-US"/>
        </w:rPr>
        <w:t xml:space="preserve"> the </w:t>
      </w:r>
      <w:r w:rsidR="00440808" w:rsidRPr="00435469">
        <w:rPr>
          <w:sz w:val="20"/>
          <w:szCs w:val="20"/>
          <w:shd w:val="clear" w:color="auto" w:fill="FFFFFF" w:themeFill="background1"/>
          <w:lang w:val="en-US"/>
        </w:rPr>
        <w:t>effects of</w:t>
      </w:r>
      <w:r w:rsidR="00762CC1" w:rsidRPr="00435469">
        <w:rPr>
          <w:sz w:val="20"/>
          <w:szCs w:val="20"/>
          <w:shd w:val="clear" w:color="auto" w:fill="FFFFFF" w:themeFill="background1"/>
          <w:lang w:val="en-US"/>
        </w:rPr>
        <w:t xml:space="preserve"> the</w:t>
      </w:r>
      <w:r w:rsidR="009D3149" w:rsidRPr="00435469">
        <w:rPr>
          <w:sz w:val="20"/>
          <w:szCs w:val="20"/>
          <w:shd w:val="clear" w:color="auto" w:fill="FFFFFF" w:themeFill="background1"/>
          <w:lang w:val="en-US"/>
        </w:rPr>
        <w:t>se</w:t>
      </w:r>
      <w:r w:rsidR="00440808" w:rsidRPr="00435469">
        <w:rPr>
          <w:sz w:val="20"/>
          <w:szCs w:val="20"/>
          <w:shd w:val="clear" w:color="auto" w:fill="FFFFFF" w:themeFill="background1"/>
          <w:lang w:val="en-US"/>
        </w:rPr>
        <w:t xml:space="preserve"> risk factors on developing tuberculosis disease</w:t>
      </w:r>
      <w:r w:rsidR="00B152C1" w:rsidRPr="00435469">
        <w:rPr>
          <w:sz w:val="20"/>
          <w:szCs w:val="20"/>
          <w:shd w:val="clear" w:color="auto" w:fill="FFFFFF" w:themeFill="background1"/>
          <w:lang w:val="en-US"/>
        </w:rPr>
        <w:t>.</w:t>
      </w:r>
      <w:r w:rsidR="00B152C1" w:rsidRPr="00435469">
        <w:rPr>
          <w:sz w:val="20"/>
          <w:szCs w:val="20"/>
          <w:lang w:val="en-US"/>
        </w:rPr>
        <w:t xml:space="preserve"> </w:t>
      </w:r>
      <w:r w:rsidR="006C306A" w:rsidRPr="00435469">
        <w:rPr>
          <w:sz w:val="20"/>
          <w:szCs w:val="20"/>
          <w:lang w:val="en-US"/>
        </w:rPr>
        <w:t xml:space="preserve"> </w:t>
      </w:r>
    </w:p>
    <w:p w14:paraId="1A79A5B1" w14:textId="739FBFA1" w:rsidR="006D3675" w:rsidRPr="00435469" w:rsidRDefault="006D3675" w:rsidP="00955FFB">
      <w:pPr>
        <w:pStyle w:val="3CaptionAbove"/>
        <w:rPr>
          <w:sz w:val="20"/>
          <w:szCs w:val="20"/>
        </w:rPr>
      </w:pPr>
      <w:bookmarkStart w:id="359" w:name="_Ref99870201"/>
      <w:bookmarkStart w:id="360" w:name="_Toc103253678"/>
      <w:r w:rsidRPr="00435469">
        <w:rPr>
          <w:sz w:val="20"/>
          <w:szCs w:val="20"/>
        </w:rPr>
        <w:t xml:space="preserve">Table </w:t>
      </w:r>
      <w:r w:rsidRPr="00435469">
        <w:rPr>
          <w:sz w:val="20"/>
          <w:szCs w:val="20"/>
        </w:rPr>
        <w:fldChar w:fldCharType="begin"/>
      </w:r>
      <w:r w:rsidRPr="00435469">
        <w:rPr>
          <w:sz w:val="20"/>
          <w:szCs w:val="20"/>
        </w:rPr>
        <w:instrText xml:space="preserve"> SEQ Table \* ARABIC </w:instrText>
      </w:r>
      <w:r w:rsidRPr="00435469">
        <w:rPr>
          <w:sz w:val="20"/>
          <w:szCs w:val="20"/>
        </w:rPr>
        <w:fldChar w:fldCharType="separate"/>
      </w:r>
      <w:r w:rsidR="00186C2F" w:rsidRPr="00435469">
        <w:rPr>
          <w:sz w:val="20"/>
          <w:szCs w:val="20"/>
        </w:rPr>
        <w:t>25</w:t>
      </w:r>
      <w:r w:rsidRPr="00435469">
        <w:rPr>
          <w:sz w:val="20"/>
          <w:szCs w:val="20"/>
        </w:rPr>
        <w:fldChar w:fldCharType="end"/>
      </w:r>
      <w:bookmarkEnd w:id="358"/>
      <w:bookmarkEnd w:id="359"/>
      <w:r w:rsidRPr="00435469">
        <w:rPr>
          <w:sz w:val="20"/>
          <w:szCs w:val="20"/>
        </w:rPr>
        <w:t>: Comparison of prior and posterior distributions for model parameters</w:t>
      </w:r>
      <w:bookmarkEnd w:id="360"/>
    </w:p>
    <w:tbl>
      <w:tblPr>
        <w:tblW w:w="9480" w:type="dxa"/>
        <w:tblLook w:val="04A0" w:firstRow="1" w:lastRow="0" w:firstColumn="1" w:lastColumn="0" w:noHBand="0" w:noVBand="1"/>
      </w:tblPr>
      <w:tblGrid>
        <w:gridCol w:w="5720"/>
        <w:gridCol w:w="1935"/>
        <w:gridCol w:w="1825"/>
      </w:tblGrid>
      <w:tr w:rsidR="0061685C" w:rsidRPr="00435469" w14:paraId="5B7237E1" w14:textId="77777777" w:rsidTr="000E787D">
        <w:trPr>
          <w:trHeight w:val="300"/>
        </w:trPr>
        <w:tc>
          <w:tcPr>
            <w:tcW w:w="5720" w:type="dxa"/>
            <w:tcBorders>
              <w:top w:val="single" w:sz="8" w:space="0" w:color="auto"/>
              <w:left w:val="nil"/>
              <w:bottom w:val="single" w:sz="8" w:space="0" w:color="auto"/>
              <w:right w:val="nil"/>
            </w:tcBorders>
            <w:shd w:val="clear" w:color="auto" w:fill="auto"/>
            <w:vAlign w:val="center"/>
            <w:hideMark/>
          </w:tcPr>
          <w:p w14:paraId="26DA800B" w14:textId="77777777" w:rsidR="002418AE" w:rsidRPr="00435469" w:rsidRDefault="002418AE" w:rsidP="00C56B51">
            <w:pPr>
              <w:spacing w:after="0" w:line="240" w:lineRule="auto"/>
              <w:rPr>
                <w:rFonts w:eastAsia="Times New Roman" w:cs="Times New Roman"/>
                <w:b/>
                <w:bCs/>
                <w:sz w:val="16"/>
                <w:szCs w:val="16"/>
                <w:lang w:val="en-ZA" w:eastAsia="en-ZA"/>
              </w:rPr>
            </w:pPr>
            <w:bookmarkStart w:id="361" w:name="_Hlk103260085"/>
            <w:r w:rsidRPr="00435469">
              <w:rPr>
                <w:rFonts w:eastAsia="Times New Roman" w:cs="Times New Roman"/>
                <w:b/>
                <w:bCs/>
                <w:sz w:val="16"/>
                <w:szCs w:val="16"/>
                <w:lang w:val="en-ZA" w:eastAsia="en-ZA"/>
              </w:rPr>
              <w:t>Parameter description</w:t>
            </w:r>
          </w:p>
        </w:tc>
        <w:tc>
          <w:tcPr>
            <w:tcW w:w="1935" w:type="dxa"/>
            <w:tcBorders>
              <w:top w:val="single" w:sz="8" w:space="0" w:color="auto"/>
              <w:left w:val="nil"/>
              <w:bottom w:val="single" w:sz="8" w:space="0" w:color="auto"/>
              <w:right w:val="nil"/>
            </w:tcBorders>
            <w:shd w:val="clear" w:color="auto" w:fill="auto"/>
            <w:noWrap/>
            <w:vAlign w:val="center"/>
            <w:hideMark/>
          </w:tcPr>
          <w:p w14:paraId="276EFA5E" w14:textId="77777777" w:rsidR="002418AE" w:rsidRPr="00435469" w:rsidRDefault="002418AE" w:rsidP="00C56B51">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Prior mean (95% confidence interval)</w:t>
            </w:r>
          </w:p>
        </w:tc>
        <w:tc>
          <w:tcPr>
            <w:tcW w:w="1825" w:type="dxa"/>
            <w:tcBorders>
              <w:top w:val="single" w:sz="8" w:space="0" w:color="auto"/>
              <w:left w:val="nil"/>
              <w:bottom w:val="single" w:sz="8" w:space="0" w:color="auto"/>
              <w:right w:val="nil"/>
            </w:tcBorders>
            <w:shd w:val="clear" w:color="auto" w:fill="auto"/>
            <w:noWrap/>
            <w:vAlign w:val="center"/>
            <w:hideMark/>
          </w:tcPr>
          <w:p w14:paraId="6787AFDA" w14:textId="77777777" w:rsidR="002418AE" w:rsidRPr="00435469" w:rsidRDefault="002418AE" w:rsidP="00C56B51">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Posterior mean (95% confidence interval)</w:t>
            </w:r>
          </w:p>
        </w:tc>
      </w:tr>
      <w:tr w:rsidR="0061685C" w:rsidRPr="00435469" w14:paraId="0ECB18DF" w14:textId="77777777" w:rsidTr="000E787D">
        <w:trPr>
          <w:trHeight w:val="290"/>
        </w:trPr>
        <w:tc>
          <w:tcPr>
            <w:tcW w:w="5720" w:type="dxa"/>
            <w:tcBorders>
              <w:top w:val="nil"/>
              <w:left w:val="nil"/>
              <w:bottom w:val="nil"/>
              <w:right w:val="nil"/>
            </w:tcBorders>
            <w:shd w:val="clear" w:color="auto" w:fill="auto"/>
            <w:vAlign w:val="center"/>
            <w:hideMark/>
          </w:tcPr>
          <w:p w14:paraId="47D68BFA"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TB transmission probability per contact per day (if infectious individual is smear-positive)</w:t>
            </w:r>
          </w:p>
        </w:tc>
        <w:tc>
          <w:tcPr>
            <w:tcW w:w="1935" w:type="dxa"/>
            <w:tcBorders>
              <w:top w:val="nil"/>
              <w:left w:val="nil"/>
              <w:bottom w:val="nil"/>
              <w:right w:val="nil"/>
            </w:tcBorders>
            <w:shd w:val="clear" w:color="auto" w:fill="auto"/>
            <w:noWrap/>
            <w:vAlign w:val="center"/>
            <w:hideMark/>
          </w:tcPr>
          <w:p w14:paraId="0CC4DC7A" w14:textId="1B24FBA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0.00</w:t>
            </w:r>
            <w:r w:rsidR="00261F21" w:rsidRPr="00435469">
              <w:rPr>
                <w:rFonts w:eastAsia="Times New Roman" w:cs="Times New Roman"/>
                <w:sz w:val="16"/>
                <w:szCs w:val="16"/>
                <w:lang w:val="en-ZA" w:eastAsia="en-ZA"/>
              </w:rPr>
              <w:t>25</w:t>
            </w:r>
            <w:r w:rsidRPr="00435469">
              <w:rPr>
                <w:rFonts w:eastAsia="Times New Roman" w:cs="Times New Roman"/>
                <w:sz w:val="16"/>
                <w:szCs w:val="16"/>
                <w:lang w:val="en-ZA" w:eastAsia="en-ZA"/>
              </w:rPr>
              <w:t xml:space="preserve"> (0.0</w:t>
            </w:r>
            <w:r w:rsidR="00261F21" w:rsidRPr="00435469">
              <w:rPr>
                <w:rFonts w:eastAsia="Times New Roman" w:cs="Times New Roman"/>
                <w:sz w:val="16"/>
                <w:szCs w:val="16"/>
                <w:lang w:val="en-ZA" w:eastAsia="en-ZA"/>
              </w:rPr>
              <w:t>001</w:t>
            </w:r>
            <w:r w:rsidRPr="00435469">
              <w:rPr>
                <w:rFonts w:eastAsia="Times New Roman" w:cs="Times New Roman"/>
                <w:sz w:val="16"/>
                <w:szCs w:val="16"/>
                <w:lang w:val="en-ZA" w:eastAsia="en-ZA"/>
              </w:rPr>
              <w:t xml:space="preserve"> –</w:t>
            </w:r>
            <w:r w:rsidR="00261F21" w:rsidRPr="00435469">
              <w:rPr>
                <w:rFonts w:eastAsia="Times New Roman" w:cs="Times New Roman"/>
                <w:sz w:val="16"/>
                <w:szCs w:val="16"/>
                <w:lang w:val="en-ZA" w:eastAsia="en-ZA"/>
              </w:rPr>
              <w:t xml:space="preserve"> 0.0</w:t>
            </w:r>
            <w:r w:rsidR="00DE009E" w:rsidRPr="00435469">
              <w:rPr>
                <w:rFonts w:eastAsia="Times New Roman" w:cs="Times New Roman"/>
                <w:sz w:val="16"/>
                <w:szCs w:val="16"/>
                <w:lang w:val="en-ZA" w:eastAsia="en-ZA"/>
              </w:rPr>
              <w:t>184)</w:t>
            </w:r>
          </w:p>
        </w:tc>
        <w:tc>
          <w:tcPr>
            <w:tcW w:w="1825" w:type="dxa"/>
            <w:tcBorders>
              <w:top w:val="nil"/>
              <w:left w:val="nil"/>
              <w:bottom w:val="nil"/>
              <w:right w:val="nil"/>
            </w:tcBorders>
            <w:shd w:val="clear" w:color="auto" w:fill="auto"/>
            <w:noWrap/>
            <w:vAlign w:val="center"/>
            <w:hideMark/>
          </w:tcPr>
          <w:p w14:paraId="774AE1F3"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0.003 (0.0027 - 0.0032)</w:t>
            </w:r>
          </w:p>
        </w:tc>
      </w:tr>
      <w:tr w:rsidR="0061685C" w:rsidRPr="00435469" w14:paraId="196DFA2A" w14:textId="77777777" w:rsidTr="000E787D">
        <w:trPr>
          <w:trHeight w:val="290"/>
        </w:trPr>
        <w:tc>
          <w:tcPr>
            <w:tcW w:w="5720" w:type="dxa"/>
            <w:tcBorders>
              <w:top w:val="nil"/>
              <w:left w:val="nil"/>
              <w:bottom w:val="nil"/>
              <w:right w:val="nil"/>
            </w:tcBorders>
            <w:shd w:val="clear" w:color="auto" w:fill="auto"/>
            <w:vAlign w:val="center"/>
            <w:hideMark/>
          </w:tcPr>
          <w:p w14:paraId="2085E494"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Reduction in TB incidence per 100 increases in CD4</w:t>
            </w:r>
          </w:p>
        </w:tc>
        <w:tc>
          <w:tcPr>
            <w:tcW w:w="1935" w:type="dxa"/>
            <w:tcBorders>
              <w:top w:val="nil"/>
              <w:left w:val="nil"/>
              <w:bottom w:val="nil"/>
              <w:right w:val="nil"/>
            </w:tcBorders>
            <w:shd w:val="clear" w:color="auto" w:fill="auto"/>
            <w:noWrap/>
            <w:vAlign w:val="center"/>
            <w:hideMark/>
          </w:tcPr>
          <w:p w14:paraId="4B9EB2C5" w14:textId="21B4B73B"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0.71 (0.</w:t>
            </w:r>
            <w:r w:rsidR="00E6068E" w:rsidRPr="00435469">
              <w:rPr>
                <w:rFonts w:eastAsia="Times New Roman" w:cs="Times New Roman"/>
                <w:sz w:val="16"/>
                <w:szCs w:val="16"/>
                <w:lang w:val="en-ZA" w:eastAsia="en-ZA"/>
              </w:rPr>
              <w:t>531</w:t>
            </w:r>
            <w:r w:rsidRPr="00435469">
              <w:rPr>
                <w:rFonts w:eastAsia="Times New Roman" w:cs="Times New Roman"/>
                <w:sz w:val="16"/>
                <w:szCs w:val="16"/>
                <w:lang w:val="en-ZA" w:eastAsia="en-ZA"/>
              </w:rPr>
              <w:t xml:space="preserve"> – 0.8</w:t>
            </w:r>
            <w:r w:rsidR="00E6068E" w:rsidRPr="00435469">
              <w:rPr>
                <w:rFonts w:eastAsia="Times New Roman" w:cs="Times New Roman"/>
                <w:sz w:val="16"/>
                <w:szCs w:val="16"/>
                <w:lang w:val="en-ZA" w:eastAsia="en-ZA"/>
              </w:rPr>
              <w:t>60</w:t>
            </w:r>
            <w:r w:rsidRPr="00435469">
              <w:rPr>
                <w:rFonts w:eastAsia="Times New Roman" w:cs="Times New Roman"/>
                <w:sz w:val="16"/>
                <w:szCs w:val="16"/>
                <w:lang w:val="en-ZA" w:eastAsia="en-ZA"/>
              </w:rPr>
              <w:t>)</w:t>
            </w:r>
          </w:p>
        </w:tc>
        <w:tc>
          <w:tcPr>
            <w:tcW w:w="1825" w:type="dxa"/>
            <w:tcBorders>
              <w:top w:val="nil"/>
              <w:left w:val="nil"/>
              <w:bottom w:val="nil"/>
              <w:right w:val="nil"/>
            </w:tcBorders>
            <w:shd w:val="clear" w:color="auto" w:fill="auto"/>
            <w:noWrap/>
            <w:vAlign w:val="center"/>
            <w:hideMark/>
          </w:tcPr>
          <w:p w14:paraId="223D0177"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0.72 (0.71 - 0.73)</w:t>
            </w:r>
          </w:p>
        </w:tc>
      </w:tr>
      <w:tr w:rsidR="0061685C" w:rsidRPr="00435469" w14:paraId="351E5647" w14:textId="77777777" w:rsidTr="000E787D">
        <w:trPr>
          <w:trHeight w:val="290"/>
        </w:trPr>
        <w:tc>
          <w:tcPr>
            <w:tcW w:w="5720" w:type="dxa"/>
            <w:tcBorders>
              <w:top w:val="nil"/>
              <w:left w:val="nil"/>
              <w:bottom w:val="nil"/>
              <w:right w:val="nil"/>
            </w:tcBorders>
            <w:shd w:val="clear" w:color="auto" w:fill="auto"/>
            <w:vAlign w:val="center"/>
            <w:hideMark/>
          </w:tcPr>
          <w:p w14:paraId="2B22DF1F"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 xml:space="preserve">Relative rate of TB mortality per 50 cells increases in CD4 count, in HIV-positive adults </w:t>
            </w:r>
          </w:p>
        </w:tc>
        <w:tc>
          <w:tcPr>
            <w:tcW w:w="1935" w:type="dxa"/>
            <w:tcBorders>
              <w:top w:val="nil"/>
              <w:left w:val="nil"/>
              <w:bottom w:val="nil"/>
              <w:right w:val="nil"/>
            </w:tcBorders>
            <w:shd w:val="clear" w:color="auto" w:fill="auto"/>
            <w:noWrap/>
            <w:vAlign w:val="center"/>
            <w:hideMark/>
          </w:tcPr>
          <w:p w14:paraId="73D67523" w14:textId="12110EA5"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0.87 (0.7</w:t>
            </w:r>
            <w:r w:rsidR="00D04F06" w:rsidRPr="00435469">
              <w:rPr>
                <w:rFonts w:eastAsia="Times New Roman" w:cs="Times New Roman"/>
                <w:sz w:val="16"/>
                <w:szCs w:val="16"/>
                <w:lang w:val="en-ZA" w:eastAsia="en-ZA"/>
              </w:rPr>
              <w:t>58</w:t>
            </w:r>
            <w:r w:rsidRPr="00435469">
              <w:rPr>
                <w:rFonts w:eastAsia="Times New Roman" w:cs="Times New Roman"/>
                <w:sz w:val="16"/>
                <w:szCs w:val="16"/>
                <w:lang w:val="en-ZA" w:eastAsia="en-ZA"/>
              </w:rPr>
              <w:t xml:space="preserve"> – 0.9</w:t>
            </w:r>
            <w:r w:rsidR="00D04F06" w:rsidRPr="00435469">
              <w:rPr>
                <w:rFonts w:eastAsia="Times New Roman" w:cs="Times New Roman"/>
                <w:sz w:val="16"/>
                <w:szCs w:val="16"/>
                <w:lang w:val="en-ZA" w:eastAsia="en-ZA"/>
              </w:rPr>
              <w:t>51</w:t>
            </w:r>
            <w:r w:rsidRPr="00435469">
              <w:rPr>
                <w:rFonts w:eastAsia="Times New Roman" w:cs="Times New Roman"/>
                <w:sz w:val="16"/>
                <w:szCs w:val="16"/>
                <w:lang w:val="en-ZA" w:eastAsia="en-ZA"/>
              </w:rPr>
              <w:t>)</w:t>
            </w:r>
          </w:p>
        </w:tc>
        <w:tc>
          <w:tcPr>
            <w:tcW w:w="1825" w:type="dxa"/>
            <w:tcBorders>
              <w:top w:val="nil"/>
              <w:left w:val="nil"/>
              <w:bottom w:val="nil"/>
              <w:right w:val="nil"/>
            </w:tcBorders>
            <w:shd w:val="clear" w:color="auto" w:fill="auto"/>
            <w:noWrap/>
            <w:vAlign w:val="center"/>
            <w:hideMark/>
          </w:tcPr>
          <w:p w14:paraId="0558A77F"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xml:space="preserve">0.92 (0.91 - 0.93) </w:t>
            </w:r>
          </w:p>
        </w:tc>
      </w:tr>
      <w:tr w:rsidR="0061685C" w:rsidRPr="00435469" w14:paraId="6E97D96E" w14:textId="77777777" w:rsidTr="000E787D">
        <w:trPr>
          <w:trHeight w:val="290"/>
        </w:trPr>
        <w:tc>
          <w:tcPr>
            <w:tcW w:w="5720" w:type="dxa"/>
            <w:tcBorders>
              <w:top w:val="nil"/>
              <w:left w:val="nil"/>
              <w:bottom w:val="nil"/>
              <w:right w:val="nil"/>
            </w:tcBorders>
            <w:shd w:val="clear" w:color="auto" w:fill="auto"/>
            <w:vAlign w:val="center"/>
            <w:hideMark/>
          </w:tcPr>
          <w:p w14:paraId="67E0C2E6"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Relative rate of TB incidence on ART (controlling for CD4)</w:t>
            </w:r>
          </w:p>
        </w:tc>
        <w:tc>
          <w:tcPr>
            <w:tcW w:w="1935" w:type="dxa"/>
            <w:tcBorders>
              <w:top w:val="nil"/>
              <w:left w:val="nil"/>
              <w:bottom w:val="nil"/>
              <w:right w:val="nil"/>
            </w:tcBorders>
            <w:shd w:val="clear" w:color="auto" w:fill="auto"/>
            <w:noWrap/>
            <w:vAlign w:val="center"/>
            <w:hideMark/>
          </w:tcPr>
          <w:p w14:paraId="34A1DAFB" w14:textId="47C2EC15"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0.81 (0.7</w:t>
            </w:r>
            <w:r w:rsidR="001934D8" w:rsidRPr="00435469">
              <w:rPr>
                <w:rFonts w:eastAsia="Times New Roman" w:cs="Times New Roman"/>
                <w:sz w:val="16"/>
                <w:szCs w:val="16"/>
                <w:lang w:val="en-ZA" w:eastAsia="en-ZA"/>
              </w:rPr>
              <w:t>58</w:t>
            </w:r>
            <w:r w:rsidRPr="00435469">
              <w:rPr>
                <w:rFonts w:eastAsia="Times New Roman" w:cs="Times New Roman"/>
                <w:sz w:val="16"/>
                <w:szCs w:val="16"/>
                <w:lang w:val="en-ZA" w:eastAsia="en-ZA"/>
              </w:rPr>
              <w:t xml:space="preserve"> - 0.9</w:t>
            </w:r>
            <w:r w:rsidR="001934D8" w:rsidRPr="00435469">
              <w:rPr>
                <w:rFonts w:eastAsia="Times New Roman" w:cs="Times New Roman"/>
                <w:sz w:val="16"/>
                <w:szCs w:val="16"/>
                <w:lang w:val="en-ZA" w:eastAsia="en-ZA"/>
              </w:rPr>
              <w:t>51</w:t>
            </w:r>
            <w:r w:rsidRPr="00435469">
              <w:rPr>
                <w:rFonts w:eastAsia="Times New Roman" w:cs="Times New Roman"/>
                <w:sz w:val="16"/>
                <w:szCs w:val="16"/>
                <w:lang w:val="en-ZA" w:eastAsia="en-ZA"/>
              </w:rPr>
              <w:t>)</w:t>
            </w:r>
          </w:p>
        </w:tc>
        <w:tc>
          <w:tcPr>
            <w:tcW w:w="1825" w:type="dxa"/>
            <w:tcBorders>
              <w:top w:val="nil"/>
              <w:left w:val="nil"/>
              <w:bottom w:val="nil"/>
              <w:right w:val="nil"/>
            </w:tcBorders>
            <w:shd w:val="clear" w:color="auto" w:fill="auto"/>
            <w:noWrap/>
            <w:vAlign w:val="center"/>
            <w:hideMark/>
          </w:tcPr>
          <w:p w14:paraId="405A9877"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0.74 (0.71 - 0.77)</w:t>
            </w:r>
          </w:p>
        </w:tc>
      </w:tr>
      <w:tr w:rsidR="0061685C" w:rsidRPr="00435469" w14:paraId="6D37153C" w14:textId="77777777" w:rsidTr="000E787D">
        <w:trPr>
          <w:trHeight w:val="290"/>
        </w:trPr>
        <w:tc>
          <w:tcPr>
            <w:tcW w:w="5720" w:type="dxa"/>
            <w:tcBorders>
              <w:top w:val="nil"/>
              <w:left w:val="nil"/>
              <w:bottom w:val="nil"/>
              <w:right w:val="nil"/>
            </w:tcBorders>
            <w:shd w:val="clear" w:color="auto" w:fill="auto"/>
            <w:vAlign w:val="center"/>
            <w:hideMark/>
          </w:tcPr>
          <w:p w14:paraId="527D46BF"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Relative rate of TB mortality if on ART</w:t>
            </w:r>
          </w:p>
        </w:tc>
        <w:tc>
          <w:tcPr>
            <w:tcW w:w="1935" w:type="dxa"/>
            <w:tcBorders>
              <w:top w:val="nil"/>
              <w:left w:val="nil"/>
              <w:bottom w:val="nil"/>
              <w:right w:val="nil"/>
            </w:tcBorders>
            <w:shd w:val="clear" w:color="auto" w:fill="auto"/>
            <w:noWrap/>
            <w:vAlign w:val="center"/>
            <w:hideMark/>
          </w:tcPr>
          <w:p w14:paraId="2B0FFBE8" w14:textId="6DC5143E"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0.55 (0.39</w:t>
            </w:r>
            <w:r w:rsidR="000E787D" w:rsidRPr="00435469">
              <w:rPr>
                <w:rFonts w:eastAsia="Times New Roman" w:cs="Times New Roman"/>
                <w:sz w:val="16"/>
                <w:szCs w:val="16"/>
                <w:lang w:val="en-ZA" w:eastAsia="en-ZA"/>
              </w:rPr>
              <w:t>2</w:t>
            </w:r>
            <w:r w:rsidRPr="00435469">
              <w:rPr>
                <w:rFonts w:eastAsia="Times New Roman" w:cs="Times New Roman"/>
                <w:sz w:val="16"/>
                <w:szCs w:val="16"/>
                <w:lang w:val="en-ZA" w:eastAsia="en-ZA"/>
              </w:rPr>
              <w:t xml:space="preserve"> - 0.7</w:t>
            </w:r>
            <w:r w:rsidR="000E787D" w:rsidRPr="00435469">
              <w:rPr>
                <w:rFonts w:eastAsia="Times New Roman" w:cs="Times New Roman"/>
                <w:sz w:val="16"/>
                <w:szCs w:val="16"/>
                <w:lang w:val="en-ZA" w:eastAsia="en-ZA"/>
              </w:rPr>
              <w:t>03</w:t>
            </w:r>
            <w:r w:rsidRPr="00435469">
              <w:rPr>
                <w:rFonts w:eastAsia="Times New Roman" w:cs="Times New Roman"/>
                <w:sz w:val="16"/>
                <w:szCs w:val="16"/>
                <w:lang w:val="en-ZA" w:eastAsia="en-ZA"/>
              </w:rPr>
              <w:t>)</w:t>
            </w:r>
          </w:p>
        </w:tc>
        <w:tc>
          <w:tcPr>
            <w:tcW w:w="1825" w:type="dxa"/>
            <w:tcBorders>
              <w:top w:val="nil"/>
              <w:left w:val="nil"/>
              <w:bottom w:val="nil"/>
              <w:right w:val="nil"/>
            </w:tcBorders>
            <w:shd w:val="clear" w:color="auto" w:fill="auto"/>
            <w:noWrap/>
            <w:vAlign w:val="center"/>
            <w:hideMark/>
          </w:tcPr>
          <w:p w14:paraId="1F3FCA0D"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0.71 (0.67 - 0.74)</w:t>
            </w:r>
          </w:p>
        </w:tc>
      </w:tr>
      <w:tr w:rsidR="0061685C" w:rsidRPr="00435469" w14:paraId="57C3C769" w14:textId="77777777" w:rsidTr="000E787D">
        <w:trPr>
          <w:trHeight w:val="290"/>
        </w:trPr>
        <w:tc>
          <w:tcPr>
            <w:tcW w:w="5720" w:type="dxa"/>
            <w:tcBorders>
              <w:top w:val="nil"/>
              <w:left w:val="nil"/>
              <w:bottom w:val="nil"/>
              <w:right w:val="nil"/>
            </w:tcBorders>
            <w:shd w:val="clear" w:color="auto" w:fill="auto"/>
            <w:vAlign w:val="center"/>
            <w:hideMark/>
          </w:tcPr>
          <w:p w14:paraId="753687B2"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Increase in TB mortality rate per 10-year increase in age</w:t>
            </w:r>
          </w:p>
        </w:tc>
        <w:tc>
          <w:tcPr>
            <w:tcW w:w="1935" w:type="dxa"/>
            <w:tcBorders>
              <w:top w:val="nil"/>
              <w:left w:val="nil"/>
              <w:bottom w:val="nil"/>
              <w:right w:val="nil"/>
            </w:tcBorders>
            <w:shd w:val="clear" w:color="auto" w:fill="auto"/>
            <w:noWrap/>
            <w:vAlign w:val="center"/>
            <w:hideMark/>
          </w:tcPr>
          <w:p w14:paraId="48009CE4" w14:textId="348A81F8"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1.4 (1.2</w:t>
            </w:r>
            <w:r w:rsidR="003B7B83" w:rsidRPr="00435469">
              <w:rPr>
                <w:rFonts w:eastAsia="Times New Roman" w:cs="Times New Roman"/>
                <w:sz w:val="16"/>
                <w:szCs w:val="16"/>
                <w:lang w:val="en-ZA" w:eastAsia="en-ZA"/>
              </w:rPr>
              <w:t>1</w:t>
            </w:r>
            <w:r w:rsidR="00321E97" w:rsidRPr="00435469">
              <w:rPr>
                <w:rFonts w:eastAsia="Times New Roman" w:cs="Times New Roman"/>
                <w:sz w:val="16"/>
                <w:szCs w:val="16"/>
                <w:lang w:val="en-ZA" w:eastAsia="en-ZA"/>
              </w:rPr>
              <w:t>1</w:t>
            </w:r>
            <w:r w:rsidRPr="00435469">
              <w:rPr>
                <w:rFonts w:eastAsia="Times New Roman" w:cs="Times New Roman"/>
                <w:sz w:val="16"/>
                <w:szCs w:val="16"/>
                <w:lang w:val="en-ZA" w:eastAsia="en-ZA"/>
              </w:rPr>
              <w:t xml:space="preserve"> - 1.6</w:t>
            </w:r>
            <w:r w:rsidR="00852E16" w:rsidRPr="00435469">
              <w:rPr>
                <w:rFonts w:eastAsia="Times New Roman" w:cs="Times New Roman"/>
                <w:sz w:val="16"/>
                <w:szCs w:val="16"/>
                <w:lang w:val="en-ZA" w:eastAsia="en-ZA"/>
              </w:rPr>
              <w:t>0</w:t>
            </w:r>
            <w:r w:rsidR="00321E97" w:rsidRPr="00435469">
              <w:rPr>
                <w:rFonts w:eastAsia="Times New Roman" w:cs="Times New Roman"/>
                <w:sz w:val="16"/>
                <w:szCs w:val="16"/>
                <w:lang w:val="en-ZA" w:eastAsia="en-ZA"/>
              </w:rPr>
              <w:t>3)</w:t>
            </w:r>
          </w:p>
        </w:tc>
        <w:tc>
          <w:tcPr>
            <w:tcW w:w="1825" w:type="dxa"/>
            <w:tcBorders>
              <w:top w:val="nil"/>
              <w:left w:val="nil"/>
              <w:bottom w:val="nil"/>
              <w:right w:val="nil"/>
            </w:tcBorders>
            <w:shd w:val="clear" w:color="auto" w:fill="auto"/>
            <w:noWrap/>
            <w:vAlign w:val="center"/>
            <w:hideMark/>
          </w:tcPr>
          <w:p w14:paraId="5A8FBFF4"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1.39 (1.34 - 1.45)</w:t>
            </w:r>
          </w:p>
        </w:tc>
      </w:tr>
      <w:tr w:rsidR="0061685C" w:rsidRPr="00435469" w14:paraId="6AD7683A" w14:textId="77777777" w:rsidTr="000E787D">
        <w:trPr>
          <w:trHeight w:val="290"/>
        </w:trPr>
        <w:tc>
          <w:tcPr>
            <w:tcW w:w="5720" w:type="dxa"/>
            <w:tcBorders>
              <w:top w:val="nil"/>
              <w:left w:val="nil"/>
              <w:bottom w:val="nil"/>
              <w:right w:val="nil"/>
            </w:tcBorders>
            <w:shd w:val="clear" w:color="auto" w:fill="auto"/>
            <w:vAlign w:val="center"/>
            <w:hideMark/>
          </w:tcPr>
          <w:p w14:paraId="0CC5E3D6"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Annual rate of health seeking in males with smear-neg TB</w:t>
            </w:r>
          </w:p>
        </w:tc>
        <w:tc>
          <w:tcPr>
            <w:tcW w:w="1935" w:type="dxa"/>
            <w:tcBorders>
              <w:top w:val="nil"/>
              <w:left w:val="nil"/>
              <w:bottom w:val="nil"/>
              <w:right w:val="nil"/>
            </w:tcBorders>
            <w:shd w:val="clear" w:color="auto" w:fill="auto"/>
            <w:noWrap/>
            <w:vAlign w:val="center"/>
            <w:hideMark/>
          </w:tcPr>
          <w:p w14:paraId="1EC2304F" w14:textId="07225C3A"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2.14 (1.</w:t>
            </w:r>
            <w:r w:rsidR="00321E97" w:rsidRPr="00435469">
              <w:rPr>
                <w:rFonts w:eastAsia="Times New Roman" w:cs="Times New Roman"/>
                <w:sz w:val="16"/>
                <w:szCs w:val="16"/>
                <w:lang w:val="en-ZA" w:eastAsia="en-ZA"/>
              </w:rPr>
              <w:t>29</w:t>
            </w:r>
            <w:r w:rsidRPr="00435469">
              <w:rPr>
                <w:rFonts w:eastAsia="Times New Roman" w:cs="Times New Roman"/>
                <w:sz w:val="16"/>
                <w:szCs w:val="16"/>
                <w:lang w:val="en-ZA" w:eastAsia="en-ZA"/>
              </w:rPr>
              <w:t xml:space="preserve"> - 3.</w:t>
            </w:r>
            <w:r w:rsidR="00E35CFD" w:rsidRPr="00435469">
              <w:rPr>
                <w:rFonts w:eastAsia="Times New Roman" w:cs="Times New Roman"/>
                <w:sz w:val="16"/>
                <w:szCs w:val="16"/>
                <w:lang w:val="en-ZA" w:eastAsia="en-ZA"/>
              </w:rPr>
              <w:t>202</w:t>
            </w:r>
            <w:r w:rsidRPr="00435469">
              <w:rPr>
                <w:rFonts w:eastAsia="Times New Roman" w:cs="Times New Roman"/>
                <w:sz w:val="16"/>
                <w:szCs w:val="16"/>
                <w:lang w:val="en-ZA" w:eastAsia="en-ZA"/>
              </w:rPr>
              <w:t>)</w:t>
            </w:r>
          </w:p>
        </w:tc>
        <w:tc>
          <w:tcPr>
            <w:tcW w:w="1825" w:type="dxa"/>
            <w:tcBorders>
              <w:top w:val="nil"/>
              <w:left w:val="nil"/>
              <w:bottom w:val="nil"/>
              <w:right w:val="nil"/>
            </w:tcBorders>
            <w:shd w:val="clear" w:color="auto" w:fill="auto"/>
            <w:noWrap/>
            <w:vAlign w:val="center"/>
            <w:hideMark/>
          </w:tcPr>
          <w:p w14:paraId="1AC3F695"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1.04 (0.95 - 1.13)</w:t>
            </w:r>
          </w:p>
        </w:tc>
      </w:tr>
      <w:tr w:rsidR="0061685C" w:rsidRPr="00435469" w14:paraId="63337B0B" w14:textId="77777777" w:rsidTr="000E787D">
        <w:trPr>
          <w:trHeight w:val="290"/>
        </w:trPr>
        <w:tc>
          <w:tcPr>
            <w:tcW w:w="5720" w:type="dxa"/>
            <w:tcBorders>
              <w:top w:val="nil"/>
              <w:left w:val="nil"/>
              <w:bottom w:val="nil"/>
              <w:right w:val="nil"/>
            </w:tcBorders>
            <w:shd w:val="clear" w:color="auto" w:fill="auto"/>
            <w:vAlign w:val="center"/>
            <w:hideMark/>
          </w:tcPr>
          <w:p w14:paraId="64C65874"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Relative rate of health seeking in females</w:t>
            </w:r>
          </w:p>
        </w:tc>
        <w:tc>
          <w:tcPr>
            <w:tcW w:w="1935" w:type="dxa"/>
            <w:tcBorders>
              <w:top w:val="nil"/>
              <w:left w:val="nil"/>
              <w:bottom w:val="nil"/>
              <w:right w:val="nil"/>
            </w:tcBorders>
            <w:shd w:val="clear" w:color="auto" w:fill="auto"/>
            <w:noWrap/>
            <w:vAlign w:val="center"/>
            <w:hideMark/>
          </w:tcPr>
          <w:p w14:paraId="283C3CD3" w14:textId="1175D882"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1.55 (1.2</w:t>
            </w:r>
            <w:r w:rsidR="00E35CFD" w:rsidRPr="00435469">
              <w:rPr>
                <w:rFonts w:eastAsia="Times New Roman" w:cs="Times New Roman"/>
                <w:sz w:val="16"/>
                <w:szCs w:val="16"/>
                <w:lang w:val="en-ZA" w:eastAsia="en-ZA"/>
              </w:rPr>
              <w:t>35</w:t>
            </w:r>
            <w:r w:rsidRPr="00435469">
              <w:rPr>
                <w:rFonts w:eastAsia="Times New Roman" w:cs="Times New Roman"/>
                <w:sz w:val="16"/>
                <w:szCs w:val="16"/>
                <w:lang w:val="en-ZA" w:eastAsia="en-ZA"/>
              </w:rPr>
              <w:t xml:space="preserve"> - 1.</w:t>
            </w:r>
            <w:r w:rsidR="00793CBE" w:rsidRPr="00435469">
              <w:rPr>
                <w:rFonts w:eastAsia="Times New Roman" w:cs="Times New Roman"/>
                <w:sz w:val="16"/>
                <w:szCs w:val="16"/>
                <w:lang w:val="en-ZA" w:eastAsia="en-ZA"/>
              </w:rPr>
              <w:t>901</w:t>
            </w:r>
            <w:r w:rsidRPr="00435469">
              <w:rPr>
                <w:rFonts w:eastAsia="Times New Roman" w:cs="Times New Roman"/>
                <w:sz w:val="16"/>
                <w:szCs w:val="16"/>
                <w:lang w:val="en-ZA" w:eastAsia="en-ZA"/>
              </w:rPr>
              <w:t>)</w:t>
            </w:r>
          </w:p>
        </w:tc>
        <w:tc>
          <w:tcPr>
            <w:tcW w:w="1825" w:type="dxa"/>
            <w:tcBorders>
              <w:top w:val="nil"/>
              <w:left w:val="nil"/>
              <w:bottom w:val="nil"/>
              <w:right w:val="nil"/>
            </w:tcBorders>
            <w:shd w:val="clear" w:color="auto" w:fill="auto"/>
            <w:noWrap/>
            <w:vAlign w:val="center"/>
            <w:hideMark/>
          </w:tcPr>
          <w:p w14:paraId="29F62699"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1.47 (1.40 - 1.57)</w:t>
            </w:r>
          </w:p>
        </w:tc>
      </w:tr>
      <w:tr w:rsidR="0061685C" w:rsidRPr="00435469" w14:paraId="44E79DFC" w14:textId="77777777" w:rsidTr="000E787D">
        <w:trPr>
          <w:trHeight w:val="290"/>
        </w:trPr>
        <w:tc>
          <w:tcPr>
            <w:tcW w:w="5720" w:type="dxa"/>
            <w:tcBorders>
              <w:top w:val="nil"/>
              <w:left w:val="nil"/>
              <w:bottom w:val="nil"/>
              <w:right w:val="nil"/>
            </w:tcBorders>
            <w:shd w:val="clear" w:color="auto" w:fill="auto"/>
            <w:vAlign w:val="center"/>
            <w:hideMark/>
          </w:tcPr>
          <w:p w14:paraId="49044F6E"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Increase in TB incidence due to alcohol misuse</w:t>
            </w:r>
          </w:p>
        </w:tc>
        <w:tc>
          <w:tcPr>
            <w:tcW w:w="1935" w:type="dxa"/>
            <w:tcBorders>
              <w:top w:val="nil"/>
              <w:left w:val="nil"/>
              <w:bottom w:val="nil"/>
              <w:right w:val="nil"/>
            </w:tcBorders>
            <w:shd w:val="clear" w:color="auto" w:fill="auto"/>
            <w:noWrap/>
            <w:vAlign w:val="center"/>
            <w:hideMark/>
          </w:tcPr>
          <w:p w14:paraId="45680128" w14:textId="36BAFABF"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1.94 (0.</w:t>
            </w:r>
            <w:r w:rsidR="004E3123" w:rsidRPr="00435469">
              <w:rPr>
                <w:rFonts w:eastAsia="Times New Roman" w:cs="Times New Roman"/>
                <w:sz w:val="16"/>
                <w:szCs w:val="16"/>
                <w:lang w:val="en-ZA" w:eastAsia="en-ZA"/>
              </w:rPr>
              <w:t>883</w:t>
            </w:r>
            <w:r w:rsidRPr="00435469">
              <w:rPr>
                <w:rFonts w:eastAsia="Times New Roman" w:cs="Times New Roman"/>
                <w:sz w:val="16"/>
                <w:szCs w:val="16"/>
                <w:lang w:val="en-ZA" w:eastAsia="en-ZA"/>
              </w:rPr>
              <w:t xml:space="preserve"> - 3.</w:t>
            </w:r>
            <w:r w:rsidR="004E3123" w:rsidRPr="00435469">
              <w:rPr>
                <w:rFonts w:eastAsia="Times New Roman" w:cs="Times New Roman"/>
                <w:sz w:val="16"/>
                <w:szCs w:val="16"/>
                <w:lang w:val="en-ZA" w:eastAsia="en-ZA"/>
              </w:rPr>
              <w:t>408</w:t>
            </w:r>
            <w:r w:rsidRPr="00435469">
              <w:rPr>
                <w:rFonts w:eastAsia="Times New Roman" w:cs="Times New Roman"/>
                <w:sz w:val="16"/>
                <w:szCs w:val="16"/>
                <w:lang w:val="en-ZA" w:eastAsia="en-ZA"/>
              </w:rPr>
              <w:t xml:space="preserve">) </w:t>
            </w:r>
          </w:p>
        </w:tc>
        <w:tc>
          <w:tcPr>
            <w:tcW w:w="1825" w:type="dxa"/>
            <w:tcBorders>
              <w:top w:val="nil"/>
              <w:left w:val="nil"/>
              <w:bottom w:val="nil"/>
              <w:right w:val="nil"/>
            </w:tcBorders>
            <w:shd w:val="clear" w:color="auto" w:fill="auto"/>
            <w:noWrap/>
            <w:vAlign w:val="center"/>
            <w:hideMark/>
          </w:tcPr>
          <w:p w14:paraId="42013F56"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2.56 (2.28 - 2.86)</w:t>
            </w:r>
          </w:p>
        </w:tc>
      </w:tr>
      <w:tr w:rsidR="0061685C" w:rsidRPr="00435469" w14:paraId="5E5EE482" w14:textId="77777777" w:rsidTr="000E787D">
        <w:trPr>
          <w:trHeight w:val="290"/>
        </w:trPr>
        <w:tc>
          <w:tcPr>
            <w:tcW w:w="5720" w:type="dxa"/>
            <w:tcBorders>
              <w:top w:val="nil"/>
              <w:left w:val="nil"/>
              <w:bottom w:val="nil"/>
              <w:right w:val="nil"/>
            </w:tcBorders>
            <w:shd w:val="clear" w:color="auto" w:fill="auto"/>
            <w:vAlign w:val="center"/>
            <w:hideMark/>
          </w:tcPr>
          <w:p w14:paraId="04A49AED"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Increase in TB incidence due to diabetes</w:t>
            </w:r>
          </w:p>
        </w:tc>
        <w:tc>
          <w:tcPr>
            <w:tcW w:w="1935" w:type="dxa"/>
            <w:tcBorders>
              <w:top w:val="nil"/>
              <w:left w:val="nil"/>
              <w:bottom w:val="nil"/>
              <w:right w:val="nil"/>
            </w:tcBorders>
            <w:shd w:val="clear" w:color="auto" w:fill="auto"/>
            <w:noWrap/>
            <w:vAlign w:val="center"/>
            <w:hideMark/>
          </w:tcPr>
          <w:p w14:paraId="39D8296D" w14:textId="058CAE4E"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2.59 (</w:t>
            </w:r>
            <w:r w:rsidR="005F7650" w:rsidRPr="00435469">
              <w:rPr>
                <w:rFonts w:eastAsia="Times New Roman" w:cs="Times New Roman"/>
                <w:sz w:val="16"/>
                <w:szCs w:val="16"/>
                <w:lang w:val="en-ZA" w:eastAsia="en-ZA"/>
              </w:rPr>
              <w:t>1.228</w:t>
            </w:r>
            <w:r w:rsidRPr="00435469">
              <w:rPr>
                <w:rFonts w:eastAsia="Times New Roman" w:cs="Times New Roman"/>
                <w:sz w:val="16"/>
                <w:szCs w:val="16"/>
                <w:lang w:val="en-ZA" w:eastAsia="en-ZA"/>
              </w:rPr>
              <w:t xml:space="preserve"> - 4.</w:t>
            </w:r>
            <w:r w:rsidR="005F7650" w:rsidRPr="00435469">
              <w:rPr>
                <w:rFonts w:eastAsia="Times New Roman" w:cs="Times New Roman"/>
                <w:sz w:val="16"/>
                <w:szCs w:val="16"/>
                <w:lang w:val="en-ZA" w:eastAsia="en-ZA"/>
              </w:rPr>
              <w:t>453</w:t>
            </w:r>
            <w:r w:rsidRPr="00435469">
              <w:rPr>
                <w:rFonts w:eastAsia="Times New Roman" w:cs="Times New Roman"/>
                <w:sz w:val="16"/>
                <w:szCs w:val="16"/>
                <w:lang w:val="en-ZA" w:eastAsia="en-ZA"/>
              </w:rPr>
              <w:t>)</w:t>
            </w:r>
          </w:p>
        </w:tc>
        <w:tc>
          <w:tcPr>
            <w:tcW w:w="1825" w:type="dxa"/>
            <w:tcBorders>
              <w:top w:val="nil"/>
              <w:left w:val="nil"/>
              <w:bottom w:val="nil"/>
              <w:right w:val="nil"/>
            </w:tcBorders>
            <w:shd w:val="clear" w:color="auto" w:fill="auto"/>
            <w:noWrap/>
            <w:vAlign w:val="center"/>
            <w:hideMark/>
          </w:tcPr>
          <w:p w14:paraId="34B9FE55"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1.51 (1.32 - 1.69)</w:t>
            </w:r>
          </w:p>
        </w:tc>
      </w:tr>
      <w:tr w:rsidR="0061685C" w:rsidRPr="00435469" w14:paraId="3AEEE72A" w14:textId="77777777" w:rsidTr="000E787D">
        <w:trPr>
          <w:trHeight w:val="290"/>
        </w:trPr>
        <w:tc>
          <w:tcPr>
            <w:tcW w:w="5720" w:type="dxa"/>
            <w:tcBorders>
              <w:top w:val="nil"/>
              <w:left w:val="nil"/>
              <w:bottom w:val="nil"/>
              <w:right w:val="nil"/>
            </w:tcBorders>
            <w:shd w:val="clear" w:color="auto" w:fill="auto"/>
            <w:vAlign w:val="center"/>
            <w:hideMark/>
          </w:tcPr>
          <w:p w14:paraId="79714310"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Increase in TB risk if currently smoking</w:t>
            </w:r>
          </w:p>
        </w:tc>
        <w:tc>
          <w:tcPr>
            <w:tcW w:w="1935" w:type="dxa"/>
            <w:tcBorders>
              <w:top w:val="nil"/>
              <w:left w:val="nil"/>
              <w:bottom w:val="nil"/>
              <w:right w:val="nil"/>
            </w:tcBorders>
            <w:shd w:val="clear" w:color="auto" w:fill="auto"/>
            <w:noWrap/>
            <w:vAlign w:val="center"/>
            <w:hideMark/>
          </w:tcPr>
          <w:p w14:paraId="0926B5FA" w14:textId="63628535"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0.47 (0.0</w:t>
            </w:r>
            <w:r w:rsidR="00AB4088" w:rsidRPr="00435469">
              <w:rPr>
                <w:rFonts w:eastAsia="Times New Roman" w:cs="Times New Roman"/>
                <w:sz w:val="16"/>
                <w:szCs w:val="16"/>
                <w:lang w:val="en-ZA" w:eastAsia="en-ZA"/>
              </w:rPr>
              <w:t>31</w:t>
            </w:r>
            <w:r w:rsidRPr="00435469">
              <w:rPr>
                <w:rFonts w:eastAsia="Times New Roman" w:cs="Times New Roman"/>
                <w:sz w:val="16"/>
                <w:szCs w:val="16"/>
                <w:lang w:val="en-ZA" w:eastAsia="en-ZA"/>
              </w:rPr>
              <w:t xml:space="preserve"> - 1.</w:t>
            </w:r>
            <w:r w:rsidR="00AB4088" w:rsidRPr="00435469">
              <w:rPr>
                <w:rFonts w:eastAsia="Times New Roman" w:cs="Times New Roman"/>
                <w:sz w:val="16"/>
                <w:szCs w:val="16"/>
                <w:lang w:val="en-ZA" w:eastAsia="en-ZA"/>
              </w:rPr>
              <w:t>482</w:t>
            </w:r>
            <w:r w:rsidRPr="00435469">
              <w:rPr>
                <w:rFonts w:eastAsia="Times New Roman" w:cs="Times New Roman"/>
                <w:sz w:val="16"/>
                <w:szCs w:val="16"/>
                <w:lang w:val="en-ZA" w:eastAsia="en-ZA"/>
              </w:rPr>
              <w:t>)</w:t>
            </w:r>
          </w:p>
        </w:tc>
        <w:tc>
          <w:tcPr>
            <w:tcW w:w="1825" w:type="dxa"/>
            <w:tcBorders>
              <w:top w:val="nil"/>
              <w:left w:val="nil"/>
              <w:bottom w:val="nil"/>
              <w:right w:val="nil"/>
            </w:tcBorders>
            <w:shd w:val="clear" w:color="auto" w:fill="auto"/>
            <w:noWrap/>
            <w:vAlign w:val="center"/>
            <w:hideMark/>
          </w:tcPr>
          <w:p w14:paraId="2D1FE05C"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0.18 (0.14 - 0.27)</w:t>
            </w:r>
          </w:p>
        </w:tc>
      </w:tr>
      <w:tr w:rsidR="0061685C" w:rsidRPr="00435469" w14:paraId="041031C5" w14:textId="77777777" w:rsidTr="000E787D">
        <w:trPr>
          <w:trHeight w:val="290"/>
        </w:trPr>
        <w:tc>
          <w:tcPr>
            <w:tcW w:w="5720" w:type="dxa"/>
            <w:tcBorders>
              <w:top w:val="nil"/>
              <w:left w:val="nil"/>
              <w:bottom w:val="nil"/>
              <w:right w:val="nil"/>
            </w:tcBorders>
            <w:shd w:val="clear" w:color="auto" w:fill="auto"/>
            <w:vAlign w:val="center"/>
            <w:hideMark/>
          </w:tcPr>
          <w:p w14:paraId="7A270381"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Increase in TB risk per 10-year increase in duration of smoking</w:t>
            </w:r>
          </w:p>
        </w:tc>
        <w:tc>
          <w:tcPr>
            <w:tcW w:w="1935" w:type="dxa"/>
            <w:tcBorders>
              <w:top w:val="nil"/>
              <w:left w:val="nil"/>
              <w:bottom w:val="nil"/>
              <w:right w:val="nil"/>
            </w:tcBorders>
            <w:shd w:val="clear" w:color="auto" w:fill="auto"/>
            <w:noWrap/>
            <w:vAlign w:val="center"/>
            <w:hideMark/>
          </w:tcPr>
          <w:p w14:paraId="45BE767B" w14:textId="4EAB98C4"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0.38 (0</w:t>
            </w:r>
            <w:r w:rsidR="005215FC" w:rsidRPr="00435469">
              <w:rPr>
                <w:rFonts w:eastAsia="Times New Roman" w:cs="Times New Roman"/>
                <w:sz w:val="16"/>
                <w:szCs w:val="16"/>
                <w:lang w:val="en-ZA" w:eastAsia="en-ZA"/>
              </w:rPr>
              <w:t xml:space="preserve">.182 </w:t>
            </w:r>
            <w:r w:rsidRPr="00435469">
              <w:rPr>
                <w:rFonts w:eastAsia="Times New Roman" w:cs="Times New Roman"/>
                <w:sz w:val="16"/>
                <w:szCs w:val="16"/>
                <w:lang w:val="en-ZA" w:eastAsia="en-ZA"/>
              </w:rPr>
              <w:t>- 0.6</w:t>
            </w:r>
            <w:r w:rsidR="005215FC" w:rsidRPr="00435469">
              <w:rPr>
                <w:rFonts w:eastAsia="Times New Roman" w:cs="Times New Roman"/>
                <w:sz w:val="16"/>
                <w:szCs w:val="16"/>
                <w:lang w:val="en-ZA" w:eastAsia="en-ZA"/>
              </w:rPr>
              <w:t>49</w:t>
            </w:r>
            <w:r w:rsidRPr="00435469">
              <w:rPr>
                <w:rFonts w:eastAsia="Times New Roman" w:cs="Times New Roman"/>
                <w:sz w:val="16"/>
                <w:szCs w:val="16"/>
                <w:lang w:val="en-ZA" w:eastAsia="en-ZA"/>
              </w:rPr>
              <w:t>)</w:t>
            </w:r>
          </w:p>
        </w:tc>
        <w:tc>
          <w:tcPr>
            <w:tcW w:w="1825" w:type="dxa"/>
            <w:tcBorders>
              <w:top w:val="nil"/>
              <w:left w:val="nil"/>
              <w:bottom w:val="nil"/>
              <w:right w:val="nil"/>
            </w:tcBorders>
            <w:shd w:val="clear" w:color="auto" w:fill="auto"/>
            <w:noWrap/>
            <w:vAlign w:val="center"/>
            <w:hideMark/>
          </w:tcPr>
          <w:p w14:paraId="36D42806"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0.23 (0.2 - 0.26)</w:t>
            </w:r>
          </w:p>
        </w:tc>
      </w:tr>
      <w:tr w:rsidR="0061685C" w:rsidRPr="00435469" w14:paraId="491F4143" w14:textId="77777777" w:rsidTr="000E787D">
        <w:trPr>
          <w:trHeight w:val="300"/>
        </w:trPr>
        <w:tc>
          <w:tcPr>
            <w:tcW w:w="5720" w:type="dxa"/>
            <w:tcBorders>
              <w:top w:val="nil"/>
              <w:left w:val="nil"/>
              <w:bottom w:val="single" w:sz="8" w:space="0" w:color="auto"/>
              <w:right w:val="nil"/>
            </w:tcBorders>
            <w:shd w:val="clear" w:color="auto" w:fill="auto"/>
            <w:vAlign w:val="center"/>
            <w:hideMark/>
          </w:tcPr>
          <w:p w14:paraId="7C51FFE5" w14:textId="77777777" w:rsidR="002418AE" w:rsidRPr="00435469" w:rsidRDefault="002418AE" w:rsidP="00C56B51">
            <w:pPr>
              <w:spacing w:after="0" w:line="240" w:lineRule="auto"/>
              <w:rPr>
                <w:rFonts w:eastAsia="Times New Roman" w:cs="Times New Roman"/>
                <w:sz w:val="16"/>
                <w:szCs w:val="16"/>
                <w:lang w:val="en-ZA" w:eastAsia="en-ZA"/>
              </w:rPr>
            </w:pPr>
            <w:r w:rsidRPr="00435469">
              <w:rPr>
                <w:rFonts w:eastAsia="Times New Roman" w:cs="Times New Roman"/>
                <w:sz w:val="16"/>
                <w:szCs w:val="16"/>
                <w:lang w:val="en-ZA" w:eastAsia="en-ZA"/>
              </w:rPr>
              <w:t>Increase in TB risk if experiencing low BMI</w:t>
            </w:r>
          </w:p>
        </w:tc>
        <w:tc>
          <w:tcPr>
            <w:tcW w:w="1935" w:type="dxa"/>
            <w:tcBorders>
              <w:top w:val="nil"/>
              <w:left w:val="nil"/>
              <w:bottom w:val="single" w:sz="8" w:space="0" w:color="auto"/>
              <w:right w:val="nil"/>
            </w:tcBorders>
            <w:shd w:val="clear" w:color="auto" w:fill="auto"/>
            <w:noWrap/>
            <w:vAlign w:val="center"/>
            <w:hideMark/>
          </w:tcPr>
          <w:p w14:paraId="70D2F045" w14:textId="4CBFBBC2"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0.8 (0.3</w:t>
            </w:r>
            <w:r w:rsidR="005215FC" w:rsidRPr="00435469">
              <w:rPr>
                <w:rFonts w:eastAsia="Times New Roman" w:cs="Times New Roman"/>
                <w:sz w:val="16"/>
                <w:szCs w:val="16"/>
                <w:lang w:val="en-ZA" w:eastAsia="en-ZA"/>
              </w:rPr>
              <w:t>88</w:t>
            </w:r>
            <w:r w:rsidRPr="00435469">
              <w:rPr>
                <w:rFonts w:eastAsia="Times New Roman" w:cs="Times New Roman"/>
                <w:sz w:val="16"/>
                <w:szCs w:val="16"/>
                <w:lang w:val="en-ZA" w:eastAsia="en-ZA"/>
              </w:rPr>
              <w:t xml:space="preserve"> - 1.</w:t>
            </w:r>
            <w:r w:rsidR="005215FC" w:rsidRPr="00435469">
              <w:rPr>
                <w:rFonts w:eastAsia="Times New Roman" w:cs="Times New Roman"/>
                <w:sz w:val="16"/>
                <w:szCs w:val="16"/>
                <w:lang w:val="en-ZA" w:eastAsia="en-ZA"/>
              </w:rPr>
              <w:t>3</w:t>
            </w:r>
            <w:r w:rsidR="0043389C" w:rsidRPr="00435469">
              <w:rPr>
                <w:rFonts w:eastAsia="Times New Roman" w:cs="Times New Roman"/>
                <w:sz w:val="16"/>
                <w:szCs w:val="16"/>
                <w:lang w:val="en-ZA" w:eastAsia="en-ZA"/>
              </w:rPr>
              <w:t>59</w:t>
            </w:r>
            <w:r w:rsidRPr="00435469">
              <w:rPr>
                <w:rFonts w:eastAsia="Times New Roman" w:cs="Times New Roman"/>
                <w:sz w:val="16"/>
                <w:szCs w:val="16"/>
                <w:lang w:val="en-ZA" w:eastAsia="en-ZA"/>
              </w:rPr>
              <w:t>)</w:t>
            </w:r>
          </w:p>
        </w:tc>
        <w:tc>
          <w:tcPr>
            <w:tcW w:w="1825" w:type="dxa"/>
            <w:tcBorders>
              <w:top w:val="nil"/>
              <w:left w:val="nil"/>
              <w:bottom w:val="single" w:sz="8" w:space="0" w:color="auto"/>
              <w:right w:val="nil"/>
            </w:tcBorders>
            <w:shd w:val="clear" w:color="auto" w:fill="auto"/>
            <w:noWrap/>
            <w:vAlign w:val="center"/>
            <w:hideMark/>
          </w:tcPr>
          <w:p w14:paraId="67587F79" w14:textId="77777777" w:rsidR="002418AE" w:rsidRPr="00435469" w:rsidRDefault="002418AE" w:rsidP="00C56B51">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1.18 (1.02 - 1.35)</w:t>
            </w:r>
          </w:p>
        </w:tc>
      </w:tr>
    </w:tbl>
    <w:bookmarkEnd w:id="361"/>
    <w:p w14:paraId="4F178E4A" w14:textId="3924BC34" w:rsidR="002418AE" w:rsidRPr="00435469" w:rsidRDefault="002418AE" w:rsidP="00955FFB">
      <w:pPr>
        <w:pStyle w:val="1Para"/>
        <w:spacing w:line="240" w:lineRule="auto"/>
        <w:ind w:firstLine="0"/>
        <w:rPr>
          <w:sz w:val="20"/>
          <w:szCs w:val="20"/>
        </w:rPr>
      </w:pPr>
      <w:r w:rsidRPr="00435469">
        <w:rPr>
          <w:rFonts w:eastAsia="Times New Roman" w:cs="Times New Roman"/>
          <w:sz w:val="20"/>
          <w:szCs w:val="20"/>
          <w:lang w:val="en-ZA" w:eastAsia="en-ZA"/>
        </w:rPr>
        <w:t xml:space="preserve">ART = antiretroviral therapy; TB=tuberculosis. </w:t>
      </w:r>
    </w:p>
    <w:p w14:paraId="5B00DB56" w14:textId="77777777" w:rsidR="00024354" w:rsidRPr="00435469" w:rsidRDefault="00024354" w:rsidP="00955FFB">
      <w:pPr>
        <w:pStyle w:val="1Para"/>
        <w:spacing w:line="240" w:lineRule="auto"/>
        <w:ind w:firstLine="0"/>
        <w:rPr>
          <w:sz w:val="20"/>
          <w:szCs w:val="20"/>
        </w:rPr>
      </w:pPr>
    </w:p>
    <w:p w14:paraId="435D35F7" w14:textId="5A976DC5" w:rsidR="00024354" w:rsidRPr="00435469" w:rsidRDefault="000A0236" w:rsidP="000A0236">
      <w:pPr>
        <w:pStyle w:val="1Para"/>
        <w:tabs>
          <w:tab w:val="left" w:pos="3757"/>
        </w:tabs>
        <w:spacing w:line="240" w:lineRule="auto"/>
        <w:ind w:firstLine="0"/>
        <w:rPr>
          <w:sz w:val="20"/>
          <w:szCs w:val="20"/>
        </w:rPr>
      </w:pPr>
      <w:r w:rsidRPr="00435469">
        <w:rPr>
          <w:sz w:val="20"/>
          <w:szCs w:val="20"/>
        </w:rPr>
        <w:tab/>
      </w:r>
    </w:p>
    <w:p w14:paraId="2B57F09A" w14:textId="77777777" w:rsidR="00024354" w:rsidRPr="00435469" w:rsidRDefault="00024354" w:rsidP="00955FFB">
      <w:pPr>
        <w:pStyle w:val="1Para"/>
        <w:spacing w:line="240" w:lineRule="auto"/>
        <w:ind w:firstLine="0"/>
        <w:rPr>
          <w:sz w:val="20"/>
          <w:szCs w:val="20"/>
        </w:rPr>
      </w:pPr>
    </w:p>
    <w:p w14:paraId="0093E7D9" w14:textId="77777777" w:rsidR="00024354" w:rsidRPr="00435469" w:rsidRDefault="00024354" w:rsidP="00955FFB">
      <w:pPr>
        <w:pStyle w:val="1Para"/>
        <w:spacing w:line="240" w:lineRule="auto"/>
        <w:ind w:firstLine="0"/>
        <w:rPr>
          <w:sz w:val="20"/>
          <w:szCs w:val="20"/>
        </w:rPr>
      </w:pPr>
    </w:p>
    <w:p w14:paraId="210D47D8" w14:textId="77777777" w:rsidR="00024354" w:rsidRDefault="00024354" w:rsidP="00955FFB">
      <w:pPr>
        <w:pStyle w:val="1Para"/>
        <w:spacing w:line="240" w:lineRule="auto"/>
        <w:ind w:firstLine="0"/>
        <w:rPr>
          <w:sz w:val="20"/>
          <w:szCs w:val="20"/>
        </w:rPr>
      </w:pPr>
    </w:p>
    <w:p w14:paraId="423889BF" w14:textId="77777777" w:rsidR="0085413D" w:rsidRPr="00435469" w:rsidRDefault="0085413D" w:rsidP="00955FFB">
      <w:pPr>
        <w:pStyle w:val="1Para"/>
        <w:spacing w:line="240" w:lineRule="auto"/>
        <w:ind w:firstLine="0"/>
        <w:rPr>
          <w:sz w:val="20"/>
          <w:szCs w:val="20"/>
        </w:rPr>
      </w:pPr>
    </w:p>
    <w:p w14:paraId="464A6201" w14:textId="77777777" w:rsidR="00024354" w:rsidRPr="00435469" w:rsidRDefault="00024354" w:rsidP="00955FFB">
      <w:pPr>
        <w:pStyle w:val="1Para"/>
        <w:spacing w:line="240" w:lineRule="auto"/>
        <w:ind w:firstLine="0"/>
        <w:rPr>
          <w:sz w:val="20"/>
          <w:szCs w:val="20"/>
        </w:rPr>
      </w:pPr>
    </w:p>
    <w:p w14:paraId="1A24E51B" w14:textId="77777777" w:rsidR="00024354" w:rsidRPr="00435469" w:rsidRDefault="00024354" w:rsidP="00955FFB">
      <w:pPr>
        <w:pStyle w:val="1Para"/>
        <w:spacing w:line="240" w:lineRule="auto"/>
        <w:ind w:firstLine="0"/>
        <w:rPr>
          <w:rFonts w:eastAsiaTheme="minorEastAsia"/>
          <w:sz w:val="20"/>
          <w:szCs w:val="20"/>
        </w:rPr>
      </w:pPr>
    </w:p>
    <w:p w14:paraId="7806F4E2" w14:textId="5B31549B" w:rsidR="00FD0C56" w:rsidRPr="00435469" w:rsidRDefault="00694120" w:rsidP="00955FFB">
      <w:pPr>
        <w:pStyle w:val="Heading3"/>
        <w:numPr>
          <w:ilvl w:val="2"/>
          <w:numId w:val="18"/>
        </w:numPr>
        <w:rPr>
          <w:color w:val="auto"/>
          <w:sz w:val="20"/>
          <w:szCs w:val="20"/>
        </w:rPr>
      </w:pPr>
      <w:bookmarkStart w:id="362" w:name="_Toc103252967"/>
      <w:r w:rsidRPr="00435469">
        <w:rPr>
          <w:color w:val="auto"/>
          <w:sz w:val="20"/>
          <w:szCs w:val="20"/>
        </w:rPr>
        <w:lastRenderedPageBreak/>
        <w:t>Calibration graphs</w:t>
      </w:r>
      <w:bookmarkEnd w:id="362"/>
    </w:p>
    <w:p w14:paraId="0D41B207" w14:textId="77EA0D5F" w:rsidR="00F47F30" w:rsidRPr="00435469" w:rsidRDefault="004D7F17" w:rsidP="00955FFB">
      <w:pPr>
        <w:pStyle w:val="1Para"/>
        <w:spacing w:line="240" w:lineRule="auto"/>
        <w:ind w:firstLine="0"/>
        <w:rPr>
          <w:sz w:val="20"/>
          <w:szCs w:val="20"/>
        </w:rPr>
      </w:pPr>
      <w:r w:rsidRPr="00435469">
        <w:rPr>
          <w:sz w:val="20"/>
          <w:szCs w:val="20"/>
        </w:rPr>
        <w:t xml:space="preserve">The </w:t>
      </w:r>
      <w:r w:rsidR="0069723C" w:rsidRPr="00435469">
        <w:rPr>
          <w:sz w:val="20"/>
          <w:szCs w:val="20"/>
        </w:rPr>
        <w:t xml:space="preserve">calibration </w:t>
      </w:r>
      <w:r w:rsidRPr="00435469">
        <w:rPr>
          <w:sz w:val="20"/>
          <w:szCs w:val="20"/>
        </w:rPr>
        <w:t xml:space="preserve">figures </w:t>
      </w:r>
      <w:r w:rsidR="0069723C" w:rsidRPr="00435469">
        <w:rPr>
          <w:sz w:val="20"/>
          <w:szCs w:val="20"/>
        </w:rPr>
        <w:t xml:space="preserve">in this section </w:t>
      </w:r>
      <w:r w:rsidR="004740DB" w:rsidRPr="00435469">
        <w:rPr>
          <w:sz w:val="20"/>
          <w:szCs w:val="20"/>
        </w:rPr>
        <w:t xml:space="preserve">show </w:t>
      </w:r>
      <w:r w:rsidR="00C53138" w:rsidRPr="00435469">
        <w:rPr>
          <w:sz w:val="20"/>
          <w:szCs w:val="20"/>
        </w:rPr>
        <w:t xml:space="preserve">the comparison of model estimates and </w:t>
      </w:r>
      <w:r w:rsidR="00FD1360" w:rsidRPr="00435469">
        <w:rPr>
          <w:sz w:val="20"/>
          <w:szCs w:val="20"/>
        </w:rPr>
        <w:t xml:space="preserve">data </w:t>
      </w:r>
      <w:r w:rsidR="00176BF7" w:rsidRPr="00435469">
        <w:rPr>
          <w:sz w:val="20"/>
          <w:szCs w:val="20"/>
        </w:rPr>
        <w:t xml:space="preserve">sources </w:t>
      </w:r>
      <w:r w:rsidR="00C90EDB" w:rsidRPr="00435469">
        <w:rPr>
          <w:sz w:val="20"/>
          <w:szCs w:val="20"/>
        </w:rPr>
        <w:t xml:space="preserve">in </w:t>
      </w:r>
      <w:r w:rsidR="00331361" w:rsidRPr="00435469">
        <w:rPr>
          <w:sz w:val="20"/>
          <w:szCs w:val="20"/>
        </w:rPr>
        <w:fldChar w:fldCharType="begin"/>
      </w:r>
      <w:r w:rsidR="00331361" w:rsidRPr="00435469">
        <w:rPr>
          <w:sz w:val="20"/>
          <w:szCs w:val="20"/>
        </w:rPr>
        <w:instrText xml:space="preserve"> REF _Ref99980986 \h  \* MERGEFORMAT </w:instrText>
      </w:r>
      <w:r w:rsidR="00331361" w:rsidRPr="00435469">
        <w:rPr>
          <w:sz w:val="20"/>
          <w:szCs w:val="20"/>
        </w:rPr>
      </w:r>
      <w:r w:rsidR="00331361" w:rsidRPr="00435469">
        <w:rPr>
          <w:sz w:val="20"/>
          <w:szCs w:val="20"/>
        </w:rPr>
        <w:fldChar w:fldCharType="separate"/>
      </w:r>
      <w:r w:rsidR="00186C2F" w:rsidRPr="00435469">
        <w:rPr>
          <w:sz w:val="20"/>
          <w:szCs w:val="20"/>
        </w:rPr>
        <w:t xml:space="preserve">Figure </w:t>
      </w:r>
      <w:r w:rsidR="00186C2F" w:rsidRPr="00435469">
        <w:rPr>
          <w:noProof/>
          <w:sz w:val="20"/>
          <w:szCs w:val="20"/>
        </w:rPr>
        <w:t>6</w:t>
      </w:r>
      <w:r w:rsidR="00331361" w:rsidRPr="00435469">
        <w:rPr>
          <w:sz w:val="20"/>
          <w:szCs w:val="20"/>
        </w:rPr>
        <w:fldChar w:fldCharType="end"/>
      </w:r>
      <w:r w:rsidR="00C90EDB" w:rsidRPr="00435469">
        <w:rPr>
          <w:sz w:val="20"/>
          <w:szCs w:val="20"/>
        </w:rPr>
        <w:t xml:space="preserve"> to</w:t>
      </w:r>
      <w:r w:rsidR="00F962BD" w:rsidRPr="00435469">
        <w:rPr>
          <w:sz w:val="20"/>
          <w:szCs w:val="20"/>
        </w:rPr>
        <w:t xml:space="preserve"> </w:t>
      </w:r>
      <w:r w:rsidR="00331361" w:rsidRPr="00435469">
        <w:rPr>
          <w:sz w:val="20"/>
          <w:szCs w:val="20"/>
        </w:rPr>
        <w:fldChar w:fldCharType="begin"/>
      </w:r>
      <w:r w:rsidR="00331361" w:rsidRPr="00435469">
        <w:rPr>
          <w:sz w:val="20"/>
          <w:szCs w:val="20"/>
        </w:rPr>
        <w:instrText xml:space="preserve"> REF _Ref99981527 \h </w:instrText>
      </w:r>
      <w:r w:rsidR="00955FFB" w:rsidRPr="00435469">
        <w:rPr>
          <w:sz w:val="20"/>
          <w:szCs w:val="20"/>
        </w:rPr>
        <w:instrText xml:space="preserve"> \* MERGEFORMAT </w:instrText>
      </w:r>
      <w:r w:rsidR="00331361" w:rsidRPr="00435469">
        <w:rPr>
          <w:sz w:val="20"/>
          <w:szCs w:val="20"/>
        </w:rPr>
      </w:r>
      <w:r w:rsidR="00331361" w:rsidRPr="00435469">
        <w:rPr>
          <w:sz w:val="20"/>
          <w:szCs w:val="20"/>
        </w:rPr>
        <w:fldChar w:fldCharType="separate"/>
      </w:r>
      <w:r w:rsidR="00186C2F" w:rsidRPr="00435469">
        <w:rPr>
          <w:sz w:val="20"/>
          <w:szCs w:val="20"/>
        </w:rPr>
        <w:t xml:space="preserve">Figure </w:t>
      </w:r>
      <w:r w:rsidR="00186C2F" w:rsidRPr="00435469">
        <w:rPr>
          <w:noProof/>
          <w:sz w:val="20"/>
          <w:szCs w:val="20"/>
        </w:rPr>
        <w:t>16</w:t>
      </w:r>
      <w:r w:rsidR="00331361" w:rsidRPr="00435469">
        <w:rPr>
          <w:sz w:val="20"/>
          <w:szCs w:val="20"/>
        </w:rPr>
        <w:fldChar w:fldCharType="end"/>
      </w:r>
      <w:r w:rsidR="00C90EDB" w:rsidRPr="00435469">
        <w:rPr>
          <w:sz w:val="20"/>
          <w:szCs w:val="20"/>
        </w:rPr>
        <w:t xml:space="preserve">. </w:t>
      </w:r>
      <w:r w:rsidR="004740DB" w:rsidRPr="00435469">
        <w:rPr>
          <w:sz w:val="20"/>
          <w:szCs w:val="20"/>
        </w:rPr>
        <w:t>In a previous analysis</w:t>
      </w:r>
      <w:r w:rsidR="00CC5629" w:rsidRPr="00435469">
        <w:rPr>
          <w:sz w:val="20"/>
          <w:szCs w:val="20"/>
        </w:rPr>
        <w:t xml:space="preserve"> </w:t>
      </w:r>
      <w:r w:rsidR="00CC5629" w:rsidRPr="00435469">
        <w:rPr>
          <w:rFonts w:eastAsia="Yu Mincho" w:cs="Times New Roman"/>
          <w:sz w:val="20"/>
          <w:szCs w:val="20"/>
        </w:rPr>
        <w:fldChar w:fldCharType="begin" w:fldLock="1"/>
      </w:r>
      <w:r w:rsidR="00650727" w:rsidRPr="00435469">
        <w:rPr>
          <w:rFonts w:eastAsia="Yu Mincho" w:cs="Times New Roman"/>
          <w:sz w:val="20"/>
          <w:szCs w:val="20"/>
        </w:rPr>
        <w:instrText>ADDIN CSL_CITATION {"citationItems":[{"id":"ITEM-1","itemData":{"DOI":"10.1016/j.ijid.2022.07.047","ISSN":"12019712","author":[{"dropping-particle":"","family":"Kubjane","given":"Mmamapudi","non-dropping-particle":"","parse-names":false,"suffix":""},{"dropping-particle":"","family":"Osman","given":"Muhammad","non-dropping-particle":"","parse-names":false,"suffix":""},{"dropping-particle":"","family":"Boulle","given":"Andrew","non-dropping-particle":"","parse-names":false,"suffix":""},{"dropping-particle":"","family":"Johnson","given":"Leigh F.","non-dropping-particle":"","parse-names":false,"suffix":""}],"container-title":"International Journal of Infectious Diseases","id":"ITEM-1","issued":{"date-parts":[["2022","7"]]},"title":"The impact of HIV and tuberculosis interventions on South African adult tuberculosis trends, 1990-2019: A mathematical modelling analysis","type":"article-journal"},"uris":["http://www.mendeley.com/documents/?uuid=b484b7b2-f69f-40a5-9494-7f1531547c97"]}],"mendeley":{"formattedCitation":"(6)","plainTextFormattedCitation":"(6)","previouslyFormattedCitation":"(6)"},"properties":{"noteIndex":0},"schema":"https://github.com/citation-style-language/schema/raw/master/csl-citation.json"}</w:instrText>
      </w:r>
      <w:r w:rsidR="00CC5629" w:rsidRPr="00435469">
        <w:rPr>
          <w:rFonts w:eastAsia="Yu Mincho" w:cs="Times New Roman"/>
          <w:sz w:val="20"/>
          <w:szCs w:val="20"/>
        </w:rPr>
        <w:fldChar w:fldCharType="separate"/>
      </w:r>
      <w:r w:rsidR="00CC5629" w:rsidRPr="00435469">
        <w:rPr>
          <w:rFonts w:eastAsia="Yu Mincho" w:cs="Times New Roman"/>
          <w:noProof/>
          <w:sz w:val="20"/>
          <w:szCs w:val="20"/>
        </w:rPr>
        <w:t>(6)</w:t>
      </w:r>
      <w:r w:rsidR="00CC5629" w:rsidRPr="00435469">
        <w:rPr>
          <w:rFonts w:eastAsia="Yu Mincho" w:cs="Times New Roman"/>
          <w:sz w:val="20"/>
          <w:szCs w:val="20"/>
        </w:rPr>
        <w:fldChar w:fldCharType="end"/>
      </w:r>
      <w:r w:rsidR="005D6C34" w:rsidRPr="00435469">
        <w:rPr>
          <w:sz w:val="20"/>
          <w:szCs w:val="20"/>
        </w:rPr>
        <w:t>,</w:t>
      </w:r>
      <w:r w:rsidR="004740DB" w:rsidRPr="00435469">
        <w:rPr>
          <w:sz w:val="20"/>
          <w:szCs w:val="20"/>
        </w:rPr>
        <w:t xml:space="preserve"> </w:t>
      </w:r>
      <w:r w:rsidR="00513757" w:rsidRPr="00435469">
        <w:rPr>
          <w:sz w:val="20"/>
          <w:szCs w:val="20"/>
        </w:rPr>
        <w:t>similar graphics were produce</w:t>
      </w:r>
      <w:r w:rsidR="004F0C23" w:rsidRPr="00435469">
        <w:rPr>
          <w:sz w:val="20"/>
          <w:szCs w:val="20"/>
        </w:rPr>
        <w:t>d</w:t>
      </w:r>
      <w:r w:rsidR="00513757" w:rsidRPr="00435469">
        <w:rPr>
          <w:sz w:val="20"/>
          <w:szCs w:val="20"/>
        </w:rPr>
        <w:t xml:space="preserve"> where the main parameters varied in the calibration process were related to </w:t>
      </w:r>
      <w:r w:rsidR="00824206" w:rsidRPr="00435469">
        <w:rPr>
          <w:sz w:val="20"/>
          <w:szCs w:val="20"/>
        </w:rPr>
        <w:t xml:space="preserve">the TB natural history and </w:t>
      </w:r>
      <w:r w:rsidR="00BD2FCD" w:rsidRPr="00435469">
        <w:rPr>
          <w:sz w:val="20"/>
          <w:szCs w:val="20"/>
        </w:rPr>
        <w:t>parameters related to changes in TB interventions</w:t>
      </w:r>
      <w:r w:rsidR="00CE3976" w:rsidRPr="00435469">
        <w:rPr>
          <w:sz w:val="20"/>
          <w:szCs w:val="20"/>
        </w:rPr>
        <w:t xml:space="preserve"> </w:t>
      </w:r>
      <w:r w:rsidR="00CD79BF" w:rsidRPr="00435469">
        <w:rPr>
          <w:sz w:val="20"/>
          <w:szCs w:val="20"/>
        </w:rPr>
        <w:t>(indicated in Table 20)</w:t>
      </w:r>
      <w:r w:rsidR="00BD2FCD" w:rsidRPr="00435469">
        <w:rPr>
          <w:sz w:val="20"/>
          <w:szCs w:val="20"/>
        </w:rPr>
        <w:t>.</w:t>
      </w:r>
      <w:r w:rsidR="00321FDE" w:rsidRPr="00435469">
        <w:rPr>
          <w:sz w:val="20"/>
          <w:szCs w:val="20"/>
        </w:rPr>
        <w:t xml:space="preserve"> In this current analysis, the model was calibrated </w:t>
      </w:r>
      <w:r w:rsidR="00F6184D" w:rsidRPr="00435469">
        <w:rPr>
          <w:sz w:val="20"/>
          <w:szCs w:val="20"/>
        </w:rPr>
        <w:t xml:space="preserve">to the same data sources </w:t>
      </w:r>
      <w:r w:rsidR="00321FDE" w:rsidRPr="00435469">
        <w:rPr>
          <w:sz w:val="20"/>
          <w:szCs w:val="20"/>
        </w:rPr>
        <w:t xml:space="preserve">with most </w:t>
      </w:r>
      <w:r w:rsidR="00741D37" w:rsidRPr="00435469">
        <w:rPr>
          <w:sz w:val="20"/>
          <w:szCs w:val="20"/>
        </w:rPr>
        <w:t xml:space="preserve">of the varied parameters pertaining </w:t>
      </w:r>
      <w:r w:rsidR="005D6C34" w:rsidRPr="00435469">
        <w:rPr>
          <w:sz w:val="20"/>
          <w:szCs w:val="20"/>
        </w:rPr>
        <w:t xml:space="preserve">to </w:t>
      </w:r>
      <w:r w:rsidR="00741D37" w:rsidRPr="00435469">
        <w:rPr>
          <w:sz w:val="20"/>
          <w:szCs w:val="20"/>
        </w:rPr>
        <w:t>sex-difference</w:t>
      </w:r>
      <w:r w:rsidR="005E0426" w:rsidRPr="00435469">
        <w:rPr>
          <w:sz w:val="20"/>
          <w:szCs w:val="20"/>
        </w:rPr>
        <w:t>s in TB health seeking</w:t>
      </w:r>
      <w:r w:rsidR="00463289" w:rsidRPr="00435469">
        <w:rPr>
          <w:sz w:val="20"/>
          <w:szCs w:val="20"/>
        </w:rPr>
        <w:t xml:space="preserve"> and</w:t>
      </w:r>
      <w:r w:rsidR="001663BB" w:rsidRPr="00435469">
        <w:rPr>
          <w:sz w:val="20"/>
          <w:szCs w:val="20"/>
        </w:rPr>
        <w:t xml:space="preserve"> e</w:t>
      </w:r>
      <w:r w:rsidR="00463289" w:rsidRPr="00435469">
        <w:rPr>
          <w:sz w:val="20"/>
          <w:szCs w:val="20"/>
        </w:rPr>
        <w:t>ffects of risk factors on TB incidence</w:t>
      </w:r>
      <w:r w:rsidR="00BB56EA" w:rsidRPr="00435469">
        <w:rPr>
          <w:sz w:val="20"/>
          <w:szCs w:val="20"/>
        </w:rPr>
        <w:t xml:space="preserve"> (Table </w:t>
      </w:r>
      <w:r w:rsidR="005342F5" w:rsidRPr="00435469">
        <w:rPr>
          <w:sz w:val="20"/>
          <w:szCs w:val="20"/>
        </w:rPr>
        <w:t>25</w:t>
      </w:r>
      <w:r w:rsidR="00BB56EA" w:rsidRPr="00435469">
        <w:rPr>
          <w:sz w:val="20"/>
          <w:szCs w:val="20"/>
        </w:rPr>
        <w:t>)</w:t>
      </w:r>
      <w:r w:rsidR="005E0426" w:rsidRPr="00435469">
        <w:rPr>
          <w:sz w:val="20"/>
          <w:szCs w:val="20"/>
        </w:rPr>
        <w:t xml:space="preserve">. </w:t>
      </w:r>
      <w:r w:rsidR="00C90EDB" w:rsidRPr="00435469">
        <w:rPr>
          <w:sz w:val="20"/>
          <w:szCs w:val="20"/>
        </w:rPr>
        <w:t xml:space="preserve">In all figures, model estimates are represented by the solid black lines and </w:t>
      </w:r>
      <w:r w:rsidR="00CD53D0" w:rsidRPr="00435469">
        <w:rPr>
          <w:sz w:val="20"/>
          <w:szCs w:val="20"/>
        </w:rPr>
        <w:t xml:space="preserve">the dashed lines represent the 95% confidence intervals for model estimates. </w:t>
      </w:r>
      <w:r w:rsidR="00947FA4" w:rsidRPr="00435469">
        <w:rPr>
          <w:sz w:val="20"/>
          <w:szCs w:val="20"/>
        </w:rPr>
        <w:t>The data points are represented by the black dots.</w:t>
      </w:r>
    </w:p>
    <w:p w14:paraId="5D3AB0ED" w14:textId="2004D488" w:rsidR="00281D0B" w:rsidRPr="00435469" w:rsidRDefault="006718B3" w:rsidP="000F4E59">
      <w:pPr>
        <w:pStyle w:val="1Para"/>
        <w:numPr>
          <w:ilvl w:val="0"/>
          <w:numId w:val="33"/>
        </w:numPr>
        <w:spacing w:line="240" w:lineRule="auto"/>
        <w:rPr>
          <w:sz w:val="20"/>
          <w:szCs w:val="20"/>
        </w:rPr>
      </w:pPr>
      <w:r w:rsidRPr="00435469">
        <w:rPr>
          <w:sz w:val="20"/>
          <w:szCs w:val="20"/>
        </w:rPr>
        <w:fldChar w:fldCharType="begin"/>
      </w:r>
      <w:r w:rsidRPr="00435469">
        <w:rPr>
          <w:sz w:val="20"/>
          <w:szCs w:val="20"/>
        </w:rPr>
        <w:instrText xml:space="preserve"> REF _Ref99980986 \h </w:instrText>
      </w:r>
      <w:r w:rsidR="0066113B" w:rsidRPr="00435469">
        <w:rPr>
          <w:sz w:val="20"/>
          <w:szCs w:val="20"/>
        </w:rPr>
        <w:instrText xml:space="preserve"> \* MERGEFORMAT </w:instrText>
      </w:r>
      <w:r w:rsidRPr="00435469">
        <w:rPr>
          <w:sz w:val="20"/>
          <w:szCs w:val="20"/>
        </w:rPr>
      </w:r>
      <w:r w:rsidRPr="00435469">
        <w:rPr>
          <w:sz w:val="20"/>
          <w:szCs w:val="20"/>
        </w:rPr>
        <w:fldChar w:fldCharType="separate"/>
      </w:r>
      <w:r w:rsidR="00186C2F" w:rsidRPr="00435469">
        <w:rPr>
          <w:sz w:val="20"/>
          <w:szCs w:val="20"/>
        </w:rPr>
        <w:t xml:space="preserve">Figure </w:t>
      </w:r>
      <w:r w:rsidR="00186C2F" w:rsidRPr="00435469">
        <w:rPr>
          <w:noProof/>
          <w:sz w:val="20"/>
          <w:szCs w:val="20"/>
        </w:rPr>
        <w:t>6</w:t>
      </w:r>
      <w:r w:rsidRPr="00435469">
        <w:rPr>
          <w:sz w:val="20"/>
          <w:szCs w:val="20"/>
        </w:rPr>
        <w:fldChar w:fldCharType="end"/>
      </w:r>
      <w:r w:rsidRPr="00435469">
        <w:rPr>
          <w:sz w:val="20"/>
          <w:szCs w:val="20"/>
        </w:rPr>
        <w:t xml:space="preserve"> and </w:t>
      </w:r>
      <w:r w:rsidRPr="00435469">
        <w:rPr>
          <w:sz w:val="20"/>
          <w:szCs w:val="20"/>
        </w:rPr>
        <w:fldChar w:fldCharType="begin"/>
      </w:r>
      <w:r w:rsidRPr="00435469">
        <w:rPr>
          <w:sz w:val="20"/>
          <w:szCs w:val="20"/>
        </w:rPr>
        <w:instrText xml:space="preserve"> REF _Ref99981014 \h </w:instrText>
      </w:r>
      <w:r w:rsidR="0066113B" w:rsidRPr="00435469">
        <w:rPr>
          <w:sz w:val="20"/>
          <w:szCs w:val="20"/>
        </w:rPr>
        <w:instrText xml:space="preserve"> \* MERGEFORMAT </w:instrText>
      </w:r>
      <w:r w:rsidRPr="00435469">
        <w:rPr>
          <w:sz w:val="20"/>
          <w:szCs w:val="20"/>
        </w:rPr>
      </w:r>
      <w:r w:rsidRPr="00435469">
        <w:rPr>
          <w:sz w:val="20"/>
          <w:szCs w:val="20"/>
        </w:rPr>
        <w:fldChar w:fldCharType="separate"/>
      </w:r>
      <w:r w:rsidR="00186C2F" w:rsidRPr="00435469">
        <w:rPr>
          <w:sz w:val="20"/>
          <w:szCs w:val="20"/>
        </w:rPr>
        <w:t>Figure 7</w:t>
      </w:r>
      <w:r w:rsidRPr="00435469">
        <w:rPr>
          <w:sz w:val="20"/>
          <w:szCs w:val="20"/>
        </w:rPr>
        <w:fldChar w:fldCharType="end"/>
      </w:r>
      <w:r w:rsidRPr="00435469">
        <w:rPr>
          <w:sz w:val="20"/>
          <w:szCs w:val="20"/>
        </w:rPr>
        <w:t xml:space="preserve"> </w:t>
      </w:r>
      <w:r w:rsidR="005E48BF" w:rsidRPr="00435469">
        <w:rPr>
          <w:sz w:val="20"/>
          <w:szCs w:val="20"/>
        </w:rPr>
        <w:t xml:space="preserve">show the model fit to adjusted </w:t>
      </w:r>
      <w:r w:rsidR="009534D5" w:rsidRPr="00435469">
        <w:rPr>
          <w:sz w:val="20"/>
          <w:szCs w:val="20"/>
        </w:rPr>
        <w:t xml:space="preserve">recorded </w:t>
      </w:r>
      <w:r w:rsidR="005E48BF" w:rsidRPr="00435469">
        <w:rPr>
          <w:sz w:val="20"/>
          <w:szCs w:val="20"/>
        </w:rPr>
        <w:t xml:space="preserve">mortality </w:t>
      </w:r>
      <w:r w:rsidR="0039329D" w:rsidRPr="00435469">
        <w:rPr>
          <w:sz w:val="20"/>
          <w:szCs w:val="20"/>
        </w:rPr>
        <w:t>data</w:t>
      </w:r>
      <w:r w:rsidR="00281D0B" w:rsidRPr="00435469">
        <w:rPr>
          <w:sz w:val="20"/>
          <w:szCs w:val="20"/>
        </w:rPr>
        <w:t xml:space="preserve">. </w:t>
      </w:r>
      <w:r w:rsidR="00F63B8B" w:rsidRPr="00435469">
        <w:rPr>
          <w:sz w:val="20"/>
          <w:szCs w:val="20"/>
        </w:rPr>
        <w:t>Overall, t</w:t>
      </w:r>
      <w:r w:rsidR="00F67713" w:rsidRPr="00435469">
        <w:rPr>
          <w:sz w:val="20"/>
          <w:szCs w:val="20"/>
        </w:rPr>
        <w:t>h</w:t>
      </w:r>
      <w:r w:rsidR="00281D0B" w:rsidRPr="00435469">
        <w:rPr>
          <w:sz w:val="20"/>
          <w:szCs w:val="20"/>
        </w:rPr>
        <w:t xml:space="preserve">e model </w:t>
      </w:r>
      <w:r w:rsidR="00F67713" w:rsidRPr="00435469">
        <w:rPr>
          <w:sz w:val="20"/>
          <w:szCs w:val="20"/>
        </w:rPr>
        <w:t>resulted</w:t>
      </w:r>
      <w:r w:rsidR="00281D0B" w:rsidRPr="00435469">
        <w:rPr>
          <w:sz w:val="20"/>
          <w:szCs w:val="20"/>
        </w:rPr>
        <w:t xml:space="preserve"> </w:t>
      </w:r>
      <w:r w:rsidR="00C8055C" w:rsidRPr="00435469">
        <w:rPr>
          <w:sz w:val="20"/>
          <w:szCs w:val="20"/>
        </w:rPr>
        <w:t xml:space="preserve">in </w:t>
      </w:r>
      <w:r w:rsidR="00281D0B" w:rsidRPr="00435469">
        <w:rPr>
          <w:sz w:val="20"/>
          <w:szCs w:val="20"/>
        </w:rPr>
        <w:t>a good fit to the data</w:t>
      </w:r>
      <w:r w:rsidR="007C5197" w:rsidRPr="00435469">
        <w:rPr>
          <w:sz w:val="20"/>
          <w:szCs w:val="20"/>
        </w:rPr>
        <w:t xml:space="preserve">; however, </w:t>
      </w:r>
      <w:r w:rsidR="00281D0B" w:rsidRPr="00435469">
        <w:rPr>
          <w:sz w:val="20"/>
          <w:szCs w:val="20"/>
        </w:rPr>
        <w:t>the model slightly over-estimate</w:t>
      </w:r>
      <w:r w:rsidR="007C5197" w:rsidRPr="00435469">
        <w:rPr>
          <w:sz w:val="20"/>
          <w:szCs w:val="20"/>
        </w:rPr>
        <w:t>d</w:t>
      </w:r>
      <w:r w:rsidR="00281D0B" w:rsidRPr="00435469">
        <w:rPr>
          <w:sz w:val="20"/>
          <w:szCs w:val="20"/>
        </w:rPr>
        <w:t xml:space="preserve"> the number of TB deaths in 2016</w:t>
      </w:r>
      <w:r w:rsidR="007C5197" w:rsidRPr="00435469">
        <w:rPr>
          <w:sz w:val="20"/>
          <w:szCs w:val="20"/>
        </w:rPr>
        <w:t xml:space="preserve"> onwards</w:t>
      </w:r>
      <w:r w:rsidR="00281D0B" w:rsidRPr="00435469">
        <w:rPr>
          <w:sz w:val="20"/>
          <w:szCs w:val="20"/>
        </w:rPr>
        <w:t xml:space="preserve">. </w:t>
      </w:r>
      <w:r w:rsidR="004D19C9" w:rsidRPr="00435469">
        <w:rPr>
          <w:sz w:val="20"/>
          <w:szCs w:val="20"/>
        </w:rPr>
        <w:t>This may be due to reporting delays in the death data</w:t>
      </w:r>
      <w:r w:rsidR="009A359C" w:rsidRPr="00435469">
        <w:rPr>
          <w:sz w:val="20"/>
          <w:szCs w:val="20"/>
        </w:rPr>
        <w:t xml:space="preserve"> (late recording)</w:t>
      </w:r>
      <w:r w:rsidR="004D19C9" w:rsidRPr="00435469">
        <w:rPr>
          <w:sz w:val="20"/>
          <w:szCs w:val="20"/>
        </w:rPr>
        <w:t xml:space="preserve"> because when 2016 data were released, not all the 2016 deaths had been processed.</w:t>
      </w:r>
      <w:r w:rsidR="009A359C" w:rsidRPr="00435469">
        <w:rPr>
          <w:sz w:val="20"/>
          <w:szCs w:val="20"/>
        </w:rPr>
        <w:t xml:space="preserve"> The model slightly under-estimates male TB deaths over the 2008-2012 period. This is consistent with the </w:t>
      </w:r>
      <w:proofErr w:type="spellStart"/>
      <w:r w:rsidR="009A359C" w:rsidRPr="00435469">
        <w:rPr>
          <w:sz w:val="20"/>
          <w:szCs w:val="20"/>
        </w:rPr>
        <w:t>Thembisa</w:t>
      </w:r>
      <w:proofErr w:type="spellEnd"/>
      <w:r w:rsidR="009A359C" w:rsidRPr="00435469">
        <w:rPr>
          <w:sz w:val="20"/>
          <w:szCs w:val="20"/>
        </w:rPr>
        <w:t xml:space="preserve"> model slightly under-estimating all-cause mortality in men over the 2008-2012 period</w:t>
      </w:r>
      <w:r w:rsidR="002E2577" w:rsidRPr="00435469">
        <w:rPr>
          <w:sz w:val="20"/>
          <w:szCs w:val="20"/>
        </w:rPr>
        <w:t xml:space="preserve"> </w:t>
      </w:r>
      <w:r w:rsidR="002E2577" w:rsidRPr="00435469">
        <w:rPr>
          <w:sz w:val="20"/>
          <w:szCs w:val="20"/>
        </w:rPr>
        <w:fldChar w:fldCharType="begin" w:fldLock="1"/>
      </w:r>
      <w:r w:rsidR="00A142FF" w:rsidRPr="00435469">
        <w:rPr>
          <w:sz w:val="20"/>
          <w:szCs w:val="20"/>
        </w:rPr>
        <w:instrText>ADDIN CSL_CITATION {"citationItems":[{"id":"ITEM-1","itemData":{"abstract":"This working paper provides a detailed technical description of the THEMBISA model, an integrated demographic and epidemiological model of the South African HIV/AIDS epidemic. The model stratifies the population by demographic characteristics (age and sex), behavioural characteristics (marital status, sexual experience, propensity for concurrent partnerships) and access to HIV prevention (HIV testing history, male circumcision status and receipt of microbicides and pre-exposure prophylaxis). In the HIV-positive population, individuals are further stratified according to their CD4 count, history of HIV diagnosis, receipt of ART and duration of treatment. The model simulates the change in population profile and the spread of HIV over time, starting in 1985. The model is fitted to age-specific HIV prevalence data and recorded death data, as well as self-reported HIV testing history data, using a Bayesian approach. Model results suggest that HIV incidence in South Africa has declined substantially since 2000, and that AIDS mortality rates have declined dramatically since 2005. However, results differ significantly from the two most widely-used HIV models in South Africa, the Spectrum/EPP and ASSA2008 models. Further work is required to refine the demographic parameters in the model and to apply the model to each of South Africa's provinces.","author":[{"dropping-particle":"","family":"Johnson","given":"Leigh F.","non-dropping-particle":"","parse-names":false,"suffix":""},{"dropping-particle":"","family":"Dorrington","given":"Rob E.","non-dropping-particle":"","parse-names":false,"suffix":""}],"id":"ITEM-1","issued":{"date-parts":[["2020"]]},"title":"Thembisa version 4.3: A model for evaluating the impact of HIV/AIDS in South Africa","type":"report"},"uris":["http://www.mendeley.com/documents/?uuid=51cec96f-1f53-4388-9ac4-317acc730b71"]}],"mendeley":{"formattedCitation":"(132)","plainTextFormattedCitation":"(132)","previouslyFormattedCitation":"(132)"},"properties":{"noteIndex":0},"schema":"https://github.com/citation-style-language/schema/raw/master/csl-citation.json"}</w:instrText>
      </w:r>
      <w:r w:rsidR="002E2577" w:rsidRPr="00435469">
        <w:rPr>
          <w:sz w:val="20"/>
          <w:szCs w:val="20"/>
        </w:rPr>
        <w:fldChar w:fldCharType="separate"/>
      </w:r>
      <w:r w:rsidR="0016391D" w:rsidRPr="00435469">
        <w:rPr>
          <w:noProof/>
          <w:sz w:val="20"/>
          <w:szCs w:val="20"/>
        </w:rPr>
        <w:t>(132)</w:t>
      </w:r>
      <w:r w:rsidR="002E2577" w:rsidRPr="00435469">
        <w:rPr>
          <w:sz w:val="20"/>
          <w:szCs w:val="20"/>
        </w:rPr>
        <w:fldChar w:fldCharType="end"/>
      </w:r>
      <w:r w:rsidR="002E2577" w:rsidRPr="00435469">
        <w:rPr>
          <w:sz w:val="20"/>
          <w:szCs w:val="20"/>
        </w:rPr>
        <w:t xml:space="preserve">. </w:t>
      </w:r>
    </w:p>
    <w:p w14:paraId="36596651" w14:textId="2F6E481C" w:rsidR="00F20109" w:rsidRPr="00435469" w:rsidRDefault="00F20109" w:rsidP="000F4E59">
      <w:pPr>
        <w:pStyle w:val="1Para"/>
        <w:numPr>
          <w:ilvl w:val="0"/>
          <w:numId w:val="33"/>
        </w:numPr>
        <w:spacing w:line="240" w:lineRule="auto"/>
        <w:rPr>
          <w:sz w:val="20"/>
          <w:szCs w:val="20"/>
        </w:rPr>
      </w:pPr>
      <w:r w:rsidRPr="00435469">
        <w:rPr>
          <w:sz w:val="20"/>
          <w:szCs w:val="20"/>
        </w:rPr>
        <w:fldChar w:fldCharType="begin"/>
      </w:r>
      <w:r w:rsidRPr="00435469">
        <w:rPr>
          <w:sz w:val="20"/>
          <w:szCs w:val="20"/>
        </w:rPr>
        <w:instrText xml:space="preserve"> REF _Ref99980997 \h </w:instrText>
      </w:r>
      <w:r w:rsidR="0066113B" w:rsidRPr="00435469">
        <w:rPr>
          <w:sz w:val="20"/>
          <w:szCs w:val="20"/>
        </w:rPr>
        <w:instrText xml:space="preserve"> \* MERGEFORMAT </w:instrText>
      </w:r>
      <w:r w:rsidRPr="00435469">
        <w:rPr>
          <w:sz w:val="20"/>
          <w:szCs w:val="20"/>
        </w:rPr>
      </w:r>
      <w:r w:rsidRPr="00435469">
        <w:rPr>
          <w:sz w:val="20"/>
          <w:szCs w:val="20"/>
        </w:rPr>
        <w:fldChar w:fldCharType="separate"/>
      </w:r>
      <w:r w:rsidR="00186C2F" w:rsidRPr="00435469">
        <w:rPr>
          <w:sz w:val="20"/>
          <w:szCs w:val="20"/>
        </w:rPr>
        <w:t>Figure 8</w:t>
      </w:r>
      <w:r w:rsidRPr="00435469">
        <w:rPr>
          <w:sz w:val="20"/>
          <w:szCs w:val="20"/>
        </w:rPr>
        <w:fldChar w:fldCharType="end"/>
      </w:r>
      <w:r w:rsidRPr="00435469">
        <w:rPr>
          <w:sz w:val="20"/>
          <w:szCs w:val="20"/>
        </w:rPr>
        <w:t xml:space="preserve"> shows the expected tuberculosis deaths in people living with HIV and model estimated tuberculosis deaths in HIV-positive individuals</w:t>
      </w:r>
      <w:r w:rsidR="001B7D35" w:rsidRPr="00435469">
        <w:rPr>
          <w:sz w:val="20"/>
          <w:szCs w:val="20"/>
        </w:rPr>
        <w:t xml:space="preserve">. </w:t>
      </w:r>
      <w:r w:rsidR="006B3D19" w:rsidRPr="00435469">
        <w:rPr>
          <w:sz w:val="20"/>
          <w:szCs w:val="20"/>
        </w:rPr>
        <w:t xml:space="preserve">The model </w:t>
      </w:r>
      <w:r w:rsidR="00C9620F" w:rsidRPr="00435469">
        <w:rPr>
          <w:sz w:val="20"/>
          <w:szCs w:val="20"/>
        </w:rPr>
        <w:t>was fairly consisted with the expected TB deaths in HIV-</w:t>
      </w:r>
      <w:r w:rsidR="009E211C" w:rsidRPr="00435469">
        <w:rPr>
          <w:sz w:val="20"/>
          <w:szCs w:val="20"/>
        </w:rPr>
        <w:t xml:space="preserve">positive individuals but slightly overestimated the </w:t>
      </w:r>
      <w:r w:rsidR="00676A25" w:rsidRPr="00435469">
        <w:rPr>
          <w:sz w:val="20"/>
          <w:szCs w:val="20"/>
        </w:rPr>
        <w:t xml:space="preserve">deaths from 2007 onwards. </w:t>
      </w:r>
    </w:p>
    <w:p w14:paraId="43353172" w14:textId="524EDCBB" w:rsidR="005D19AD" w:rsidRPr="00435469" w:rsidRDefault="009652B8" w:rsidP="000F4E59">
      <w:pPr>
        <w:pStyle w:val="1Para"/>
        <w:numPr>
          <w:ilvl w:val="0"/>
          <w:numId w:val="33"/>
        </w:numPr>
        <w:spacing w:line="240" w:lineRule="auto"/>
        <w:rPr>
          <w:sz w:val="20"/>
          <w:szCs w:val="20"/>
        </w:rPr>
      </w:pPr>
      <w:r w:rsidRPr="00435469">
        <w:rPr>
          <w:sz w:val="20"/>
          <w:szCs w:val="20"/>
        </w:rPr>
        <w:fldChar w:fldCharType="begin"/>
      </w:r>
      <w:r w:rsidRPr="00435469">
        <w:rPr>
          <w:sz w:val="20"/>
          <w:szCs w:val="20"/>
        </w:rPr>
        <w:instrText xml:space="preserve"> REF _Ref99981003 \h </w:instrText>
      </w:r>
      <w:r w:rsidR="0066113B" w:rsidRPr="00435469">
        <w:rPr>
          <w:sz w:val="20"/>
          <w:szCs w:val="20"/>
        </w:rPr>
        <w:instrText xml:space="preserve"> \* MERGEFORMAT </w:instrText>
      </w:r>
      <w:r w:rsidRPr="00435469">
        <w:rPr>
          <w:sz w:val="20"/>
          <w:szCs w:val="20"/>
        </w:rPr>
      </w:r>
      <w:r w:rsidRPr="00435469">
        <w:rPr>
          <w:sz w:val="20"/>
          <w:szCs w:val="20"/>
        </w:rPr>
        <w:fldChar w:fldCharType="separate"/>
      </w:r>
      <w:r w:rsidR="00186C2F" w:rsidRPr="00435469">
        <w:rPr>
          <w:sz w:val="20"/>
          <w:szCs w:val="20"/>
        </w:rPr>
        <w:t>Figure 9</w:t>
      </w:r>
      <w:r w:rsidRPr="00435469">
        <w:rPr>
          <w:sz w:val="20"/>
          <w:szCs w:val="20"/>
        </w:rPr>
        <w:fldChar w:fldCharType="end"/>
      </w:r>
      <w:r w:rsidR="001D7341" w:rsidRPr="00435469">
        <w:rPr>
          <w:sz w:val="20"/>
          <w:szCs w:val="20"/>
        </w:rPr>
        <w:t xml:space="preserve"> and </w:t>
      </w:r>
      <w:r w:rsidRPr="00435469">
        <w:rPr>
          <w:sz w:val="20"/>
          <w:szCs w:val="20"/>
        </w:rPr>
        <w:fldChar w:fldCharType="begin"/>
      </w:r>
      <w:r w:rsidRPr="00435469">
        <w:rPr>
          <w:sz w:val="20"/>
          <w:szCs w:val="20"/>
        </w:rPr>
        <w:instrText xml:space="preserve"> REF _Ref99981291 \h </w:instrText>
      </w:r>
      <w:r w:rsidR="0066113B" w:rsidRPr="00435469">
        <w:rPr>
          <w:sz w:val="20"/>
          <w:szCs w:val="20"/>
        </w:rPr>
        <w:instrText xml:space="preserve"> \* MERGEFORMAT </w:instrText>
      </w:r>
      <w:r w:rsidRPr="00435469">
        <w:rPr>
          <w:sz w:val="20"/>
          <w:szCs w:val="20"/>
        </w:rPr>
      </w:r>
      <w:r w:rsidRPr="00435469">
        <w:rPr>
          <w:sz w:val="20"/>
          <w:szCs w:val="20"/>
        </w:rPr>
        <w:fldChar w:fldCharType="separate"/>
      </w:r>
      <w:r w:rsidR="00186C2F" w:rsidRPr="00435469">
        <w:rPr>
          <w:sz w:val="20"/>
          <w:szCs w:val="20"/>
        </w:rPr>
        <w:t>Figure 10</w:t>
      </w:r>
      <w:r w:rsidRPr="00435469">
        <w:rPr>
          <w:sz w:val="20"/>
          <w:szCs w:val="20"/>
        </w:rPr>
        <w:fldChar w:fldCharType="end"/>
      </w:r>
      <w:r w:rsidR="006718B3" w:rsidRPr="00435469">
        <w:rPr>
          <w:sz w:val="20"/>
          <w:szCs w:val="20"/>
        </w:rPr>
        <w:t xml:space="preserve"> </w:t>
      </w:r>
      <w:r w:rsidR="004B137B" w:rsidRPr="00435469">
        <w:rPr>
          <w:sz w:val="20"/>
          <w:szCs w:val="20"/>
        </w:rPr>
        <w:t>show the model fit to adjusted recorded</w:t>
      </w:r>
      <w:r w:rsidR="00425E1F" w:rsidRPr="00435469">
        <w:rPr>
          <w:sz w:val="20"/>
          <w:szCs w:val="20"/>
        </w:rPr>
        <w:t xml:space="preserve"> ETR</w:t>
      </w:r>
      <w:r w:rsidR="004B137B" w:rsidRPr="00435469">
        <w:rPr>
          <w:sz w:val="20"/>
          <w:szCs w:val="20"/>
        </w:rPr>
        <w:t xml:space="preserve"> trea</w:t>
      </w:r>
      <w:r w:rsidR="00425E1F" w:rsidRPr="00435469">
        <w:rPr>
          <w:sz w:val="20"/>
          <w:szCs w:val="20"/>
        </w:rPr>
        <w:t>tment</w:t>
      </w:r>
      <w:r w:rsidR="004B137B" w:rsidRPr="00435469">
        <w:rPr>
          <w:sz w:val="20"/>
          <w:szCs w:val="20"/>
        </w:rPr>
        <w:t xml:space="preserve"> </w:t>
      </w:r>
      <w:r w:rsidR="00856BAC" w:rsidRPr="00435469">
        <w:rPr>
          <w:sz w:val="20"/>
          <w:szCs w:val="20"/>
        </w:rPr>
        <w:t>initiations</w:t>
      </w:r>
      <w:r w:rsidR="008A2517" w:rsidRPr="00435469">
        <w:rPr>
          <w:sz w:val="20"/>
          <w:szCs w:val="20"/>
        </w:rPr>
        <w:t xml:space="preserve"> for male and females respectively</w:t>
      </w:r>
      <w:r w:rsidR="004B137B" w:rsidRPr="00435469">
        <w:rPr>
          <w:sz w:val="20"/>
          <w:szCs w:val="20"/>
        </w:rPr>
        <w:t xml:space="preserve">. </w:t>
      </w:r>
      <w:r w:rsidR="000E7E78" w:rsidRPr="00435469">
        <w:rPr>
          <w:sz w:val="20"/>
          <w:szCs w:val="20"/>
        </w:rPr>
        <w:t>The model resulted in an earlier peak in treatment initiations than the ETR data suggest; this could be because the earlier ETR data were less complete.</w:t>
      </w:r>
    </w:p>
    <w:p w14:paraId="17592446" w14:textId="17373E3F" w:rsidR="00097969" w:rsidRPr="00435469" w:rsidRDefault="00CC283C" w:rsidP="000F4E59">
      <w:pPr>
        <w:pStyle w:val="1Para"/>
        <w:numPr>
          <w:ilvl w:val="0"/>
          <w:numId w:val="33"/>
        </w:numPr>
        <w:spacing w:line="240" w:lineRule="auto"/>
        <w:rPr>
          <w:sz w:val="20"/>
          <w:szCs w:val="20"/>
        </w:rPr>
      </w:pPr>
      <w:r w:rsidRPr="00435469">
        <w:rPr>
          <w:sz w:val="20"/>
          <w:szCs w:val="20"/>
        </w:rPr>
        <w:fldChar w:fldCharType="begin"/>
      </w:r>
      <w:r w:rsidRPr="00435469">
        <w:rPr>
          <w:sz w:val="20"/>
          <w:szCs w:val="20"/>
        </w:rPr>
        <w:instrText xml:space="preserve"> REF _Ref99981463 \h </w:instrText>
      </w:r>
      <w:r w:rsidR="00955FFB" w:rsidRPr="00435469">
        <w:rPr>
          <w:sz w:val="20"/>
          <w:szCs w:val="20"/>
        </w:rPr>
        <w:instrText xml:space="preserve"> \* MERGEFORMAT </w:instrText>
      </w:r>
      <w:r w:rsidRPr="00435469">
        <w:rPr>
          <w:sz w:val="20"/>
          <w:szCs w:val="20"/>
        </w:rPr>
      </w:r>
      <w:r w:rsidRPr="00435469">
        <w:rPr>
          <w:sz w:val="20"/>
          <w:szCs w:val="20"/>
        </w:rPr>
        <w:fldChar w:fldCharType="separate"/>
      </w:r>
      <w:r w:rsidR="00186C2F" w:rsidRPr="00435469">
        <w:rPr>
          <w:sz w:val="20"/>
          <w:szCs w:val="20"/>
        </w:rPr>
        <w:t xml:space="preserve">Figure </w:t>
      </w:r>
      <w:r w:rsidR="00186C2F" w:rsidRPr="00435469">
        <w:rPr>
          <w:noProof/>
          <w:sz w:val="20"/>
          <w:szCs w:val="20"/>
        </w:rPr>
        <w:t>11</w:t>
      </w:r>
      <w:r w:rsidRPr="00435469">
        <w:rPr>
          <w:sz w:val="20"/>
          <w:szCs w:val="20"/>
        </w:rPr>
        <w:fldChar w:fldCharType="end"/>
      </w:r>
      <w:r w:rsidR="008B6755" w:rsidRPr="00435469">
        <w:rPr>
          <w:sz w:val="20"/>
          <w:szCs w:val="20"/>
        </w:rPr>
        <w:t xml:space="preserve"> and</w:t>
      </w:r>
      <w:r w:rsidR="009236EC" w:rsidRPr="00435469">
        <w:rPr>
          <w:sz w:val="20"/>
          <w:szCs w:val="20"/>
        </w:rPr>
        <w:t xml:space="preserve"> </w:t>
      </w:r>
      <w:r w:rsidR="00B63AF9" w:rsidRPr="00435469">
        <w:rPr>
          <w:sz w:val="20"/>
          <w:szCs w:val="20"/>
        </w:rPr>
        <w:fldChar w:fldCharType="begin"/>
      </w:r>
      <w:r w:rsidR="00B63AF9" w:rsidRPr="00435469">
        <w:rPr>
          <w:sz w:val="20"/>
          <w:szCs w:val="20"/>
        </w:rPr>
        <w:instrText xml:space="preserve"> REF _Ref99981475 \h </w:instrText>
      </w:r>
      <w:r w:rsidR="00955FFB" w:rsidRPr="00435469">
        <w:rPr>
          <w:sz w:val="20"/>
          <w:szCs w:val="20"/>
        </w:rPr>
        <w:instrText xml:space="preserve"> \* MERGEFORMAT </w:instrText>
      </w:r>
      <w:r w:rsidR="00B63AF9" w:rsidRPr="00435469">
        <w:rPr>
          <w:sz w:val="20"/>
          <w:szCs w:val="20"/>
        </w:rPr>
      </w:r>
      <w:r w:rsidR="00B63AF9" w:rsidRPr="00435469">
        <w:rPr>
          <w:sz w:val="20"/>
          <w:szCs w:val="20"/>
        </w:rPr>
        <w:fldChar w:fldCharType="separate"/>
      </w:r>
      <w:r w:rsidR="00186C2F" w:rsidRPr="00435469">
        <w:rPr>
          <w:sz w:val="20"/>
          <w:szCs w:val="20"/>
        </w:rPr>
        <w:t xml:space="preserve">Figure </w:t>
      </w:r>
      <w:r w:rsidR="00186C2F" w:rsidRPr="00435469">
        <w:rPr>
          <w:noProof/>
          <w:sz w:val="20"/>
          <w:szCs w:val="20"/>
        </w:rPr>
        <w:t>12</w:t>
      </w:r>
      <w:r w:rsidR="00B63AF9" w:rsidRPr="00435469">
        <w:rPr>
          <w:sz w:val="20"/>
          <w:szCs w:val="20"/>
        </w:rPr>
        <w:fldChar w:fldCharType="end"/>
      </w:r>
      <w:r w:rsidR="00B63AF9" w:rsidRPr="00435469">
        <w:rPr>
          <w:sz w:val="20"/>
          <w:szCs w:val="20"/>
        </w:rPr>
        <w:t xml:space="preserve"> show the proportions of TB deaths</w:t>
      </w:r>
      <w:r w:rsidR="00394F09" w:rsidRPr="00435469">
        <w:rPr>
          <w:sz w:val="20"/>
          <w:szCs w:val="20"/>
        </w:rPr>
        <w:t xml:space="preserve"> recorded in the ETR</w:t>
      </w:r>
      <w:r w:rsidR="00C43D1B" w:rsidRPr="00435469">
        <w:rPr>
          <w:sz w:val="20"/>
          <w:szCs w:val="20"/>
        </w:rPr>
        <w:t xml:space="preserve"> </w:t>
      </w:r>
      <w:r w:rsidR="0022759E" w:rsidRPr="00435469">
        <w:rPr>
          <w:sz w:val="20"/>
          <w:szCs w:val="20"/>
        </w:rPr>
        <w:t xml:space="preserve">for </w:t>
      </w:r>
      <w:r w:rsidR="00394F09" w:rsidRPr="00435469">
        <w:rPr>
          <w:sz w:val="20"/>
          <w:szCs w:val="20"/>
        </w:rPr>
        <w:t>males and females.</w:t>
      </w:r>
      <w:r w:rsidR="006F40D9" w:rsidRPr="00435469">
        <w:rPr>
          <w:sz w:val="20"/>
          <w:szCs w:val="20"/>
        </w:rPr>
        <w:t xml:space="preserve"> The model</w:t>
      </w:r>
      <w:r w:rsidR="00F87DDA" w:rsidRPr="00435469">
        <w:rPr>
          <w:sz w:val="20"/>
          <w:szCs w:val="20"/>
        </w:rPr>
        <w:t xml:space="preserve"> </w:t>
      </w:r>
      <w:r w:rsidR="0026090F" w:rsidRPr="00435469">
        <w:rPr>
          <w:sz w:val="20"/>
          <w:szCs w:val="20"/>
        </w:rPr>
        <w:t xml:space="preserve">did not </w:t>
      </w:r>
      <w:r w:rsidR="009A359C" w:rsidRPr="00435469">
        <w:rPr>
          <w:sz w:val="20"/>
          <w:szCs w:val="20"/>
        </w:rPr>
        <w:t>match</w:t>
      </w:r>
      <w:r w:rsidR="00F87DDA" w:rsidRPr="00435469">
        <w:rPr>
          <w:sz w:val="20"/>
          <w:szCs w:val="20"/>
        </w:rPr>
        <w:t xml:space="preserve"> the </w:t>
      </w:r>
      <w:r w:rsidR="00363291" w:rsidRPr="00435469">
        <w:rPr>
          <w:sz w:val="20"/>
          <w:szCs w:val="20"/>
        </w:rPr>
        <w:t xml:space="preserve">observed </w:t>
      </w:r>
      <w:r w:rsidR="00F87DDA" w:rsidRPr="00435469">
        <w:rPr>
          <w:sz w:val="20"/>
          <w:szCs w:val="20"/>
        </w:rPr>
        <w:t>data</w:t>
      </w:r>
      <w:r w:rsidR="009A359C" w:rsidRPr="00435469">
        <w:rPr>
          <w:sz w:val="20"/>
          <w:szCs w:val="20"/>
        </w:rPr>
        <w:t xml:space="preserve"> well</w:t>
      </w:r>
      <w:r w:rsidR="0026090F" w:rsidRPr="00435469">
        <w:rPr>
          <w:sz w:val="20"/>
          <w:szCs w:val="20"/>
        </w:rPr>
        <w:t xml:space="preserve">. </w:t>
      </w:r>
      <w:r w:rsidR="009A359C" w:rsidRPr="00435469">
        <w:rPr>
          <w:sz w:val="20"/>
          <w:szCs w:val="20"/>
        </w:rPr>
        <w:t>Although we adjusted for incomplete recording of deaths, we did so on the assumption that completeness levels remained constant over time</w:t>
      </w:r>
      <w:r w:rsidR="00F503F7" w:rsidRPr="00435469">
        <w:rPr>
          <w:sz w:val="20"/>
          <w:szCs w:val="20"/>
        </w:rPr>
        <w:t>, which might be unrealistic</w:t>
      </w:r>
      <w:r w:rsidR="009A359C" w:rsidRPr="00435469">
        <w:rPr>
          <w:sz w:val="20"/>
          <w:szCs w:val="20"/>
        </w:rPr>
        <w:t xml:space="preserve">. In ART programmes it has been noted that the recording of mortality in patient record systems has become significantly less complete over time </w:t>
      </w:r>
      <w:r w:rsidR="00940288" w:rsidRPr="00435469">
        <w:rPr>
          <w:sz w:val="20"/>
          <w:szCs w:val="20"/>
        </w:rPr>
        <w:fldChar w:fldCharType="begin" w:fldLock="1"/>
      </w:r>
      <w:r w:rsidR="00A142FF" w:rsidRPr="00435469">
        <w:rPr>
          <w:sz w:val="20"/>
          <w:szCs w:val="20"/>
        </w:rPr>
        <w:instrText>ADDIN CSL_CITATION {"citationItems":[{"id":"ITEM-1","itemData":{"DOI":"10.7448/IAS.18.1.20628","ISSN":"17582652","PMID":"26685125","abstract":"Introduction: There is uncertainty regarding the completeness of death recording by civil registration and by health centres in South Africa. This paper aims to compare death recording by the two systems, in cohorts of South African patients receiving antiretroviral treatment (ART). Methods: Completeness of death recording was estimated using a capture-recapture approach. Six ART programmes linked their patient record systems to the vital registration system using civil identity document (ID) numbers and provided data comparing the outcomes recorded in patient files and in the vital registration. Patients were excluded if they had missing/invalid IDs or had transferred to other ART programmes. Results: After exclusions, 91,548 patient records were included. Of deaths recorded in patients files after 2003, 94.0% (95% CI: 93.3-94.6%) were recorded by civil registration, with completeness being significantly higher in urban areas, older adults and females. Of deaths recorded by civil registration after 2003, only 35.0% (95% CI: 34.2-35.8%) were recorded in patient files, with this proportion dropping from 60% in 2004-2005 to 30% in 2010 and subsequent years. Recording of deaths in patient files was significantly higher in children and in locations within 50 km of the health centre. When the information from the two systems was combined, an estimated 96.2% of all deaths were recorded (93.5% in children and 96.2% in adults). Conclusions: South Africa's civil registration system has achieved a high level of completeness in the recording of mortality. However, the fraction of deaths recorded by health centres is low and information from patient records is insufficient by itself to evaluate levels and predictors of ART patient mortality. Previously documented improvements in ART mortality over time may be biased if based only on data from patient records.","author":[{"dropping-particle":"","family":"Johnson","given":"Leigh F.","non-dropping-particle":"","parse-names":false,"suffix":""},{"dropping-particle":"","family":"Dorrington","given":"Rob E.","non-dropping-particle":"","parse-names":false,"suffix":""},{"dropping-particle":"","family":"Laubscher","given":"Ria","non-dropping-particle":"","parse-names":false,"suffix":""},{"dropping-particle":"","family":"Hoffmann","given":"Christopher J.","non-dropping-particle":"","parse-names":false,"suffix":""},{"dropping-particle":"","family":"Wood","given":"Robin","non-dropping-particle":"","parse-names":false,"suffix":""},{"dropping-particle":"","family":"Fox","given":"Matthew P.","non-dropping-particle":"","parse-names":false,"suffix":""},{"dropping-particle":"","family":"Cornell","given":"Morna","non-dropping-particle":"","parse-names":false,"suffix":""},{"dropping-particle":"","family":"Schomaker","given":"Michael","non-dropping-particle":"","parse-names":false,"suffix":""},{"dropping-particle":"","family":"Prozesky","given":"Hans","non-dropping-particle":"","parse-names":false,"suffix":""},{"dropping-particle":"","family":"Tanser","given":"Frank","non-dropping-particle":"","parse-names":false,"suffix":""},{"dropping-particle":"","family":"Davies","given":"Mary Ann","non-dropping-particle":"","parse-names":false,"suffix":""},{"dropping-particle":"","family":"Boulle","given":"Andrew","non-dropping-particle":"","parse-names":false,"suffix":""}],"container-title":"Journal of the International AIDS Society","id":"ITEM-1","issue":"1","issued":{"date-parts":[["2015"]]},"page":"1-7","title":"A comparison of death recording by health centres and civil registration in South Africans receiving antiretroviral treatment","type":"article-journal","volume":"18"},"uris":["http://www.mendeley.com/documents/?uuid=a8b38e82-12b4-4a0f-983a-8d587fde6b21"]}],"mendeley":{"formattedCitation":"(83)","plainTextFormattedCitation":"(83)","previouslyFormattedCitation":"(83)"},"properties":{"noteIndex":0},"schema":"https://github.com/citation-style-language/schema/raw/master/csl-citation.json"}</w:instrText>
      </w:r>
      <w:r w:rsidR="00940288" w:rsidRPr="00435469">
        <w:rPr>
          <w:sz w:val="20"/>
          <w:szCs w:val="20"/>
        </w:rPr>
        <w:fldChar w:fldCharType="separate"/>
      </w:r>
      <w:r w:rsidR="0016391D" w:rsidRPr="00435469">
        <w:rPr>
          <w:noProof/>
          <w:sz w:val="20"/>
          <w:szCs w:val="20"/>
        </w:rPr>
        <w:t>(83)</w:t>
      </w:r>
      <w:r w:rsidR="00940288" w:rsidRPr="00435469">
        <w:rPr>
          <w:sz w:val="20"/>
          <w:szCs w:val="20"/>
        </w:rPr>
        <w:fldChar w:fldCharType="end"/>
      </w:r>
      <w:r w:rsidR="00940288" w:rsidRPr="00435469">
        <w:rPr>
          <w:sz w:val="20"/>
          <w:szCs w:val="20"/>
        </w:rPr>
        <w:t>,</w:t>
      </w:r>
      <w:r w:rsidR="009A359C" w:rsidRPr="00435469">
        <w:rPr>
          <w:sz w:val="20"/>
          <w:szCs w:val="20"/>
        </w:rPr>
        <w:t xml:space="preserve"> which might explain why we do not match the significant reduction in the </w:t>
      </w:r>
      <w:r w:rsidR="00F503F7" w:rsidRPr="00435469">
        <w:rPr>
          <w:sz w:val="20"/>
          <w:szCs w:val="20"/>
        </w:rPr>
        <w:t>recorded deaths in the more recent years</w:t>
      </w:r>
      <w:r w:rsidR="009A359C" w:rsidRPr="00435469">
        <w:rPr>
          <w:sz w:val="20"/>
          <w:szCs w:val="20"/>
        </w:rPr>
        <w:t>.</w:t>
      </w:r>
      <w:r w:rsidR="00F87DDA" w:rsidRPr="00435469">
        <w:rPr>
          <w:sz w:val="20"/>
          <w:szCs w:val="20"/>
        </w:rPr>
        <w:t xml:space="preserve"> </w:t>
      </w:r>
    </w:p>
    <w:p w14:paraId="4A2CCEB5" w14:textId="7FA0530B" w:rsidR="009236EC" w:rsidRPr="00435469" w:rsidRDefault="00CC283C" w:rsidP="000F4E59">
      <w:pPr>
        <w:pStyle w:val="1Para"/>
        <w:numPr>
          <w:ilvl w:val="0"/>
          <w:numId w:val="33"/>
        </w:numPr>
        <w:spacing w:line="240" w:lineRule="auto"/>
        <w:rPr>
          <w:sz w:val="20"/>
          <w:szCs w:val="20"/>
        </w:rPr>
      </w:pPr>
      <w:r w:rsidRPr="00435469">
        <w:rPr>
          <w:sz w:val="20"/>
          <w:szCs w:val="20"/>
        </w:rPr>
        <w:fldChar w:fldCharType="begin"/>
      </w:r>
      <w:r w:rsidRPr="00435469">
        <w:rPr>
          <w:sz w:val="20"/>
          <w:szCs w:val="20"/>
        </w:rPr>
        <w:instrText xml:space="preserve"> REF _Ref99981485 \h </w:instrText>
      </w:r>
      <w:r w:rsidR="00955FFB" w:rsidRPr="00435469">
        <w:rPr>
          <w:sz w:val="20"/>
          <w:szCs w:val="20"/>
        </w:rPr>
        <w:instrText xml:space="preserve"> \* MERGEFORMAT </w:instrText>
      </w:r>
      <w:r w:rsidRPr="00435469">
        <w:rPr>
          <w:sz w:val="20"/>
          <w:szCs w:val="20"/>
        </w:rPr>
      </w:r>
      <w:r w:rsidRPr="00435469">
        <w:rPr>
          <w:sz w:val="20"/>
          <w:szCs w:val="20"/>
        </w:rPr>
        <w:fldChar w:fldCharType="separate"/>
      </w:r>
      <w:r w:rsidR="00186C2F" w:rsidRPr="00435469">
        <w:rPr>
          <w:sz w:val="20"/>
          <w:szCs w:val="20"/>
        </w:rPr>
        <w:t xml:space="preserve">Figure </w:t>
      </w:r>
      <w:r w:rsidR="00186C2F" w:rsidRPr="00435469">
        <w:rPr>
          <w:noProof/>
          <w:sz w:val="20"/>
          <w:szCs w:val="20"/>
        </w:rPr>
        <w:t>13</w:t>
      </w:r>
      <w:r w:rsidRPr="00435469">
        <w:rPr>
          <w:sz w:val="20"/>
          <w:szCs w:val="20"/>
        </w:rPr>
        <w:fldChar w:fldCharType="end"/>
      </w:r>
      <w:r w:rsidR="0007608A" w:rsidRPr="00435469">
        <w:rPr>
          <w:sz w:val="20"/>
          <w:szCs w:val="20"/>
        </w:rPr>
        <w:t xml:space="preserve"> </w:t>
      </w:r>
      <w:r w:rsidR="000B6940" w:rsidRPr="00435469">
        <w:rPr>
          <w:sz w:val="20"/>
          <w:szCs w:val="20"/>
        </w:rPr>
        <w:t xml:space="preserve">shows the model fit to the prevalence of HIV in individuals on treatment. </w:t>
      </w:r>
      <w:r w:rsidR="00575F93" w:rsidRPr="00435469">
        <w:rPr>
          <w:sz w:val="20"/>
          <w:szCs w:val="20"/>
        </w:rPr>
        <w:t xml:space="preserve">The model </w:t>
      </w:r>
      <w:r w:rsidR="005002EC" w:rsidRPr="00435469">
        <w:rPr>
          <w:sz w:val="20"/>
          <w:szCs w:val="20"/>
        </w:rPr>
        <w:t>did not</w:t>
      </w:r>
      <w:r w:rsidR="00575F93" w:rsidRPr="00435469">
        <w:rPr>
          <w:sz w:val="20"/>
          <w:szCs w:val="20"/>
        </w:rPr>
        <w:t xml:space="preserve"> to fit the ETR HIV prevalence </w:t>
      </w:r>
      <w:r w:rsidR="005002EC" w:rsidRPr="00435469">
        <w:rPr>
          <w:sz w:val="20"/>
          <w:szCs w:val="20"/>
        </w:rPr>
        <w:t>well</w:t>
      </w:r>
      <w:r w:rsidR="00DE75EF" w:rsidRPr="00435469">
        <w:rPr>
          <w:sz w:val="20"/>
          <w:szCs w:val="20"/>
        </w:rPr>
        <w:t xml:space="preserve"> (underestimating the observed </w:t>
      </w:r>
      <w:r w:rsidR="00B92567" w:rsidRPr="00435469">
        <w:rPr>
          <w:sz w:val="20"/>
          <w:szCs w:val="20"/>
        </w:rPr>
        <w:t>data)</w:t>
      </w:r>
      <w:r w:rsidR="00257589" w:rsidRPr="00435469">
        <w:rPr>
          <w:sz w:val="20"/>
          <w:szCs w:val="20"/>
        </w:rPr>
        <w:t xml:space="preserve"> </w:t>
      </w:r>
      <w:r w:rsidR="00575F93" w:rsidRPr="00435469">
        <w:rPr>
          <w:sz w:val="20"/>
          <w:szCs w:val="20"/>
        </w:rPr>
        <w:t xml:space="preserve">before </w:t>
      </w:r>
      <w:proofErr w:type="gramStart"/>
      <w:r w:rsidR="00575F93" w:rsidRPr="00435469">
        <w:rPr>
          <w:sz w:val="20"/>
          <w:szCs w:val="20"/>
        </w:rPr>
        <w:t>2014</w:t>
      </w:r>
      <w:r w:rsidR="005D6C34" w:rsidRPr="00435469">
        <w:rPr>
          <w:sz w:val="20"/>
          <w:szCs w:val="20"/>
        </w:rPr>
        <w:t>, but</w:t>
      </w:r>
      <w:proofErr w:type="gramEnd"/>
      <w:r w:rsidR="005D6C34" w:rsidRPr="00435469">
        <w:rPr>
          <w:sz w:val="20"/>
          <w:szCs w:val="20"/>
        </w:rPr>
        <w:t xml:space="preserve"> was more consistent with the data over 2014-2016</w:t>
      </w:r>
      <w:r w:rsidR="00575F93" w:rsidRPr="00435469">
        <w:rPr>
          <w:sz w:val="20"/>
          <w:szCs w:val="20"/>
        </w:rPr>
        <w:t xml:space="preserve">. </w:t>
      </w:r>
      <w:r w:rsidR="002C56FB" w:rsidRPr="00435469">
        <w:rPr>
          <w:sz w:val="20"/>
          <w:szCs w:val="20"/>
        </w:rPr>
        <w:t>This is possibly because over the period 2014-2016, 95% of people in the ETR were tested (had known HIV status), while testing was less complete in the earlier years (</w:t>
      </w:r>
      <w:r w:rsidR="00443046" w:rsidRPr="00435469">
        <w:rPr>
          <w:sz w:val="20"/>
          <w:szCs w:val="20"/>
        </w:rPr>
        <w:t>e.g.</w:t>
      </w:r>
      <w:r w:rsidR="002C56FB" w:rsidRPr="00435469">
        <w:rPr>
          <w:sz w:val="20"/>
          <w:szCs w:val="20"/>
        </w:rPr>
        <w:t xml:space="preserve">, in 2009, only 53% people were tested). Thus, </w:t>
      </w:r>
      <w:r w:rsidR="00443046" w:rsidRPr="00435469">
        <w:rPr>
          <w:sz w:val="20"/>
          <w:szCs w:val="20"/>
        </w:rPr>
        <w:t xml:space="preserve">it is possible that </w:t>
      </w:r>
      <w:r w:rsidR="002C56FB" w:rsidRPr="00435469">
        <w:rPr>
          <w:sz w:val="20"/>
          <w:szCs w:val="20"/>
        </w:rPr>
        <w:t>the earlier (less complete) data overstate</w:t>
      </w:r>
      <w:r w:rsidR="00443046" w:rsidRPr="00435469">
        <w:rPr>
          <w:sz w:val="20"/>
          <w:szCs w:val="20"/>
        </w:rPr>
        <w:t>d</w:t>
      </w:r>
      <w:r w:rsidR="002C56FB" w:rsidRPr="00435469">
        <w:rPr>
          <w:sz w:val="20"/>
          <w:szCs w:val="20"/>
        </w:rPr>
        <w:t xml:space="preserve"> the true TB prevalence if HIV testing was biased towards people suspected of being at HIV risk, or if there was a bias due to people on ART being known HIV-positive cases.</w:t>
      </w:r>
    </w:p>
    <w:p w14:paraId="2F7B3B81" w14:textId="27FCD7BE" w:rsidR="009A214A" w:rsidRPr="00435469" w:rsidRDefault="00CC283C" w:rsidP="000F4E59">
      <w:pPr>
        <w:pStyle w:val="1Para"/>
        <w:numPr>
          <w:ilvl w:val="0"/>
          <w:numId w:val="33"/>
        </w:numPr>
        <w:spacing w:line="240" w:lineRule="auto"/>
        <w:rPr>
          <w:sz w:val="20"/>
          <w:szCs w:val="20"/>
        </w:rPr>
      </w:pPr>
      <w:r w:rsidRPr="00435469">
        <w:rPr>
          <w:sz w:val="20"/>
          <w:szCs w:val="20"/>
        </w:rPr>
        <w:fldChar w:fldCharType="begin"/>
      </w:r>
      <w:r w:rsidRPr="00435469">
        <w:rPr>
          <w:sz w:val="20"/>
          <w:szCs w:val="20"/>
        </w:rPr>
        <w:instrText xml:space="preserve"> REF _Ref99981501 \h </w:instrText>
      </w:r>
      <w:r w:rsidR="00955FFB" w:rsidRPr="00435469">
        <w:rPr>
          <w:sz w:val="20"/>
          <w:szCs w:val="20"/>
        </w:rPr>
        <w:instrText xml:space="preserve"> \* MERGEFORMAT </w:instrText>
      </w:r>
      <w:r w:rsidRPr="00435469">
        <w:rPr>
          <w:sz w:val="20"/>
          <w:szCs w:val="20"/>
        </w:rPr>
      </w:r>
      <w:r w:rsidRPr="00435469">
        <w:rPr>
          <w:sz w:val="20"/>
          <w:szCs w:val="20"/>
        </w:rPr>
        <w:fldChar w:fldCharType="separate"/>
      </w:r>
      <w:r w:rsidR="00186C2F" w:rsidRPr="00435469">
        <w:rPr>
          <w:sz w:val="20"/>
          <w:szCs w:val="20"/>
        </w:rPr>
        <w:t xml:space="preserve">Figure </w:t>
      </w:r>
      <w:r w:rsidR="00186C2F" w:rsidRPr="00435469">
        <w:rPr>
          <w:noProof/>
          <w:sz w:val="20"/>
          <w:szCs w:val="20"/>
        </w:rPr>
        <w:t>14</w:t>
      </w:r>
      <w:r w:rsidRPr="00435469">
        <w:rPr>
          <w:sz w:val="20"/>
          <w:szCs w:val="20"/>
        </w:rPr>
        <w:fldChar w:fldCharType="end"/>
      </w:r>
      <w:r w:rsidR="0007608A" w:rsidRPr="00435469">
        <w:rPr>
          <w:sz w:val="20"/>
          <w:szCs w:val="20"/>
        </w:rPr>
        <w:t xml:space="preserve"> </w:t>
      </w:r>
      <w:r w:rsidR="00172854" w:rsidRPr="00435469">
        <w:rPr>
          <w:sz w:val="20"/>
          <w:szCs w:val="20"/>
        </w:rPr>
        <w:t xml:space="preserve">shows the model fit </w:t>
      </w:r>
      <w:r w:rsidR="000D04C8" w:rsidRPr="00435469">
        <w:rPr>
          <w:sz w:val="20"/>
          <w:szCs w:val="20"/>
        </w:rPr>
        <w:t>to</w:t>
      </w:r>
      <w:r w:rsidR="005F130B" w:rsidRPr="00435469">
        <w:rPr>
          <w:sz w:val="20"/>
          <w:szCs w:val="20"/>
        </w:rPr>
        <w:t xml:space="preserve"> the</w:t>
      </w:r>
      <w:r w:rsidR="000D04C8" w:rsidRPr="00435469">
        <w:rPr>
          <w:sz w:val="20"/>
          <w:szCs w:val="20"/>
        </w:rPr>
        <w:t xml:space="preserve"> </w:t>
      </w:r>
      <w:r w:rsidR="00172854" w:rsidRPr="00435469">
        <w:rPr>
          <w:sz w:val="20"/>
          <w:szCs w:val="20"/>
        </w:rPr>
        <w:t xml:space="preserve">number of </w:t>
      </w:r>
      <w:r w:rsidR="00172854" w:rsidRPr="00435469">
        <w:rPr>
          <w:rFonts w:cs="Times New Roman"/>
          <w:sz w:val="20"/>
          <w:szCs w:val="20"/>
        </w:rPr>
        <w:t xml:space="preserve">microbiological </w:t>
      </w:r>
      <w:r w:rsidR="00040699" w:rsidRPr="00435469">
        <w:rPr>
          <w:sz w:val="20"/>
          <w:szCs w:val="20"/>
        </w:rPr>
        <w:t>TB</w:t>
      </w:r>
      <w:r w:rsidR="00172854" w:rsidRPr="00435469">
        <w:rPr>
          <w:sz w:val="20"/>
          <w:szCs w:val="20"/>
        </w:rPr>
        <w:t xml:space="preserve"> tests performed</w:t>
      </w:r>
      <w:r w:rsidR="006D1F24" w:rsidRPr="00435469">
        <w:rPr>
          <w:sz w:val="20"/>
          <w:szCs w:val="20"/>
        </w:rPr>
        <w:t xml:space="preserve">. </w:t>
      </w:r>
      <w:r w:rsidR="00092AD2" w:rsidRPr="00435469">
        <w:rPr>
          <w:sz w:val="20"/>
          <w:szCs w:val="20"/>
        </w:rPr>
        <w:t xml:space="preserve">The model captured the increasing trend </w:t>
      </w:r>
      <w:r w:rsidR="00040699" w:rsidRPr="00435469">
        <w:rPr>
          <w:sz w:val="20"/>
          <w:szCs w:val="20"/>
        </w:rPr>
        <w:t>for numbers of TB tests but slightly underestimated the reported data</w:t>
      </w:r>
      <w:r w:rsidR="00FA1333" w:rsidRPr="00435469">
        <w:rPr>
          <w:sz w:val="20"/>
          <w:szCs w:val="20"/>
        </w:rPr>
        <w:t xml:space="preserve"> in recent years</w:t>
      </w:r>
      <w:r w:rsidR="00040699" w:rsidRPr="00435469">
        <w:rPr>
          <w:sz w:val="20"/>
          <w:szCs w:val="20"/>
        </w:rPr>
        <w:t>.</w:t>
      </w:r>
    </w:p>
    <w:p w14:paraId="4B3B382F" w14:textId="7B891114" w:rsidR="008751FF" w:rsidRPr="00435469" w:rsidRDefault="001A33E4" w:rsidP="000F4E59">
      <w:pPr>
        <w:pStyle w:val="1Para"/>
        <w:numPr>
          <w:ilvl w:val="0"/>
          <w:numId w:val="33"/>
        </w:numPr>
        <w:spacing w:line="240" w:lineRule="auto"/>
        <w:rPr>
          <w:sz w:val="20"/>
          <w:szCs w:val="20"/>
        </w:rPr>
      </w:pPr>
      <w:r w:rsidRPr="00435469">
        <w:rPr>
          <w:sz w:val="20"/>
          <w:szCs w:val="20"/>
        </w:rPr>
        <w:fldChar w:fldCharType="begin"/>
      </w:r>
      <w:r w:rsidRPr="00435469">
        <w:rPr>
          <w:sz w:val="20"/>
          <w:szCs w:val="20"/>
        </w:rPr>
        <w:instrText xml:space="preserve"> REF _Ref99981513 \h </w:instrText>
      </w:r>
      <w:r w:rsidR="00955FFB" w:rsidRPr="00435469">
        <w:rPr>
          <w:sz w:val="20"/>
          <w:szCs w:val="20"/>
        </w:rPr>
        <w:instrText xml:space="preserve"> \* MERGEFORMAT </w:instrText>
      </w:r>
      <w:r w:rsidRPr="00435469">
        <w:rPr>
          <w:sz w:val="20"/>
          <w:szCs w:val="20"/>
        </w:rPr>
      </w:r>
      <w:r w:rsidRPr="00435469">
        <w:rPr>
          <w:sz w:val="20"/>
          <w:szCs w:val="20"/>
        </w:rPr>
        <w:fldChar w:fldCharType="separate"/>
      </w:r>
      <w:r w:rsidR="00186C2F" w:rsidRPr="00435469">
        <w:rPr>
          <w:sz w:val="20"/>
          <w:szCs w:val="20"/>
        </w:rPr>
        <w:t xml:space="preserve">Figure </w:t>
      </w:r>
      <w:r w:rsidR="00186C2F" w:rsidRPr="00435469">
        <w:rPr>
          <w:noProof/>
          <w:sz w:val="20"/>
          <w:szCs w:val="20"/>
        </w:rPr>
        <w:t>15</w:t>
      </w:r>
      <w:r w:rsidRPr="00435469">
        <w:rPr>
          <w:sz w:val="20"/>
          <w:szCs w:val="20"/>
        </w:rPr>
        <w:fldChar w:fldCharType="end"/>
      </w:r>
      <w:r w:rsidR="0007608A" w:rsidRPr="00435469">
        <w:rPr>
          <w:sz w:val="20"/>
          <w:szCs w:val="20"/>
        </w:rPr>
        <w:t xml:space="preserve"> </w:t>
      </w:r>
      <w:r w:rsidR="008751FF" w:rsidRPr="00435469">
        <w:rPr>
          <w:sz w:val="20"/>
          <w:szCs w:val="20"/>
        </w:rPr>
        <w:t xml:space="preserve">and </w:t>
      </w:r>
      <w:r w:rsidR="008751FF" w:rsidRPr="00435469">
        <w:rPr>
          <w:sz w:val="20"/>
          <w:szCs w:val="20"/>
        </w:rPr>
        <w:fldChar w:fldCharType="begin"/>
      </w:r>
      <w:r w:rsidR="008751FF" w:rsidRPr="00435469">
        <w:rPr>
          <w:sz w:val="20"/>
          <w:szCs w:val="20"/>
        </w:rPr>
        <w:instrText xml:space="preserve"> REF _Ref99981527 \h </w:instrText>
      </w:r>
      <w:r w:rsidR="00955FFB" w:rsidRPr="00435469">
        <w:rPr>
          <w:sz w:val="20"/>
          <w:szCs w:val="20"/>
        </w:rPr>
        <w:instrText xml:space="preserve"> \* MERGEFORMAT </w:instrText>
      </w:r>
      <w:r w:rsidR="008751FF" w:rsidRPr="00435469">
        <w:rPr>
          <w:sz w:val="20"/>
          <w:szCs w:val="20"/>
        </w:rPr>
      </w:r>
      <w:r w:rsidR="008751FF" w:rsidRPr="00435469">
        <w:rPr>
          <w:sz w:val="20"/>
          <w:szCs w:val="20"/>
        </w:rPr>
        <w:fldChar w:fldCharType="separate"/>
      </w:r>
      <w:r w:rsidR="00186C2F" w:rsidRPr="00435469">
        <w:rPr>
          <w:sz w:val="20"/>
          <w:szCs w:val="20"/>
        </w:rPr>
        <w:t xml:space="preserve">Figure </w:t>
      </w:r>
      <w:r w:rsidR="00186C2F" w:rsidRPr="00435469">
        <w:rPr>
          <w:noProof/>
          <w:sz w:val="20"/>
          <w:szCs w:val="20"/>
        </w:rPr>
        <w:t>16</w:t>
      </w:r>
      <w:r w:rsidR="008751FF" w:rsidRPr="00435469">
        <w:rPr>
          <w:sz w:val="20"/>
          <w:szCs w:val="20"/>
        </w:rPr>
        <w:fldChar w:fldCharType="end"/>
      </w:r>
      <w:r w:rsidR="008751FF" w:rsidRPr="00435469">
        <w:rPr>
          <w:sz w:val="20"/>
          <w:szCs w:val="20"/>
        </w:rPr>
        <w:t xml:space="preserve"> show the model fit to </w:t>
      </w:r>
      <w:r w:rsidR="00E92182" w:rsidRPr="00435469">
        <w:rPr>
          <w:sz w:val="20"/>
          <w:szCs w:val="20"/>
        </w:rPr>
        <w:t xml:space="preserve">the prevalence of TB for males and females. Overall, the model resulted in a good fit </w:t>
      </w:r>
      <w:r w:rsidR="005F130B" w:rsidRPr="00435469">
        <w:rPr>
          <w:sz w:val="20"/>
          <w:szCs w:val="20"/>
        </w:rPr>
        <w:t>f</w:t>
      </w:r>
      <w:r w:rsidR="00E92182" w:rsidRPr="00435469">
        <w:rPr>
          <w:sz w:val="20"/>
          <w:szCs w:val="20"/>
        </w:rPr>
        <w:t>o</w:t>
      </w:r>
      <w:r w:rsidR="005F130B" w:rsidRPr="00435469">
        <w:rPr>
          <w:sz w:val="20"/>
          <w:szCs w:val="20"/>
        </w:rPr>
        <w:t>r</w:t>
      </w:r>
      <w:r w:rsidR="00E92182" w:rsidRPr="00435469">
        <w:rPr>
          <w:sz w:val="20"/>
          <w:szCs w:val="20"/>
        </w:rPr>
        <w:t xml:space="preserve"> </w:t>
      </w:r>
      <w:r w:rsidR="00C97679" w:rsidRPr="00435469">
        <w:rPr>
          <w:sz w:val="20"/>
          <w:szCs w:val="20"/>
        </w:rPr>
        <w:t>the observed prevalence</w:t>
      </w:r>
      <w:r w:rsidR="00E92182" w:rsidRPr="00435469">
        <w:rPr>
          <w:sz w:val="20"/>
          <w:szCs w:val="20"/>
        </w:rPr>
        <w:t xml:space="preserve"> data. </w:t>
      </w:r>
    </w:p>
    <w:p w14:paraId="3C02A722" w14:textId="1B4C141C" w:rsidR="009B3EC6" w:rsidRPr="00435469" w:rsidRDefault="006E229D" w:rsidP="00955FFB">
      <w:pPr>
        <w:pStyle w:val="3CaptionAbove"/>
        <w:ind w:left="0" w:firstLine="0"/>
        <w:rPr>
          <w:sz w:val="20"/>
          <w:szCs w:val="20"/>
        </w:rPr>
      </w:pPr>
      <w:bookmarkStart w:id="363" w:name="_Ref99980986"/>
      <w:bookmarkStart w:id="364" w:name="_Toc103253003"/>
      <w:r w:rsidRPr="00435469">
        <w:rPr>
          <w:sz w:val="20"/>
          <w:szCs w:val="20"/>
        </w:rPr>
        <w:lastRenderedPageBreak/>
        <w:t xml:space="preserve">Figure </w:t>
      </w:r>
      <w:r w:rsidRPr="00435469">
        <w:rPr>
          <w:b w:val="0"/>
          <w:sz w:val="20"/>
          <w:szCs w:val="20"/>
        </w:rPr>
        <w:fldChar w:fldCharType="begin"/>
      </w:r>
      <w:r w:rsidRPr="00435469">
        <w:rPr>
          <w:sz w:val="20"/>
          <w:szCs w:val="20"/>
        </w:rPr>
        <w:instrText xml:space="preserve"> SEQ Figure \* ARABIC </w:instrText>
      </w:r>
      <w:r w:rsidRPr="00435469">
        <w:rPr>
          <w:b w:val="0"/>
          <w:sz w:val="20"/>
          <w:szCs w:val="20"/>
        </w:rPr>
        <w:fldChar w:fldCharType="separate"/>
      </w:r>
      <w:r w:rsidR="00186C2F" w:rsidRPr="00435469">
        <w:rPr>
          <w:sz w:val="20"/>
          <w:szCs w:val="20"/>
        </w:rPr>
        <w:t>6</w:t>
      </w:r>
      <w:r w:rsidRPr="00435469">
        <w:rPr>
          <w:b w:val="0"/>
          <w:sz w:val="20"/>
          <w:szCs w:val="20"/>
        </w:rPr>
        <w:fldChar w:fldCharType="end"/>
      </w:r>
      <w:bookmarkEnd w:id="363"/>
      <w:r w:rsidRPr="00435469">
        <w:rPr>
          <w:sz w:val="20"/>
          <w:szCs w:val="20"/>
        </w:rPr>
        <w:t xml:space="preserve">: </w:t>
      </w:r>
      <w:r w:rsidR="00BF0AEB" w:rsidRPr="00435469">
        <w:rPr>
          <w:sz w:val="20"/>
          <w:szCs w:val="20"/>
        </w:rPr>
        <w:t>R</w:t>
      </w:r>
      <w:r w:rsidR="00FC358C" w:rsidRPr="00435469">
        <w:rPr>
          <w:sz w:val="20"/>
          <w:szCs w:val="20"/>
        </w:rPr>
        <w:t>ecorded number of tuberculosis</w:t>
      </w:r>
      <w:r w:rsidR="00AD62A5" w:rsidRPr="00435469">
        <w:rPr>
          <w:sz w:val="20"/>
          <w:szCs w:val="20"/>
        </w:rPr>
        <w:t xml:space="preserve"> </w:t>
      </w:r>
      <w:r w:rsidR="00FC358C" w:rsidRPr="00435469">
        <w:rPr>
          <w:sz w:val="20"/>
          <w:szCs w:val="20"/>
        </w:rPr>
        <w:t>deaths</w:t>
      </w:r>
      <w:r w:rsidR="00FD0C56" w:rsidRPr="00435469">
        <w:rPr>
          <w:sz w:val="20"/>
          <w:szCs w:val="20"/>
        </w:rPr>
        <w:t xml:space="preserve"> (adjusted)</w:t>
      </w:r>
      <w:r w:rsidR="00BF0AEB" w:rsidRPr="00435469">
        <w:rPr>
          <w:sz w:val="20"/>
          <w:szCs w:val="20"/>
        </w:rPr>
        <w:t xml:space="preserve"> </w:t>
      </w:r>
      <w:r w:rsidR="00FD0C56" w:rsidRPr="00435469">
        <w:rPr>
          <w:sz w:val="20"/>
          <w:szCs w:val="20"/>
        </w:rPr>
        <w:t xml:space="preserve">and model estimated </w:t>
      </w:r>
      <w:r w:rsidR="00061C98" w:rsidRPr="00435469">
        <w:rPr>
          <w:sz w:val="20"/>
          <w:szCs w:val="20"/>
        </w:rPr>
        <w:t>deaths in males 15+</w:t>
      </w:r>
      <w:bookmarkEnd w:id="364"/>
    </w:p>
    <w:p w14:paraId="246CC470" w14:textId="6A21C394" w:rsidR="00AC6A4E" w:rsidRPr="00435469" w:rsidRDefault="00AC6A4E" w:rsidP="00955FFB">
      <w:pPr>
        <w:pStyle w:val="3CaptionAbove"/>
        <w:jc w:val="center"/>
        <w:rPr>
          <w:sz w:val="20"/>
          <w:szCs w:val="20"/>
        </w:rPr>
      </w:pPr>
      <w:r w:rsidRPr="00435469">
        <w:rPr>
          <w:sz w:val="20"/>
          <w:szCs w:val="20"/>
        </w:rPr>
        <w:drawing>
          <wp:inline distT="0" distB="0" distL="0" distR="0" wp14:anchorId="643A1ADB" wp14:editId="11127DF5">
            <wp:extent cx="4572000" cy="2654300"/>
            <wp:effectExtent l="0" t="0" r="0" b="0"/>
            <wp:docPr id="1" name="Chart 1">
              <a:extLst xmlns:a="http://schemas.openxmlformats.org/drawingml/2006/main">
                <a:ext uri="{FF2B5EF4-FFF2-40B4-BE49-F238E27FC236}">
                  <a16:creationId xmlns:a16="http://schemas.microsoft.com/office/drawing/2014/main" id="{78288E54-DCAA-4125-B0BD-DECC2C5662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52892" w14:textId="4D46F20B" w:rsidR="00FC0AE3" w:rsidRPr="00435469" w:rsidRDefault="006E229D" w:rsidP="00955FFB">
      <w:pPr>
        <w:pStyle w:val="3CaptionAbove"/>
        <w:ind w:left="0" w:firstLine="0"/>
        <w:rPr>
          <w:sz w:val="20"/>
          <w:szCs w:val="20"/>
        </w:rPr>
      </w:pPr>
      <w:bookmarkStart w:id="365" w:name="_Ref99981014"/>
      <w:bookmarkStart w:id="366" w:name="_Toc103253004"/>
      <w:r w:rsidRPr="00435469">
        <w:rPr>
          <w:sz w:val="20"/>
          <w:szCs w:val="20"/>
        </w:rPr>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7</w:t>
      </w:r>
      <w:r w:rsidRPr="00435469">
        <w:rPr>
          <w:sz w:val="20"/>
          <w:szCs w:val="20"/>
        </w:rPr>
        <w:fldChar w:fldCharType="end"/>
      </w:r>
      <w:bookmarkEnd w:id="365"/>
      <w:r w:rsidRPr="00435469">
        <w:rPr>
          <w:sz w:val="20"/>
          <w:szCs w:val="20"/>
        </w:rPr>
        <w:t>:</w:t>
      </w:r>
      <w:r w:rsidR="000E15CD" w:rsidRPr="00435469">
        <w:rPr>
          <w:sz w:val="20"/>
          <w:szCs w:val="20"/>
        </w:rPr>
        <w:t xml:space="preserve"> </w:t>
      </w:r>
      <w:r w:rsidR="009F525A" w:rsidRPr="00435469">
        <w:rPr>
          <w:sz w:val="20"/>
          <w:szCs w:val="20"/>
        </w:rPr>
        <w:t>Recorded number of tuberculosis deaths (adjusted) and model estimated deaths in</w:t>
      </w:r>
      <w:r w:rsidR="00605F53" w:rsidRPr="00435469">
        <w:rPr>
          <w:sz w:val="20"/>
          <w:szCs w:val="20"/>
        </w:rPr>
        <w:t xml:space="preserve"> </w:t>
      </w:r>
      <w:r w:rsidR="00335FA6" w:rsidRPr="00435469">
        <w:rPr>
          <w:sz w:val="20"/>
          <w:szCs w:val="20"/>
        </w:rPr>
        <w:t>fe</w:t>
      </w:r>
      <w:r w:rsidR="009F525A" w:rsidRPr="00435469">
        <w:rPr>
          <w:sz w:val="20"/>
          <w:szCs w:val="20"/>
        </w:rPr>
        <w:t>males 15+</w:t>
      </w:r>
      <w:r w:rsidR="00A14869" w:rsidRPr="00435469">
        <w:rPr>
          <w:sz w:val="20"/>
          <w:szCs w:val="20"/>
        </w:rPr>
        <w:t xml:space="preserve"> years</w:t>
      </w:r>
      <w:bookmarkEnd w:id="366"/>
    </w:p>
    <w:p w14:paraId="2EBB70A7" w14:textId="1267B644" w:rsidR="002E2577" w:rsidRPr="00435469" w:rsidRDefault="00FB1BC2" w:rsidP="00955FFB">
      <w:pPr>
        <w:pStyle w:val="3CaptionAbove"/>
        <w:ind w:hanging="720"/>
        <w:rPr>
          <w:sz w:val="20"/>
          <w:szCs w:val="20"/>
        </w:rPr>
      </w:pPr>
      <w:r w:rsidRPr="00435469">
        <w:rPr>
          <w:sz w:val="20"/>
          <w:szCs w:val="20"/>
        </w:rPr>
        <w:drawing>
          <wp:inline distT="0" distB="0" distL="0" distR="0" wp14:anchorId="2FC80D7F" wp14:editId="7B41FE5B">
            <wp:extent cx="4572000" cy="2654300"/>
            <wp:effectExtent l="0" t="0" r="0" b="0"/>
            <wp:docPr id="2" name="Chart 2">
              <a:extLst xmlns:a="http://schemas.openxmlformats.org/drawingml/2006/main">
                <a:ext uri="{FF2B5EF4-FFF2-40B4-BE49-F238E27FC236}">
                  <a16:creationId xmlns:a16="http://schemas.microsoft.com/office/drawing/2014/main" id="{C37984E3-CB8B-4343-9A50-6E63101048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C8059AA" w14:textId="77777777" w:rsidR="00FB1BC2" w:rsidRPr="00435469" w:rsidRDefault="00FB1BC2" w:rsidP="00955FFB">
      <w:pPr>
        <w:pStyle w:val="3CaptionAbove"/>
        <w:ind w:hanging="720"/>
        <w:rPr>
          <w:sz w:val="20"/>
          <w:szCs w:val="20"/>
        </w:rPr>
      </w:pPr>
    </w:p>
    <w:p w14:paraId="0755839B" w14:textId="77777777" w:rsidR="0005363A" w:rsidRPr="00435469" w:rsidRDefault="0005363A" w:rsidP="00955FFB">
      <w:pPr>
        <w:pStyle w:val="Caption"/>
        <w:rPr>
          <w:color w:val="auto"/>
          <w:sz w:val="20"/>
          <w:szCs w:val="20"/>
        </w:rPr>
      </w:pPr>
    </w:p>
    <w:p w14:paraId="478D5AFD" w14:textId="2764A849" w:rsidR="00FC0AE3" w:rsidRPr="00435469" w:rsidRDefault="006E229D" w:rsidP="00955FFB">
      <w:pPr>
        <w:pStyle w:val="3CaptionAbove"/>
        <w:rPr>
          <w:sz w:val="20"/>
          <w:szCs w:val="20"/>
        </w:rPr>
      </w:pPr>
      <w:bookmarkStart w:id="367" w:name="_Ref99980997"/>
      <w:bookmarkStart w:id="368" w:name="_Toc103253005"/>
      <w:r w:rsidRPr="00435469">
        <w:rPr>
          <w:sz w:val="20"/>
          <w:szCs w:val="20"/>
        </w:rPr>
        <w:lastRenderedPageBreak/>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8</w:t>
      </w:r>
      <w:r w:rsidRPr="00435469">
        <w:rPr>
          <w:sz w:val="20"/>
          <w:szCs w:val="20"/>
        </w:rPr>
        <w:fldChar w:fldCharType="end"/>
      </w:r>
      <w:bookmarkEnd w:id="367"/>
      <w:r w:rsidRPr="00435469">
        <w:rPr>
          <w:sz w:val="20"/>
          <w:szCs w:val="20"/>
        </w:rPr>
        <w:t>:</w:t>
      </w:r>
      <w:r w:rsidR="00357826" w:rsidRPr="00435469">
        <w:rPr>
          <w:sz w:val="20"/>
          <w:szCs w:val="20"/>
        </w:rPr>
        <w:t xml:space="preserve"> </w:t>
      </w:r>
      <w:r w:rsidR="008929E0" w:rsidRPr="00435469">
        <w:rPr>
          <w:sz w:val="20"/>
          <w:szCs w:val="20"/>
        </w:rPr>
        <w:t>E</w:t>
      </w:r>
      <w:r w:rsidR="00FC358C" w:rsidRPr="00435469">
        <w:rPr>
          <w:sz w:val="20"/>
          <w:szCs w:val="20"/>
        </w:rPr>
        <w:t>xpected tuberculosis deaths in people living with HIV</w:t>
      </w:r>
      <w:r w:rsidR="00357826" w:rsidRPr="00435469">
        <w:rPr>
          <w:sz w:val="20"/>
          <w:szCs w:val="20"/>
        </w:rPr>
        <w:t xml:space="preserve"> and model estimated </w:t>
      </w:r>
      <w:r w:rsidR="003A3D9C" w:rsidRPr="00435469">
        <w:rPr>
          <w:sz w:val="20"/>
          <w:szCs w:val="20"/>
        </w:rPr>
        <w:t xml:space="preserve">tuberculosis deaths in </w:t>
      </w:r>
      <w:r w:rsidR="00297716" w:rsidRPr="00435469">
        <w:rPr>
          <w:sz w:val="20"/>
          <w:szCs w:val="20"/>
        </w:rPr>
        <w:t>HIV-positive individuals</w:t>
      </w:r>
      <w:bookmarkEnd w:id="368"/>
    </w:p>
    <w:p w14:paraId="553DCDD4" w14:textId="5E68A529" w:rsidR="00BF76BE" w:rsidRPr="00435469" w:rsidRDefault="007F4438" w:rsidP="00955FFB">
      <w:pPr>
        <w:pStyle w:val="1Para"/>
        <w:spacing w:line="240" w:lineRule="auto"/>
        <w:jc w:val="center"/>
        <w:rPr>
          <w:sz w:val="20"/>
          <w:szCs w:val="20"/>
          <w:lang w:val="en-US"/>
        </w:rPr>
      </w:pPr>
      <w:r w:rsidRPr="00435469">
        <w:rPr>
          <w:noProof/>
          <w:sz w:val="20"/>
          <w:szCs w:val="20"/>
        </w:rPr>
        <w:drawing>
          <wp:inline distT="0" distB="0" distL="0" distR="0" wp14:anchorId="6F94F7C0" wp14:editId="7A5BD365">
            <wp:extent cx="4572000" cy="2654300"/>
            <wp:effectExtent l="0" t="0" r="0" b="0"/>
            <wp:docPr id="22" name="Chart 22">
              <a:extLst xmlns:a="http://schemas.openxmlformats.org/drawingml/2006/main">
                <a:ext uri="{FF2B5EF4-FFF2-40B4-BE49-F238E27FC236}">
                  <a16:creationId xmlns:a16="http://schemas.microsoft.com/office/drawing/2014/main" id="{23376B3D-0C9B-44C8-9CB4-C35E97C05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F251B1C" w14:textId="6AABE220" w:rsidR="00DC1A3B" w:rsidRPr="00435469" w:rsidRDefault="006E229D" w:rsidP="00955FFB">
      <w:pPr>
        <w:pStyle w:val="3CaptionAbove"/>
        <w:rPr>
          <w:sz w:val="20"/>
          <w:szCs w:val="20"/>
        </w:rPr>
      </w:pPr>
      <w:bookmarkStart w:id="369" w:name="_Ref99981003"/>
      <w:bookmarkStart w:id="370" w:name="_Toc103253006"/>
      <w:r w:rsidRPr="00435469">
        <w:rPr>
          <w:sz w:val="20"/>
          <w:szCs w:val="20"/>
        </w:rPr>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9</w:t>
      </w:r>
      <w:r w:rsidRPr="00435469">
        <w:rPr>
          <w:sz w:val="20"/>
          <w:szCs w:val="20"/>
        </w:rPr>
        <w:fldChar w:fldCharType="end"/>
      </w:r>
      <w:bookmarkEnd w:id="369"/>
      <w:r w:rsidRPr="00435469">
        <w:rPr>
          <w:sz w:val="20"/>
          <w:szCs w:val="20"/>
        </w:rPr>
        <w:t xml:space="preserve">: </w:t>
      </w:r>
      <w:r w:rsidR="008929E0" w:rsidRPr="00435469">
        <w:rPr>
          <w:sz w:val="20"/>
          <w:szCs w:val="20"/>
        </w:rPr>
        <w:t>R</w:t>
      </w:r>
      <w:r w:rsidR="0069552A" w:rsidRPr="00435469">
        <w:rPr>
          <w:sz w:val="20"/>
          <w:szCs w:val="20"/>
        </w:rPr>
        <w:t>ecorded number of tuberculosis cases initiated on treatment</w:t>
      </w:r>
      <w:r w:rsidR="00196AB6" w:rsidRPr="00435469">
        <w:rPr>
          <w:sz w:val="20"/>
          <w:szCs w:val="20"/>
        </w:rPr>
        <w:t xml:space="preserve"> (adjusted) and model estimated </w:t>
      </w:r>
      <w:r w:rsidR="006C2AED" w:rsidRPr="00435469">
        <w:rPr>
          <w:sz w:val="20"/>
          <w:szCs w:val="20"/>
        </w:rPr>
        <w:t>tuberculosis</w:t>
      </w:r>
      <w:r w:rsidR="00196AB6" w:rsidRPr="00435469">
        <w:rPr>
          <w:sz w:val="20"/>
          <w:szCs w:val="20"/>
        </w:rPr>
        <w:t xml:space="preserve"> cases on treatment</w:t>
      </w:r>
      <w:r w:rsidR="00A14869" w:rsidRPr="00435469">
        <w:rPr>
          <w:sz w:val="20"/>
          <w:szCs w:val="20"/>
        </w:rPr>
        <w:t xml:space="preserve"> in males 15+ years</w:t>
      </w:r>
      <w:bookmarkEnd w:id="370"/>
    </w:p>
    <w:p w14:paraId="3C53416C" w14:textId="59CD4054" w:rsidR="005B5F19" w:rsidRPr="00435469" w:rsidRDefault="005971F2" w:rsidP="00955FFB">
      <w:pPr>
        <w:pStyle w:val="3CaptionAbove"/>
        <w:jc w:val="center"/>
        <w:rPr>
          <w:sz w:val="20"/>
          <w:szCs w:val="20"/>
        </w:rPr>
      </w:pPr>
      <w:r w:rsidRPr="00435469">
        <w:rPr>
          <w:sz w:val="20"/>
          <w:szCs w:val="20"/>
        </w:rPr>
        <w:drawing>
          <wp:inline distT="0" distB="0" distL="0" distR="0" wp14:anchorId="3229B5C0" wp14:editId="10EAFAF5">
            <wp:extent cx="4572000" cy="2743200"/>
            <wp:effectExtent l="0" t="0" r="0" b="0"/>
            <wp:docPr id="28" name="Chart 28">
              <a:extLst xmlns:a="http://schemas.openxmlformats.org/drawingml/2006/main">
                <a:ext uri="{FF2B5EF4-FFF2-40B4-BE49-F238E27FC236}">
                  <a16:creationId xmlns:a16="http://schemas.microsoft.com/office/drawing/2014/main" id="{377B3B7C-098A-44BC-A6C7-8C794B9070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ECBC967" w14:textId="6122CAD5" w:rsidR="0005363A" w:rsidRPr="00435469" w:rsidRDefault="0005363A" w:rsidP="00955FFB">
      <w:pPr>
        <w:pStyle w:val="1Para"/>
        <w:spacing w:line="240" w:lineRule="auto"/>
        <w:ind w:firstLine="0"/>
        <w:jc w:val="center"/>
        <w:rPr>
          <w:sz w:val="20"/>
          <w:szCs w:val="20"/>
          <w:lang w:val="en-US"/>
        </w:rPr>
      </w:pPr>
    </w:p>
    <w:p w14:paraId="5AEE7C1C" w14:textId="642CBD44" w:rsidR="00CD63AA" w:rsidRPr="00435469" w:rsidRDefault="006E229D" w:rsidP="00955FFB">
      <w:pPr>
        <w:pStyle w:val="3CaptionAbove"/>
        <w:rPr>
          <w:sz w:val="20"/>
          <w:szCs w:val="20"/>
        </w:rPr>
      </w:pPr>
      <w:bookmarkStart w:id="371" w:name="_Ref99981291"/>
      <w:bookmarkStart w:id="372" w:name="_Toc103253007"/>
      <w:r w:rsidRPr="00435469">
        <w:rPr>
          <w:sz w:val="20"/>
          <w:szCs w:val="20"/>
        </w:rPr>
        <w:lastRenderedPageBreak/>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10</w:t>
      </w:r>
      <w:r w:rsidRPr="00435469">
        <w:rPr>
          <w:sz w:val="20"/>
          <w:szCs w:val="20"/>
        </w:rPr>
        <w:fldChar w:fldCharType="end"/>
      </w:r>
      <w:bookmarkEnd w:id="371"/>
      <w:r w:rsidRPr="00435469">
        <w:rPr>
          <w:sz w:val="20"/>
          <w:szCs w:val="20"/>
        </w:rPr>
        <w:t>:</w:t>
      </w:r>
      <w:r w:rsidR="00191183" w:rsidRPr="00435469">
        <w:rPr>
          <w:sz w:val="20"/>
          <w:szCs w:val="20"/>
        </w:rPr>
        <w:t xml:space="preserve"> </w:t>
      </w:r>
      <w:bookmarkStart w:id="373" w:name="_Ref99981364"/>
      <w:r w:rsidR="0023383C" w:rsidRPr="00435469">
        <w:rPr>
          <w:sz w:val="20"/>
          <w:szCs w:val="20"/>
        </w:rPr>
        <w:t xml:space="preserve">Recorded number of tuberculosis cases initiated on treatment (adjusted) and model estimated </w:t>
      </w:r>
      <w:r w:rsidR="006C2AED" w:rsidRPr="00435469">
        <w:rPr>
          <w:sz w:val="20"/>
          <w:szCs w:val="20"/>
        </w:rPr>
        <w:t xml:space="preserve">tuberculosis </w:t>
      </w:r>
      <w:r w:rsidR="0023383C" w:rsidRPr="00435469">
        <w:rPr>
          <w:sz w:val="20"/>
          <w:szCs w:val="20"/>
        </w:rPr>
        <w:t>cases on treatment</w:t>
      </w:r>
      <w:r w:rsidR="007325A5" w:rsidRPr="00435469">
        <w:rPr>
          <w:sz w:val="20"/>
          <w:szCs w:val="20"/>
        </w:rPr>
        <w:t xml:space="preserve"> in females 15+ years</w:t>
      </w:r>
      <w:bookmarkEnd w:id="372"/>
      <w:bookmarkEnd w:id="373"/>
    </w:p>
    <w:p w14:paraId="1FD1E224" w14:textId="4DEC80DC" w:rsidR="006043CE" w:rsidRPr="00435469" w:rsidRDefault="00037C9E" w:rsidP="00955FFB">
      <w:pPr>
        <w:pStyle w:val="3CaptionAbove"/>
        <w:jc w:val="center"/>
        <w:rPr>
          <w:sz w:val="20"/>
          <w:szCs w:val="20"/>
        </w:rPr>
      </w:pPr>
      <w:r w:rsidRPr="00435469">
        <w:rPr>
          <w:sz w:val="20"/>
          <w:szCs w:val="20"/>
        </w:rPr>
        <w:drawing>
          <wp:inline distT="0" distB="0" distL="0" distR="0" wp14:anchorId="05184BC5" wp14:editId="742B813A">
            <wp:extent cx="4572000" cy="2743200"/>
            <wp:effectExtent l="0" t="0" r="0" b="0"/>
            <wp:docPr id="30" name="Chart 30">
              <a:extLst xmlns:a="http://schemas.openxmlformats.org/drawingml/2006/main">
                <a:ext uri="{FF2B5EF4-FFF2-40B4-BE49-F238E27FC236}">
                  <a16:creationId xmlns:a16="http://schemas.microsoft.com/office/drawing/2014/main" id="{C141FA3E-D144-4356-8F56-3B6F4FD9E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C38A00" w14:textId="674B23CE" w:rsidR="00033E7E" w:rsidRPr="00435469" w:rsidRDefault="00033E7E" w:rsidP="00955FFB">
      <w:pPr>
        <w:pStyle w:val="3CaptionAbove"/>
        <w:jc w:val="center"/>
        <w:rPr>
          <w:sz w:val="20"/>
          <w:szCs w:val="20"/>
          <w:lang w:val="en-CA"/>
        </w:rPr>
      </w:pPr>
    </w:p>
    <w:p w14:paraId="612E5B98" w14:textId="6C405C87" w:rsidR="00006F6C" w:rsidRPr="00435469" w:rsidRDefault="006E229D" w:rsidP="00955FFB">
      <w:pPr>
        <w:pStyle w:val="3CaptionAbove"/>
        <w:rPr>
          <w:sz w:val="20"/>
          <w:szCs w:val="20"/>
        </w:rPr>
      </w:pPr>
      <w:bookmarkStart w:id="374" w:name="_Ref99981463"/>
      <w:bookmarkStart w:id="375" w:name="_Toc103253008"/>
      <w:r w:rsidRPr="00435469">
        <w:rPr>
          <w:sz w:val="20"/>
          <w:szCs w:val="20"/>
        </w:rPr>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11</w:t>
      </w:r>
      <w:r w:rsidRPr="00435469">
        <w:rPr>
          <w:sz w:val="20"/>
          <w:szCs w:val="20"/>
        </w:rPr>
        <w:fldChar w:fldCharType="end"/>
      </w:r>
      <w:bookmarkEnd w:id="374"/>
      <w:r w:rsidRPr="00435469">
        <w:rPr>
          <w:sz w:val="20"/>
          <w:szCs w:val="20"/>
        </w:rPr>
        <w:t>:</w:t>
      </w:r>
      <w:r w:rsidR="00191183" w:rsidRPr="00435469">
        <w:rPr>
          <w:sz w:val="20"/>
          <w:szCs w:val="20"/>
        </w:rPr>
        <w:t xml:space="preserve"> </w:t>
      </w:r>
      <w:bookmarkStart w:id="376" w:name="_Ref99981377"/>
      <w:r w:rsidR="009E1401" w:rsidRPr="00435469">
        <w:rPr>
          <w:sz w:val="20"/>
          <w:szCs w:val="20"/>
        </w:rPr>
        <w:t>P</w:t>
      </w:r>
      <w:r w:rsidR="00435D95" w:rsidRPr="00435469">
        <w:rPr>
          <w:sz w:val="20"/>
          <w:szCs w:val="20"/>
        </w:rPr>
        <w:t>roportion</w:t>
      </w:r>
      <w:r w:rsidR="009E1401" w:rsidRPr="00435469">
        <w:rPr>
          <w:sz w:val="20"/>
          <w:szCs w:val="20"/>
        </w:rPr>
        <w:t xml:space="preserve"> of t</w:t>
      </w:r>
      <w:r w:rsidR="006844FF" w:rsidRPr="00435469">
        <w:rPr>
          <w:sz w:val="20"/>
          <w:szCs w:val="20"/>
        </w:rPr>
        <w:t xml:space="preserve">uberculosis deaths </w:t>
      </w:r>
      <w:r w:rsidR="009E1401" w:rsidRPr="00435469">
        <w:rPr>
          <w:sz w:val="20"/>
          <w:szCs w:val="20"/>
        </w:rPr>
        <w:t>recorded in</w:t>
      </w:r>
      <w:r w:rsidR="006844FF" w:rsidRPr="00435469">
        <w:rPr>
          <w:sz w:val="20"/>
          <w:szCs w:val="20"/>
        </w:rPr>
        <w:t xml:space="preserve"> the electronic tuberculosis treatment register</w:t>
      </w:r>
      <w:r w:rsidR="00435D95" w:rsidRPr="00435469">
        <w:rPr>
          <w:sz w:val="20"/>
          <w:szCs w:val="20"/>
        </w:rPr>
        <w:t xml:space="preserve"> and model </w:t>
      </w:r>
      <w:r w:rsidR="00344823" w:rsidRPr="00435469">
        <w:rPr>
          <w:sz w:val="20"/>
          <w:szCs w:val="20"/>
        </w:rPr>
        <w:t xml:space="preserve">estimates for </w:t>
      </w:r>
      <w:r w:rsidR="00435D95" w:rsidRPr="00435469">
        <w:rPr>
          <w:sz w:val="20"/>
          <w:szCs w:val="20"/>
        </w:rPr>
        <w:t xml:space="preserve">proportion of </w:t>
      </w:r>
      <w:r w:rsidR="00344823" w:rsidRPr="00435469">
        <w:rPr>
          <w:sz w:val="20"/>
          <w:szCs w:val="20"/>
        </w:rPr>
        <w:t xml:space="preserve">tuberculosis deaths </w:t>
      </w:r>
      <w:r w:rsidR="00DA592E" w:rsidRPr="00435469">
        <w:rPr>
          <w:sz w:val="20"/>
          <w:szCs w:val="20"/>
        </w:rPr>
        <w:t>on t</w:t>
      </w:r>
      <w:r w:rsidR="00600A0C" w:rsidRPr="00435469">
        <w:rPr>
          <w:sz w:val="20"/>
          <w:szCs w:val="20"/>
        </w:rPr>
        <w:t xml:space="preserve">reatment </w:t>
      </w:r>
      <w:r w:rsidR="00BC3C76" w:rsidRPr="00435469">
        <w:rPr>
          <w:sz w:val="20"/>
          <w:szCs w:val="20"/>
        </w:rPr>
        <w:t>for males</w:t>
      </w:r>
      <w:r w:rsidRPr="00435469">
        <w:rPr>
          <w:sz w:val="20"/>
          <w:szCs w:val="20"/>
        </w:rPr>
        <w:t xml:space="preserve"> 15+ years</w:t>
      </w:r>
      <w:bookmarkEnd w:id="375"/>
      <w:bookmarkEnd w:id="376"/>
    </w:p>
    <w:p w14:paraId="7E61C2BB" w14:textId="1CEE10D5" w:rsidR="00006F6C" w:rsidRPr="00435469" w:rsidRDefault="006A0828" w:rsidP="005B2C93">
      <w:pPr>
        <w:pStyle w:val="Caption"/>
        <w:jc w:val="center"/>
        <w:rPr>
          <w:color w:val="auto"/>
          <w:sz w:val="20"/>
          <w:szCs w:val="20"/>
        </w:rPr>
      </w:pPr>
      <w:r w:rsidRPr="00435469">
        <w:rPr>
          <w:noProof/>
          <w:color w:val="auto"/>
          <w:sz w:val="20"/>
          <w:szCs w:val="20"/>
        </w:rPr>
        <w:drawing>
          <wp:inline distT="0" distB="0" distL="0" distR="0" wp14:anchorId="740881F5" wp14:editId="6739A7AE">
            <wp:extent cx="5037826" cy="2654300"/>
            <wp:effectExtent l="0" t="0" r="0" b="0"/>
            <wp:docPr id="20" name="Chart 20">
              <a:extLst xmlns:a="http://schemas.openxmlformats.org/drawingml/2006/main">
                <a:ext uri="{FF2B5EF4-FFF2-40B4-BE49-F238E27FC236}">
                  <a16:creationId xmlns:a16="http://schemas.microsoft.com/office/drawing/2014/main" id="{7B5E782A-4C32-4038-9DB8-639815F7DB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BCCD8E1" w14:textId="02FE142B" w:rsidR="006E229D" w:rsidRPr="00435469" w:rsidRDefault="001952CB" w:rsidP="00955FFB">
      <w:pPr>
        <w:pStyle w:val="3CaptionAbove"/>
        <w:rPr>
          <w:sz w:val="20"/>
          <w:szCs w:val="20"/>
        </w:rPr>
      </w:pPr>
      <w:bookmarkStart w:id="377" w:name="_Ref99981475"/>
      <w:bookmarkStart w:id="378" w:name="_Toc103253009"/>
      <w:r w:rsidRPr="00435469">
        <w:rPr>
          <w:sz w:val="20"/>
          <w:szCs w:val="20"/>
        </w:rPr>
        <w:lastRenderedPageBreak/>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12</w:t>
      </w:r>
      <w:r w:rsidRPr="00435469">
        <w:rPr>
          <w:sz w:val="20"/>
          <w:szCs w:val="20"/>
        </w:rPr>
        <w:fldChar w:fldCharType="end"/>
      </w:r>
      <w:bookmarkEnd w:id="377"/>
      <w:r w:rsidRPr="00435469">
        <w:rPr>
          <w:sz w:val="20"/>
          <w:szCs w:val="20"/>
        </w:rPr>
        <w:t xml:space="preserve">: </w:t>
      </w:r>
      <w:bookmarkStart w:id="379" w:name="_Ref99981397"/>
      <w:r w:rsidR="006E229D" w:rsidRPr="00435469">
        <w:rPr>
          <w:sz w:val="20"/>
          <w:szCs w:val="20"/>
        </w:rPr>
        <w:t>Proportion of tuberculosis deaths recorded in the electronic tuberculosis</w:t>
      </w:r>
      <w:r w:rsidR="00600A0C" w:rsidRPr="00435469">
        <w:rPr>
          <w:sz w:val="20"/>
          <w:szCs w:val="20"/>
        </w:rPr>
        <w:t xml:space="preserve"> </w:t>
      </w:r>
      <w:r w:rsidR="006E229D" w:rsidRPr="00435469">
        <w:rPr>
          <w:sz w:val="20"/>
          <w:szCs w:val="20"/>
        </w:rPr>
        <w:t xml:space="preserve">treatment register and model estimates for proportion of tuberculosis deaths for </w:t>
      </w:r>
      <w:r w:rsidRPr="00435469">
        <w:rPr>
          <w:sz w:val="20"/>
          <w:szCs w:val="20"/>
        </w:rPr>
        <w:t>fe</w:t>
      </w:r>
      <w:r w:rsidR="006E229D" w:rsidRPr="00435469">
        <w:rPr>
          <w:sz w:val="20"/>
          <w:szCs w:val="20"/>
        </w:rPr>
        <w:t>males 15+ years on treatment</w:t>
      </w:r>
      <w:bookmarkEnd w:id="378"/>
      <w:bookmarkEnd w:id="379"/>
      <w:r w:rsidR="006E229D" w:rsidRPr="00435469">
        <w:rPr>
          <w:sz w:val="20"/>
          <w:szCs w:val="20"/>
        </w:rPr>
        <w:t xml:space="preserve"> </w:t>
      </w:r>
    </w:p>
    <w:p w14:paraId="4A529060" w14:textId="60BA680F" w:rsidR="00BF76BE" w:rsidRPr="00435469" w:rsidRDefault="006A0828" w:rsidP="00955FFB">
      <w:pPr>
        <w:pStyle w:val="1Para"/>
        <w:spacing w:line="240" w:lineRule="auto"/>
        <w:jc w:val="center"/>
        <w:rPr>
          <w:sz w:val="20"/>
          <w:szCs w:val="20"/>
          <w:lang w:val="en-US"/>
        </w:rPr>
      </w:pPr>
      <w:r w:rsidRPr="00435469">
        <w:rPr>
          <w:noProof/>
          <w:sz w:val="20"/>
          <w:szCs w:val="20"/>
        </w:rPr>
        <w:drawing>
          <wp:inline distT="0" distB="0" distL="0" distR="0" wp14:anchorId="6A36F5F7" wp14:editId="36E9447D">
            <wp:extent cx="4813540" cy="2605177"/>
            <wp:effectExtent l="0" t="0" r="6350" b="5080"/>
            <wp:docPr id="21" name="Chart 21">
              <a:extLst xmlns:a="http://schemas.openxmlformats.org/drawingml/2006/main">
                <a:ext uri="{FF2B5EF4-FFF2-40B4-BE49-F238E27FC236}">
                  <a16:creationId xmlns:a16="http://schemas.microsoft.com/office/drawing/2014/main" id="{4E8CDB86-47F6-4C3F-9520-0FB4A38BF3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29428A8" w14:textId="7A7BC3B7" w:rsidR="00A15AAC" w:rsidRPr="00435469" w:rsidRDefault="001952CB" w:rsidP="00955FFB">
      <w:pPr>
        <w:pStyle w:val="3CaptionAbove"/>
        <w:rPr>
          <w:sz w:val="20"/>
          <w:szCs w:val="20"/>
        </w:rPr>
      </w:pPr>
      <w:bookmarkStart w:id="380" w:name="_Ref99981485"/>
      <w:bookmarkStart w:id="381" w:name="_Toc103253010"/>
      <w:r w:rsidRPr="00435469">
        <w:rPr>
          <w:sz w:val="20"/>
          <w:szCs w:val="20"/>
        </w:rPr>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13</w:t>
      </w:r>
      <w:r w:rsidRPr="00435469">
        <w:rPr>
          <w:sz w:val="20"/>
          <w:szCs w:val="20"/>
        </w:rPr>
        <w:fldChar w:fldCharType="end"/>
      </w:r>
      <w:bookmarkEnd w:id="380"/>
      <w:r w:rsidRPr="00435469">
        <w:rPr>
          <w:sz w:val="20"/>
          <w:szCs w:val="20"/>
        </w:rPr>
        <w:t>:</w:t>
      </w:r>
      <w:r w:rsidR="00F3102D" w:rsidRPr="00435469">
        <w:rPr>
          <w:sz w:val="20"/>
          <w:szCs w:val="20"/>
        </w:rPr>
        <w:t xml:space="preserve"> </w:t>
      </w:r>
      <w:bookmarkStart w:id="382" w:name="_Ref99981411"/>
      <w:r w:rsidR="006844FF" w:rsidRPr="00435469">
        <w:rPr>
          <w:sz w:val="20"/>
          <w:szCs w:val="20"/>
        </w:rPr>
        <w:t>HIV prevalence in the electronic tuberculosis register</w:t>
      </w:r>
      <w:r w:rsidRPr="00435469">
        <w:rPr>
          <w:sz w:val="20"/>
          <w:szCs w:val="20"/>
        </w:rPr>
        <w:t xml:space="preserve"> and model estimated </w:t>
      </w:r>
      <w:r w:rsidR="00F242D0" w:rsidRPr="00435469">
        <w:rPr>
          <w:sz w:val="20"/>
          <w:szCs w:val="20"/>
        </w:rPr>
        <w:t>HIV prevalence in adults on treatment</w:t>
      </w:r>
      <w:bookmarkEnd w:id="381"/>
      <w:bookmarkEnd w:id="382"/>
      <w:r w:rsidR="00F242D0" w:rsidRPr="00435469">
        <w:rPr>
          <w:sz w:val="20"/>
          <w:szCs w:val="20"/>
        </w:rPr>
        <w:t xml:space="preserve"> </w:t>
      </w:r>
    </w:p>
    <w:p w14:paraId="2E11036D" w14:textId="585FAF3B" w:rsidR="00A15AAC" w:rsidRPr="00435469" w:rsidRDefault="000F526D" w:rsidP="00955FFB">
      <w:pPr>
        <w:pStyle w:val="1Para"/>
        <w:spacing w:line="240" w:lineRule="auto"/>
        <w:ind w:firstLine="0"/>
        <w:jc w:val="center"/>
        <w:rPr>
          <w:sz w:val="20"/>
          <w:szCs w:val="20"/>
        </w:rPr>
      </w:pPr>
      <w:r w:rsidRPr="00435469">
        <w:rPr>
          <w:noProof/>
          <w:sz w:val="20"/>
          <w:szCs w:val="20"/>
        </w:rPr>
        <w:drawing>
          <wp:inline distT="0" distB="0" distL="0" distR="0" wp14:anchorId="69D25547" wp14:editId="5B7E6591">
            <wp:extent cx="4572000" cy="2654300"/>
            <wp:effectExtent l="0" t="0" r="0" b="0"/>
            <wp:docPr id="3" name="Chart 3">
              <a:extLst xmlns:a="http://schemas.openxmlformats.org/drawingml/2006/main">
                <a:ext uri="{FF2B5EF4-FFF2-40B4-BE49-F238E27FC236}">
                  <a16:creationId xmlns:a16="http://schemas.microsoft.com/office/drawing/2014/main" id="{B194E01E-CBA0-4778-8BEF-23A48A8D0F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D7A11DE" w14:textId="40846000" w:rsidR="006844FF" w:rsidRPr="00435469" w:rsidRDefault="007C7974" w:rsidP="00955FFB">
      <w:pPr>
        <w:pStyle w:val="3CaptionAbove"/>
        <w:rPr>
          <w:sz w:val="20"/>
          <w:szCs w:val="20"/>
        </w:rPr>
      </w:pPr>
      <w:bookmarkStart w:id="383" w:name="_Ref99981501"/>
      <w:bookmarkStart w:id="384" w:name="_Toc103253011"/>
      <w:r w:rsidRPr="00435469">
        <w:rPr>
          <w:sz w:val="20"/>
          <w:szCs w:val="20"/>
        </w:rPr>
        <w:lastRenderedPageBreak/>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14</w:t>
      </w:r>
      <w:r w:rsidRPr="00435469">
        <w:rPr>
          <w:sz w:val="20"/>
          <w:szCs w:val="20"/>
        </w:rPr>
        <w:fldChar w:fldCharType="end"/>
      </w:r>
      <w:bookmarkEnd w:id="383"/>
      <w:r w:rsidRPr="00435469">
        <w:rPr>
          <w:sz w:val="20"/>
          <w:szCs w:val="20"/>
        </w:rPr>
        <w:t>:</w:t>
      </w:r>
      <w:r w:rsidR="00552C6E" w:rsidRPr="00435469">
        <w:rPr>
          <w:sz w:val="20"/>
          <w:szCs w:val="20"/>
        </w:rPr>
        <w:t xml:space="preserve"> </w:t>
      </w:r>
      <w:bookmarkStart w:id="385" w:name="_Ref99981420"/>
      <w:r w:rsidR="006844FF" w:rsidRPr="00435469">
        <w:rPr>
          <w:sz w:val="20"/>
          <w:szCs w:val="20"/>
        </w:rPr>
        <w:t xml:space="preserve">The numbers of </w:t>
      </w:r>
      <w:r w:rsidR="006844FF" w:rsidRPr="00435469">
        <w:rPr>
          <w:rFonts w:cs="Times New Roman"/>
          <w:sz w:val="20"/>
          <w:szCs w:val="20"/>
        </w:rPr>
        <w:t xml:space="preserve">microbiological </w:t>
      </w:r>
      <w:r w:rsidR="006844FF" w:rsidRPr="00435469">
        <w:rPr>
          <w:sz w:val="20"/>
          <w:szCs w:val="20"/>
        </w:rPr>
        <w:t>tuberculosis tests performed</w:t>
      </w:r>
      <w:r w:rsidRPr="00435469">
        <w:rPr>
          <w:sz w:val="20"/>
          <w:szCs w:val="20"/>
        </w:rPr>
        <w:t xml:space="preserve"> and model estimates for microbiological tests performed</w:t>
      </w:r>
      <w:bookmarkEnd w:id="384"/>
      <w:bookmarkEnd w:id="385"/>
      <w:r w:rsidRPr="00435469">
        <w:rPr>
          <w:sz w:val="20"/>
          <w:szCs w:val="20"/>
        </w:rPr>
        <w:t xml:space="preserve"> </w:t>
      </w:r>
    </w:p>
    <w:p w14:paraId="31C004E3" w14:textId="77777777" w:rsidR="000E144F" w:rsidRPr="00435469" w:rsidRDefault="00CE2996" w:rsidP="00955FFB">
      <w:pPr>
        <w:pStyle w:val="1Para"/>
        <w:spacing w:line="240" w:lineRule="auto"/>
        <w:ind w:firstLine="0"/>
        <w:jc w:val="center"/>
        <w:rPr>
          <w:noProof/>
          <w:sz w:val="20"/>
          <w:szCs w:val="20"/>
        </w:rPr>
      </w:pPr>
      <w:r w:rsidRPr="00435469">
        <w:rPr>
          <w:noProof/>
          <w:sz w:val="20"/>
          <w:szCs w:val="20"/>
        </w:rPr>
        <w:drawing>
          <wp:inline distT="0" distB="0" distL="0" distR="0" wp14:anchorId="5EDD1E08" wp14:editId="39CD87EF">
            <wp:extent cx="4102873" cy="2608028"/>
            <wp:effectExtent l="0" t="0" r="0" b="1905"/>
            <wp:docPr id="17" name="Chart 17">
              <a:extLst xmlns:a="http://schemas.openxmlformats.org/drawingml/2006/main">
                <a:ext uri="{FF2B5EF4-FFF2-40B4-BE49-F238E27FC236}">
                  <a16:creationId xmlns:a16="http://schemas.microsoft.com/office/drawing/2014/main" id="{13380AE3-1170-4CF6-8197-0FA7E0735C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5170032" w14:textId="28DEC16F" w:rsidR="00C71975" w:rsidRPr="00435469" w:rsidRDefault="00CF3F45" w:rsidP="00955FFB">
      <w:pPr>
        <w:pStyle w:val="3CaptionAbove"/>
        <w:rPr>
          <w:sz w:val="20"/>
          <w:szCs w:val="20"/>
        </w:rPr>
      </w:pPr>
      <w:bookmarkStart w:id="386" w:name="_Ref99981513"/>
      <w:bookmarkStart w:id="387" w:name="_Toc103253012"/>
      <w:r w:rsidRPr="00435469">
        <w:rPr>
          <w:sz w:val="20"/>
          <w:szCs w:val="20"/>
        </w:rPr>
        <w:lastRenderedPageBreak/>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15</w:t>
      </w:r>
      <w:r w:rsidRPr="00435469">
        <w:rPr>
          <w:sz w:val="20"/>
          <w:szCs w:val="20"/>
        </w:rPr>
        <w:fldChar w:fldCharType="end"/>
      </w:r>
      <w:bookmarkEnd w:id="386"/>
      <w:r w:rsidRPr="00435469">
        <w:rPr>
          <w:sz w:val="20"/>
          <w:szCs w:val="20"/>
        </w:rPr>
        <w:t>:</w:t>
      </w:r>
      <w:bookmarkStart w:id="388" w:name="_Ref99981432"/>
      <w:r w:rsidR="006A7F12" w:rsidRPr="00435469">
        <w:rPr>
          <w:sz w:val="20"/>
          <w:szCs w:val="20"/>
        </w:rPr>
        <w:t xml:space="preserve"> </w:t>
      </w:r>
      <w:r w:rsidR="008929E0" w:rsidRPr="00435469">
        <w:rPr>
          <w:sz w:val="20"/>
          <w:szCs w:val="20"/>
        </w:rPr>
        <w:t>The</w:t>
      </w:r>
      <w:r w:rsidR="009B5214" w:rsidRPr="00435469">
        <w:rPr>
          <w:sz w:val="20"/>
          <w:szCs w:val="20"/>
        </w:rPr>
        <w:t xml:space="preserve"> prevalence of bacteriologically confirmed active tuberculosis</w:t>
      </w:r>
      <w:r w:rsidRPr="00435469">
        <w:rPr>
          <w:sz w:val="20"/>
          <w:szCs w:val="20"/>
        </w:rPr>
        <w:t xml:space="preserve"> and model estimated prevalence of tuberculosis in males 15+ years</w:t>
      </w:r>
      <w:bookmarkEnd w:id="387"/>
      <w:bookmarkEnd w:id="388"/>
      <w:r w:rsidR="00EB2287" w:rsidRPr="00435469">
        <w:rPr>
          <w:sz w:val="20"/>
          <w:szCs w:val="20"/>
        </w:rPr>
        <w:t xml:space="preserve"> </w:t>
      </w:r>
    </w:p>
    <w:p w14:paraId="6FDC98CC" w14:textId="046E9B8C" w:rsidR="00551DD4" w:rsidRPr="00435469" w:rsidRDefault="0013646F" w:rsidP="00955FFB">
      <w:pPr>
        <w:pStyle w:val="3CaptionAbove"/>
        <w:jc w:val="center"/>
        <w:rPr>
          <w:sz w:val="20"/>
          <w:szCs w:val="20"/>
        </w:rPr>
      </w:pPr>
      <w:r w:rsidRPr="00435469">
        <w:rPr>
          <w:sz w:val="20"/>
          <w:szCs w:val="20"/>
        </w:rPr>
        <w:drawing>
          <wp:inline distT="0" distB="0" distL="0" distR="0" wp14:anchorId="22520907" wp14:editId="37564500">
            <wp:extent cx="4039263" cy="2266122"/>
            <wp:effectExtent l="0" t="0" r="0" b="1270"/>
            <wp:docPr id="8" name="Chart 8">
              <a:extLst xmlns:a="http://schemas.openxmlformats.org/drawingml/2006/main">
                <a:ext uri="{FF2B5EF4-FFF2-40B4-BE49-F238E27FC236}">
                  <a16:creationId xmlns:a16="http://schemas.microsoft.com/office/drawing/2014/main" id="{B87899F9-E01E-4B58-9F7C-59B5866B79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774A26" w14:textId="065B4660" w:rsidR="00266381" w:rsidRPr="00435469" w:rsidRDefault="00266381" w:rsidP="00955FFB">
      <w:pPr>
        <w:pStyle w:val="3CaptionAbove"/>
        <w:ind w:left="0" w:firstLine="0"/>
        <w:rPr>
          <w:sz w:val="20"/>
          <w:szCs w:val="20"/>
        </w:rPr>
      </w:pPr>
      <w:bookmarkStart w:id="389" w:name="_Ref99981527"/>
      <w:bookmarkStart w:id="390" w:name="_Toc103253013"/>
      <w:r w:rsidRPr="00435469">
        <w:rPr>
          <w:sz w:val="20"/>
          <w:szCs w:val="20"/>
        </w:rPr>
        <w:t xml:space="preserve">Figure </w:t>
      </w:r>
      <w:r w:rsidRPr="00435469">
        <w:rPr>
          <w:sz w:val="20"/>
          <w:szCs w:val="20"/>
        </w:rPr>
        <w:fldChar w:fldCharType="begin"/>
      </w:r>
      <w:r w:rsidRPr="00435469">
        <w:rPr>
          <w:sz w:val="20"/>
          <w:szCs w:val="20"/>
        </w:rPr>
        <w:instrText xml:space="preserve"> SEQ Figure \* ARABIC </w:instrText>
      </w:r>
      <w:r w:rsidRPr="00435469">
        <w:rPr>
          <w:sz w:val="20"/>
          <w:szCs w:val="20"/>
        </w:rPr>
        <w:fldChar w:fldCharType="separate"/>
      </w:r>
      <w:r w:rsidR="00186C2F" w:rsidRPr="00435469">
        <w:rPr>
          <w:sz w:val="20"/>
          <w:szCs w:val="20"/>
        </w:rPr>
        <w:t>16</w:t>
      </w:r>
      <w:r w:rsidRPr="00435469">
        <w:rPr>
          <w:sz w:val="20"/>
          <w:szCs w:val="20"/>
        </w:rPr>
        <w:fldChar w:fldCharType="end"/>
      </w:r>
      <w:bookmarkEnd w:id="389"/>
      <w:r w:rsidRPr="00435469">
        <w:rPr>
          <w:sz w:val="20"/>
          <w:szCs w:val="20"/>
        </w:rPr>
        <w:t>:</w:t>
      </w:r>
      <w:bookmarkStart w:id="391" w:name="_Ref99981441"/>
      <w:r w:rsidR="00EF5909" w:rsidRPr="00435469">
        <w:rPr>
          <w:sz w:val="20"/>
          <w:szCs w:val="20"/>
        </w:rPr>
        <w:t xml:space="preserve"> </w:t>
      </w:r>
      <w:r w:rsidRPr="00435469">
        <w:rPr>
          <w:sz w:val="20"/>
          <w:szCs w:val="20"/>
        </w:rPr>
        <w:t>The prevalence of bacteriologically confirmed active tuberculosis and model estimated prevalence of tuberculosis in females 15+ years</w:t>
      </w:r>
      <w:bookmarkEnd w:id="390"/>
      <w:bookmarkEnd w:id="391"/>
    </w:p>
    <w:p w14:paraId="41C5BE8B" w14:textId="350BC3F0" w:rsidR="0039060D" w:rsidRPr="00435469" w:rsidRDefault="0013646F" w:rsidP="00955FFB">
      <w:pPr>
        <w:spacing w:after="160" w:line="240" w:lineRule="auto"/>
        <w:jc w:val="center"/>
        <w:rPr>
          <w:rFonts w:eastAsiaTheme="majorEastAsia" w:cstheme="majorBidi"/>
          <w:b/>
          <w:sz w:val="20"/>
          <w:szCs w:val="20"/>
        </w:rPr>
      </w:pPr>
      <w:r w:rsidRPr="00435469">
        <w:rPr>
          <w:noProof/>
          <w:sz w:val="20"/>
          <w:szCs w:val="20"/>
        </w:rPr>
        <w:drawing>
          <wp:inline distT="0" distB="0" distL="0" distR="0" wp14:anchorId="1F689C31" wp14:editId="21DAEDB7">
            <wp:extent cx="3881887" cy="2329132"/>
            <wp:effectExtent l="0" t="0" r="4445" b="0"/>
            <wp:docPr id="10" name="Chart 10">
              <a:extLst xmlns:a="http://schemas.openxmlformats.org/drawingml/2006/main">
                <a:ext uri="{FF2B5EF4-FFF2-40B4-BE49-F238E27FC236}">
                  <a16:creationId xmlns:a16="http://schemas.microsoft.com/office/drawing/2014/main" id="{29BBEF13-6CEA-4191-BF46-36444A3FDC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362E421" w14:textId="1FF6FE5D" w:rsidR="006D3675" w:rsidRPr="00435469" w:rsidRDefault="006D3675" w:rsidP="00955FFB">
      <w:pPr>
        <w:pStyle w:val="Heading2"/>
        <w:numPr>
          <w:ilvl w:val="1"/>
          <w:numId w:val="18"/>
        </w:numPr>
        <w:rPr>
          <w:color w:val="auto"/>
          <w:sz w:val="20"/>
          <w:szCs w:val="20"/>
        </w:rPr>
      </w:pPr>
      <w:bookmarkStart w:id="392" w:name="_Ref87524172"/>
      <w:bookmarkStart w:id="393" w:name="_Toc87863366"/>
      <w:bookmarkStart w:id="394" w:name="_Toc103252968"/>
      <w:r w:rsidRPr="00435469">
        <w:rPr>
          <w:color w:val="auto"/>
          <w:sz w:val="20"/>
          <w:szCs w:val="20"/>
        </w:rPr>
        <w:t>Comparison with other</w:t>
      </w:r>
      <w:bookmarkEnd w:id="356"/>
      <w:bookmarkEnd w:id="392"/>
      <w:bookmarkEnd w:id="393"/>
      <w:r w:rsidRPr="00435469">
        <w:rPr>
          <w:color w:val="auto"/>
          <w:sz w:val="20"/>
          <w:szCs w:val="20"/>
        </w:rPr>
        <w:t xml:space="preserve"> model estimates</w:t>
      </w:r>
      <w:bookmarkEnd w:id="394"/>
      <w:r w:rsidRPr="00435469">
        <w:rPr>
          <w:color w:val="auto"/>
          <w:sz w:val="20"/>
          <w:szCs w:val="20"/>
        </w:rPr>
        <w:t xml:space="preserve"> </w:t>
      </w:r>
    </w:p>
    <w:p w14:paraId="18D479AC" w14:textId="4817B14A" w:rsidR="007D00A6" w:rsidRPr="00435469" w:rsidRDefault="00A80302" w:rsidP="00955FFB">
      <w:pPr>
        <w:pStyle w:val="1Para"/>
        <w:spacing w:line="240" w:lineRule="auto"/>
        <w:ind w:firstLine="0"/>
        <w:rPr>
          <w:sz w:val="20"/>
          <w:szCs w:val="20"/>
        </w:rPr>
      </w:pPr>
      <w:bookmarkStart w:id="395" w:name="_Hlk89250640"/>
      <w:r w:rsidRPr="00435469">
        <w:rPr>
          <w:sz w:val="20"/>
          <w:szCs w:val="20"/>
        </w:rPr>
        <w:t xml:space="preserve">The </w:t>
      </w:r>
      <w:r w:rsidRPr="00435469">
        <w:rPr>
          <w:sz w:val="20"/>
          <w:szCs w:val="20"/>
          <w:lang w:val="en-ZA"/>
        </w:rPr>
        <w:t>World Health Organization (WHO)</w:t>
      </w:r>
      <w:r w:rsidRPr="00435469">
        <w:rPr>
          <w:sz w:val="20"/>
          <w:szCs w:val="20"/>
        </w:rPr>
        <w:t xml:space="preserve"> </w:t>
      </w:r>
      <w:r w:rsidRPr="00435469">
        <w:rPr>
          <w:sz w:val="20"/>
          <w:szCs w:val="20"/>
        </w:rPr>
        <w:fldChar w:fldCharType="begin" w:fldLock="1"/>
      </w:r>
      <w:r w:rsidR="00650727" w:rsidRPr="00435469">
        <w:rPr>
          <w:sz w:val="20"/>
          <w:szCs w:val="20"/>
        </w:rPr>
        <w:instrText>ADDIN CSL_CITATION {"citationItems":[{"id":"ITEM-1","itemData":{"ISBN":"978-92-4-001313-1","id":"ITEM-1","issued":{"date-parts":[["2020"]]},"publisher-place":"Geneva: World Health Organization; 2020","title":"World Health Organization. Global Tuberculosis Report, 2020","type":"report"},"uris":["http://www.mendeley.com/documents/?uuid=1e49d534-4bbd-4b07-a44c-38383625af56"]}],"mendeley":{"formattedCitation":"(133)","plainTextFormattedCitation":"(133)","previouslyFormattedCitation":"(133)"},"properties":{"noteIndex":0},"schema":"https://github.com/citation-style-language/schema/raw/master/csl-citation.json"}</w:instrText>
      </w:r>
      <w:r w:rsidRPr="00435469">
        <w:rPr>
          <w:sz w:val="20"/>
          <w:szCs w:val="20"/>
        </w:rPr>
        <w:fldChar w:fldCharType="separate"/>
      </w:r>
      <w:r w:rsidR="0016391D" w:rsidRPr="00435469">
        <w:rPr>
          <w:noProof/>
          <w:sz w:val="20"/>
          <w:szCs w:val="20"/>
        </w:rPr>
        <w:t>(133)</w:t>
      </w:r>
      <w:r w:rsidRPr="00435469">
        <w:rPr>
          <w:sz w:val="20"/>
          <w:szCs w:val="20"/>
        </w:rPr>
        <w:fldChar w:fldCharType="end"/>
      </w:r>
      <w:r w:rsidRPr="00435469">
        <w:rPr>
          <w:sz w:val="20"/>
          <w:szCs w:val="20"/>
        </w:rPr>
        <w:t xml:space="preserve"> </w:t>
      </w:r>
      <w:r w:rsidRPr="00435469">
        <w:rPr>
          <w:sz w:val="20"/>
          <w:szCs w:val="20"/>
          <w:lang w:val="en-ZA"/>
        </w:rPr>
        <w:t xml:space="preserve">and the Institute </w:t>
      </w:r>
      <w:r w:rsidR="00105ECE" w:rsidRPr="00435469">
        <w:rPr>
          <w:sz w:val="20"/>
          <w:szCs w:val="20"/>
          <w:lang w:val="en-ZA"/>
        </w:rPr>
        <w:t xml:space="preserve">for </w:t>
      </w:r>
      <w:r w:rsidRPr="00435469">
        <w:rPr>
          <w:sz w:val="20"/>
          <w:szCs w:val="20"/>
          <w:lang w:val="en-ZA"/>
        </w:rPr>
        <w:t>Health Metrics and Evaluation (IHME)</w:t>
      </w:r>
      <w:r w:rsidRPr="00435469">
        <w:rPr>
          <w:sz w:val="20"/>
          <w:szCs w:val="20"/>
        </w:rPr>
        <w:t xml:space="preserve"> </w:t>
      </w:r>
      <w:r w:rsidRPr="00435469">
        <w:rPr>
          <w:sz w:val="20"/>
          <w:szCs w:val="20"/>
        </w:rPr>
        <w:fldChar w:fldCharType="begin" w:fldLock="1"/>
      </w:r>
      <w:r w:rsidR="00A142FF" w:rsidRPr="00435469">
        <w:rPr>
          <w:sz w:val="20"/>
          <w:szCs w:val="20"/>
        </w:rPr>
        <w:instrText>ADDIN CSL_CITATION {"citationItems":[{"id":"ITEM-1","itemData":{"DOI":"10.1016/s1473-3099(21)00449-7","ISSN":"14733099","abstract":"Background Tuberculosis is a major contributor to the global burden of disease, causing more than a million deaths annually. Given an emphasis on equity in access to diagnosis and treatment of tuberculosis in global health targets, evaluations of differences in tuberculosis burden by sex are crucial. We aimed to assess the levels and trends of the global burden of tuberculosis, with an emphasis on investigating differences in sex by HIV status for 204 countries and territories from 1990 to 2019.","author":[{"dropping-particle":"","family":"Ledesma","given":"Jorge R","non-dropping-particle":"","parse-names":false,"suffix":""},{"dropping-particle":"","family":"Ma","given":"Jianing","non-dropping-particle":"","parse-names":false,"suffix":""},{"dropping-particle":"","family":"Vongpradith","given":"Avina","non-dropping-particle":"","parse-names":false,"suffix":""},{"dropping-particle":"","family":"Maddison","given":"Emilie R","non-dropping-particle":"","parse-names":false,"suffix":""},{"dropping-particle":"","family":"Novotney","given":"Amanda","non-dropping-particle":"","parse-names":false,"suffix":""},{"dropping-particle":"","family":"Biehl","given":"Molly H","non-dropping-particle":"","parse-names":false,"suffix":""},{"dropping-particle":"","family":"LeGrand","given":"Kate E","non-dropping-particle":"","parse-names":false,"suffix":""},{"dropping-particle":"","family":"Ross","given":"Jennifer M","non-dropping-particle":"","parse-names":false,"suffix":""},{"dropping-particle":"","family":"Jahagirdar","given":"Deepa","non-dropping-particle":"","parse-names":false,"suffix":""},{"dropping-particle":"","family":"Bryazka","given":"Dana","non-dropping-particle":"","parse-names":false,"suffix":""},{"dropping-particle":"","family":"Feldman","given":"Rachel","non-dropping-particle":"","parse-names":false,"suffix":""},{"dropping-particle":"","family":"Abolhassani","given":"Hassan","non-dropping-particle":"","parse-names":false,"suffix":""},{"dropping-particle":"","family":"Abosetugn","given":"Akine Eshete","non-dropping-particle":"","parse-names":false,"suffix":""},{"dropping-particle":"","family":"Abu-Gharbieh","given":"Eman","non-dropping-particle":"","parse-names":false,"suffix":""},{"dropping-particle":"","family":"Adebayo","given":"Oladimeji M","non-dropping-particle":"","parse-names":false,"suffix":""},{"dropping-particle":"","family":"Adnani","given":"Qorinah Estiningtyas Sakilah","non-dropping-particle":"","parse-names":false,"suffix":""},{"dropping-particle":"","family":"Afzal","given":"Saira","non-dropping-particle":"","parse-names":false,"suffix":""},{"dropping-particle":"","family":"Ahinkorah","given":"Bright Opoku","non-dropping-particle":"","parse-names":false,"suffix":""},{"dropping-particle":"","family":"Ahmad","given":"Sajjad Ahmad","non-dropping-particle":"","parse-names":false,"suffix":""},{"dropping-particle":"","family":"Ahmadi","given":"Sepideh","non-dropping-particle":"","parse-names":false,"suffix":""},{"dropping-particle":"","family":"Ahmed Rashid","given":"Tarik","non-dropping-particle":"","parse-names":false,"suffix":""},{"dropping-particle":"","family":"Ahmed Salih","given":"Yusra","non-dropping-particle":"","parse-names":false,"suffix":""},{"dropping-particle":"","family":"Aklilu","given":"Addis","non-dropping-particle":"","parse-names":false,"suffix":""},{"dropping-particle":"","family":"Akunna","given":"Chisom Joyqueenet","non-dropping-particle":"","parse-names":false,"suffix":""},{"dropping-particle":"","family":"Hamad","given":"Hanadi","non-dropping-particle":"Al","parse-names":false,"suffix":""},{"dropping-particle":"","family":"Alahdab","given":"Fares","non-dropping-particle":"","parse-names":false,"suffix":""},{"dropping-particle":"","family":"Alemayehu","given":"Yosef","non-dropping-particle":"","parse-names":false,"suffix":""},{"dropping-particle":"","family":"Alene","given":"Kefyalew Addis","non-dropping-particle":"","parse-names":false,"suffix":""},{"dropping-particle":"","family":"Ali","given":"Beriwan Abdulqadir","non-dropping-particle":"","parse-names":false,"suffix":""},{"dropping-particle":"","family":"Ali","given":"Liaqat","non-dropping-particle":"","parse-names":false,"suffix":""},{"dropping-particle":"","family":"Alipour","given":"Vahid","non-dropping-particle":"","parse-names":false,"suffix":""},{"dropping-particle":"","family":"Alizade","given":"Hesam","non-dropping-particle":"","parse-names":false,"suffix":""},{"dropping-particle":"","family":"Al-Raddadi","given":"Rajaa M","non-dropping-particle":"","parse-names":false,"suffix":""},{"dropping-particle":"","family":"Alvis-Guzman","given":"Nelson","non-dropping-particle":"","parse-names":false,"suffix":""},{"dropping-particle":"","family":"Amini","given":"Saeed","non-dropping-particle":"","parse-names":false,"suffix":""},{"dropping-particle":"","family":"Amit","given":"Arianna Maever L","non-dropping-particle":"","parse-names":false,"suffix":""},{"dropping-particle":"","family":"Anderson","given":"Jason A","non-dropping-particle":"","parse-names":false,"suffix":""},{"dropping-particle":"","family":"Androudi","given":"Sofia","non-dropping-particle":"","parse-names":false,"suffix":""},{"dropping-particle":"","family":"Antonio","given":"Carl Abelardo T","non-dropping-particle":"","parse-names":false,"suffix":""},{"dropping-particle":"","family":"Antony","given":"Catherine M","non-dropping-particle":"","parse-names":false,"suffix":""},{"dropping-particle":"","family":"Anwer","given":"Razique","non-dropping-particle":"","parse-names":false,"suffix":""},{"dropping-particle":"","family":"Arabloo","given":"Jalal","non-dropping-particle":"","parse-names":false,"suffix":""},{"dropping-particle":"","family":"Arja","given":"Asrat","non-dropping-particle":"","parse-names":false,"suffix":""},{"dropping-particle":"","family":"Asemahagn","given":"Mulusew A","non-dropping-particle":"","parse-names":false,"suffix":""},{"dropping-particle":"","family":"Atre","given":"Sachin R","non-dropping-particle":"","parse-names":false,"suffix":""},{"dropping-particle":"","family":"Azhar","given":"Gulrez Shah","non-dropping-particle":"","parse-names":false,"suffix":""},{"dropping-particle":"","family":"B","given":"Darshan B","non-dropping-particle":"","parse-names":false,"suffix":""},{"dropping-particle":"","family":"Babar","given":"Zaheer-Ud-Din","non-dropping-particle":"","parse-names":false,"suffix":""},{"dropping-particle":"","family":"Baig","given":"Atif Amin","non-dropping-particle":"","parse-names":false,"suffix":""},{"dropping-particle":"","family":"Banach","given":"Maciej","non-dropping-particle":"","parse-names":false,"suffix":""},{"dropping-particle":"","family":"Barqawi","given":"Hiba Jawdat","non-dropping-particle":"","parse-names":false,"suffix":""},{"dropping-particle":"","family":"Barra","given":"Fabio","non-dropping-particle":"","parse-names":false,"suffix":""},{"dropping-particle":"","family":"Barrow","given":"Amadou","non-dropping-particle":"","parse-names":false,"suffix":""},{"dropping-particle":"","family":"Basu","given":"Sanjay","non-dropping-particle":"","parse-names":false,"suffix":""},{"dropping-particle":"","family":"Belgaumi","given":"Uzma Iqbal","non-dropping-particle":"","parse-names":false,"suffix":""},{"dropping-particle":"","family":"Bhagavathula","given":"Akshaya Srikanth","non-dropping-particle":"","parse-names":false,"suffix":""},{"dropping-particle":"","family":"Bhardwaj","given":"Nikha","non-dropping-particle":"","parse-names":false,"suffix":""},{"dropping-particle":"","family":"Bhardwaj","given":"Pankaj","non-dropping-particle":"","parse-names":false,"suffix":""},{"dropping-particle":"V","family":"Bhattacharjee","given":"Natalia","non-dropping-particle":"","parse-names":false,"suffix":""},{"dropping-particle":"","family":"Bhattacharyya","given":"Krittika","non-dropping-particle":"","parse-names":false,"suffix":""},{"dropping-particle":"","family":"Bijani","given":"Ali","non-dropping-particle":"","parse-names":false,"suffix":""},{"dropping-particle":"","family":"Bikbov","given":"Boris","non-dropping-particle":"","parse-names":false,"suffix":""},{"dropping-particle":"","family":"Boloor","given":"Archith","non-dropping-particle":"","parse-names":false,"suffix":""},{"dropping-particle":"","family":"Briko","given":"Nikolay Ivanovich","non-dropping-particle":"","parse-names":false,"suffix":""},{"dropping-particle":"","family":"Buonsenso","given":"Danilo","non-dropping-particle":"","parse-names":false,"suffix":""},{"dropping-particle":"","family":"Burugina Nagaraja","given":"Sharath","non-dropping-particle":"","parse-names":false,"suffix":""},{"dropping-particle":"","family":"Butt","given":"Zahid A","non-dropping-particle":"","parse-names":false,"suffix":""},{"dropping-particle":"","family":"Carter","given":"Austin","non-dropping-particle":"","parse-names":false,"suffix":""},{"dropping-particle":"","family":"Carvalho","given":"Felix","non-dropping-particle":"","parse-names":false,"suffix":""},{"dropping-particle":"","family":"Charan","given":"Jaykaran","non-dropping-particle":"","parse-names":false,"suffix":""},{"dropping-particle":"","family":"Chatterjee","given":"Souranshu","non-dropping-particle":"","parse-names":false,"suffix":""},{"dropping-particle":"","family":"Chattu","given":"Soosanna Kumary","non-dropping-particle":"","parse-names":false,"suffix":""},{"dropping-particle":"","family":"Chattu","given":"Vijay Kumar","non-dropping-particle":"","parse-names":false,"suffix":""},{"dropping-particle":"","family":"Christopher","given":"Devasahayam J","non-dropping-particle":"","parse-names":false,"suffix":""},{"dropping-particle":"","family":"Chu","given":"Dinh-Toi","non-dropping-particle":"","parse-names":false,"suffix":""},{"dropping-particle":"","family":"Claassens","given":"Mareli M","non-dropping-particle":"","parse-names":false,"suffix":""},{"dropping-particle":"","family":"Dadras","given":"Omid","non-dropping-particle":"","parse-names":false,"suffix":""},{"dropping-particle":"","family":"Dagnew","given":"Amare Belachew","non-dropping-particle":"","parse-names":false,"suffix":""},{"dropping-particle":"","family":"Dai","given":"Xiaochen","non-dropping-particle":"","parse-names":false,"suffix":""},{"dropping-particle":"","family":"Dandona","given":"Lalit","non-dropping-particle":"","parse-names":false,"suffix":""},{"dropping-particle":"","family":"Dandona","given":"Rakhi","non-dropping-particle":"","parse-names":false,"suffix":""},{"dropping-particle":"","family":"Daneshpajouhnejad","given":"Parnaz","non-dropping-particle":"","parse-names":false,"suffix":""},{"dropping-particle":"","family":"Darwesh","given":"Aso Mohammad","non-dropping-particle":"","parse-names":false,"suffix":""},{"dropping-particle":"","family":"Dhamnetiya","given":"Deepak","non-dropping-particle":"","parse-names":false,"suffix":""},{"dropping-particle":"","family":"Dianatinasab","given":"Mostafa","non-dropping-particle":"","parse-names":false,"suffix":""},{"dropping-particle":"","family":"Diaz","given":"Daniel","non-dropping-particle":"","parse-names":false,"suffix":""},{"dropping-particle":"","family":"Doan","given":"Linh Phuong","non-dropping-particle":"","parse-names":false,"suffix":""},{"dropping-particle":"","family":"Eftekharzadeh","given":"Sahar","non-dropping-particle":"","parse-names":false,"suffix":""},{"dropping-particle":"","family":"Elhadi","given":"Muhammed","non-dropping-particle":"","parse-names":false,"suffix":""},{"dropping-particle":"","family":"Emami","given":"Amir","non-dropping-particle":"","parse-names":false,"suffix":""},{"dropping-particle":"","family":"Enany","given":"Shymaa","non-dropping-particle":"","parse-names":false,"suffix":""},{"dropping-particle":"","family":"Faraon","given":"Emerito Jose A","non-dropping-particle":"","parse-names":false,"suffix":""},{"dropping-particle":"","family":"Farzadfar","given":"Farshad","non-dropping-particle":"","parse-names":false,"suffix":""},{"dropping-particle":"","family":"Fernandes","given":"Eduarda","non-dropping-particle":"","parse-names":false,"suffix":""},{"dropping-particle":"","family":"Ferro Desideri","given":"Lorenzo","non-dropping-particle":"","parse-names":false,"suffix":""},{"dropping-particle":"","family":"Filip","given":"Irina","non-dropping-particle":"","parse-names":false,"suffix":""},{"dropping-particle":"","family":"Fischer","given":"Florian","non-dropping-particle":"","parse-names":false,"suffix":""},{"dropping-particle":"","family":"Foroutan","given":"Masoud","non-dropping-particle":"","parse-names":false,"suffix":""},{"dropping-particle":"","family":"Frank","given":"Tahvi D","non-dropping-particle":"","parse-names":false,"suffix":""},{"dropping-particle":"","family":"Garcia-Basteiro","given":"Alberto L","non-dropping-particle":"","parse-names":false,"suffix":""},{"dropping-particle":"","family":"Garcia-Calavaro","given":"Christian","non-dropping-particle":"","parse-names":false,"suffix":""},{"dropping-particle":"","family":"Garg","given":"Tushar","non-dropping-particle":"","parse-names":false,"suffix":""},{"dropping-particle":"","family":"Geberemariyam","given":"Biniyam Sahiledengle","non-dropping-particle":"","parse-names":false,"suffix":""},{"dropping-particle":"","family":"Ghadiri","given":"Keyghobad","non-dropping-particle":"","parse-names":false,"suffix":""},{"dropping-particle":"","family":"Ghashghaee","given":"Ahmad","non-dropping-particle":"","parse-names":false,"suffix":""},{"dropping-particle":"","family":"Golechha","given":"Mahaveer","non-dropping-particle":"","parse-names":false,"suffix":""},{"dropping-particle":"","family":"Goodridge","given":"Amador","non-dropping-particle":"","parse-names":false,"suffix":""},{"dropping-particle":"","family":"Gupta","given":"Bhawna","non-dropping-particle":"","parse-names":false,"suffix":""},{"dropping-particle":"","family":"Gupta","given":"Sapna","non-dropping-particle":"","parse-names":false,"suffix":""},{"dropping-particle":"","family":"Gupta","given":"Veer Bala","non-dropping-particle":"","parse-names":false,"suffix":""},{"dropping-particle":"","family":"Gupta","given":"Vivek Kumar","non-dropping-particle":"","parse-names":false,"suffix":""},{"dropping-particle":"","family":"Haider","given":"Mohammad Rifat","non-dropping-particle":"","parse-names":false,"suffix":""},{"dropping-particle":"","family":"Hamidi","given":"Samer","non-dropping-particle":"","parse-names":false,"suffix":""},{"dropping-particle":"","family":"Hanif","given":"Asif","non-dropping-particle":"","parse-names":false,"suffix":""},{"dropping-particle":"","family":"Haque","given":"Shafiul","non-dropping-particle":"","parse-names":false,"suffix":""},{"dropping-particle":"","family":"Harapan","given":"Harapan","non-dropping-particle":"","parse-names":false,"suffix":""},{"dropping-particle":"","family":"Hargono","given":"Arief","non-dropping-particle":"","parse-names":false,"suffix":""},{"dropping-particle":"","family":"Hasaballah","given":"Ahmed I","non-dropping-particle":"","parse-names":false,"suffix":""},{"dropping-particle":"","family":"Hashi","given":"Abdiwahab","non-dropping-particle":"","parse-names":false,"suffix":""},{"dropping-particle":"","family":"Hassan","given":"Shoaib","non-dropping-particle":"","parse-names":false,"suffix":""},{"dropping-particle":"","family":"Hassankhani","given":"Hadi","non-dropping-particle":"","parse-names":false,"suffix":""},{"dropping-particle":"","family":"Hayat","given":"Khezar","non-dropping-particle":"","parse-names":false,"suffix":""},{"dropping-particle":"","family":"Hezam","given":"Kamal","non-dropping-particle":"","parse-names":false,"suffix":""},{"dropping-particle":"","family":"Holla","given":"Ramesh","non-dropping-particle":"","parse-names":false,"suffix":""},{"dropping-particle":"","family":"Hosseinzadeh","given":"Mehdi","non-dropping-particle":"","parse-names":false,"suffix":""},{"dropping-particle":"","family":"Hostiuc","given":"Mihaela","non-dropping-particle":"","parse-names":false,"suffix":""},{"dropping-particle":"","family":"Househ","given":"Mowafa","non-dropping-particle":"","parse-names":false,"suffix":""},{"dropping-particle":"","family":"Hussain","given":"Rabia","non-dropping-particle":"","parse-names":false,"suffix":""},{"dropping-particle":"","family":"Ibitoye","given":"Segun Emmanuel","non-dropping-particle":"","parse-names":false,"suffix":""},{"dropping-particle":"","family":"Ilic","given":"Irena M","non-dropping-particle":"","parse-names":false,"suffix":""},{"dropping-particle":"","family":"Ilic","given":"Milena D","non-dropping-particle":"","parse-names":false,"suffix":""},{"dropping-particle":"","family":"Irvani","given":"Seyed Sina Naghibi","non-dropping-particle":"","parse-names":false,"suffix":""},{"dropping-particle":"","family":"Ismail","given":"Nahlah Elkudssiah","non-dropping-particle":"","parse-names":false,"suffix":""},{"dropping-particle":"","family":"Itumalla","given":"Ramaiah","non-dropping-particle":"","parse-names":false,"suffix":""},{"dropping-particle":"","family":"Jaafari","given":"Jalil","non-dropping-particle":"","parse-names":false,"suffix":""},{"dropping-particle":"","family":"Jacobsen","given":"Kathryn H","non-dropping-particle":"","parse-names":false,"suffix":""},{"dropping-particle":"","family":"Jain","given":"Vardhmaan","non-dropping-particle":"","parse-names":false,"suffix":""},{"dropping-particle":"","family":"Javanmardi","given":"Fatemeh","non-dropping-particle":"","parse-names":false,"suffix":""},{"dropping-particle":"","family":"Jayapal","given":"Sathish Kumar","non-dropping-particle":"","parse-names":false,"suffix":""},{"dropping-particle":"","family":"Jayaram","given":"Shubha","non-dropping-particle":"","parse-names":false,"suffix":""},{"dropping-particle":"","family":"Jha","given":"Ravi Prakash","non-dropping-particle":"","parse-names":false,"suffix":""},{"dropping-particle":"","family":"Jonas","given":"Jost B","non-dropping-particle":"","parse-names":false,"suffix":""},{"dropping-particle":"","family":"Joseph","given":"Nitin","non-dropping-particle":"","parse-names":false,"suffix":""},{"dropping-particle":"","family":"Joukar","given":"Farahnaz","non-dropping-particle":"","parse-names":false,"suffix":""},{"dropping-particle":"","family":"Kabir","given":"Zubair","non-dropping-particle":"","parse-names":false,"suffix":""},{"dropping-particle":"","family":"Kamath","given":"Ashwin","non-dropping-particle":"","parse-names":false,"suffix":""},{"dropping-particle":"","family":"Kanchan","given":"Tanuj","non-dropping-particle":"","parse-names":false,"suffix":""},{"dropping-particle":"","family":"Kandel","given":"Himal","non-dropping-particle":"","parse-names":false,"suffix":""},{"dropping-particle":"","family":"Katoto","given":"Patrick DMC","non-dropping-particle":"","parse-names":false,"suffix":""},{"dropping-particle":"","family":"Kayode","given":"Gbenga A","non-dropping-particle":"","parse-names":false,"suffix":""},{"dropping-particle":"","family":"Kendrick","given":"Parkes J","non-dropping-particle":"","parse-names":false,"suffix":""},{"dropping-particle":"","family":"Kerbo","given":"Amene Abebe","non-dropping-particle":"","parse-names":false,"suffix":""},{"dropping-particle":"","family":"Khajuria","given":"Himanshu","non-dropping-particle":"","parse-names":false,"suffix":""},{"dropping-particle":"","family":"Khalilov","given":"Rovshan","non-dropping-particle":"","parse-names":false,"suffix":""},{"dropping-particle":"","family":"Khatab","given":"Khaled","non-dropping-particle":"","parse-names":false,"suffix":""},{"dropping-particle":"","family":"Khoja","given":"Abdullah T","non-dropping-particle":"","parse-names":false,"suffix":""},{"dropping-particle":"","family":"Khubchandani","given":"Jagdish","non-dropping-particle":"","parse-names":false,"suffix":""},{"dropping-particle":"","family":"Kim","given":"Min Seo","non-dropping-particle":"","parse-names":false,"suffix":""},{"dropping-particle":"","family":"Kim","given":"Yun Jin","non-dropping-particle":"","parse-names":false,"suffix":""},{"dropping-particle":"","family":"Kisa","given":"Adnan","non-dropping-particle":"","parse-names":false,"suffix":""},{"dropping-particle":"","family":"Kisa","given":"Sezer","non-dropping-particle":"","parse-names":false,"suffix":""},{"dropping-particle":"","family":"Kosen","given":"Soewarta","non-dropping-particle":"","parse-names":false,"suffix":""},{"dropping-particle":"","family":"Koul","given":"Parvaiz A","non-dropping-particle":"","parse-names":false,"suffix":""},{"dropping-particle":"","family":"Koulmane Laxminarayana","given":"Sindhura Lakshmi","non-dropping-particle":"","parse-names":false,"suffix":""},{"dropping-particle":"","family":"Koyanagi","given":"Ai","non-dropping-particle":"","parse-names":false,"suffix":""},{"dropping-particle":"","family":"Krishan","given":"Kewal","non-dropping-particle":"","parse-names":false,"suffix":""},{"dropping-particle":"","family":"Kucuk Bicer","given":"Burcu","non-dropping-particle":"","parse-names":false,"suffix":""},{"dropping-particle":"","family":"Kumar","given":"Avinash","non-dropping-particle":"","parse-names":false,"suffix":""},{"dropping-particle":"","family":"Kumar","given":"G Anil","non-dropping-particle":"","parse-names":false,"suffix":""},{"dropping-particle":"","family":"Kumar","given":"Narinder","non-dropping-particle":"","parse-names":false,"suffix":""},{"dropping-particle":"","family":"Kumar","given":"Nithin","non-dropping-particle":"","parse-names":false,"suffix":""},{"dropping-particle":"","family":"Kwarteng","given":"Alexander","non-dropping-particle":"","parse-names":false,"suffix":""},{"dropping-particle":"","family":"Lak","given":"Hassan Mehmood","non-dropping-particle":"","parse-names":false,"suffix":""},{"dropping-particle":"","family":"Lal","given":"Dharmesh Kumar","non-dropping-particle":"","parse-names":false,"suffix":""},{"dropping-particle":"","family":"Landires","given":"Iván","non-dropping-particle":"","parse-names":false,"suffix":""},{"dropping-particle":"","family":"Lasrado","given":"Savita","non-dropping-particle":"","parse-names":false,"suffix":""},{"dropping-particle":"","family":"Lee","given":"Shaun Wen Huey","non-dropping-particle":"","parse-names":false,"suffix":""},{"dropping-particle":"","family":"Lee","given":"Wei-Chen","non-dropping-particle":"","parse-names":false,"suffix":""},{"dropping-particle":"","family":"Lin","given":"Christine","non-dropping-particle":"","parse-names":false,"suffix":""},{"dropping-particle":"","family":"Liu","given":"Xuefeng","non-dropping-particle":"","parse-names":false,"suffix":""},{"dropping-particle":"","family":"Lopukhov","given":"Platon D","non-dropping-particle":"","parse-names":false,"suffix":""},{"dropping-particle":"","family":"Lozano","given":"Rafael","non-dropping-particle":"","parse-names":false,"suffix":""},{"dropping-particle":"","family":"Machado","given":"Daiane Borges","non-dropping-particle":"","parse-names":false,"suffix":""},{"dropping-particle":"","family":"Madhava Kunjathur","given":"Shilpashree","non-dropping-particle":"","parse-names":false,"suffix":""},{"dropping-particle":"","family":"Madi","given":"Deepak","non-dropping-particle":"","parse-names":false,"suffix":""},{"dropping-particle":"","family":"Mahajan","given":"Preetam Bhalchandra","non-dropping-particle":"","parse-names":false,"suffix":""},{"dropping-particle":"","family":"Majeed","given":"Azeem","non-dropping-particle":"","parse-names":false,"suffix":""},{"dropping-particle":"","family":"Malik","given":"Ahmad Azam","non-dropping-particle":"","parse-names":false,"suffix":""},{"dropping-particle":"","family":"Martins-Melo","given":"Francisco Rogerlândio","non-dropping-particle":"","parse-names":false,"suffix":""},{"dropping-particle":"","family":"Mehta","given":"Saurabh","non-dropping-particle":"","parse-names":false,"suffix":""},{"dropping-particle":"","family":"Memish","given":"Ziad A","non-dropping-particle":"","parse-names":false,"suffix":""},{"dropping-particle":"","family":"Mendoza","given":"Walter","non-dropping-particle":"","parse-names":false,"suffix":""},{"dropping-particle":"","family":"Menezes","given":"Ritesh G","non-dropping-particle":"","parse-names":false,"suffix":""},{"dropping-particle":"","family":"Merie","given":"Hayimro Edemealem","non-dropping-particle":"","parse-names":false,"suffix":""},{"dropping-particle":"","family":"Mersha","given":"Amanual Getnet","non-dropping-particle":"","parse-names":false,"suffix":""},{"dropping-particle":"","family":"Mesregah","given":"Mohamed Kamal","non-dropping-particle":"","parse-names":false,"suffix":""},{"dropping-particle":"","family":"Mestrovic","given":"Tomislav","non-dropping-particle":"","parse-names":false,"suffix":""},{"dropping-particle":"","family":"Mheidly","given":"Nour Mheidly","non-dropping-particle":"","parse-names":false,"suffix":""},{"dropping-particle":"","family":"Misra","given":"Sanjeev","non-dropping-particle":"","parse-names":false,"suffix":""},{"dropping-particle":"","family":"Mithra","given":"Prasanna","non-dropping-particle":"","parse-names":false,"suffix":""},{"dropping-particle":"","family":"Moghadaszadeh","given":"Masoud","non-dropping-particle":"","parse-names":false,"suffix":""},{"dropping-particle":"","family":"Mohammadi","given":"Mokhtar","non-dropping-particle":"","parse-names":false,"suffix":""},{"dropping-particle":"","family":"Mohammadian-Hafshejani","given":"Abdollah","non-dropping-particle":"","parse-names":false,"suffix":""},{"dropping-particle":"","family":"Mohammed","given":"Shafiu","non-dropping-particle":"","parse-names":false,"suffix":""},{"dropping-particle":"","family":"Molokhia","given":"Mariam","non-dropping-particle":"","parse-names":false,"suffix":""},{"dropping-particle":"","family":"Moni","given":"Mohammad Ali","non-dropping-particle":"","parse-names":false,"suffix":""},{"dropping-particle":"Al","family":"Montasir","given":"Ahmed","non-dropping-particle":"","parse-names":false,"suffix":""},{"dropping-particle":"","family":"Moore","given":"Catrin E","non-dropping-particle":"","parse-names":false,"suffix":""},{"dropping-particle":"","family":"Nagarajan","given":"Ahamarshan Jayaraman","non-dropping-particle":"","parse-names":false,"suffix":""},{"dropping-particle":"","family":"Nair","given":"Sanjeev","non-dropping-particle":"","parse-names":false,"suffix":""},{"dropping-particle":"","family":"Nair","given":"Suma","non-dropping-particle":"","parse-names":false,"suffix":""},{"dropping-particle":"","family":"Naqvi","given":"Atta Abbas","non-dropping-particle":"","parse-names":false,"suffix":""},{"dropping-particle":"","family":"Narasimha Swamy","given":"Sreenivas","non-dropping-particle":"","parse-names":false,"suffix":""},{"dropping-particle":"","family":"Nayak","given":"Biswa Prakash","non-dropping-particle":"","parse-names":false,"suffix":""},{"dropping-particle":"","family":"Nazari","given":"Javad","non-dropping-particle":"","parse-names":false,"suffix":""},{"dropping-particle":"","family":"Neupane Kandel","given":"Sandhya","non-dropping-particle":"","parse-names":false,"suffix":""},{"dropping-particle":"","family":"Nguyen","given":"Trang Huyen","non-dropping-particle":"","parse-names":false,"suffix":""},{"dropping-particle":"","family":"Nixon","given":"Molly R","non-dropping-particle":"","parse-names":false,"suffix":""},{"dropping-particle":"","family":"Nnaji","given":"Chukwudi A","non-dropping-particle":"","parse-names":false,"suffix":""},{"dropping-particle":"","family":"Ntsekhe","given":"Mpiko","non-dropping-particle":"","parse-names":false,"suffix":""},{"dropping-particle":"","family":"Nuñez-Samudio","given":"Virginia","non-dropping-particle":"","parse-names":false,"suffix":""},{"dropping-particle":"","family":"Oancea","given":"Bogdan","non-dropping-particle":"","parse-names":false,"suffix":""},{"dropping-particle":"","family":"Odukoya","given":"Oluwakemi Ololade","non-dropping-particle":"","parse-names":false,"suffix":""},{"dropping-particle":"","family":"Olagunju","given":"Andrew T","non-dropping-particle":"","parse-names":false,"suffix":""},{"dropping-particle":"","family":"Oren","given":"Eyal","non-dropping-particle":"","parse-names":false,"suffix":""},{"dropping-particle":"","family":"P A","given":"Mahesh","non-dropping-particle":"","parse-names":false,"suffix":""},{"dropping-particle":"","family":"Parthasarathi","given":"Ramakrishnan","non-dropping-particle":"","parse-names":false,"suffix":""},{"dropping-particle":"","family":"Pashazadeh Kan","given":"Fatemeh","non-dropping-particle":"","parse-names":false,"suffix":""},{"dropping-particle":"","family":"Pattanshetty","given":"Sanjay M","non-dropping-particle":"","parse-names":false,"suffix":""},{"dropping-particle":"","family":"Paudel","given":"Rajan","non-dropping-particle":"","parse-names":false,"suffix":""},{"dropping-particle":"","family":"Paul","given":"Pintu","non-dropping-particle":"","parse-names":false,"suffix":""},{"dropping-particle":"","family":"Pawar","given":"Shrikant","non-dropping-particle":"","parse-names":false,"suffix":""},{"dropping-particle":"","family":"Pepito","given":"Veincent Christian Filipino","non-dropping-particle":"","parse-names":false,"suffix":""},{"dropping-particle":"","family":"Perico","given":"Norberto","non-dropping-particle":"","parse-names":false,"suffix":""},{"dropping-particle":"","family":"Pirestani","given":"Majid","non-dropping-particle":"","parse-names":false,"suffix":""},{"dropping-particle":"V","family":"Polibin","given":"Roman","non-dropping-particle":"","parse-names":false,"suffix":""},{"dropping-particle":"","family":"Postma","given":"Maarten J","non-dropping-particle":"","parse-names":false,"suffix":""},{"dropping-particle":"","family":"Pourshams","given":"Akram","non-dropping-particle":"","parse-names":false,"suffix":""},{"dropping-particle":"","family":"Prashant","given":"Akila","non-dropping-particle":"","parse-names":false,"suffix":""},{"dropping-particle":"","family":"Pribadi","given":"Dimas Ria Angga","non-dropping-particle":"","parse-names":false,"suffix":""},{"dropping-particle":"","family":"Radfar","given":"Amir","non-dropping-particle":"","parse-names":false,"suffix":""},{"dropping-particle":"","family":"Rafiei","given":"Alireza","non-dropping-particle":"","parse-names":false,"suffix":""},{"dropping-particle":"","family":"Rahim","given":"Fakher","non-dropping-particle":"","parse-names":false,"suffix":""},{"dropping-particle":"","family":"Rahimi-Movaghar","given":"Vafa","non-dropping-particle":"","parse-names":false,"suffix":""},{"dropping-particle":"","family":"Rahman","given":"Mahfuzar","non-dropping-particle":"","parse-names":false,"suffix":""},{"dropping-particle":"","family":"Rahman","given":"Mosiur","non-dropping-particle":"","parse-names":false,"suffix":""},{"dropping-particle":"","family":"Rahmani","given":"Amir Masoud","non-dropping-particle":"","parse-names":false,"suffix":""},{"dropping-particle":"","family":"Ranasinghe","given":"Priyanga","non-dropping-particle":"","parse-names":false,"suffix":""},{"dropping-particle":"","family":"Rao","given":"Chythra R","non-dropping-particle":"","parse-names":false,"suffix":""},{"dropping-particle":"","family":"Rawaf","given":"David Laith","non-dropping-particle":"","parse-names":false,"suffix":""},{"dropping-particle":"","family":"Rawaf","given":"Salman","non-dropping-particle":"","parse-names":false,"suffix":""},{"dropping-particle":"","family":"Reitsma","given":"Marissa B","non-dropping-particle":"","parse-names":false,"suffix":""},{"dropping-particle":"","family":"Remuzzi","given":"Giuseppe","non-dropping-particle":"","parse-names":false,"suffix":""},{"dropping-particle":"","family":"Renzaho","given":"Andre M N","non-dropping-particle":"","parse-names":false,"suffix":""},{"dropping-particle":"","family":"Reta","given":"Melese Abate","non-dropping-particle":"","parse-names":false,"suffix":""},{"dropping-particle":"","family":"Rezaei","given":"Nima","non-dropping-particle":"","parse-names":false,"suffix":""},{"dropping-particle":"","family":"Rezahosseini","given":"Omid","non-dropping-particle":"","parse-names":false,"suffix":""},{"dropping-particle":"","family":"Rezai","given":"Mohammad sadegh","non-dropping-particle":"","parse-names":false,"suffix":""},{"dropping-particle":"","family":"Rezapour","given":"Aziz","non-dropping-particle":"","parse-names":false,"suffix":""},{"dropping-particle":"","family":"Roshandel","given":"Gholamreza","non-dropping-particle":"","parse-names":false,"suffix":""},{"dropping-particle":"","family":"Roshchin","given":"Denis O","non-dropping-particle":"","parse-names":false,"suffix":""},{"dropping-particle":"","family":"Sabour","given":"Siamak","non-dropping-particle":"","parse-names":false,"suffix":""},{"dropping-particle":"","family":"Saif-Ur-Rahman","given":"KM","non-dropping-particle":"","parse-names":false,"suffix":""},{"dropping-particle":"","family":"Salam","given":"Nasir","non-dropping-particle":"","parse-names":false,"suffix":""},{"dropping-particle":"","family":"Samadi Kafil","given":"Hossein","non-dropping-particle":"","parse-names":false,"suffix":""},{"dropping-particle":"","family":"Samaei","given":"Mehrnoosh","non-dropping-particle":"","parse-names":false,"suffix":""},{"dropping-particle":"","family":"Samy","given":"Abdallah M","non-dropping-particle":"","parse-names":false,"suffix":""},{"dropping-particle":"","family":"Saroshe","given":"Satish","non-dropping-particle":"","parse-names":false,"suffix":""},{"dropping-particle":"","family":"Sartorius","given":"Benn","non-dropping-particle":"","parse-names":false,"suffix":""},{"dropping-particle":"","family":"Sathian","given":"Brijesh","non-dropping-particle":"","parse-names":false,"suffix":""},{"dropping-particle":"","family":"Sawyer","given":"Susan M","non-dropping-particle":"","parse-names":false,"suffix":""},{"dropping-particle":"","family":"Senthilkumaran","given":"Subramanian","non-dropping-particle":"","parse-names":false,"suffix":""},{"dropping-particle":"","family":"Seylani","given":"Allen","non-dropping-particle":"","parse-names":false,"suffix":""},{"dropping-particle":"","family":"Shafaat","given":"Omid","non-dropping-particle":"","parse-names":false,"suffix":""},{"dropping-particle":"","family":"Shaikh","given":"Masood Ali","non-dropping-particle":"","parse-names":false,"suffix":""},{"dropping-particle":"","family":"Sharafi","given":"Kiomars","non-dropping-particle":"","parse-names":false,"suffix":""},{"dropping-particle":"","family":"Shetty","given":"Ranjitha S","non-dropping-particle":"","parse-names":false,"suffix":""},{"dropping-particle":"","family":"Shigematsu","given":"Mika","non-dropping-particle":"","parse-names":false,"suffix":""},{"dropping-particle":"Il","family":"Shin","given":"Jae","non-dropping-particle":"","parse-names":false,"suffix":""},{"dropping-particle":"","family":"Silva","given":"João Pedro","non-dropping-particle":"","parse-names":false,"suffix":""},{"dropping-particle":"","family":"Singh","given":"Jitendra Kumar","non-dropping-particle":"","parse-names":false,"suffix":""},{"dropping-particle":"","family":"Sinha","given":"Smriti","non-dropping-particle":"","parse-names":false,"suffix":""},{"dropping-particle":"","family":"Skryabin","given":"Valentin Yurievich","non-dropping-particle":"","parse-names":false,"suffix":""},{"dropping-particle":"","family":"Skryabina","given":"Anna Aleksandrovna","non-dropping-particle":"","parse-names":false,"suffix":""},{"dropping-particle":"","family":"Spurlock","given":"Emma Elizabeth","non-dropping-particle":"","parse-names":false,"suffix":""},{"dropping-particle":"","family":"Sreeramareddy","given":"Chandrashekhar T","non-dropping-particle":"","parse-names":false,"suffix":""},{"dropping-particle":"","family":"Steiropoulos","given":"Paschalis","non-dropping-particle":"","parse-names":false,"suffix":""},{"dropping-particle":"","family":"Sufiyan","given":"Mu'awiyyah Babale","non-dropping-particle":"","parse-names":false,"suffix":""},{"dropping-particle":"","family":"Tabuchi","given":"Takahiro","non-dropping-particle":"","parse-names":false,"suffix":""},{"dropping-particle":"","family":"Tadesse","given":"Eyayou Girma","non-dropping-particle":"","parse-names":false,"suffix":""},{"dropping-particle":"","family":"Tamir","given":"Zemenu","non-dropping-particle":"","parse-names":false,"suffix":""},{"dropping-particle":"","family":"Tarkang","given":"Elvis Enowbeyang","non-dropping-particle":"","parse-names":false,"suffix":""},{"dropping-particle":"","family":"Tekalegn","given":"Yohannes","non-dropping-particle":"","parse-names":false,"suffix":""},{"dropping-particle":"","family":"Tesfay","given":"Fisaha Haile","non-dropping-particle":"","parse-names":false,"suffix":""},{"dropping-particle":"","family":"Tessema","given":"Belay","non-dropping-particle":"","parse-names":false,"suffix":""},{"dropping-particle":"","family":"Thapar","given":"Rekha","non-dropping-particle":"","parse-names":false,"suffix":""},{"dropping-particle":"","family":"Tleyjeh","given":"Imad I","non-dropping-particle":"","parse-names":false,"suffix":""},{"dropping-particle":"","family":"Tobe-Gai","given":"Ruoyan","non-dropping-particle":"","parse-names":false,"suffix":""},{"dropping-particle":"","family":"Tran","given":"Bach Xuan","non-dropping-particle":"","parse-names":false,"suffix":""},{"dropping-particle":"","family":"Tsegaye","given":"Berhan","non-dropping-particle":"","parse-names":false,"suffix":""},{"dropping-particle":"","family":"Tsegaye","given":"Gebiyaw Wudie","non-dropping-particle":"","parse-names":false,"suffix":""},{"dropping-particle":"","family":"Ullah","given":"Anayat","non-dropping-particle":"","parse-names":false,"suffix":""},{"dropping-particle":"","family":"Umeokonkwo","given":"Chukwuma David","non-dropping-particle":"","parse-names":false,"suffix":""},{"dropping-particle":"","family":"Valadan Tahbaz","given":"Sahel","non-dropping-particle":"","parse-names":false,"suffix":""},{"dropping-particle":"","family":"Vo","given":"Bay","non-dropping-particle":"","parse-names":false,"suffix":""},{"dropping-particle":"","family":"Vu","given":"Giang Thu","non-dropping-particle":"","parse-names":false,"suffix":""},{"dropping-particle":"","family":"Waheed","given":"Yasir","non-dropping-particle":"","parse-names":false,"suffix":""},{"dropping-particle":"","family":"Walters","given":"Magdalene K","non-dropping-particle":"","parse-names":false,"suffix":""},{"dropping-particle":"","family":"Whisnant","given":"Joanna L","non-dropping-particle":"","parse-names":false,"suffix":""},{"dropping-particle":"","family":"Woldekidan","given":"Mesfin Agachew","non-dropping-particle":"","parse-names":false,"suffix":""},{"dropping-particle":"","family":"Wubishet","given":"Befikadu Legesse","non-dropping-particle":"","parse-names":false,"suffix":""},{"dropping-particle":"","family":"Yahyazadeh Jabbari","given":"Seyed Hossein","non-dropping-particle":"","parse-names":false,"suffix":""},{"dropping-particle":"","family":"Yazie","given":"Taklo Simeneh Yazie","non-dropping-particle":"","parse-names":false,"suffix":""},{"dropping-particle":"","family":"Yeshaw","given":"Yigizie","non-dropping-particle":"","parse-names":false,"suffix":""},{"dropping-particle":"","family":"Yi","given":"Siyan","non-dropping-particle":"","parse-names":false,"suffix":""},{"dropping-particle":"","family":"Yiğit","given":"Vahit","non-dropping-particle":"","parse-names":false,"suffix":""},{"dropping-particle":"","family":"Yonemoto","given":"Naohiro","non-dropping-particle":"","parse-names":false,"suffix":""},{"dropping-particle":"","family":"Yu","given":"Chuanhua","non-dropping-particle":"","parse-names":false,"suffix":""},{"dropping-particle":"","family":"Yunusa","given":"Ismaeel","non-dropping-particle":"","parse-names":false,"suffix":""},{"dropping-particle":"","family":"Zastrozhin","given":"Mikhail Sergeevich","non-dropping-particle":"","parse-names":false,"suffix":""},{"dropping-particle":"","family":"Zastrozhina","given":"Anasthasia","non-dropping-particle":"","parse-names":false,"suffix":""},{"dropping-particle":"","family":"Zhang","given":"Zhi-Jiang","non-dropping-particle":"","parse-names":false,"suffix":""},{"dropping-particle":"","family":"Zumla","given":"Alimuddin","non-dropping-particle":"","parse-names":false,"suffix":""},{"dropping-particle":"","family":"Mokdad","given":"Ali H","non-dropping-particle":"","parse-names":false,"suffix":""},{"dropping-particle":"","family":"Salomon","given":"Joshua A","non-dropping-particle":"","parse-names":false,"suffix":""},{"dropping-particle":"","family":"Reiner Jr","given":"Robert C","non-dropping-particle":"","parse-names":false,"suffix":""},{"dropping-particle":"","family":"Lim","given":"Stephen S","non-dropping-particle":"","parse-names":false,"suffix":""},{"dropping-particle":"","family":"Naghavi","given":"Mohsen","non-dropping-particle":"","parse-names":false,"suffix":""},{"dropping-particle":"","family":"Vos","given":"Theo","non-dropping-particle":"","parse-names":false,"suffix":""},{"dropping-particle":"","family":"Hay","given":"Simon I","non-dropping-particle":"","parse-names":false,"suffix":""},{"dropping-particle":"","family":"Murray","given":"Christopher J L","non-dropping-particle":"","parse-names":false,"suffix":""},{"dropping-particle":"","family":"Kyu","given":"Hmwe Hmwe","non-dropping-particle":"","parse-names":false,"suffix":""}],"container-title":"The Lancet Infectious Diseases","id":"ITEM-1","issue":"21","issued":{"date-parts":[["2021"]]},"page":"1-20","title":"Global, regional, and national sex differences in the global burden of tuberculosis by HIV status, 1990–2019: results from the Global Burden of Disease Study 2019","type":"article-journal","volume":"3099"},"uris":["http://www.mendeley.com/documents/?uuid=c9821754-811b-47c0-83ed-a22596cd482c"]}],"mendeley":{"formattedCitation":"(134)","plainTextFormattedCitation":"(134)","previouslyFormattedCitation":"(134)"},"properties":{"noteIndex":0},"schema":"https://github.com/citation-style-language/schema/raw/master/csl-citation.json"}</w:instrText>
      </w:r>
      <w:r w:rsidRPr="00435469">
        <w:rPr>
          <w:sz w:val="20"/>
          <w:szCs w:val="20"/>
        </w:rPr>
        <w:fldChar w:fldCharType="separate"/>
      </w:r>
      <w:r w:rsidR="0016391D" w:rsidRPr="00435469">
        <w:rPr>
          <w:noProof/>
          <w:sz w:val="20"/>
          <w:szCs w:val="20"/>
        </w:rPr>
        <w:t>(134)</w:t>
      </w:r>
      <w:r w:rsidRPr="00435469">
        <w:rPr>
          <w:sz w:val="20"/>
          <w:szCs w:val="20"/>
        </w:rPr>
        <w:fldChar w:fldCharType="end"/>
      </w:r>
      <w:r w:rsidRPr="00435469">
        <w:rPr>
          <w:sz w:val="20"/>
          <w:szCs w:val="20"/>
        </w:rPr>
        <w:t xml:space="preserve"> are two main agencies that produce global, regional, and national TB burden estimates</w:t>
      </w:r>
      <w:r w:rsidR="00105ECE" w:rsidRPr="00435469">
        <w:rPr>
          <w:sz w:val="20"/>
          <w:szCs w:val="20"/>
        </w:rPr>
        <w:t>,</w:t>
      </w:r>
      <w:r w:rsidRPr="00435469">
        <w:rPr>
          <w:sz w:val="20"/>
          <w:szCs w:val="20"/>
        </w:rPr>
        <w:t xml:space="preserve"> and South Africa relies on their reports for TB burden estimates. </w:t>
      </w:r>
      <w:r w:rsidR="009B7638" w:rsidRPr="00435469">
        <w:rPr>
          <w:sz w:val="20"/>
          <w:szCs w:val="20"/>
        </w:rPr>
        <w:t>In this section, the</w:t>
      </w:r>
      <w:r w:rsidR="006D3675" w:rsidRPr="00435469">
        <w:rPr>
          <w:sz w:val="20"/>
          <w:szCs w:val="20"/>
        </w:rPr>
        <w:t xml:space="preserve"> TB burden estimates produced by </w:t>
      </w:r>
      <w:r w:rsidR="00415B36" w:rsidRPr="00435469">
        <w:rPr>
          <w:sz w:val="20"/>
          <w:szCs w:val="20"/>
        </w:rPr>
        <w:t xml:space="preserve">our </w:t>
      </w:r>
      <w:r w:rsidR="006D3675" w:rsidRPr="00435469">
        <w:rPr>
          <w:sz w:val="20"/>
          <w:szCs w:val="20"/>
        </w:rPr>
        <w:t>model (</w:t>
      </w:r>
      <w:proofErr w:type="spellStart"/>
      <w:r w:rsidR="006D3675" w:rsidRPr="00435469">
        <w:rPr>
          <w:sz w:val="20"/>
          <w:szCs w:val="20"/>
        </w:rPr>
        <w:t>Thembisa</w:t>
      </w:r>
      <w:proofErr w:type="spellEnd"/>
      <w:r w:rsidR="006D3675" w:rsidRPr="00435469">
        <w:rPr>
          <w:sz w:val="20"/>
          <w:szCs w:val="20"/>
        </w:rPr>
        <w:t xml:space="preserve"> TB/HIV) will be compared to the</w:t>
      </w:r>
      <w:r w:rsidR="00D120C2" w:rsidRPr="00435469">
        <w:rPr>
          <w:sz w:val="20"/>
          <w:szCs w:val="20"/>
        </w:rPr>
        <w:t xml:space="preserve"> 2019</w:t>
      </w:r>
      <w:r w:rsidR="006D3675" w:rsidRPr="00435469">
        <w:rPr>
          <w:sz w:val="20"/>
          <w:szCs w:val="20"/>
        </w:rPr>
        <w:t xml:space="preserve"> South African TB burden estimates produced by the </w:t>
      </w:r>
      <w:r w:rsidR="007D5885" w:rsidRPr="00435469">
        <w:rPr>
          <w:sz w:val="20"/>
          <w:szCs w:val="20"/>
          <w:lang w:val="en-ZA"/>
        </w:rPr>
        <w:t>WHO</w:t>
      </w:r>
      <w:r w:rsidR="006D3675" w:rsidRPr="00435469">
        <w:rPr>
          <w:sz w:val="20"/>
          <w:szCs w:val="20"/>
        </w:rPr>
        <w:t xml:space="preserve"> and </w:t>
      </w:r>
      <w:r w:rsidR="00AE6341" w:rsidRPr="00435469">
        <w:rPr>
          <w:sz w:val="20"/>
          <w:szCs w:val="20"/>
          <w:lang w:val="en-ZA"/>
        </w:rPr>
        <w:t>IHME</w:t>
      </w:r>
      <w:r w:rsidR="006D3675" w:rsidRPr="00435469">
        <w:rPr>
          <w:sz w:val="20"/>
          <w:szCs w:val="20"/>
        </w:rPr>
        <w:t xml:space="preserve"> to assess the overall consistency</w:t>
      </w:r>
      <w:r w:rsidR="004F2947" w:rsidRPr="00435469">
        <w:rPr>
          <w:sz w:val="20"/>
          <w:szCs w:val="20"/>
        </w:rPr>
        <w:t xml:space="preserve"> between the models</w:t>
      </w:r>
      <w:r w:rsidR="006D3675" w:rsidRPr="00435469">
        <w:rPr>
          <w:sz w:val="20"/>
          <w:szCs w:val="20"/>
        </w:rPr>
        <w:t>.</w:t>
      </w:r>
    </w:p>
    <w:p w14:paraId="1C73718B" w14:textId="653857C3" w:rsidR="006D3675" w:rsidRPr="00435469" w:rsidRDefault="006D3675" w:rsidP="00955FFB">
      <w:pPr>
        <w:pStyle w:val="1Para"/>
        <w:spacing w:line="240" w:lineRule="auto"/>
        <w:ind w:firstLine="0"/>
        <w:rPr>
          <w:i/>
          <w:iCs/>
          <w:sz w:val="20"/>
          <w:szCs w:val="20"/>
          <w:u w:val="single"/>
        </w:rPr>
      </w:pPr>
      <w:r w:rsidRPr="00435469">
        <w:rPr>
          <w:i/>
          <w:iCs/>
          <w:sz w:val="20"/>
          <w:szCs w:val="20"/>
          <w:u w:val="single"/>
        </w:rPr>
        <w:t xml:space="preserve">Overall tuberculosis burden </w:t>
      </w:r>
    </w:p>
    <w:p w14:paraId="77B7DDB5" w14:textId="050C278B" w:rsidR="00512EB3" w:rsidRPr="00435469" w:rsidRDefault="00036440" w:rsidP="00955FFB">
      <w:pPr>
        <w:pStyle w:val="1Para"/>
        <w:spacing w:line="240" w:lineRule="auto"/>
        <w:ind w:firstLine="0"/>
        <w:rPr>
          <w:sz w:val="20"/>
          <w:szCs w:val="20"/>
        </w:rPr>
      </w:pPr>
      <w:r w:rsidRPr="00435469">
        <w:rPr>
          <w:sz w:val="20"/>
          <w:szCs w:val="20"/>
          <w:lang w:val="en-ZA"/>
        </w:rPr>
        <w:t xml:space="preserve">Overall, our model had major differences with the number of new TB cases estimated by the IMHE and WHO: WHO and IHME estimates were 32% and 55% higher respectively than </w:t>
      </w:r>
      <w:proofErr w:type="spellStart"/>
      <w:r w:rsidRPr="00435469">
        <w:rPr>
          <w:sz w:val="20"/>
          <w:szCs w:val="20"/>
          <w:lang w:val="en-ZA"/>
        </w:rPr>
        <w:t>Thembisa</w:t>
      </w:r>
      <w:proofErr w:type="spellEnd"/>
      <w:r w:rsidRPr="00435469">
        <w:rPr>
          <w:sz w:val="20"/>
          <w:szCs w:val="20"/>
          <w:lang w:val="en-ZA"/>
        </w:rPr>
        <w:t xml:space="preserve"> estimates (Table 26), but the models were closer in their estimates of total TB deaths. </w:t>
      </w:r>
      <w:r w:rsidRPr="00435469">
        <w:rPr>
          <w:sz w:val="20"/>
          <w:szCs w:val="20"/>
        </w:rPr>
        <w:t>W</w:t>
      </w:r>
      <w:r w:rsidR="006D3675" w:rsidRPr="00435469">
        <w:rPr>
          <w:sz w:val="20"/>
          <w:szCs w:val="20"/>
        </w:rPr>
        <w:t>e note that the WHO and IMHE estimates include all ages whereas we only consider the adult (15</w:t>
      </w:r>
      <w:r w:rsidR="00841D4E" w:rsidRPr="00435469">
        <w:rPr>
          <w:sz w:val="20"/>
          <w:szCs w:val="20"/>
        </w:rPr>
        <w:t>+</w:t>
      </w:r>
      <w:r w:rsidR="006D3675" w:rsidRPr="00435469">
        <w:rPr>
          <w:sz w:val="20"/>
          <w:szCs w:val="20"/>
        </w:rPr>
        <w:t xml:space="preserve"> years) population in our model.</w:t>
      </w:r>
      <w:r w:rsidR="00D66F10" w:rsidRPr="00435469">
        <w:rPr>
          <w:sz w:val="20"/>
          <w:szCs w:val="20"/>
        </w:rPr>
        <w:t xml:space="preserve"> The proportion of TB</w:t>
      </w:r>
      <w:r w:rsidR="0021158F" w:rsidRPr="00435469">
        <w:rPr>
          <w:sz w:val="20"/>
          <w:szCs w:val="20"/>
        </w:rPr>
        <w:t xml:space="preserve"> of all forms</w:t>
      </w:r>
      <w:r w:rsidR="00D66F10" w:rsidRPr="00435469">
        <w:rPr>
          <w:sz w:val="20"/>
          <w:szCs w:val="20"/>
        </w:rPr>
        <w:t xml:space="preserve"> in children</w:t>
      </w:r>
      <w:r w:rsidR="00F50B36" w:rsidRPr="00435469">
        <w:rPr>
          <w:sz w:val="20"/>
          <w:szCs w:val="20"/>
        </w:rPr>
        <w:t xml:space="preserve"> </w:t>
      </w:r>
      <w:r w:rsidR="00F50B36" w:rsidRPr="00435469">
        <w:rPr>
          <w:sz w:val="20"/>
          <w:szCs w:val="20"/>
          <w:lang w:val="en-US"/>
        </w:rPr>
        <w:t>(&lt;15 years)</w:t>
      </w:r>
      <w:r w:rsidR="00D66F10" w:rsidRPr="00435469">
        <w:rPr>
          <w:sz w:val="20"/>
          <w:szCs w:val="20"/>
        </w:rPr>
        <w:t xml:space="preserve"> is estimated </w:t>
      </w:r>
      <w:r w:rsidR="009209B3" w:rsidRPr="00435469">
        <w:rPr>
          <w:sz w:val="20"/>
          <w:szCs w:val="20"/>
        </w:rPr>
        <w:t>at approximately</w:t>
      </w:r>
      <w:r w:rsidR="00741BC3" w:rsidRPr="00435469">
        <w:rPr>
          <w:sz w:val="20"/>
          <w:szCs w:val="20"/>
        </w:rPr>
        <w:t xml:space="preserve"> </w:t>
      </w:r>
      <w:r w:rsidR="009209B3" w:rsidRPr="00435469">
        <w:rPr>
          <w:sz w:val="20"/>
          <w:szCs w:val="20"/>
        </w:rPr>
        <w:t>11</w:t>
      </w:r>
      <w:r w:rsidR="00741BC3" w:rsidRPr="00435469">
        <w:rPr>
          <w:sz w:val="20"/>
          <w:szCs w:val="20"/>
        </w:rPr>
        <w:t>%</w:t>
      </w:r>
      <w:r w:rsidR="00FF2C39" w:rsidRPr="00435469">
        <w:rPr>
          <w:sz w:val="20"/>
          <w:szCs w:val="20"/>
        </w:rPr>
        <w:t xml:space="preserve"> in South Africa</w:t>
      </w:r>
      <w:r w:rsidR="00741BC3" w:rsidRPr="00435469">
        <w:rPr>
          <w:sz w:val="20"/>
          <w:szCs w:val="20"/>
        </w:rPr>
        <w:t xml:space="preserve"> </w:t>
      </w:r>
      <w:r w:rsidR="00EF6C29" w:rsidRPr="00435469">
        <w:rPr>
          <w:sz w:val="20"/>
          <w:szCs w:val="20"/>
        </w:rPr>
        <w:lastRenderedPageBreak/>
        <w:fldChar w:fldCharType="begin" w:fldLock="1"/>
      </w:r>
      <w:r w:rsidR="002F049E" w:rsidRPr="00435469">
        <w:rPr>
          <w:sz w:val="20"/>
          <w:szCs w:val="20"/>
        </w:rPr>
        <w:instrText>ADDIN CSL_CITATION {"citationItems":[{"id":"ITEM-1","itemData":{"DOI":"10.1016/S2214-109X(14)70245-1","ISBN":"2214-109X (Electronic)\\n2214-109X (Linking)","ISSN":"2214109X","PMID":"25103518","abstract":"Background: Confirmation of a diagnosis of tuberculosis in children (aged &lt;15 years) is challenging; under-reporting can result even when children do present to health services. Direct incidence estimates are unavailable, and WHO estimates build on paediatric notifications, with adjustment for incomplete surveillance by the same factor as adult notifications. We aimed to estimate the incidence of infection and disease in children, the prevalence of infection, and household exposure in the 22 countries with a high burden of the disease. Methods: Within a mechanistic mathematical model, we combined estimates of adult tuberculosis prevalence in 2010, with aspects of the natural history of paediatric tuberculosis. In a household model, we estimated household exposure and infection. We accounted for the effects of age, BCG vaccination, and HIV infection. Additionally, we tested sensitivity to key structural assumptions by repeating all analyses without variation in BCG efficacy by latitude. Findings: The median number of children estimated to be sharing a household with an individual with infectious tuberculosis in 2010 was 15319701 (IQR 13766297-17061821). In 2010, the median number of Mycobacterium tuberculosis infections in children was 7591759 (5800053-9969780), and 650977 children (424871-983118) developed disease. Cumulative exposure meant that the median number of children with latent infection in 2010 was 53234854 (41111669-68959804). The model suggests that 35% (23-54) of paediatric cases of tuberculosis in the 15 countries reporting notifications by age in 2010 were detected. India is predicted to account for 27% (22-33) of the total burden of paediatric tuberculosis in the 22 countries. The predicted proportion of tuberculosis burden in children for each country correlated with incidence, varying between 4% and 21%. Interpretation: Our model has shown that the incidence of paediatric tuberculosis is higher than the number of notifications, particularly in young children. Estimates of current household exposure and cumulative infection suggest an enormous opportunity for preventive treatment. Funding: UNITAID and the US Agency for International Development. ?? 2014 Dodd et al. Open Access article distributed under the terms of CC BY.","author":[{"dropping-particle":"","family":"Dodd","given":"Peter J.","non-dropping-particle":"","parse-names":false,"suffix":""},{"dropping-particle":"","family":"Gardiner","given":"Elizabeth","non-dropping-particle":"","parse-names":false,"suffix":""},{"dropping-particle":"","family":"Coghlan","given":"Renia","non-dropping-particle":"","parse-names":false,"suffix":""},{"dropping-particle":"","family":"Seddon","given":"James A.","non-dropping-particle":"","parse-names":false,"suffix":""}],"container-title":"The Lancet Global Health","id":"ITEM-1","issue":"8","issued":{"date-parts":[["2014"]]},"publisher":"Dodd et al. Open Access article distributed under the terms of CC BY","title":"Burden of childhood tuberculosis in 22 high-burden countries: A mathematical modelling study","type":"article-journal","volume":"2"},"uris":["http://www.mendeley.com/documents/?uuid=21c311fa-ca98-4c4c-94fd-7b91e12d9b15"]}],"mendeley":{"formattedCitation":"(30)","plainTextFormattedCitation":"(30)","previouslyFormattedCitation":"(30)"},"properties":{"noteIndex":0},"schema":"https://github.com/citation-style-language/schema/raw/master/csl-citation.json"}</w:instrText>
      </w:r>
      <w:r w:rsidR="00EF6C29" w:rsidRPr="00435469">
        <w:rPr>
          <w:sz w:val="20"/>
          <w:szCs w:val="20"/>
        </w:rPr>
        <w:fldChar w:fldCharType="separate"/>
      </w:r>
      <w:r w:rsidR="0063047A" w:rsidRPr="00435469">
        <w:rPr>
          <w:noProof/>
          <w:sz w:val="20"/>
          <w:szCs w:val="20"/>
        </w:rPr>
        <w:t>(30)</w:t>
      </w:r>
      <w:r w:rsidR="00EF6C29" w:rsidRPr="00435469">
        <w:rPr>
          <w:sz w:val="20"/>
          <w:szCs w:val="20"/>
        </w:rPr>
        <w:fldChar w:fldCharType="end"/>
      </w:r>
      <w:r w:rsidR="003E2355" w:rsidRPr="00435469">
        <w:rPr>
          <w:sz w:val="20"/>
          <w:szCs w:val="20"/>
        </w:rPr>
        <w:t>.</w:t>
      </w:r>
      <w:r w:rsidR="006D3675" w:rsidRPr="00435469">
        <w:rPr>
          <w:sz w:val="20"/>
          <w:szCs w:val="20"/>
        </w:rPr>
        <w:t xml:space="preserve"> As such, we would expect our estimates to be relatively lower than both the WHO and IMHE estimates</w:t>
      </w:r>
      <w:r w:rsidR="00E1644A" w:rsidRPr="00435469">
        <w:rPr>
          <w:sz w:val="20"/>
          <w:szCs w:val="20"/>
        </w:rPr>
        <w:t xml:space="preserve"> </w:t>
      </w:r>
      <w:r w:rsidR="0056390A" w:rsidRPr="00435469">
        <w:rPr>
          <w:sz w:val="20"/>
          <w:szCs w:val="20"/>
        </w:rPr>
        <w:t>(</w:t>
      </w:r>
      <w:r w:rsidR="00D77624" w:rsidRPr="00435469">
        <w:rPr>
          <w:sz w:val="20"/>
          <w:szCs w:val="20"/>
        </w:rPr>
        <w:fldChar w:fldCharType="begin"/>
      </w:r>
      <w:r w:rsidR="00D77624" w:rsidRPr="00435469">
        <w:rPr>
          <w:sz w:val="20"/>
          <w:szCs w:val="20"/>
        </w:rPr>
        <w:instrText xml:space="preserve"> REF _Ref99990778 \h </w:instrText>
      </w:r>
      <w:r w:rsidR="006A5228" w:rsidRPr="00435469">
        <w:rPr>
          <w:sz w:val="20"/>
          <w:szCs w:val="20"/>
        </w:rPr>
        <w:instrText xml:space="preserve"> \* MERGEFORMAT </w:instrText>
      </w:r>
      <w:r w:rsidR="00D77624" w:rsidRPr="00435469">
        <w:rPr>
          <w:sz w:val="20"/>
          <w:szCs w:val="20"/>
        </w:rPr>
      </w:r>
      <w:r w:rsidR="00D77624" w:rsidRPr="00435469">
        <w:rPr>
          <w:sz w:val="20"/>
          <w:szCs w:val="20"/>
        </w:rPr>
        <w:fldChar w:fldCharType="separate"/>
      </w:r>
      <w:r w:rsidR="00186C2F" w:rsidRPr="00435469">
        <w:rPr>
          <w:sz w:val="20"/>
          <w:szCs w:val="20"/>
        </w:rPr>
        <w:t xml:space="preserve">Table </w:t>
      </w:r>
      <w:r w:rsidR="00186C2F" w:rsidRPr="00435469">
        <w:rPr>
          <w:noProof/>
          <w:sz w:val="20"/>
          <w:szCs w:val="20"/>
        </w:rPr>
        <w:t>26</w:t>
      </w:r>
      <w:r w:rsidR="00D77624" w:rsidRPr="00435469">
        <w:rPr>
          <w:sz w:val="20"/>
          <w:szCs w:val="20"/>
        </w:rPr>
        <w:fldChar w:fldCharType="end"/>
      </w:r>
      <w:r w:rsidR="006D3675" w:rsidRPr="00435469">
        <w:rPr>
          <w:sz w:val="20"/>
          <w:szCs w:val="20"/>
        </w:rPr>
        <w:t>)</w:t>
      </w:r>
      <w:r w:rsidR="00BD74B0" w:rsidRPr="00435469">
        <w:rPr>
          <w:sz w:val="20"/>
          <w:szCs w:val="20"/>
        </w:rPr>
        <w:t xml:space="preserve">. </w:t>
      </w:r>
    </w:p>
    <w:p w14:paraId="6774DAD3" w14:textId="48B8D4A3" w:rsidR="00012D47" w:rsidRPr="00435469" w:rsidRDefault="00012D47" w:rsidP="00AD6E54">
      <w:pPr>
        <w:pStyle w:val="3TableHead"/>
      </w:pPr>
      <w:bookmarkStart w:id="396" w:name="_Ref87718596"/>
      <w:bookmarkStart w:id="397" w:name="_Ref99990778"/>
      <w:bookmarkStart w:id="398" w:name="_Toc87863411"/>
      <w:bookmarkStart w:id="399" w:name="_Toc103253679"/>
      <w:r w:rsidRPr="00435469">
        <w:t xml:space="preserve">Table </w:t>
      </w:r>
      <w:r w:rsidR="00AB530B" w:rsidRPr="00435469">
        <w:fldChar w:fldCharType="begin"/>
      </w:r>
      <w:r w:rsidR="00AB530B" w:rsidRPr="00435469">
        <w:instrText xml:space="preserve"> SEQ Table \* ARABIC </w:instrText>
      </w:r>
      <w:r w:rsidR="00AB530B" w:rsidRPr="00435469">
        <w:fldChar w:fldCharType="separate"/>
      </w:r>
      <w:r w:rsidR="00186C2F" w:rsidRPr="00435469">
        <w:rPr>
          <w:noProof/>
        </w:rPr>
        <w:t>26</w:t>
      </w:r>
      <w:r w:rsidR="00AB530B" w:rsidRPr="00435469">
        <w:rPr>
          <w:noProof/>
        </w:rPr>
        <w:fldChar w:fldCharType="end"/>
      </w:r>
      <w:bookmarkEnd w:id="396"/>
      <w:bookmarkEnd w:id="397"/>
      <w:r w:rsidRPr="00435469">
        <w:t xml:space="preserve">: Comparison of 2019 tuberculosis disease burden estimates by the three models: </w:t>
      </w:r>
      <w:bookmarkEnd w:id="398"/>
      <w:proofErr w:type="spellStart"/>
      <w:r w:rsidR="00502E0C" w:rsidRPr="00435469">
        <w:t>Thembisa</w:t>
      </w:r>
      <w:proofErr w:type="spellEnd"/>
      <w:r w:rsidR="00502E0C" w:rsidRPr="00435469">
        <w:t xml:space="preserve"> TB/HIV, the Institute for Health Metrics and Evaluation and the World Health Organization</w:t>
      </w:r>
      <w:bookmarkEnd w:id="399"/>
    </w:p>
    <w:tbl>
      <w:tblPr>
        <w:tblW w:w="9789" w:type="dxa"/>
        <w:tblLook w:val="04A0" w:firstRow="1" w:lastRow="0" w:firstColumn="1" w:lastColumn="0" w:noHBand="0" w:noVBand="1"/>
      </w:tblPr>
      <w:tblGrid>
        <w:gridCol w:w="2835"/>
        <w:gridCol w:w="2221"/>
        <w:gridCol w:w="3024"/>
        <w:gridCol w:w="1709"/>
      </w:tblGrid>
      <w:tr w:rsidR="0061685C" w:rsidRPr="00435469" w14:paraId="5B812B11" w14:textId="77777777" w:rsidTr="002846BB">
        <w:trPr>
          <w:trHeight w:val="246"/>
        </w:trPr>
        <w:tc>
          <w:tcPr>
            <w:tcW w:w="2835" w:type="dxa"/>
            <w:tcBorders>
              <w:top w:val="single" w:sz="4" w:space="0" w:color="auto"/>
              <w:bottom w:val="single" w:sz="4" w:space="0" w:color="auto"/>
            </w:tcBorders>
            <w:shd w:val="clear" w:color="auto" w:fill="auto"/>
            <w:noWrap/>
            <w:vAlign w:val="center"/>
            <w:hideMark/>
          </w:tcPr>
          <w:p w14:paraId="08FBC9AA" w14:textId="77777777" w:rsidR="00012D47" w:rsidRPr="00435469" w:rsidRDefault="00012D47"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w:t>
            </w:r>
          </w:p>
        </w:tc>
        <w:tc>
          <w:tcPr>
            <w:tcW w:w="2221" w:type="dxa"/>
            <w:tcBorders>
              <w:top w:val="single" w:sz="4" w:space="0" w:color="auto"/>
              <w:bottom w:val="single" w:sz="4" w:space="0" w:color="auto"/>
            </w:tcBorders>
            <w:shd w:val="clear" w:color="auto" w:fill="auto"/>
            <w:noWrap/>
            <w:vAlign w:val="center"/>
            <w:hideMark/>
          </w:tcPr>
          <w:p w14:paraId="3E743FA5" w14:textId="6807658E" w:rsidR="00012D47" w:rsidRPr="00435469" w:rsidRDefault="00012D47" w:rsidP="00955FFB">
            <w:pPr>
              <w:spacing w:after="0" w:line="240" w:lineRule="auto"/>
              <w:jc w:val="center"/>
              <w:rPr>
                <w:rFonts w:eastAsia="Times New Roman" w:cs="Times New Roman"/>
                <w:b/>
                <w:bCs/>
                <w:sz w:val="16"/>
                <w:szCs w:val="16"/>
                <w:lang w:val="en-ZA" w:eastAsia="en-ZA"/>
              </w:rPr>
            </w:pPr>
            <w:proofErr w:type="spellStart"/>
            <w:r w:rsidRPr="00435469">
              <w:rPr>
                <w:rFonts w:eastAsia="Times New Roman" w:cs="Times New Roman"/>
                <w:b/>
                <w:bCs/>
                <w:sz w:val="16"/>
                <w:szCs w:val="16"/>
                <w:lang w:val="en-ZA" w:eastAsia="en-ZA"/>
              </w:rPr>
              <w:t>Thembisa</w:t>
            </w:r>
            <w:proofErr w:type="spellEnd"/>
            <w:r w:rsidRPr="00435469">
              <w:rPr>
                <w:rFonts w:eastAsia="Times New Roman" w:cs="Times New Roman"/>
                <w:b/>
                <w:bCs/>
                <w:sz w:val="16"/>
                <w:szCs w:val="16"/>
                <w:lang w:val="en-ZA" w:eastAsia="en-ZA"/>
              </w:rPr>
              <w:t xml:space="preserve"> TB/HIV</w:t>
            </w:r>
          </w:p>
        </w:tc>
        <w:tc>
          <w:tcPr>
            <w:tcW w:w="3024" w:type="dxa"/>
            <w:tcBorders>
              <w:top w:val="single" w:sz="4" w:space="0" w:color="auto"/>
              <w:bottom w:val="single" w:sz="4" w:space="0" w:color="auto"/>
            </w:tcBorders>
            <w:shd w:val="clear" w:color="auto" w:fill="auto"/>
            <w:noWrap/>
            <w:vAlign w:val="center"/>
            <w:hideMark/>
          </w:tcPr>
          <w:p w14:paraId="0CBA8253" w14:textId="09FC74C5" w:rsidR="00012D47" w:rsidRPr="00435469" w:rsidRDefault="00012D47"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IMHE</w:t>
            </w:r>
            <w:r w:rsidR="00BB00EC" w:rsidRPr="00435469">
              <w:rPr>
                <w:rFonts w:cs="Times New Roman"/>
                <w:sz w:val="16"/>
                <w:szCs w:val="16"/>
              </w:rPr>
              <w:t>⁋</w:t>
            </w:r>
          </w:p>
        </w:tc>
        <w:tc>
          <w:tcPr>
            <w:tcW w:w="1709" w:type="dxa"/>
            <w:tcBorders>
              <w:top w:val="single" w:sz="4" w:space="0" w:color="auto"/>
              <w:bottom w:val="single" w:sz="4" w:space="0" w:color="auto"/>
            </w:tcBorders>
            <w:shd w:val="clear" w:color="auto" w:fill="auto"/>
            <w:noWrap/>
            <w:vAlign w:val="center"/>
            <w:hideMark/>
          </w:tcPr>
          <w:p w14:paraId="6A265469" w14:textId="53DF9871" w:rsidR="00012D47" w:rsidRPr="00435469" w:rsidRDefault="00012D47"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WHO</w:t>
            </w:r>
            <w:r w:rsidR="00BB00EC" w:rsidRPr="00435469">
              <w:rPr>
                <w:rFonts w:eastAsia="Times New Roman" w:cs="Times New Roman"/>
                <w:b/>
                <w:bCs/>
                <w:sz w:val="16"/>
                <w:szCs w:val="16"/>
                <w:lang w:val="en-ZA" w:eastAsia="en-ZA"/>
              </w:rPr>
              <w:t>*</w:t>
            </w:r>
            <w:r w:rsidRPr="00435469">
              <w:rPr>
                <w:rFonts w:eastAsia="Times New Roman" w:cs="Times New Roman"/>
                <w:b/>
                <w:bCs/>
                <w:sz w:val="16"/>
                <w:szCs w:val="16"/>
                <w:lang w:val="en-ZA" w:eastAsia="en-ZA"/>
              </w:rPr>
              <w:t xml:space="preserve"> </w:t>
            </w:r>
          </w:p>
        </w:tc>
      </w:tr>
      <w:tr w:rsidR="0061685C" w:rsidRPr="00435469" w14:paraId="0351A9F9" w14:textId="77777777" w:rsidTr="002846BB">
        <w:trPr>
          <w:trHeight w:val="246"/>
        </w:trPr>
        <w:tc>
          <w:tcPr>
            <w:tcW w:w="2835" w:type="dxa"/>
            <w:tcBorders>
              <w:top w:val="single" w:sz="4" w:space="0" w:color="auto"/>
              <w:bottom w:val="single" w:sz="4" w:space="0" w:color="auto"/>
            </w:tcBorders>
            <w:shd w:val="clear" w:color="auto" w:fill="auto"/>
            <w:vAlign w:val="center"/>
            <w:hideMark/>
          </w:tcPr>
          <w:p w14:paraId="055E0CBC" w14:textId="4B30ED1C" w:rsidR="00012D47" w:rsidRPr="00435469" w:rsidRDefault="00787EC1"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eastAsia="en-ZA"/>
              </w:rPr>
              <w:t>New tuberculosis cases</w:t>
            </w:r>
          </w:p>
        </w:tc>
        <w:tc>
          <w:tcPr>
            <w:tcW w:w="2221" w:type="dxa"/>
            <w:tcBorders>
              <w:top w:val="single" w:sz="4" w:space="0" w:color="auto"/>
            </w:tcBorders>
            <w:shd w:val="clear" w:color="auto" w:fill="auto"/>
            <w:vAlign w:val="center"/>
            <w:hideMark/>
          </w:tcPr>
          <w:p w14:paraId="041B4ECF"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w:t>
            </w:r>
          </w:p>
        </w:tc>
        <w:tc>
          <w:tcPr>
            <w:tcW w:w="3024" w:type="dxa"/>
            <w:tcBorders>
              <w:top w:val="single" w:sz="4" w:space="0" w:color="auto"/>
            </w:tcBorders>
            <w:shd w:val="clear" w:color="auto" w:fill="auto"/>
            <w:vAlign w:val="center"/>
            <w:hideMark/>
          </w:tcPr>
          <w:p w14:paraId="26AB0BC1"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w:t>
            </w:r>
          </w:p>
        </w:tc>
        <w:tc>
          <w:tcPr>
            <w:tcW w:w="1709" w:type="dxa"/>
            <w:tcBorders>
              <w:top w:val="single" w:sz="4" w:space="0" w:color="auto"/>
            </w:tcBorders>
            <w:shd w:val="clear" w:color="auto" w:fill="auto"/>
            <w:vAlign w:val="center"/>
            <w:hideMark/>
          </w:tcPr>
          <w:p w14:paraId="0AEEB991"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w:t>
            </w:r>
          </w:p>
        </w:tc>
      </w:tr>
      <w:tr w:rsidR="0061685C" w:rsidRPr="00435469" w14:paraId="1853D2EC" w14:textId="77777777" w:rsidTr="002846BB">
        <w:trPr>
          <w:trHeight w:val="246"/>
        </w:trPr>
        <w:tc>
          <w:tcPr>
            <w:tcW w:w="2835" w:type="dxa"/>
            <w:tcBorders>
              <w:top w:val="single" w:sz="4" w:space="0" w:color="auto"/>
            </w:tcBorders>
            <w:shd w:val="clear" w:color="auto" w:fill="auto"/>
            <w:vAlign w:val="center"/>
            <w:hideMark/>
          </w:tcPr>
          <w:p w14:paraId="6EF27512" w14:textId="77777777" w:rsidR="00012D47" w:rsidRPr="00435469" w:rsidRDefault="00012D47"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HIV-positive </w:t>
            </w:r>
          </w:p>
        </w:tc>
        <w:tc>
          <w:tcPr>
            <w:tcW w:w="2221" w:type="dxa"/>
            <w:shd w:val="clear" w:color="auto" w:fill="auto"/>
            <w:vAlign w:val="center"/>
            <w:hideMark/>
          </w:tcPr>
          <w:p w14:paraId="6682158C" w14:textId="4B811765"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w:t>
            </w:r>
            <w:r w:rsidR="00046350" w:rsidRPr="00435469">
              <w:rPr>
                <w:rFonts w:eastAsia="Times New Roman" w:cs="Times New Roman"/>
                <w:sz w:val="16"/>
                <w:szCs w:val="16"/>
                <w:lang w:val="en-ZA" w:eastAsia="en-ZA"/>
              </w:rPr>
              <w:t>56</w:t>
            </w:r>
            <w:r w:rsidRPr="00435469">
              <w:rPr>
                <w:rFonts w:eastAsia="Times New Roman" w:cs="Times New Roman"/>
                <w:sz w:val="16"/>
                <w:szCs w:val="16"/>
                <w:lang w:val="en-ZA" w:eastAsia="en-ZA"/>
              </w:rPr>
              <w:t xml:space="preserve"> 000</w:t>
            </w:r>
          </w:p>
        </w:tc>
        <w:tc>
          <w:tcPr>
            <w:tcW w:w="3024" w:type="dxa"/>
            <w:shd w:val="clear" w:color="auto" w:fill="auto"/>
            <w:vAlign w:val="center"/>
            <w:hideMark/>
          </w:tcPr>
          <w:p w14:paraId="27817CE5"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203 700</w:t>
            </w:r>
          </w:p>
        </w:tc>
        <w:tc>
          <w:tcPr>
            <w:tcW w:w="1709" w:type="dxa"/>
            <w:shd w:val="clear" w:color="auto" w:fill="auto"/>
            <w:vAlign w:val="center"/>
            <w:hideMark/>
          </w:tcPr>
          <w:p w14:paraId="2DA11949"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209 000</w:t>
            </w:r>
          </w:p>
        </w:tc>
      </w:tr>
      <w:tr w:rsidR="0061685C" w:rsidRPr="00435469" w14:paraId="3541EAB5" w14:textId="77777777" w:rsidTr="002846BB">
        <w:trPr>
          <w:trHeight w:val="246"/>
        </w:trPr>
        <w:tc>
          <w:tcPr>
            <w:tcW w:w="2835" w:type="dxa"/>
            <w:shd w:val="clear" w:color="auto" w:fill="auto"/>
            <w:vAlign w:val="center"/>
            <w:hideMark/>
          </w:tcPr>
          <w:p w14:paraId="62CF738F" w14:textId="77777777" w:rsidR="00012D47" w:rsidRPr="00435469" w:rsidRDefault="00012D47"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HIV-negative </w:t>
            </w:r>
          </w:p>
        </w:tc>
        <w:tc>
          <w:tcPr>
            <w:tcW w:w="2221" w:type="dxa"/>
            <w:shd w:val="clear" w:color="auto" w:fill="auto"/>
            <w:vAlign w:val="center"/>
            <w:hideMark/>
          </w:tcPr>
          <w:p w14:paraId="4B912E42" w14:textId="6911FB0C" w:rsidR="00012D47" w:rsidRPr="00435469" w:rsidRDefault="009A365D"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117</w:t>
            </w:r>
            <w:r w:rsidR="00012D47" w:rsidRPr="00435469">
              <w:rPr>
                <w:rFonts w:eastAsia="Times New Roman" w:cs="Times New Roman"/>
                <w:sz w:val="16"/>
                <w:szCs w:val="16"/>
                <w:lang w:val="en-ZA" w:eastAsia="en-ZA"/>
              </w:rPr>
              <w:t xml:space="preserve"> 000</w:t>
            </w:r>
          </w:p>
        </w:tc>
        <w:tc>
          <w:tcPr>
            <w:tcW w:w="3024" w:type="dxa"/>
            <w:shd w:val="clear" w:color="auto" w:fill="auto"/>
            <w:vAlign w:val="center"/>
            <w:hideMark/>
          </w:tcPr>
          <w:p w14:paraId="1BA876BE"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218 800</w:t>
            </w:r>
          </w:p>
        </w:tc>
        <w:tc>
          <w:tcPr>
            <w:tcW w:w="1709" w:type="dxa"/>
            <w:shd w:val="clear" w:color="auto" w:fill="auto"/>
            <w:vAlign w:val="center"/>
            <w:hideMark/>
          </w:tcPr>
          <w:p w14:paraId="28E0058E"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151 000</w:t>
            </w:r>
          </w:p>
        </w:tc>
      </w:tr>
      <w:tr w:rsidR="0061685C" w:rsidRPr="00435469" w14:paraId="6B65647F" w14:textId="77777777" w:rsidTr="002846BB">
        <w:trPr>
          <w:trHeight w:val="246"/>
        </w:trPr>
        <w:tc>
          <w:tcPr>
            <w:tcW w:w="2835" w:type="dxa"/>
            <w:shd w:val="clear" w:color="auto" w:fill="auto"/>
            <w:vAlign w:val="center"/>
            <w:hideMark/>
          </w:tcPr>
          <w:p w14:paraId="3CD5FE97" w14:textId="226C12A4" w:rsidR="00012D47" w:rsidRPr="00435469" w:rsidRDefault="00012D47"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 </w:t>
            </w:r>
            <w:proofErr w:type="gramStart"/>
            <w:r w:rsidR="002846BB" w:rsidRPr="00435469">
              <w:rPr>
                <w:rFonts w:eastAsia="Times New Roman" w:cs="Times New Roman"/>
                <w:b/>
                <w:bCs/>
                <w:sz w:val="16"/>
                <w:szCs w:val="16"/>
                <w:lang w:val="en-ZA" w:eastAsia="en-ZA"/>
              </w:rPr>
              <w:t>new</w:t>
            </w:r>
            <w:proofErr w:type="gramEnd"/>
            <w:r w:rsidR="002846BB" w:rsidRPr="00435469">
              <w:rPr>
                <w:rFonts w:eastAsia="Times New Roman" w:cs="Times New Roman"/>
                <w:b/>
                <w:bCs/>
                <w:sz w:val="16"/>
                <w:szCs w:val="16"/>
                <w:lang w:val="en-ZA" w:eastAsia="en-ZA"/>
              </w:rPr>
              <w:t xml:space="preserve"> </w:t>
            </w:r>
            <w:r w:rsidRPr="00435469">
              <w:rPr>
                <w:rFonts w:eastAsia="Times New Roman" w:cs="Times New Roman"/>
                <w:b/>
                <w:bCs/>
                <w:sz w:val="16"/>
                <w:szCs w:val="16"/>
                <w:lang w:val="en-ZA" w:eastAsia="en-ZA"/>
              </w:rPr>
              <w:t xml:space="preserve">TB in HIV-positive </w:t>
            </w:r>
          </w:p>
        </w:tc>
        <w:tc>
          <w:tcPr>
            <w:tcW w:w="2221" w:type="dxa"/>
            <w:shd w:val="clear" w:color="auto" w:fill="auto"/>
            <w:vAlign w:val="center"/>
            <w:hideMark/>
          </w:tcPr>
          <w:p w14:paraId="7894C2B7"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57%</w:t>
            </w:r>
          </w:p>
        </w:tc>
        <w:tc>
          <w:tcPr>
            <w:tcW w:w="3024" w:type="dxa"/>
            <w:shd w:val="clear" w:color="auto" w:fill="auto"/>
            <w:vAlign w:val="center"/>
            <w:hideMark/>
          </w:tcPr>
          <w:p w14:paraId="7DFEDAD7"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48%</w:t>
            </w:r>
          </w:p>
        </w:tc>
        <w:tc>
          <w:tcPr>
            <w:tcW w:w="1709" w:type="dxa"/>
            <w:shd w:val="clear" w:color="auto" w:fill="auto"/>
            <w:vAlign w:val="center"/>
            <w:hideMark/>
          </w:tcPr>
          <w:p w14:paraId="351E6DC1"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58%</w:t>
            </w:r>
          </w:p>
        </w:tc>
      </w:tr>
      <w:tr w:rsidR="0061685C" w:rsidRPr="00435469" w14:paraId="275D23B7" w14:textId="77777777" w:rsidTr="002846BB">
        <w:trPr>
          <w:trHeight w:val="246"/>
        </w:trPr>
        <w:tc>
          <w:tcPr>
            <w:tcW w:w="2835" w:type="dxa"/>
            <w:tcBorders>
              <w:bottom w:val="single" w:sz="4" w:space="0" w:color="auto"/>
            </w:tcBorders>
            <w:shd w:val="clear" w:color="auto" w:fill="auto"/>
            <w:vAlign w:val="center"/>
            <w:hideMark/>
          </w:tcPr>
          <w:p w14:paraId="2BCD3EBE" w14:textId="77777777" w:rsidR="00012D47" w:rsidRPr="00435469" w:rsidRDefault="00012D47"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Totals</w:t>
            </w:r>
          </w:p>
        </w:tc>
        <w:tc>
          <w:tcPr>
            <w:tcW w:w="2221" w:type="dxa"/>
            <w:tcBorders>
              <w:bottom w:val="single" w:sz="4" w:space="0" w:color="auto"/>
            </w:tcBorders>
            <w:shd w:val="clear" w:color="auto" w:fill="auto"/>
            <w:vAlign w:val="center"/>
            <w:hideMark/>
          </w:tcPr>
          <w:p w14:paraId="7BECDA5C" w14:textId="5210C596"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w:t>
            </w:r>
            <w:r w:rsidR="0093693A" w:rsidRPr="00435469">
              <w:rPr>
                <w:rFonts w:eastAsia="Times New Roman" w:cs="Times New Roman"/>
                <w:sz w:val="16"/>
                <w:szCs w:val="16"/>
                <w:lang w:val="en-ZA" w:eastAsia="en-ZA"/>
              </w:rPr>
              <w:t xml:space="preserve">73 </w:t>
            </w:r>
            <w:r w:rsidRPr="00435469">
              <w:rPr>
                <w:rFonts w:eastAsia="Times New Roman" w:cs="Times New Roman"/>
                <w:sz w:val="16"/>
                <w:szCs w:val="16"/>
                <w:lang w:val="en-ZA" w:eastAsia="en-ZA"/>
              </w:rPr>
              <w:t>000</w:t>
            </w:r>
          </w:p>
        </w:tc>
        <w:tc>
          <w:tcPr>
            <w:tcW w:w="3024" w:type="dxa"/>
            <w:tcBorders>
              <w:bottom w:val="single" w:sz="4" w:space="0" w:color="auto"/>
            </w:tcBorders>
            <w:shd w:val="clear" w:color="auto" w:fill="auto"/>
            <w:vAlign w:val="center"/>
            <w:hideMark/>
          </w:tcPr>
          <w:p w14:paraId="4881E55F"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422 500</w:t>
            </w:r>
          </w:p>
        </w:tc>
        <w:tc>
          <w:tcPr>
            <w:tcW w:w="1709" w:type="dxa"/>
            <w:tcBorders>
              <w:bottom w:val="single" w:sz="4" w:space="0" w:color="auto"/>
            </w:tcBorders>
            <w:shd w:val="clear" w:color="auto" w:fill="auto"/>
            <w:vAlign w:val="center"/>
            <w:hideMark/>
          </w:tcPr>
          <w:p w14:paraId="3A49415B"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360 000</w:t>
            </w:r>
          </w:p>
        </w:tc>
      </w:tr>
      <w:tr w:rsidR="0061685C" w:rsidRPr="00435469" w14:paraId="3A3A13AE" w14:textId="77777777" w:rsidTr="002846BB">
        <w:trPr>
          <w:trHeight w:val="246"/>
        </w:trPr>
        <w:tc>
          <w:tcPr>
            <w:tcW w:w="2835" w:type="dxa"/>
            <w:tcBorders>
              <w:top w:val="single" w:sz="4" w:space="0" w:color="auto"/>
              <w:bottom w:val="single" w:sz="4" w:space="0" w:color="auto"/>
            </w:tcBorders>
            <w:shd w:val="clear" w:color="auto" w:fill="auto"/>
            <w:vAlign w:val="center"/>
            <w:hideMark/>
          </w:tcPr>
          <w:p w14:paraId="3B2FED49" w14:textId="06F083F4" w:rsidR="00012D47" w:rsidRPr="00435469" w:rsidRDefault="00012D47"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Tuberculosis </w:t>
            </w:r>
            <w:r w:rsidR="00223758" w:rsidRPr="00435469">
              <w:rPr>
                <w:rFonts w:eastAsia="Times New Roman" w:cs="Times New Roman"/>
                <w:b/>
                <w:bCs/>
                <w:sz w:val="16"/>
                <w:szCs w:val="16"/>
                <w:lang w:val="en-ZA" w:eastAsia="en-ZA"/>
              </w:rPr>
              <w:t xml:space="preserve">deaths </w:t>
            </w:r>
          </w:p>
        </w:tc>
        <w:tc>
          <w:tcPr>
            <w:tcW w:w="2221" w:type="dxa"/>
            <w:tcBorders>
              <w:top w:val="single" w:sz="4" w:space="0" w:color="auto"/>
            </w:tcBorders>
            <w:shd w:val="clear" w:color="auto" w:fill="auto"/>
            <w:vAlign w:val="center"/>
            <w:hideMark/>
          </w:tcPr>
          <w:p w14:paraId="38AEE023"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w:t>
            </w:r>
          </w:p>
        </w:tc>
        <w:tc>
          <w:tcPr>
            <w:tcW w:w="3024" w:type="dxa"/>
            <w:tcBorders>
              <w:top w:val="single" w:sz="4" w:space="0" w:color="auto"/>
            </w:tcBorders>
            <w:shd w:val="clear" w:color="auto" w:fill="auto"/>
            <w:vAlign w:val="center"/>
            <w:hideMark/>
          </w:tcPr>
          <w:p w14:paraId="27D977A8"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w:t>
            </w:r>
          </w:p>
        </w:tc>
        <w:tc>
          <w:tcPr>
            <w:tcW w:w="1709" w:type="dxa"/>
            <w:tcBorders>
              <w:top w:val="single" w:sz="4" w:space="0" w:color="auto"/>
            </w:tcBorders>
            <w:shd w:val="clear" w:color="auto" w:fill="auto"/>
            <w:vAlign w:val="center"/>
            <w:hideMark/>
          </w:tcPr>
          <w:p w14:paraId="5CD032CF"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w:t>
            </w:r>
          </w:p>
        </w:tc>
      </w:tr>
      <w:tr w:rsidR="0061685C" w:rsidRPr="00435469" w14:paraId="3B3ED37B" w14:textId="77777777" w:rsidTr="002846BB">
        <w:trPr>
          <w:trHeight w:val="246"/>
        </w:trPr>
        <w:tc>
          <w:tcPr>
            <w:tcW w:w="2835" w:type="dxa"/>
            <w:tcBorders>
              <w:top w:val="single" w:sz="4" w:space="0" w:color="auto"/>
            </w:tcBorders>
            <w:shd w:val="clear" w:color="auto" w:fill="auto"/>
            <w:vAlign w:val="center"/>
            <w:hideMark/>
          </w:tcPr>
          <w:p w14:paraId="6111C3F0" w14:textId="77777777" w:rsidR="00012D47" w:rsidRPr="00435469" w:rsidRDefault="00012D47"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HIV-positive </w:t>
            </w:r>
          </w:p>
        </w:tc>
        <w:tc>
          <w:tcPr>
            <w:tcW w:w="2221" w:type="dxa"/>
            <w:shd w:val="clear" w:color="auto" w:fill="auto"/>
            <w:vAlign w:val="center"/>
          </w:tcPr>
          <w:p w14:paraId="0196C434" w14:textId="3B0B73D5"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w:t>
            </w:r>
            <w:r w:rsidR="00597CFC" w:rsidRPr="00435469">
              <w:rPr>
                <w:rFonts w:eastAsia="Times New Roman" w:cs="Times New Roman"/>
                <w:sz w:val="16"/>
                <w:szCs w:val="16"/>
                <w:lang w:val="en-ZA" w:eastAsia="en-ZA"/>
              </w:rPr>
              <w:t>4 0</w:t>
            </w:r>
            <w:r w:rsidRPr="00435469">
              <w:rPr>
                <w:rFonts w:eastAsia="Times New Roman" w:cs="Times New Roman"/>
                <w:sz w:val="16"/>
                <w:szCs w:val="16"/>
                <w:lang w:val="en-ZA" w:eastAsia="en-ZA"/>
              </w:rPr>
              <w:t>00</w:t>
            </w:r>
          </w:p>
        </w:tc>
        <w:tc>
          <w:tcPr>
            <w:tcW w:w="3024" w:type="dxa"/>
            <w:shd w:val="clear" w:color="auto" w:fill="auto"/>
            <w:vAlign w:val="center"/>
            <w:hideMark/>
          </w:tcPr>
          <w:p w14:paraId="0FF1B597"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40 100</w:t>
            </w:r>
          </w:p>
        </w:tc>
        <w:tc>
          <w:tcPr>
            <w:tcW w:w="1709" w:type="dxa"/>
            <w:shd w:val="clear" w:color="auto" w:fill="auto"/>
            <w:vAlign w:val="center"/>
            <w:hideMark/>
          </w:tcPr>
          <w:p w14:paraId="46D02C43"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36 000</w:t>
            </w:r>
          </w:p>
        </w:tc>
      </w:tr>
      <w:tr w:rsidR="0061685C" w:rsidRPr="00435469" w14:paraId="6BB7F927" w14:textId="77777777" w:rsidTr="002846BB">
        <w:trPr>
          <w:trHeight w:val="246"/>
        </w:trPr>
        <w:tc>
          <w:tcPr>
            <w:tcW w:w="2835" w:type="dxa"/>
            <w:shd w:val="clear" w:color="auto" w:fill="auto"/>
            <w:vAlign w:val="center"/>
            <w:hideMark/>
          </w:tcPr>
          <w:p w14:paraId="7443DC43" w14:textId="77777777" w:rsidR="00012D47" w:rsidRPr="00435469" w:rsidRDefault="00012D47"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HIV-negative </w:t>
            </w:r>
          </w:p>
        </w:tc>
        <w:tc>
          <w:tcPr>
            <w:tcW w:w="2221" w:type="dxa"/>
            <w:shd w:val="clear" w:color="auto" w:fill="auto"/>
            <w:vAlign w:val="center"/>
          </w:tcPr>
          <w:p w14:paraId="6A65FA96" w14:textId="2A5243E8" w:rsidR="00012D47" w:rsidRPr="00435469" w:rsidRDefault="00E14E82"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18</w:t>
            </w:r>
            <w:r w:rsidR="00012D47" w:rsidRPr="00435469">
              <w:rPr>
                <w:rFonts w:eastAsia="Times New Roman" w:cs="Times New Roman"/>
                <w:sz w:val="16"/>
                <w:szCs w:val="16"/>
                <w:lang w:val="en-ZA" w:eastAsia="en-ZA"/>
              </w:rPr>
              <w:t xml:space="preserve"> 000</w:t>
            </w:r>
          </w:p>
        </w:tc>
        <w:tc>
          <w:tcPr>
            <w:tcW w:w="3024" w:type="dxa"/>
            <w:shd w:val="clear" w:color="auto" w:fill="auto"/>
            <w:vAlign w:val="center"/>
            <w:hideMark/>
          </w:tcPr>
          <w:p w14:paraId="654B3D42"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19 820</w:t>
            </w:r>
          </w:p>
        </w:tc>
        <w:tc>
          <w:tcPr>
            <w:tcW w:w="1709" w:type="dxa"/>
            <w:shd w:val="clear" w:color="auto" w:fill="auto"/>
            <w:vAlign w:val="center"/>
            <w:hideMark/>
          </w:tcPr>
          <w:p w14:paraId="1279F4FB"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22 000</w:t>
            </w:r>
          </w:p>
        </w:tc>
      </w:tr>
      <w:tr w:rsidR="0061685C" w:rsidRPr="00435469" w14:paraId="60C3E041" w14:textId="77777777" w:rsidTr="002846BB">
        <w:trPr>
          <w:trHeight w:val="246"/>
        </w:trPr>
        <w:tc>
          <w:tcPr>
            <w:tcW w:w="2835" w:type="dxa"/>
            <w:shd w:val="clear" w:color="auto" w:fill="auto"/>
            <w:vAlign w:val="center"/>
            <w:hideMark/>
          </w:tcPr>
          <w:p w14:paraId="0BDE414F" w14:textId="4B8151F3" w:rsidR="00012D47" w:rsidRPr="00435469" w:rsidRDefault="00012D47"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TB</w:t>
            </w:r>
            <w:r w:rsidR="00C664CF" w:rsidRPr="00435469">
              <w:rPr>
                <w:rFonts w:eastAsia="Times New Roman" w:cs="Times New Roman"/>
                <w:b/>
                <w:bCs/>
                <w:sz w:val="16"/>
                <w:szCs w:val="16"/>
                <w:lang w:val="en-ZA" w:eastAsia="en-ZA"/>
              </w:rPr>
              <w:t xml:space="preserve"> deaths</w:t>
            </w:r>
            <w:r w:rsidRPr="00435469">
              <w:rPr>
                <w:rFonts w:eastAsia="Times New Roman" w:cs="Times New Roman"/>
                <w:b/>
                <w:bCs/>
                <w:sz w:val="16"/>
                <w:szCs w:val="16"/>
                <w:lang w:val="en-ZA" w:eastAsia="en-ZA"/>
              </w:rPr>
              <w:t xml:space="preserve"> in HIV-positive</w:t>
            </w:r>
          </w:p>
        </w:tc>
        <w:tc>
          <w:tcPr>
            <w:tcW w:w="2221" w:type="dxa"/>
            <w:shd w:val="clear" w:color="auto" w:fill="auto"/>
            <w:vAlign w:val="center"/>
            <w:hideMark/>
          </w:tcPr>
          <w:p w14:paraId="687C3C27" w14:textId="0BEE266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6</w:t>
            </w:r>
            <w:r w:rsidR="00E14E82" w:rsidRPr="00435469">
              <w:rPr>
                <w:rFonts w:eastAsia="Times New Roman" w:cs="Times New Roman"/>
                <w:sz w:val="16"/>
                <w:szCs w:val="16"/>
                <w:lang w:val="en-ZA" w:eastAsia="en-ZA"/>
              </w:rPr>
              <w:t>5</w:t>
            </w:r>
            <w:r w:rsidRPr="00435469">
              <w:rPr>
                <w:rFonts w:eastAsia="Times New Roman" w:cs="Times New Roman"/>
                <w:sz w:val="16"/>
                <w:szCs w:val="16"/>
                <w:lang w:val="en-ZA" w:eastAsia="en-ZA"/>
              </w:rPr>
              <w:t>%</w:t>
            </w:r>
          </w:p>
        </w:tc>
        <w:tc>
          <w:tcPr>
            <w:tcW w:w="3024" w:type="dxa"/>
            <w:shd w:val="clear" w:color="auto" w:fill="auto"/>
            <w:vAlign w:val="center"/>
            <w:hideMark/>
          </w:tcPr>
          <w:p w14:paraId="011C96D0"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67%</w:t>
            </w:r>
          </w:p>
        </w:tc>
        <w:tc>
          <w:tcPr>
            <w:tcW w:w="1709" w:type="dxa"/>
            <w:shd w:val="clear" w:color="auto" w:fill="auto"/>
            <w:vAlign w:val="center"/>
            <w:hideMark/>
          </w:tcPr>
          <w:p w14:paraId="40D25998"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62%</w:t>
            </w:r>
          </w:p>
        </w:tc>
      </w:tr>
      <w:tr w:rsidR="0061685C" w:rsidRPr="00435469" w14:paraId="128E6EA7" w14:textId="77777777" w:rsidTr="002846BB">
        <w:trPr>
          <w:trHeight w:val="246"/>
        </w:trPr>
        <w:tc>
          <w:tcPr>
            <w:tcW w:w="2835" w:type="dxa"/>
            <w:tcBorders>
              <w:bottom w:val="single" w:sz="4" w:space="0" w:color="auto"/>
            </w:tcBorders>
            <w:shd w:val="clear" w:color="auto" w:fill="auto"/>
            <w:vAlign w:val="center"/>
            <w:hideMark/>
          </w:tcPr>
          <w:p w14:paraId="557F0038" w14:textId="77777777" w:rsidR="00012D47" w:rsidRPr="00435469" w:rsidRDefault="00012D47"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Totals</w:t>
            </w:r>
          </w:p>
        </w:tc>
        <w:tc>
          <w:tcPr>
            <w:tcW w:w="2221" w:type="dxa"/>
            <w:tcBorders>
              <w:bottom w:val="single" w:sz="4" w:space="0" w:color="auto"/>
            </w:tcBorders>
            <w:shd w:val="clear" w:color="auto" w:fill="auto"/>
            <w:vAlign w:val="center"/>
            <w:hideMark/>
          </w:tcPr>
          <w:p w14:paraId="04383FAF" w14:textId="65F9C378"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w:t>
            </w:r>
            <w:r w:rsidR="007771D7" w:rsidRPr="00435469">
              <w:rPr>
                <w:rFonts w:eastAsia="Times New Roman" w:cs="Times New Roman"/>
                <w:sz w:val="16"/>
                <w:szCs w:val="16"/>
                <w:lang w:val="en-ZA" w:eastAsia="en-ZA"/>
              </w:rPr>
              <w:t>2</w:t>
            </w:r>
            <w:r w:rsidRPr="00435469">
              <w:rPr>
                <w:rFonts w:eastAsia="Times New Roman" w:cs="Times New Roman"/>
                <w:sz w:val="16"/>
                <w:szCs w:val="16"/>
                <w:lang w:val="en-ZA" w:eastAsia="en-ZA"/>
              </w:rPr>
              <w:t xml:space="preserve"> </w:t>
            </w:r>
            <w:r w:rsidR="007771D7" w:rsidRPr="00435469">
              <w:rPr>
                <w:rFonts w:eastAsia="Times New Roman" w:cs="Times New Roman"/>
                <w:sz w:val="16"/>
                <w:szCs w:val="16"/>
                <w:lang w:val="en-ZA" w:eastAsia="en-ZA"/>
              </w:rPr>
              <w:t>0</w:t>
            </w:r>
            <w:r w:rsidRPr="00435469">
              <w:rPr>
                <w:rFonts w:eastAsia="Times New Roman" w:cs="Times New Roman"/>
                <w:sz w:val="16"/>
                <w:szCs w:val="16"/>
                <w:lang w:val="en-ZA" w:eastAsia="en-ZA"/>
              </w:rPr>
              <w:t>00</w:t>
            </w:r>
          </w:p>
        </w:tc>
        <w:tc>
          <w:tcPr>
            <w:tcW w:w="3024" w:type="dxa"/>
            <w:tcBorders>
              <w:bottom w:val="single" w:sz="4" w:space="0" w:color="auto"/>
            </w:tcBorders>
            <w:shd w:val="clear" w:color="auto" w:fill="auto"/>
            <w:vAlign w:val="center"/>
            <w:hideMark/>
          </w:tcPr>
          <w:p w14:paraId="7CEFE028"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59 920</w:t>
            </w:r>
          </w:p>
        </w:tc>
        <w:tc>
          <w:tcPr>
            <w:tcW w:w="1709" w:type="dxa"/>
            <w:tcBorders>
              <w:bottom w:val="single" w:sz="4" w:space="0" w:color="auto"/>
            </w:tcBorders>
            <w:shd w:val="clear" w:color="auto" w:fill="auto"/>
            <w:vAlign w:val="center"/>
            <w:hideMark/>
          </w:tcPr>
          <w:p w14:paraId="19775898" w14:textId="77777777" w:rsidR="00012D47" w:rsidRPr="00435469" w:rsidRDefault="00012D47"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58 000</w:t>
            </w:r>
          </w:p>
        </w:tc>
      </w:tr>
    </w:tbl>
    <w:p w14:paraId="7D37AF51" w14:textId="71826C1A" w:rsidR="00012D47" w:rsidRPr="00435469" w:rsidRDefault="009A291B" w:rsidP="00955FFB">
      <w:pPr>
        <w:pStyle w:val="3TableNote"/>
        <w:rPr>
          <w:szCs w:val="20"/>
        </w:rPr>
      </w:pPr>
      <w:r w:rsidRPr="00435469">
        <w:rPr>
          <w:szCs w:val="20"/>
        </w:rPr>
        <w:t xml:space="preserve">Source: </w:t>
      </w:r>
      <w:r w:rsidR="00835FD2" w:rsidRPr="00435469">
        <w:rPr>
          <w:szCs w:val="20"/>
        </w:rPr>
        <w:t>Author’s own estimates (</w:t>
      </w:r>
      <w:proofErr w:type="spellStart"/>
      <w:r w:rsidR="00835FD2" w:rsidRPr="00435469">
        <w:rPr>
          <w:szCs w:val="20"/>
        </w:rPr>
        <w:t>Thembisa</w:t>
      </w:r>
      <w:proofErr w:type="spellEnd"/>
      <w:r w:rsidR="00835FD2" w:rsidRPr="00435469">
        <w:rPr>
          <w:szCs w:val="20"/>
        </w:rPr>
        <w:t>)</w:t>
      </w:r>
      <w:r w:rsidR="000F2520" w:rsidRPr="00435469">
        <w:rPr>
          <w:szCs w:val="20"/>
        </w:rPr>
        <w:t>;</w:t>
      </w:r>
      <w:r w:rsidR="00835FD2" w:rsidRPr="00435469">
        <w:rPr>
          <w:szCs w:val="20"/>
        </w:rPr>
        <w:t xml:space="preserve"> </w:t>
      </w:r>
      <w:r w:rsidR="00012D47" w:rsidRPr="00435469">
        <w:rPr>
          <w:szCs w:val="20"/>
        </w:rPr>
        <w:t xml:space="preserve">Ledesma </w:t>
      </w:r>
      <w:r w:rsidR="00012D47" w:rsidRPr="00435469">
        <w:rPr>
          <w:i/>
          <w:iCs/>
          <w:szCs w:val="20"/>
        </w:rPr>
        <w:t>et al</w:t>
      </w:r>
      <w:r w:rsidR="00012D47" w:rsidRPr="00435469">
        <w:rPr>
          <w:szCs w:val="20"/>
        </w:rPr>
        <w:t xml:space="preserve"> 2021 </w:t>
      </w:r>
      <w:r w:rsidR="00012D47" w:rsidRPr="00435469">
        <w:rPr>
          <w:szCs w:val="20"/>
        </w:rPr>
        <w:fldChar w:fldCharType="begin" w:fldLock="1"/>
      </w:r>
      <w:r w:rsidR="00A142FF" w:rsidRPr="00435469">
        <w:rPr>
          <w:szCs w:val="20"/>
        </w:rPr>
        <w:instrText>ADDIN CSL_CITATION {"citationItems":[{"id":"ITEM-1","itemData":{"DOI":"10.1016/s1473-3099(21)00449-7","ISSN":"14733099","abstract":"Background Tuberculosis is a major contributor to the global burden of disease, causing more than a million deaths annually. Given an emphasis on equity in access to diagnosis and treatment of tuberculosis in global health targets, evaluations of differences in tuberculosis burden by sex are crucial. We aimed to assess the levels and trends of the global burden of tuberculosis, with an emphasis on investigating differences in sex by HIV status for 204 countries and territories from 1990 to 2019.","author":[{"dropping-particle":"","family":"Ledesma","given":"Jorge R","non-dropping-particle":"","parse-names":false,"suffix":""},{"dropping-particle":"","family":"Ma","given":"Jianing","non-dropping-particle":"","parse-names":false,"suffix":""},{"dropping-particle":"","family":"Vongpradith","given":"Avina","non-dropping-particle":"","parse-names":false,"suffix":""},{"dropping-particle":"","family":"Maddison","given":"Emilie R","non-dropping-particle":"","parse-names":false,"suffix":""},{"dropping-particle":"","family":"Novotney","given":"Amanda","non-dropping-particle":"","parse-names":false,"suffix":""},{"dropping-particle":"","family":"Biehl","given":"Molly H","non-dropping-particle":"","parse-names":false,"suffix":""},{"dropping-particle":"","family":"LeGrand","given":"Kate E","non-dropping-particle":"","parse-names":false,"suffix":""},{"dropping-particle":"","family":"Ross","given":"Jennifer M","non-dropping-particle":"","parse-names":false,"suffix":""},{"dropping-particle":"","family":"Jahagirdar","given":"Deepa","non-dropping-particle":"","parse-names":false,"suffix":""},{"dropping-particle":"","family":"Bryazka","given":"Dana","non-dropping-particle":"","parse-names":false,"suffix":""},{"dropping-particle":"","family":"Feldman","given":"Rachel","non-dropping-particle":"","parse-names":false,"suffix":""},{"dropping-particle":"","family":"Abolhassani","given":"Hassan","non-dropping-particle":"","parse-names":false,"suffix":""},{"dropping-particle":"","family":"Abosetugn","given":"Akine Eshete","non-dropping-particle":"","parse-names":false,"suffix":""},{"dropping-particle":"","family":"Abu-Gharbieh","given":"Eman","non-dropping-particle":"","parse-names":false,"suffix":""},{"dropping-particle":"","family":"Adebayo","given":"Oladimeji M","non-dropping-particle":"","parse-names":false,"suffix":""},{"dropping-particle":"","family":"Adnani","given":"Qorinah Estiningtyas Sakilah","non-dropping-particle":"","parse-names":false,"suffix":""},{"dropping-particle":"","family":"Afzal","given":"Saira","non-dropping-particle":"","parse-names":false,"suffix":""},{"dropping-particle":"","family":"Ahinkorah","given":"Bright Opoku","non-dropping-particle":"","parse-names":false,"suffix":""},{"dropping-particle":"","family":"Ahmad","given":"Sajjad Ahmad","non-dropping-particle":"","parse-names":false,"suffix":""},{"dropping-particle":"","family":"Ahmadi","given":"Sepideh","non-dropping-particle":"","parse-names":false,"suffix":""},{"dropping-particle":"","family":"Ahmed Rashid","given":"Tarik","non-dropping-particle":"","parse-names":false,"suffix":""},{"dropping-particle":"","family":"Ahmed Salih","given":"Yusra","non-dropping-particle":"","parse-names":false,"suffix":""},{"dropping-particle":"","family":"Aklilu","given":"Addis","non-dropping-particle":"","parse-names":false,"suffix":""},{"dropping-particle":"","family":"Akunna","given":"Chisom Joyqueenet","non-dropping-particle":"","parse-names":false,"suffix":""},{"dropping-particle":"","family":"Hamad","given":"Hanadi","non-dropping-particle":"Al","parse-names":false,"suffix":""},{"dropping-particle":"","family":"Alahdab","given":"Fares","non-dropping-particle":"","parse-names":false,"suffix":""},{"dropping-particle":"","family":"Alemayehu","given":"Yosef","non-dropping-particle":"","parse-names":false,"suffix":""},{"dropping-particle":"","family":"Alene","given":"Kefyalew Addis","non-dropping-particle":"","parse-names":false,"suffix":""},{"dropping-particle":"","family":"Ali","given":"Beriwan Abdulqadir","non-dropping-particle":"","parse-names":false,"suffix":""},{"dropping-particle":"","family":"Ali","given":"Liaqat","non-dropping-particle":"","parse-names":false,"suffix":""},{"dropping-particle":"","family":"Alipour","given":"Vahid","non-dropping-particle":"","parse-names":false,"suffix":""},{"dropping-particle":"","family":"Alizade","given":"Hesam","non-dropping-particle":"","parse-names":false,"suffix":""},{"dropping-particle":"","family":"Al-Raddadi","given":"Rajaa M","non-dropping-particle":"","parse-names":false,"suffix":""},{"dropping-particle":"","family":"Alvis-Guzman","given":"Nelson","non-dropping-particle":"","parse-names":false,"suffix":""},{"dropping-particle":"","family":"Amini","given":"Saeed","non-dropping-particle":"","parse-names":false,"suffix":""},{"dropping-particle":"","family":"Amit","given":"Arianna Maever L","non-dropping-particle":"","parse-names":false,"suffix":""},{"dropping-particle":"","family":"Anderson","given":"Jason A","non-dropping-particle":"","parse-names":false,"suffix":""},{"dropping-particle":"","family":"Androudi","given":"Sofia","non-dropping-particle":"","parse-names":false,"suffix":""},{"dropping-particle":"","family":"Antonio","given":"Carl Abelardo T","non-dropping-particle":"","parse-names":false,"suffix":""},{"dropping-particle":"","family":"Antony","given":"Catherine M","non-dropping-particle":"","parse-names":false,"suffix":""},{"dropping-particle":"","family":"Anwer","given":"Razique","non-dropping-particle":"","parse-names":false,"suffix":""},{"dropping-particle":"","family":"Arabloo","given":"Jalal","non-dropping-particle":"","parse-names":false,"suffix":""},{"dropping-particle":"","family":"Arja","given":"Asrat","non-dropping-particle":"","parse-names":false,"suffix":""},{"dropping-particle":"","family":"Asemahagn","given":"Mulusew A","non-dropping-particle":"","parse-names":false,"suffix":""},{"dropping-particle":"","family":"Atre","given":"Sachin R","non-dropping-particle":"","parse-names":false,"suffix":""},{"dropping-particle":"","family":"Azhar","given":"Gulrez Shah","non-dropping-particle":"","parse-names":false,"suffix":""},{"dropping-particle":"","family":"B","given":"Darshan B","non-dropping-particle":"","parse-names":false,"suffix":""},{"dropping-particle":"","family":"Babar","given":"Zaheer-Ud-Din","non-dropping-particle":"","parse-names":false,"suffix":""},{"dropping-particle":"","family":"Baig","given":"Atif Amin","non-dropping-particle":"","parse-names":false,"suffix":""},{"dropping-particle":"","family":"Banach","given":"Maciej","non-dropping-particle":"","parse-names":false,"suffix":""},{"dropping-particle":"","family":"Barqawi","given":"Hiba Jawdat","non-dropping-particle":"","parse-names":false,"suffix":""},{"dropping-particle":"","family":"Barra","given":"Fabio","non-dropping-particle":"","parse-names":false,"suffix":""},{"dropping-particle":"","family":"Barrow","given":"Amadou","non-dropping-particle":"","parse-names":false,"suffix":""},{"dropping-particle":"","family":"Basu","given":"Sanjay","non-dropping-particle":"","parse-names":false,"suffix":""},{"dropping-particle":"","family":"Belgaumi","given":"Uzma Iqbal","non-dropping-particle":"","parse-names":false,"suffix":""},{"dropping-particle":"","family":"Bhagavathula","given":"Akshaya Srikanth","non-dropping-particle":"","parse-names":false,"suffix":""},{"dropping-particle":"","family":"Bhardwaj","given":"Nikha","non-dropping-particle":"","parse-names":false,"suffix":""},{"dropping-particle":"","family":"Bhardwaj","given":"Pankaj","non-dropping-particle":"","parse-names":false,"suffix":""},{"dropping-particle":"V","family":"Bhattacharjee","given":"Natalia","non-dropping-particle":"","parse-names":false,"suffix":""},{"dropping-particle":"","family":"Bhattacharyya","given":"Krittika","non-dropping-particle":"","parse-names":false,"suffix":""},{"dropping-particle":"","family":"Bijani","given":"Ali","non-dropping-particle":"","parse-names":false,"suffix":""},{"dropping-particle":"","family":"Bikbov","given":"Boris","non-dropping-particle":"","parse-names":false,"suffix":""},{"dropping-particle":"","family":"Boloor","given":"Archith","non-dropping-particle":"","parse-names":false,"suffix":""},{"dropping-particle":"","family":"Briko","given":"Nikolay Ivanovich","non-dropping-particle":"","parse-names":false,"suffix":""},{"dropping-particle":"","family":"Buonsenso","given":"Danilo","non-dropping-particle":"","parse-names":false,"suffix":""},{"dropping-particle":"","family":"Burugina Nagaraja","given":"Sharath","non-dropping-particle":"","parse-names":false,"suffix":""},{"dropping-particle":"","family":"Butt","given":"Zahid A","non-dropping-particle":"","parse-names":false,"suffix":""},{"dropping-particle":"","family":"Carter","given":"Austin","non-dropping-particle":"","parse-names":false,"suffix":""},{"dropping-particle":"","family":"Carvalho","given":"Felix","non-dropping-particle":"","parse-names":false,"suffix":""},{"dropping-particle":"","family":"Charan","given":"Jaykaran","non-dropping-particle":"","parse-names":false,"suffix":""},{"dropping-particle":"","family":"Chatterjee","given":"Souranshu","non-dropping-particle":"","parse-names":false,"suffix":""},{"dropping-particle":"","family":"Chattu","given":"Soosanna Kumary","non-dropping-particle":"","parse-names":false,"suffix":""},{"dropping-particle":"","family":"Chattu","given":"Vijay Kumar","non-dropping-particle":"","parse-names":false,"suffix":""},{"dropping-particle":"","family":"Christopher","given":"Devasahayam J","non-dropping-particle":"","parse-names":false,"suffix":""},{"dropping-particle":"","family":"Chu","given":"Dinh-Toi","non-dropping-particle":"","parse-names":false,"suffix":""},{"dropping-particle":"","family":"Claassens","given":"Mareli M","non-dropping-particle":"","parse-names":false,"suffix":""},{"dropping-particle":"","family":"Dadras","given":"Omid","non-dropping-particle":"","parse-names":false,"suffix":""},{"dropping-particle":"","family":"Dagnew","given":"Amare Belachew","non-dropping-particle":"","parse-names":false,"suffix":""},{"dropping-particle":"","family":"Dai","given":"Xiaochen","non-dropping-particle":"","parse-names":false,"suffix":""},{"dropping-particle":"","family":"Dandona","given":"Lalit","non-dropping-particle":"","parse-names":false,"suffix":""},{"dropping-particle":"","family":"Dandona","given":"Rakhi","non-dropping-particle":"","parse-names":false,"suffix":""},{"dropping-particle":"","family":"Daneshpajouhnejad","given":"Parnaz","non-dropping-particle":"","parse-names":false,"suffix":""},{"dropping-particle":"","family":"Darwesh","given":"Aso Mohammad","non-dropping-particle":"","parse-names":false,"suffix":""},{"dropping-particle":"","family":"Dhamnetiya","given":"Deepak","non-dropping-particle":"","parse-names":false,"suffix":""},{"dropping-particle":"","family":"Dianatinasab","given":"Mostafa","non-dropping-particle":"","parse-names":false,"suffix":""},{"dropping-particle":"","family":"Diaz","given":"Daniel","non-dropping-particle":"","parse-names":false,"suffix":""},{"dropping-particle":"","family":"Doan","given":"Linh Phuong","non-dropping-particle":"","parse-names":false,"suffix":""},{"dropping-particle":"","family":"Eftekharzadeh","given":"Sahar","non-dropping-particle":"","parse-names":false,"suffix":""},{"dropping-particle":"","family":"Elhadi","given":"Muhammed","non-dropping-particle":"","parse-names":false,"suffix":""},{"dropping-particle":"","family":"Emami","given":"Amir","non-dropping-particle":"","parse-names":false,"suffix":""},{"dropping-particle":"","family":"Enany","given":"Shymaa","non-dropping-particle":"","parse-names":false,"suffix":""},{"dropping-particle":"","family":"Faraon","given":"Emerito Jose A","non-dropping-particle":"","parse-names":false,"suffix":""},{"dropping-particle":"","family":"Farzadfar","given":"Farshad","non-dropping-particle":"","parse-names":false,"suffix":""},{"dropping-particle":"","family":"Fernandes","given":"Eduarda","non-dropping-particle":"","parse-names":false,"suffix":""},{"dropping-particle":"","family":"Ferro Desideri","given":"Lorenzo","non-dropping-particle":"","parse-names":false,"suffix":""},{"dropping-particle":"","family":"Filip","given":"Irina","non-dropping-particle":"","parse-names":false,"suffix":""},{"dropping-particle":"","family":"Fischer","given":"Florian","non-dropping-particle":"","parse-names":false,"suffix":""},{"dropping-particle":"","family":"Foroutan","given":"Masoud","non-dropping-particle":"","parse-names":false,"suffix":""},{"dropping-particle":"","family":"Frank","given":"Tahvi D","non-dropping-particle":"","parse-names":false,"suffix":""},{"dropping-particle":"","family":"Garcia-Basteiro","given":"Alberto L","non-dropping-particle":"","parse-names":false,"suffix":""},{"dropping-particle":"","family":"Garcia-Calavaro","given":"Christian","non-dropping-particle":"","parse-names":false,"suffix":""},{"dropping-particle":"","family":"Garg","given":"Tushar","non-dropping-particle":"","parse-names":false,"suffix":""},{"dropping-particle":"","family":"Geberemariyam","given":"Biniyam Sahiledengle","non-dropping-particle":"","parse-names":false,"suffix":""},{"dropping-particle":"","family":"Ghadiri","given":"Keyghobad","non-dropping-particle":"","parse-names":false,"suffix":""},{"dropping-particle":"","family":"Ghashghaee","given":"Ahmad","non-dropping-particle":"","parse-names":false,"suffix":""},{"dropping-particle":"","family":"Golechha","given":"Mahaveer","non-dropping-particle":"","parse-names":false,"suffix":""},{"dropping-particle":"","family":"Goodridge","given":"Amador","non-dropping-particle":"","parse-names":false,"suffix":""},{"dropping-particle":"","family":"Gupta","given":"Bhawna","non-dropping-particle":"","parse-names":false,"suffix":""},{"dropping-particle":"","family":"Gupta","given":"Sapna","non-dropping-particle":"","parse-names":false,"suffix":""},{"dropping-particle":"","family":"Gupta","given":"Veer Bala","non-dropping-particle":"","parse-names":false,"suffix":""},{"dropping-particle":"","family":"Gupta","given":"Vivek Kumar","non-dropping-particle":"","parse-names":false,"suffix":""},{"dropping-particle":"","family":"Haider","given":"Mohammad Rifat","non-dropping-particle":"","parse-names":false,"suffix":""},{"dropping-particle":"","family":"Hamidi","given":"Samer","non-dropping-particle":"","parse-names":false,"suffix":""},{"dropping-particle":"","family":"Hanif","given":"Asif","non-dropping-particle":"","parse-names":false,"suffix":""},{"dropping-particle":"","family":"Haque","given":"Shafiul","non-dropping-particle":"","parse-names":false,"suffix":""},{"dropping-particle":"","family":"Harapan","given":"Harapan","non-dropping-particle":"","parse-names":false,"suffix":""},{"dropping-particle":"","family":"Hargono","given":"Arief","non-dropping-particle":"","parse-names":false,"suffix":""},{"dropping-particle":"","family":"Hasaballah","given":"Ahmed I","non-dropping-particle":"","parse-names":false,"suffix":""},{"dropping-particle":"","family":"Hashi","given":"Abdiwahab","non-dropping-particle":"","parse-names":false,"suffix":""},{"dropping-particle":"","family":"Hassan","given":"Shoaib","non-dropping-particle":"","parse-names":false,"suffix":""},{"dropping-particle":"","family":"Hassankhani","given":"Hadi","non-dropping-particle":"","parse-names":false,"suffix":""},{"dropping-particle":"","family":"Hayat","given":"Khezar","non-dropping-particle":"","parse-names":false,"suffix":""},{"dropping-particle":"","family":"Hezam","given":"Kamal","non-dropping-particle":"","parse-names":false,"suffix":""},{"dropping-particle":"","family":"Holla","given":"Ramesh","non-dropping-particle":"","parse-names":false,"suffix":""},{"dropping-particle":"","family":"Hosseinzadeh","given":"Mehdi","non-dropping-particle":"","parse-names":false,"suffix":""},{"dropping-particle":"","family":"Hostiuc","given":"Mihaela","non-dropping-particle":"","parse-names":false,"suffix":""},{"dropping-particle":"","family":"Househ","given":"Mowafa","non-dropping-particle":"","parse-names":false,"suffix":""},{"dropping-particle":"","family":"Hussain","given":"Rabia","non-dropping-particle":"","parse-names":false,"suffix":""},{"dropping-particle":"","family":"Ibitoye","given":"Segun Emmanuel","non-dropping-particle":"","parse-names":false,"suffix":""},{"dropping-particle":"","family":"Ilic","given":"Irena M","non-dropping-particle":"","parse-names":false,"suffix":""},{"dropping-particle":"","family":"Ilic","given":"Milena D","non-dropping-particle":"","parse-names":false,"suffix":""},{"dropping-particle":"","family":"Irvani","given":"Seyed Sina Naghibi","non-dropping-particle":"","parse-names":false,"suffix":""},{"dropping-particle":"","family":"Ismail","given":"Nahlah Elkudssiah","non-dropping-particle":"","parse-names":false,"suffix":""},{"dropping-particle":"","family":"Itumalla","given":"Ramaiah","non-dropping-particle":"","parse-names":false,"suffix":""},{"dropping-particle":"","family":"Jaafari","given":"Jalil","non-dropping-particle":"","parse-names":false,"suffix":""},{"dropping-particle":"","family":"Jacobsen","given":"Kathryn H","non-dropping-particle":"","parse-names":false,"suffix":""},{"dropping-particle":"","family":"Jain","given":"Vardhmaan","non-dropping-particle":"","parse-names":false,"suffix":""},{"dropping-particle":"","family":"Javanmardi","given":"Fatemeh","non-dropping-particle":"","parse-names":false,"suffix":""},{"dropping-particle":"","family":"Jayapal","given":"Sathish Kumar","non-dropping-particle":"","parse-names":false,"suffix":""},{"dropping-particle":"","family":"Jayaram","given":"Shubha","non-dropping-particle":"","parse-names":false,"suffix":""},{"dropping-particle":"","family":"Jha","given":"Ravi Prakash","non-dropping-particle":"","parse-names":false,"suffix":""},{"dropping-particle":"","family":"Jonas","given":"Jost B","non-dropping-particle":"","parse-names":false,"suffix":""},{"dropping-particle":"","family":"Joseph","given":"Nitin","non-dropping-particle":"","parse-names":false,"suffix":""},{"dropping-particle":"","family":"Joukar","given":"Farahnaz","non-dropping-particle":"","parse-names":false,"suffix":""},{"dropping-particle":"","family":"Kabir","given":"Zubair","non-dropping-particle":"","parse-names":false,"suffix":""},{"dropping-particle":"","family":"Kamath","given":"Ashwin","non-dropping-particle":"","parse-names":false,"suffix":""},{"dropping-particle":"","family":"Kanchan","given":"Tanuj","non-dropping-particle":"","parse-names":false,"suffix":""},{"dropping-particle":"","family":"Kandel","given":"Himal","non-dropping-particle":"","parse-names":false,"suffix":""},{"dropping-particle":"","family":"Katoto","given":"Patrick DMC","non-dropping-particle":"","parse-names":false,"suffix":""},{"dropping-particle":"","family":"Kayode","given":"Gbenga A","non-dropping-particle":"","parse-names":false,"suffix":""},{"dropping-particle":"","family":"Kendrick","given":"Parkes J","non-dropping-particle":"","parse-names":false,"suffix":""},{"dropping-particle":"","family":"Kerbo","given":"Amene Abebe","non-dropping-particle":"","parse-names":false,"suffix":""},{"dropping-particle":"","family":"Khajuria","given":"Himanshu","non-dropping-particle":"","parse-names":false,"suffix":""},{"dropping-particle":"","family":"Khalilov","given":"Rovshan","non-dropping-particle":"","parse-names":false,"suffix":""},{"dropping-particle":"","family":"Khatab","given":"Khaled","non-dropping-particle":"","parse-names":false,"suffix":""},{"dropping-particle":"","family":"Khoja","given":"Abdullah T","non-dropping-particle":"","parse-names":false,"suffix":""},{"dropping-particle":"","family":"Khubchandani","given":"Jagdish","non-dropping-particle":"","parse-names":false,"suffix":""},{"dropping-particle":"","family":"Kim","given":"Min Seo","non-dropping-particle":"","parse-names":false,"suffix":""},{"dropping-particle":"","family":"Kim","given":"Yun Jin","non-dropping-particle":"","parse-names":false,"suffix":""},{"dropping-particle":"","family":"Kisa","given":"Adnan","non-dropping-particle":"","parse-names":false,"suffix":""},{"dropping-particle":"","family":"Kisa","given":"Sezer","non-dropping-particle":"","parse-names":false,"suffix":""},{"dropping-particle":"","family":"Kosen","given":"Soewarta","non-dropping-particle":"","parse-names":false,"suffix":""},{"dropping-particle":"","family":"Koul","given":"Parvaiz A","non-dropping-particle":"","parse-names":false,"suffix":""},{"dropping-particle":"","family":"Koulmane Laxminarayana","given":"Sindhura Lakshmi","non-dropping-particle":"","parse-names":false,"suffix":""},{"dropping-particle":"","family":"Koyanagi","given":"Ai","non-dropping-particle":"","parse-names":false,"suffix":""},{"dropping-particle":"","family":"Krishan","given":"Kewal","non-dropping-particle":"","parse-names":false,"suffix":""},{"dropping-particle":"","family":"Kucuk Bicer","given":"Burcu","non-dropping-particle":"","parse-names":false,"suffix":""},{"dropping-particle":"","family":"Kumar","given":"Avinash","non-dropping-particle":"","parse-names":false,"suffix":""},{"dropping-particle":"","family":"Kumar","given":"G Anil","non-dropping-particle":"","parse-names":false,"suffix":""},{"dropping-particle":"","family":"Kumar","given":"Narinder","non-dropping-particle":"","parse-names":false,"suffix":""},{"dropping-particle":"","family":"Kumar","given":"Nithin","non-dropping-particle":"","parse-names":false,"suffix":""},{"dropping-particle":"","family":"Kwarteng","given":"Alexander","non-dropping-particle":"","parse-names":false,"suffix":""},{"dropping-particle":"","family":"Lak","given":"Hassan Mehmood","non-dropping-particle":"","parse-names":false,"suffix":""},{"dropping-particle":"","family":"Lal","given":"Dharmesh Kumar","non-dropping-particle":"","parse-names":false,"suffix":""},{"dropping-particle":"","family":"Landires","given":"Iván","non-dropping-particle":"","parse-names":false,"suffix":""},{"dropping-particle":"","family":"Lasrado","given":"Savita","non-dropping-particle":"","parse-names":false,"suffix":""},{"dropping-particle":"","family":"Lee","given":"Shaun Wen Huey","non-dropping-particle":"","parse-names":false,"suffix":""},{"dropping-particle":"","family":"Lee","given":"Wei-Chen","non-dropping-particle":"","parse-names":false,"suffix":""},{"dropping-particle":"","family":"Lin","given":"Christine","non-dropping-particle":"","parse-names":false,"suffix":""},{"dropping-particle":"","family":"Liu","given":"Xuefeng","non-dropping-particle":"","parse-names":false,"suffix":""},{"dropping-particle":"","family":"Lopukhov","given":"Platon D","non-dropping-particle":"","parse-names":false,"suffix":""},{"dropping-particle":"","family":"Lozano","given":"Rafael","non-dropping-particle":"","parse-names":false,"suffix":""},{"dropping-particle":"","family":"Machado","given":"Daiane Borges","non-dropping-particle":"","parse-names":false,"suffix":""},{"dropping-particle":"","family":"Madhava Kunjathur","given":"Shilpashree","non-dropping-particle":"","parse-names":false,"suffix":""},{"dropping-particle":"","family":"Madi","given":"Deepak","non-dropping-particle":"","parse-names":false,"suffix":""},{"dropping-particle":"","family":"Mahajan","given":"Preetam Bhalchandra","non-dropping-particle":"","parse-names":false,"suffix":""},{"dropping-particle":"","family":"Majeed","given":"Azeem","non-dropping-particle":"","parse-names":false,"suffix":""},{"dropping-particle":"","family":"Malik","given":"Ahmad Azam","non-dropping-particle":"","parse-names":false,"suffix":""},{"dropping-particle":"","family":"Martins-Melo","given":"Francisco Rogerlândio","non-dropping-particle":"","parse-names":false,"suffix":""},{"dropping-particle":"","family":"Mehta","given":"Saurabh","non-dropping-particle":"","parse-names":false,"suffix":""},{"dropping-particle":"","family":"Memish","given":"Ziad A","non-dropping-particle":"","parse-names":false,"suffix":""},{"dropping-particle":"","family":"Mendoza","given":"Walter","non-dropping-particle":"","parse-names":false,"suffix":""},{"dropping-particle":"","family":"Menezes","given":"Ritesh G","non-dropping-particle":"","parse-names":false,"suffix":""},{"dropping-particle":"","family":"Merie","given":"Hayimro Edemealem","non-dropping-particle":"","parse-names":false,"suffix":""},{"dropping-particle":"","family":"Mersha","given":"Amanual Getnet","non-dropping-particle":"","parse-names":false,"suffix":""},{"dropping-particle":"","family":"Mesregah","given":"Mohamed Kamal","non-dropping-particle":"","parse-names":false,"suffix":""},{"dropping-particle":"","family":"Mestrovic","given":"Tomislav","non-dropping-particle":"","parse-names":false,"suffix":""},{"dropping-particle":"","family":"Mheidly","given":"Nour Mheidly","non-dropping-particle":"","parse-names":false,"suffix":""},{"dropping-particle":"","family":"Misra","given":"Sanjeev","non-dropping-particle":"","parse-names":false,"suffix":""},{"dropping-particle":"","family":"Mithra","given":"Prasanna","non-dropping-particle":"","parse-names":false,"suffix":""},{"dropping-particle":"","family":"Moghadaszadeh","given":"Masoud","non-dropping-particle":"","parse-names":false,"suffix":""},{"dropping-particle":"","family":"Mohammadi","given":"Mokhtar","non-dropping-particle":"","parse-names":false,"suffix":""},{"dropping-particle":"","family":"Mohammadian-Hafshejani","given":"Abdollah","non-dropping-particle":"","parse-names":false,"suffix":""},{"dropping-particle":"","family":"Mohammed","given":"Shafiu","non-dropping-particle":"","parse-names":false,"suffix":""},{"dropping-particle":"","family":"Molokhia","given":"Mariam","non-dropping-particle":"","parse-names":false,"suffix":""},{"dropping-particle":"","family":"Moni","given":"Mohammad Ali","non-dropping-particle":"","parse-names":false,"suffix":""},{"dropping-particle":"Al","family":"Montasir","given":"Ahmed","non-dropping-particle":"","parse-names":false,"suffix":""},{"dropping-particle":"","family":"Moore","given":"Catrin E","non-dropping-particle":"","parse-names":false,"suffix":""},{"dropping-particle":"","family":"Nagarajan","given":"Ahamarshan Jayaraman","non-dropping-particle":"","parse-names":false,"suffix":""},{"dropping-particle":"","family":"Nair","given":"Sanjeev","non-dropping-particle":"","parse-names":false,"suffix":""},{"dropping-particle":"","family":"Nair","given":"Suma","non-dropping-particle":"","parse-names":false,"suffix":""},{"dropping-particle":"","family":"Naqvi","given":"Atta Abbas","non-dropping-particle":"","parse-names":false,"suffix":""},{"dropping-particle":"","family":"Narasimha Swamy","given":"Sreenivas","non-dropping-particle":"","parse-names":false,"suffix":""},{"dropping-particle":"","family":"Nayak","given":"Biswa Prakash","non-dropping-particle":"","parse-names":false,"suffix":""},{"dropping-particle":"","family":"Nazari","given":"Javad","non-dropping-particle":"","parse-names":false,"suffix":""},{"dropping-particle":"","family":"Neupane Kandel","given":"Sandhya","non-dropping-particle":"","parse-names":false,"suffix":""},{"dropping-particle":"","family":"Nguyen","given":"Trang Huyen","non-dropping-particle":"","parse-names":false,"suffix":""},{"dropping-particle":"","family":"Nixon","given":"Molly R","non-dropping-particle":"","parse-names":false,"suffix":""},{"dropping-particle":"","family":"Nnaji","given":"Chukwudi A","non-dropping-particle":"","parse-names":false,"suffix":""},{"dropping-particle":"","family":"Ntsekhe","given":"Mpiko","non-dropping-particle":"","parse-names":false,"suffix":""},{"dropping-particle":"","family":"Nuñez-Samudio","given":"Virginia","non-dropping-particle":"","parse-names":false,"suffix":""},{"dropping-particle":"","family":"Oancea","given":"Bogdan","non-dropping-particle":"","parse-names":false,"suffix":""},{"dropping-particle":"","family":"Odukoya","given":"Oluwakemi Ololade","non-dropping-particle":"","parse-names":false,"suffix":""},{"dropping-particle":"","family":"Olagunju","given":"Andrew T","non-dropping-particle":"","parse-names":false,"suffix":""},{"dropping-particle":"","family":"Oren","given":"Eyal","non-dropping-particle":"","parse-names":false,"suffix":""},{"dropping-particle":"","family":"P A","given":"Mahesh","non-dropping-particle":"","parse-names":false,"suffix":""},{"dropping-particle":"","family":"Parthasarathi","given":"Ramakrishnan","non-dropping-particle":"","parse-names":false,"suffix":""},{"dropping-particle":"","family":"Pashazadeh Kan","given":"Fatemeh","non-dropping-particle":"","parse-names":false,"suffix":""},{"dropping-particle":"","family":"Pattanshetty","given":"Sanjay M","non-dropping-particle":"","parse-names":false,"suffix":""},{"dropping-particle":"","family":"Paudel","given":"Rajan","non-dropping-particle":"","parse-names":false,"suffix":""},{"dropping-particle":"","family":"Paul","given":"Pintu","non-dropping-particle":"","parse-names":false,"suffix":""},{"dropping-particle":"","family":"Pawar","given":"Shrikant","non-dropping-particle":"","parse-names":false,"suffix":""},{"dropping-particle":"","family":"Pepito","given":"Veincent Christian Filipino","non-dropping-particle":"","parse-names":false,"suffix":""},{"dropping-particle":"","family":"Perico","given":"Norberto","non-dropping-particle":"","parse-names":false,"suffix":""},{"dropping-particle":"","family":"Pirestani","given":"Majid","non-dropping-particle":"","parse-names":false,"suffix":""},{"dropping-particle":"V","family":"Polibin","given":"Roman","non-dropping-particle":"","parse-names":false,"suffix":""},{"dropping-particle":"","family":"Postma","given":"Maarten J","non-dropping-particle":"","parse-names":false,"suffix":""},{"dropping-particle":"","family":"Pourshams","given":"Akram","non-dropping-particle":"","parse-names":false,"suffix":""},{"dropping-particle":"","family":"Prashant","given":"Akila","non-dropping-particle":"","parse-names":false,"suffix":""},{"dropping-particle":"","family":"Pribadi","given":"Dimas Ria Angga","non-dropping-particle":"","parse-names":false,"suffix":""},{"dropping-particle":"","family":"Radfar","given":"Amir","non-dropping-particle":"","parse-names":false,"suffix":""},{"dropping-particle":"","family":"Rafiei","given":"Alireza","non-dropping-particle":"","parse-names":false,"suffix":""},{"dropping-particle":"","family":"Rahim","given":"Fakher","non-dropping-particle":"","parse-names":false,"suffix":""},{"dropping-particle":"","family":"Rahimi-Movaghar","given":"Vafa","non-dropping-particle":"","parse-names":false,"suffix":""},{"dropping-particle":"","family":"Rahman","given":"Mahfuzar","non-dropping-particle":"","parse-names":false,"suffix":""},{"dropping-particle":"","family":"Rahman","given":"Mosiur","non-dropping-particle":"","parse-names":false,"suffix":""},{"dropping-particle":"","family":"Rahmani","given":"Amir Masoud","non-dropping-particle":"","parse-names":false,"suffix":""},{"dropping-particle":"","family":"Ranasinghe","given":"Priyanga","non-dropping-particle":"","parse-names":false,"suffix":""},{"dropping-particle":"","family":"Rao","given":"Chythra R","non-dropping-particle":"","parse-names":false,"suffix":""},{"dropping-particle":"","family":"Rawaf","given":"David Laith","non-dropping-particle":"","parse-names":false,"suffix":""},{"dropping-particle":"","family":"Rawaf","given":"Salman","non-dropping-particle":"","parse-names":false,"suffix":""},{"dropping-particle":"","family":"Reitsma","given":"Marissa B","non-dropping-particle":"","parse-names":false,"suffix":""},{"dropping-particle":"","family":"Remuzzi","given":"Giuseppe","non-dropping-particle":"","parse-names":false,"suffix":""},{"dropping-particle":"","family":"Renzaho","given":"Andre M N","non-dropping-particle":"","parse-names":false,"suffix":""},{"dropping-particle":"","family":"Reta","given":"Melese Abate","non-dropping-particle":"","parse-names":false,"suffix":""},{"dropping-particle":"","family":"Rezaei","given":"Nima","non-dropping-particle":"","parse-names":false,"suffix":""},{"dropping-particle":"","family":"Rezahosseini","given":"Omid","non-dropping-particle":"","parse-names":false,"suffix":""},{"dropping-particle":"","family":"Rezai","given":"Mohammad sadegh","non-dropping-particle":"","parse-names":false,"suffix":""},{"dropping-particle":"","family":"Rezapour","given":"Aziz","non-dropping-particle":"","parse-names":false,"suffix":""},{"dropping-particle":"","family":"Roshandel","given":"Gholamreza","non-dropping-particle":"","parse-names":false,"suffix":""},{"dropping-particle":"","family":"Roshchin","given":"Denis O","non-dropping-particle":"","parse-names":false,"suffix":""},{"dropping-particle":"","family":"Sabour","given":"Siamak","non-dropping-particle":"","parse-names":false,"suffix":""},{"dropping-particle":"","family":"Saif-Ur-Rahman","given":"KM","non-dropping-particle":"","parse-names":false,"suffix":""},{"dropping-particle":"","family":"Salam","given":"Nasir","non-dropping-particle":"","parse-names":false,"suffix":""},{"dropping-particle":"","family":"Samadi Kafil","given":"Hossein","non-dropping-particle":"","parse-names":false,"suffix":""},{"dropping-particle":"","family":"Samaei","given":"Mehrnoosh","non-dropping-particle":"","parse-names":false,"suffix":""},{"dropping-particle":"","family":"Samy","given":"Abdallah M","non-dropping-particle":"","parse-names":false,"suffix":""},{"dropping-particle":"","family":"Saroshe","given":"Satish","non-dropping-particle":"","parse-names":false,"suffix":""},{"dropping-particle":"","family":"Sartorius","given":"Benn","non-dropping-particle":"","parse-names":false,"suffix":""},{"dropping-particle":"","family":"Sathian","given":"Brijesh","non-dropping-particle":"","parse-names":false,"suffix":""},{"dropping-particle":"","family":"Sawyer","given":"Susan M","non-dropping-particle":"","parse-names":false,"suffix":""},{"dropping-particle":"","family":"Senthilkumaran","given":"Subramanian","non-dropping-particle":"","parse-names":false,"suffix":""},{"dropping-particle":"","family":"Seylani","given":"Allen","non-dropping-particle":"","parse-names":false,"suffix":""},{"dropping-particle":"","family":"Shafaat","given":"Omid","non-dropping-particle":"","parse-names":false,"suffix":""},{"dropping-particle":"","family":"Shaikh","given":"Masood Ali","non-dropping-particle":"","parse-names":false,"suffix":""},{"dropping-particle":"","family":"Sharafi","given":"Kiomars","non-dropping-particle":"","parse-names":false,"suffix":""},{"dropping-particle":"","family":"Shetty","given":"Ranjitha S","non-dropping-particle":"","parse-names":false,"suffix":""},{"dropping-particle":"","family":"Shigematsu","given":"Mika","non-dropping-particle":"","parse-names":false,"suffix":""},{"dropping-particle":"Il","family":"Shin","given":"Jae","non-dropping-particle":"","parse-names":false,"suffix":""},{"dropping-particle":"","family":"Silva","given":"João Pedro","non-dropping-particle":"","parse-names":false,"suffix":""},{"dropping-particle":"","family":"Singh","given":"Jitendra Kumar","non-dropping-particle":"","parse-names":false,"suffix":""},{"dropping-particle":"","family":"Sinha","given":"Smriti","non-dropping-particle":"","parse-names":false,"suffix":""},{"dropping-particle":"","family":"Skryabin","given":"Valentin Yurievich","non-dropping-particle":"","parse-names":false,"suffix":""},{"dropping-particle":"","family":"Skryabina","given":"Anna Aleksandrovna","non-dropping-particle":"","parse-names":false,"suffix":""},{"dropping-particle":"","family":"Spurlock","given":"Emma Elizabeth","non-dropping-particle":"","parse-names":false,"suffix":""},{"dropping-particle":"","family":"Sreeramareddy","given":"Chandrashekhar T","non-dropping-particle":"","parse-names":false,"suffix":""},{"dropping-particle":"","family":"Steiropoulos","given":"Paschalis","non-dropping-particle":"","parse-names":false,"suffix":""},{"dropping-particle":"","family":"Sufiyan","given":"Mu'awiyyah Babale","non-dropping-particle":"","parse-names":false,"suffix":""},{"dropping-particle":"","family":"Tabuchi","given":"Takahiro","non-dropping-particle":"","parse-names":false,"suffix":""},{"dropping-particle":"","family":"Tadesse","given":"Eyayou Girma","non-dropping-particle":"","parse-names":false,"suffix":""},{"dropping-particle":"","family":"Tamir","given":"Zemenu","non-dropping-particle":"","parse-names":false,"suffix":""},{"dropping-particle":"","family":"Tarkang","given":"Elvis Enowbeyang","non-dropping-particle":"","parse-names":false,"suffix":""},{"dropping-particle":"","family":"Tekalegn","given":"Yohannes","non-dropping-particle":"","parse-names":false,"suffix":""},{"dropping-particle":"","family":"Tesfay","given":"Fisaha Haile","non-dropping-particle":"","parse-names":false,"suffix":""},{"dropping-particle":"","family":"Tessema","given":"Belay","non-dropping-particle":"","parse-names":false,"suffix":""},{"dropping-particle":"","family":"Thapar","given":"Rekha","non-dropping-particle":"","parse-names":false,"suffix":""},{"dropping-particle":"","family":"Tleyjeh","given":"Imad I","non-dropping-particle":"","parse-names":false,"suffix":""},{"dropping-particle":"","family":"Tobe-Gai","given":"Ruoyan","non-dropping-particle":"","parse-names":false,"suffix":""},{"dropping-particle":"","family":"Tran","given":"Bach Xuan","non-dropping-particle":"","parse-names":false,"suffix":""},{"dropping-particle":"","family":"Tsegaye","given":"Berhan","non-dropping-particle":"","parse-names":false,"suffix":""},{"dropping-particle":"","family":"Tsegaye","given":"Gebiyaw Wudie","non-dropping-particle":"","parse-names":false,"suffix":""},{"dropping-particle":"","family":"Ullah","given":"Anayat","non-dropping-particle":"","parse-names":false,"suffix":""},{"dropping-particle":"","family":"Umeokonkwo","given":"Chukwuma David","non-dropping-particle":"","parse-names":false,"suffix":""},{"dropping-particle":"","family":"Valadan Tahbaz","given":"Sahel","non-dropping-particle":"","parse-names":false,"suffix":""},{"dropping-particle":"","family":"Vo","given":"Bay","non-dropping-particle":"","parse-names":false,"suffix":""},{"dropping-particle":"","family":"Vu","given":"Giang Thu","non-dropping-particle":"","parse-names":false,"suffix":""},{"dropping-particle":"","family":"Waheed","given":"Yasir","non-dropping-particle":"","parse-names":false,"suffix":""},{"dropping-particle":"","family":"Walters","given":"Magdalene K","non-dropping-particle":"","parse-names":false,"suffix":""},{"dropping-particle":"","family":"Whisnant","given":"Joanna L","non-dropping-particle":"","parse-names":false,"suffix":""},{"dropping-particle":"","family":"Woldekidan","given":"Mesfin Agachew","non-dropping-particle":"","parse-names":false,"suffix":""},{"dropping-particle":"","family":"Wubishet","given":"Befikadu Legesse","non-dropping-particle":"","parse-names":false,"suffix":""},{"dropping-particle":"","family":"Yahyazadeh Jabbari","given":"Seyed Hossein","non-dropping-particle":"","parse-names":false,"suffix":""},{"dropping-particle":"","family":"Yazie","given":"Taklo Simeneh Yazie","non-dropping-particle":"","parse-names":false,"suffix":""},{"dropping-particle":"","family":"Yeshaw","given":"Yigizie","non-dropping-particle":"","parse-names":false,"suffix":""},{"dropping-particle":"","family":"Yi","given":"Siyan","non-dropping-particle":"","parse-names":false,"suffix":""},{"dropping-particle":"","family":"Yiğit","given":"Vahit","non-dropping-particle":"","parse-names":false,"suffix":""},{"dropping-particle":"","family":"Yonemoto","given":"Naohiro","non-dropping-particle":"","parse-names":false,"suffix":""},{"dropping-particle":"","family":"Yu","given":"Chuanhua","non-dropping-particle":"","parse-names":false,"suffix":""},{"dropping-particle":"","family":"Yunusa","given":"Ismaeel","non-dropping-particle":"","parse-names":false,"suffix":""},{"dropping-particle":"","family":"Zastrozhin","given":"Mikhail Sergeevich","non-dropping-particle":"","parse-names":false,"suffix":""},{"dropping-particle":"","family":"Zastrozhina","given":"Anasthasia","non-dropping-particle":"","parse-names":false,"suffix":""},{"dropping-particle":"","family":"Zhang","given":"Zhi-Jiang","non-dropping-particle":"","parse-names":false,"suffix":""},{"dropping-particle":"","family":"Zumla","given":"Alimuddin","non-dropping-particle":"","parse-names":false,"suffix":""},{"dropping-particle":"","family":"Mokdad","given":"Ali H","non-dropping-particle":"","parse-names":false,"suffix":""},{"dropping-particle":"","family":"Salomon","given":"Joshua A","non-dropping-particle":"","parse-names":false,"suffix":""},{"dropping-particle":"","family":"Reiner Jr","given":"Robert C","non-dropping-particle":"","parse-names":false,"suffix":""},{"dropping-particle":"","family":"Lim","given":"Stephen S","non-dropping-particle":"","parse-names":false,"suffix":""},{"dropping-particle":"","family":"Naghavi","given":"Mohsen","non-dropping-particle":"","parse-names":false,"suffix":""},{"dropping-particle":"","family":"Vos","given":"Theo","non-dropping-particle":"","parse-names":false,"suffix":""},{"dropping-particle":"","family":"Hay","given":"Simon I","non-dropping-particle":"","parse-names":false,"suffix":""},{"dropping-particle":"","family":"Murray","given":"Christopher J L","non-dropping-particle":"","parse-names":false,"suffix":""},{"dropping-particle":"","family":"Kyu","given":"Hmwe Hmwe","non-dropping-particle":"","parse-names":false,"suffix":""}],"container-title":"The Lancet Infectious Diseases","id":"ITEM-1","issue":"21","issued":{"date-parts":[["2021"]]},"page":"1-20","title":"Global, regional, and national sex differences in the global burden of tuberculosis by HIV status, 1990–2019: results from the Global Burden of Disease Study 2019","type":"article-journal","volume":"3099"},"uris":["http://www.mendeley.com/documents/?uuid=c9821754-811b-47c0-83ed-a22596cd482c"]}],"mendeley":{"formattedCitation":"(134)","plainTextFormattedCitation":"(134)","previouslyFormattedCitation":"(134)"},"properties":{"noteIndex":0},"schema":"https://github.com/citation-style-language/schema/raw/master/csl-citation.json"}</w:instrText>
      </w:r>
      <w:r w:rsidR="00012D47" w:rsidRPr="00435469">
        <w:rPr>
          <w:szCs w:val="20"/>
        </w:rPr>
        <w:fldChar w:fldCharType="separate"/>
      </w:r>
      <w:r w:rsidR="0016391D" w:rsidRPr="00435469">
        <w:rPr>
          <w:noProof/>
          <w:szCs w:val="20"/>
        </w:rPr>
        <w:t>(134)</w:t>
      </w:r>
      <w:r w:rsidR="00012D47" w:rsidRPr="00435469">
        <w:rPr>
          <w:szCs w:val="20"/>
        </w:rPr>
        <w:fldChar w:fldCharType="end"/>
      </w:r>
      <w:r w:rsidR="00012D47" w:rsidRPr="00435469">
        <w:rPr>
          <w:szCs w:val="20"/>
        </w:rPr>
        <w:t>; 2020 WHO TB r</w:t>
      </w:r>
      <w:r w:rsidR="00D8286A" w:rsidRPr="00435469">
        <w:rPr>
          <w:szCs w:val="20"/>
        </w:rPr>
        <w:t>eport</w:t>
      </w:r>
      <w:r w:rsidR="00012D47" w:rsidRPr="00435469">
        <w:rPr>
          <w:szCs w:val="20"/>
        </w:rPr>
        <w:t xml:space="preserve"> </w:t>
      </w:r>
      <w:r w:rsidR="00012D47" w:rsidRPr="00435469">
        <w:rPr>
          <w:szCs w:val="20"/>
        </w:rPr>
        <w:fldChar w:fldCharType="begin" w:fldLock="1"/>
      </w:r>
      <w:r w:rsidR="00650727" w:rsidRPr="00435469">
        <w:rPr>
          <w:szCs w:val="20"/>
        </w:rPr>
        <w:instrText>ADDIN CSL_CITATION {"citationItems":[{"id":"ITEM-1","itemData":{"ISBN":"978-92-4-001313-1","id":"ITEM-1","issued":{"date-parts":[["2020"]]},"publisher-place":"Geneva: World Health Organization; 2020","title":"World Health Organization. Global Tuberculosis Report, 2020","type":"report"},"uris":["http://www.mendeley.com/documents/?uuid=1e49d534-4bbd-4b07-a44c-38383625af56"]}],"mendeley":{"formattedCitation":"(133)","plainTextFormattedCitation":"(133)","previouslyFormattedCitation":"(133)"},"properties":{"noteIndex":0},"schema":"https://github.com/citation-style-language/schema/raw/master/csl-citation.json"}</w:instrText>
      </w:r>
      <w:r w:rsidR="00012D47" w:rsidRPr="00435469">
        <w:rPr>
          <w:szCs w:val="20"/>
        </w:rPr>
        <w:fldChar w:fldCharType="separate"/>
      </w:r>
      <w:r w:rsidR="0016391D" w:rsidRPr="00435469">
        <w:rPr>
          <w:noProof/>
          <w:szCs w:val="20"/>
        </w:rPr>
        <w:t>(133)</w:t>
      </w:r>
      <w:r w:rsidR="00012D47" w:rsidRPr="00435469">
        <w:rPr>
          <w:szCs w:val="20"/>
        </w:rPr>
        <w:fldChar w:fldCharType="end"/>
      </w:r>
      <w:r w:rsidR="00012D47" w:rsidRPr="00435469">
        <w:rPr>
          <w:szCs w:val="20"/>
        </w:rPr>
        <w:t xml:space="preserve">. Note: both WHO and IHME report for all ages, whereas for </w:t>
      </w:r>
      <w:proofErr w:type="spellStart"/>
      <w:r w:rsidR="00012D47" w:rsidRPr="00435469">
        <w:rPr>
          <w:szCs w:val="20"/>
        </w:rPr>
        <w:t>Thembisa</w:t>
      </w:r>
      <w:proofErr w:type="spellEnd"/>
      <w:r w:rsidR="00012D47" w:rsidRPr="00435469">
        <w:rPr>
          <w:szCs w:val="20"/>
        </w:rPr>
        <w:t>, we report for adults only (15</w:t>
      </w:r>
      <w:r w:rsidR="00034899" w:rsidRPr="00435469">
        <w:rPr>
          <w:szCs w:val="20"/>
        </w:rPr>
        <w:t>+</w:t>
      </w:r>
      <w:r w:rsidR="00012D47" w:rsidRPr="00435469">
        <w:rPr>
          <w:szCs w:val="20"/>
        </w:rPr>
        <w:t xml:space="preserve"> years). </w:t>
      </w:r>
      <w:r w:rsidR="00D8286A" w:rsidRPr="00435469">
        <w:rPr>
          <w:rFonts w:cs="Times New Roman"/>
          <w:szCs w:val="20"/>
        </w:rPr>
        <w:t>⁋</w:t>
      </w:r>
      <w:r w:rsidR="00D8286A" w:rsidRPr="00435469">
        <w:rPr>
          <w:szCs w:val="20"/>
        </w:rPr>
        <w:t>IMHE figures obtained from summing HIV-sex-disaggregated data. *WHO sex-specific data obtained from reading a graph so may not be the exact.</w:t>
      </w:r>
    </w:p>
    <w:p w14:paraId="6C6A7460" w14:textId="75F0480D" w:rsidR="00B875E1" w:rsidRPr="00435469" w:rsidRDefault="006D3675" w:rsidP="00955FFB">
      <w:pPr>
        <w:pStyle w:val="1Para"/>
        <w:spacing w:line="240" w:lineRule="auto"/>
        <w:ind w:firstLine="0"/>
        <w:rPr>
          <w:sz w:val="20"/>
          <w:szCs w:val="20"/>
        </w:rPr>
      </w:pPr>
      <w:r w:rsidRPr="00435469">
        <w:rPr>
          <w:sz w:val="20"/>
          <w:szCs w:val="20"/>
        </w:rPr>
        <w:t xml:space="preserve">Another apparent difference </w:t>
      </w:r>
      <w:r w:rsidR="009D5616" w:rsidRPr="00435469">
        <w:rPr>
          <w:sz w:val="20"/>
          <w:szCs w:val="20"/>
        </w:rPr>
        <w:t xml:space="preserve">between our estimates and the </w:t>
      </w:r>
      <w:r w:rsidRPr="00435469">
        <w:rPr>
          <w:sz w:val="20"/>
          <w:szCs w:val="20"/>
        </w:rPr>
        <w:t>IHME</w:t>
      </w:r>
      <w:r w:rsidR="00AB419C" w:rsidRPr="00435469">
        <w:rPr>
          <w:sz w:val="20"/>
          <w:szCs w:val="20"/>
        </w:rPr>
        <w:t>s was that</w:t>
      </w:r>
      <w:r w:rsidR="00CD1032" w:rsidRPr="00435469">
        <w:rPr>
          <w:sz w:val="20"/>
          <w:szCs w:val="20"/>
        </w:rPr>
        <w:t xml:space="preserve"> the IMHE</w:t>
      </w:r>
      <w:r w:rsidRPr="00435469">
        <w:rPr>
          <w:sz w:val="20"/>
          <w:szCs w:val="20"/>
        </w:rPr>
        <w:t xml:space="preserve"> estimated </w:t>
      </w:r>
      <w:r w:rsidR="00937CD3" w:rsidRPr="00435469">
        <w:rPr>
          <w:sz w:val="20"/>
          <w:szCs w:val="20"/>
        </w:rPr>
        <w:t xml:space="preserve">a </w:t>
      </w:r>
      <w:r w:rsidRPr="00435469">
        <w:rPr>
          <w:sz w:val="20"/>
          <w:szCs w:val="20"/>
        </w:rPr>
        <w:t>relatively</w:t>
      </w:r>
      <w:r w:rsidR="004A2024" w:rsidRPr="00435469">
        <w:rPr>
          <w:sz w:val="20"/>
          <w:szCs w:val="20"/>
        </w:rPr>
        <w:t xml:space="preserve"> low</w:t>
      </w:r>
      <w:r w:rsidRPr="00435469">
        <w:rPr>
          <w:sz w:val="20"/>
          <w:szCs w:val="20"/>
        </w:rPr>
        <w:t xml:space="preserve"> </w:t>
      </w:r>
      <w:r w:rsidR="00EB4516" w:rsidRPr="00435469">
        <w:rPr>
          <w:sz w:val="20"/>
          <w:szCs w:val="20"/>
        </w:rPr>
        <w:t xml:space="preserve">proportion </w:t>
      </w:r>
      <w:r w:rsidR="009D26BE" w:rsidRPr="00435469">
        <w:rPr>
          <w:sz w:val="20"/>
          <w:szCs w:val="20"/>
        </w:rPr>
        <w:t>of TB</w:t>
      </w:r>
      <w:r w:rsidRPr="00435469">
        <w:rPr>
          <w:sz w:val="20"/>
          <w:szCs w:val="20"/>
        </w:rPr>
        <w:t xml:space="preserve"> incidence in HIV-positive</w:t>
      </w:r>
      <w:r w:rsidR="00EB4516" w:rsidRPr="00435469">
        <w:rPr>
          <w:sz w:val="20"/>
          <w:szCs w:val="20"/>
        </w:rPr>
        <w:t xml:space="preserve"> </w:t>
      </w:r>
      <w:r w:rsidR="00034899" w:rsidRPr="00435469">
        <w:rPr>
          <w:sz w:val="20"/>
          <w:szCs w:val="20"/>
        </w:rPr>
        <w:t>individuals (48%)</w:t>
      </w:r>
      <w:r w:rsidR="00FD4E4A" w:rsidRPr="00435469">
        <w:rPr>
          <w:sz w:val="20"/>
          <w:szCs w:val="20"/>
        </w:rPr>
        <w:t>.</w:t>
      </w:r>
      <w:r w:rsidRPr="00435469">
        <w:rPr>
          <w:sz w:val="20"/>
          <w:szCs w:val="20"/>
        </w:rPr>
        <w:t xml:space="preserve"> In contrast, the WHO and </w:t>
      </w:r>
      <w:proofErr w:type="spellStart"/>
      <w:r w:rsidRPr="00435469">
        <w:rPr>
          <w:sz w:val="20"/>
          <w:szCs w:val="20"/>
        </w:rPr>
        <w:t>Thembisa</w:t>
      </w:r>
      <w:proofErr w:type="spellEnd"/>
      <w:r w:rsidRPr="00435469">
        <w:rPr>
          <w:sz w:val="20"/>
          <w:szCs w:val="20"/>
        </w:rPr>
        <w:t xml:space="preserve"> TB/HIV estimated a higher proportion of TB </w:t>
      </w:r>
      <w:r w:rsidR="00223758" w:rsidRPr="00435469">
        <w:rPr>
          <w:sz w:val="20"/>
          <w:szCs w:val="20"/>
        </w:rPr>
        <w:t xml:space="preserve">cases </w:t>
      </w:r>
      <w:r w:rsidRPr="00435469">
        <w:rPr>
          <w:sz w:val="20"/>
          <w:szCs w:val="20"/>
        </w:rPr>
        <w:t>in HIV-</w:t>
      </w:r>
      <w:r w:rsidR="004171D9" w:rsidRPr="00435469">
        <w:rPr>
          <w:sz w:val="20"/>
          <w:szCs w:val="20"/>
        </w:rPr>
        <w:t>positive</w:t>
      </w:r>
      <w:r w:rsidRPr="00435469">
        <w:rPr>
          <w:sz w:val="20"/>
          <w:szCs w:val="20"/>
        </w:rPr>
        <w:t xml:space="preserve"> individuals, with proportions of 58% and </w:t>
      </w:r>
      <w:r w:rsidR="0041291A" w:rsidRPr="00435469">
        <w:rPr>
          <w:sz w:val="20"/>
          <w:szCs w:val="20"/>
        </w:rPr>
        <w:t>57%</w:t>
      </w:r>
      <w:r w:rsidRPr="00435469">
        <w:rPr>
          <w:sz w:val="20"/>
          <w:szCs w:val="20"/>
        </w:rPr>
        <w:t>, respectively.</w:t>
      </w:r>
      <w:r w:rsidR="002760FB" w:rsidRPr="00435469">
        <w:rPr>
          <w:sz w:val="20"/>
          <w:szCs w:val="20"/>
        </w:rPr>
        <w:t xml:space="preserve"> F</w:t>
      </w:r>
      <w:r w:rsidRPr="00435469">
        <w:rPr>
          <w:sz w:val="20"/>
          <w:szCs w:val="20"/>
        </w:rPr>
        <w:t xml:space="preserve">or mortality, all models estimated a </w:t>
      </w:r>
      <w:r w:rsidR="00034899" w:rsidRPr="00435469">
        <w:rPr>
          <w:sz w:val="20"/>
          <w:szCs w:val="20"/>
        </w:rPr>
        <w:t xml:space="preserve">similarly high </w:t>
      </w:r>
      <w:r w:rsidRPr="00435469">
        <w:rPr>
          <w:sz w:val="20"/>
          <w:szCs w:val="20"/>
        </w:rPr>
        <w:t>proportion of TB deaths in HIV-positive individuals</w:t>
      </w:r>
      <w:r w:rsidR="00034899" w:rsidRPr="00435469">
        <w:rPr>
          <w:sz w:val="20"/>
          <w:szCs w:val="20"/>
        </w:rPr>
        <w:t xml:space="preserve"> (62-67%)</w:t>
      </w:r>
      <w:r w:rsidR="00104F2F" w:rsidRPr="00435469">
        <w:rPr>
          <w:sz w:val="20"/>
          <w:szCs w:val="20"/>
        </w:rPr>
        <w:t>.</w:t>
      </w:r>
    </w:p>
    <w:p w14:paraId="0D0C9678" w14:textId="20D026BA" w:rsidR="00DB3131" w:rsidRPr="00435469" w:rsidRDefault="00DB3131" w:rsidP="00955FFB">
      <w:pPr>
        <w:pStyle w:val="1Para"/>
        <w:spacing w:line="240" w:lineRule="auto"/>
        <w:ind w:firstLine="0"/>
        <w:rPr>
          <w:i/>
          <w:iCs/>
          <w:sz w:val="20"/>
          <w:szCs w:val="20"/>
          <w:u w:val="single"/>
        </w:rPr>
      </w:pPr>
      <w:r w:rsidRPr="00435469">
        <w:rPr>
          <w:i/>
          <w:iCs/>
          <w:sz w:val="20"/>
          <w:szCs w:val="20"/>
          <w:u w:val="single"/>
        </w:rPr>
        <w:t xml:space="preserve">Sex differences </w:t>
      </w:r>
    </w:p>
    <w:p w14:paraId="667EE87A" w14:textId="0D8A3926" w:rsidR="000744C1" w:rsidRPr="00435469" w:rsidRDefault="00DB3131" w:rsidP="00955FFB">
      <w:pPr>
        <w:pStyle w:val="1Para"/>
        <w:spacing w:line="240" w:lineRule="auto"/>
        <w:ind w:firstLine="0"/>
        <w:rPr>
          <w:sz w:val="20"/>
          <w:szCs w:val="20"/>
        </w:rPr>
      </w:pPr>
      <w:r w:rsidRPr="00435469">
        <w:rPr>
          <w:sz w:val="20"/>
          <w:szCs w:val="20"/>
        </w:rPr>
        <w:t xml:space="preserve">For 2019, the WHO and </w:t>
      </w:r>
      <w:proofErr w:type="spellStart"/>
      <w:r w:rsidRPr="00435469">
        <w:rPr>
          <w:sz w:val="20"/>
          <w:szCs w:val="20"/>
        </w:rPr>
        <w:t>Thembisa</w:t>
      </w:r>
      <w:proofErr w:type="spellEnd"/>
      <w:r w:rsidRPr="00435469">
        <w:rPr>
          <w:sz w:val="20"/>
          <w:szCs w:val="20"/>
        </w:rPr>
        <w:t xml:space="preserve"> TB/HIV model estimated a high </w:t>
      </w:r>
      <w:r w:rsidR="00223758" w:rsidRPr="00435469">
        <w:rPr>
          <w:sz w:val="20"/>
          <w:szCs w:val="20"/>
        </w:rPr>
        <w:t>proportion of TB cases</w:t>
      </w:r>
      <w:r w:rsidRPr="00435469">
        <w:rPr>
          <w:sz w:val="20"/>
          <w:szCs w:val="20"/>
        </w:rPr>
        <w:t xml:space="preserve"> in males with </w:t>
      </w:r>
      <w:r w:rsidR="009E7885" w:rsidRPr="00435469">
        <w:rPr>
          <w:sz w:val="20"/>
          <w:szCs w:val="20"/>
        </w:rPr>
        <w:t>59</w:t>
      </w:r>
      <w:r w:rsidRPr="00435469">
        <w:rPr>
          <w:sz w:val="20"/>
          <w:szCs w:val="20"/>
        </w:rPr>
        <w:t xml:space="preserve">% and </w:t>
      </w:r>
      <w:r w:rsidR="009E7885" w:rsidRPr="00435469">
        <w:rPr>
          <w:sz w:val="20"/>
          <w:szCs w:val="20"/>
        </w:rPr>
        <w:t>60</w:t>
      </w:r>
      <w:r w:rsidRPr="00435469">
        <w:rPr>
          <w:sz w:val="20"/>
          <w:szCs w:val="20"/>
        </w:rPr>
        <w:t xml:space="preserve">%, </w:t>
      </w:r>
      <w:r w:rsidR="001918C6" w:rsidRPr="00435469">
        <w:rPr>
          <w:sz w:val="20"/>
          <w:szCs w:val="20"/>
        </w:rPr>
        <w:t>respectively,</w:t>
      </w:r>
      <w:r w:rsidRPr="00435469">
        <w:rPr>
          <w:sz w:val="20"/>
          <w:szCs w:val="20"/>
        </w:rPr>
        <w:t xml:space="preserve"> whereas the IMHE estimated a lower </w:t>
      </w:r>
      <w:r w:rsidR="00223758" w:rsidRPr="00435469">
        <w:rPr>
          <w:sz w:val="20"/>
          <w:szCs w:val="20"/>
        </w:rPr>
        <w:t xml:space="preserve">proportion of TB cases </w:t>
      </w:r>
      <w:r w:rsidRPr="00435469">
        <w:rPr>
          <w:sz w:val="20"/>
          <w:szCs w:val="20"/>
        </w:rPr>
        <w:t>in males</w:t>
      </w:r>
      <w:r w:rsidR="00034899" w:rsidRPr="00435469">
        <w:rPr>
          <w:sz w:val="20"/>
          <w:szCs w:val="20"/>
        </w:rPr>
        <w:t>,</w:t>
      </w:r>
      <w:r w:rsidRPr="00435469">
        <w:rPr>
          <w:sz w:val="20"/>
          <w:szCs w:val="20"/>
        </w:rPr>
        <w:t xml:space="preserve"> 42%</w:t>
      </w:r>
      <w:r w:rsidR="0036617C" w:rsidRPr="00435469">
        <w:rPr>
          <w:sz w:val="20"/>
          <w:szCs w:val="20"/>
        </w:rPr>
        <w:t xml:space="preserve"> </w:t>
      </w:r>
      <w:r w:rsidR="00CF526B" w:rsidRPr="00435469">
        <w:rPr>
          <w:sz w:val="20"/>
          <w:szCs w:val="20"/>
        </w:rPr>
        <w:t>(</w:t>
      </w:r>
      <w:r w:rsidR="0036617C" w:rsidRPr="00435469">
        <w:rPr>
          <w:sz w:val="20"/>
          <w:szCs w:val="20"/>
        </w:rPr>
        <w:fldChar w:fldCharType="begin"/>
      </w:r>
      <w:r w:rsidR="0036617C" w:rsidRPr="00435469">
        <w:rPr>
          <w:sz w:val="20"/>
          <w:szCs w:val="20"/>
        </w:rPr>
        <w:instrText xml:space="preserve"> REF _Ref101935364 \h </w:instrText>
      </w:r>
      <w:r w:rsidR="00955FFB" w:rsidRPr="00435469">
        <w:rPr>
          <w:sz w:val="20"/>
          <w:szCs w:val="20"/>
        </w:rPr>
        <w:instrText xml:space="preserve"> \* MERGEFORMAT </w:instrText>
      </w:r>
      <w:r w:rsidR="0036617C" w:rsidRPr="00435469">
        <w:rPr>
          <w:sz w:val="20"/>
          <w:szCs w:val="20"/>
        </w:rPr>
      </w:r>
      <w:r w:rsidR="0036617C" w:rsidRPr="00435469">
        <w:rPr>
          <w:sz w:val="20"/>
          <w:szCs w:val="20"/>
        </w:rPr>
        <w:fldChar w:fldCharType="separate"/>
      </w:r>
      <w:r w:rsidR="00186C2F" w:rsidRPr="00435469">
        <w:rPr>
          <w:sz w:val="20"/>
          <w:szCs w:val="20"/>
        </w:rPr>
        <w:t xml:space="preserve">Table </w:t>
      </w:r>
      <w:r w:rsidR="00186C2F" w:rsidRPr="00435469">
        <w:rPr>
          <w:noProof/>
          <w:sz w:val="20"/>
          <w:szCs w:val="20"/>
        </w:rPr>
        <w:t>27</w:t>
      </w:r>
      <w:r w:rsidR="0036617C" w:rsidRPr="00435469">
        <w:rPr>
          <w:sz w:val="20"/>
          <w:szCs w:val="20"/>
        </w:rPr>
        <w:fldChar w:fldCharType="end"/>
      </w:r>
      <w:r w:rsidR="00CF526B" w:rsidRPr="00435469">
        <w:rPr>
          <w:sz w:val="20"/>
          <w:szCs w:val="20"/>
        </w:rPr>
        <w:t>)</w:t>
      </w:r>
      <w:r w:rsidRPr="00435469">
        <w:rPr>
          <w:sz w:val="20"/>
          <w:szCs w:val="20"/>
        </w:rPr>
        <w:t xml:space="preserve">. There was however some consistency between our model and the IHME’s </w:t>
      </w:r>
      <w:r w:rsidR="00034899" w:rsidRPr="00435469">
        <w:rPr>
          <w:sz w:val="20"/>
          <w:szCs w:val="20"/>
        </w:rPr>
        <w:t xml:space="preserve">estimates </w:t>
      </w:r>
      <w:r w:rsidRPr="00435469">
        <w:rPr>
          <w:sz w:val="20"/>
          <w:szCs w:val="20"/>
        </w:rPr>
        <w:t xml:space="preserve">for mortality, with </w:t>
      </w:r>
      <w:r w:rsidR="00C664CF" w:rsidRPr="00435469">
        <w:rPr>
          <w:sz w:val="20"/>
          <w:szCs w:val="20"/>
        </w:rPr>
        <w:t xml:space="preserve">both models estimating a </w:t>
      </w:r>
      <w:r w:rsidRPr="00435469">
        <w:rPr>
          <w:sz w:val="20"/>
          <w:szCs w:val="20"/>
        </w:rPr>
        <w:t xml:space="preserve">higher </w:t>
      </w:r>
      <w:r w:rsidR="00C664CF" w:rsidRPr="00435469">
        <w:rPr>
          <w:sz w:val="20"/>
          <w:szCs w:val="20"/>
        </w:rPr>
        <w:t xml:space="preserve">proportion of TB deaths </w:t>
      </w:r>
      <w:r w:rsidRPr="00435469">
        <w:rPr>
          <w:sz w:val="20"/>
          <w:szCs w:val="20"/>
        </w:rPr>
        <w:t>in males than</w:t>
      </w:r>
      <w:r w:rsidR="00C664CF" w:rsidRPr="00435469">
        <w:rPr>
          <w:sz w:val="20"/>
          <w:szCs w:val="20"/>
        </w:rPr>
        <w:t xml:space="preserve"> in</w:t>
      </w:r>
      <w:r w:rsidRPr="00435469">
        <w:rPr>
          <w:sz w:val="20"/>
          <w:szCs w:val="20"/>
        </w:rPr>
        <w:t xml:space="preserve"> females. The WHO did not report mortality by sex. </w:t>
      </w:r>
      <w:bookmarkStart w:id="400" w:name="_Ref89697963"/>
    </w:p>
    <w:p w14:paraId="4AE00BA1" w14:textId="166077CA" w:rsidR="006D3675" w:rsidRPr="00435469" w:rsidRDefault="006D3675" w:rsidP="00AD6E54">
      <w:pPr>
        <w:pStyle w:val="3TableHead"/>
      </w:pPr>
      <w:bookmarkStart w:id="401" w:name="_Ref101935364"/>
      <w:bookmarkStart w:id="402" w:name="_Toc103253680"/>
      <w:r w:rsidRPr="00435469">
        <w:t xml:space="preserve">Table </w:t>
      </w:r>
      <w:r w:rsidR="00AB530B" w:rsidRPr="00435469">
        <w:fldChar w:fldCharType="begin"/>
      </w:r>
      <w:r w:rsidR="00AB530B" w:rsidRPr="00435469">
        <w:instrText xml:space="preserve"> SEQ Table \* ARABIC </w:instrText>
      </w:r>
      <w:r w:rsidR="00AB530B" w:rsidRPr="00435469">
        <w:fldChar w:fldCharType="separate"/>
      </w:r>
      <w:r w:rsidR="00186C2F" w:rsidRPr="00435469">
        <w:rPr>
          <w:noProof/>
        </w:rPr>
        <w:t>27</w:t>
      </w:r>
      <w:r w:rsidR="00AB530B" w:rsidRPr="00435469">
        <w:rPr>
          <w:noProof/>
        </w:rPr>
        <w:fldChar w:fldCharType="end"/>
      </w:r>
      <w:bookmarkEnd w:id="400"/>
      <w:bookmarkEnd w:id="401"/>
      <w:r w:rsidRPr="00435469">
        <w:t>:</w:t>
      </w:r>
      <w:r w:rsidR="00EF5909" w:rsidRPr="00435469">
        <w:t xml:space="preserve"> </w:t>
      </w:r>
      <w:r w:rsidRPr="00435469">
        <w:t>Comparison of 2019 tuberculosis disease burden estimates by the three models</w:t>
      </w:r>
      <w:r w:rsidR="00853568" w:rsidRPr="00435469">
        <w:t>, by sex</w:t>
      </w:r>
      <w:r w:rsidRPr="00435469">
        <w:t xml:space="preserve">: </w:t>
      </w:r>
      <w:proofErr w:type="spellStart"/>
      <w:r w:rsidR="00502E0C" w:rsidRPr="00435469">
        <w:t>Thembisa</w:t>
      </w:r>
      <w:proofErr w:type="spellEnd"/>
      <w:r w:rsidR="00502E0C" w:rsidRPr="00435469">
        <w:t xml:space="preserve"> TB/HIV, the Institute for Health Metrics and Evaluation and the World Health Organization</w:t>
      </w:r>
      <w:bookmarkEnd w:id="402"/>
    </w:p>
    <w:tbl>
      <w:tblPr>
        <w:tblW w:w="8616" w:type="dxa"/>
        <w:tblLook w:val="04A0" w:firstRow="1" w:lastRow="0" w:firstColumn="1" w:lastColumn="0" w:noHBand="0" w:noVBand="1"/>
      </w:tblPr>
      <w:tblGrid>
        <w:gridCol w:w="2410"/>
        <w:gridCol w:w="2040"/>
        <w:gridCol w:w="2662"/>
        <w:gridCol w:w="1504"/>
      </w:tblGrid>
      <w:tr w:rsidR="0061685C" w:rsidRPr="00435469" w14:paraId="4251F82A" w14:textId="77777777" w:rsidTr="00335CE6">
        <w:trPr>
          <w:trHeight w:val="254"/>
        </w:trPr>
        <w:tc>
          <w:tcPr>
            <w:tcW w:w="2410" w:type="dxa"/>
            <w:tcBorders>
              <w:top w:val="single" w:sz="4" w:space="0" w:color="auto"/>
              <w:bottom w:val="single" w:sz="4" w:space="0" w:color="auto"/>
            </w:tcBorders>
            <w:shd w:val="clear" w:color="auto" w:fill="auto"/>
            <w:noWrap/>
            <w:vAlign w:val="center"/>
            <w:hideMark/>
          </w:tcPr>
          <w:p w14:paraId="102B0EFD" w14:textId="77777777" w:rsidR="006D3675" w:rsidRPr="00435469" w:rsidRDefault="006D3675"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w:t>
            </w:r>
          </w:p>
        </w:tc>
        <w:tc>
          <w:tcPr>
            <w:tcW w:w="2040" w:type="dxa"/>
            <w:tcBorders>
              <w:top w:val="single" w:sz="4" w:space="0" w:color="auto"/>
              <w:bottom w:val="single" w:sz="4" w:space="0" w:color="auto"/>
            </w:tcBorders>
            <w:shd w:val="clear" w:color="auto" w:fill="auto"/>
            <w:noWrap/>
            <w:vAlign w:val="center"/>
            <w:hideMark/>
          </w:tcPr>
          <w:p w14:paraId="5EEAAED0" w14:textId="0A20E956" w:rsidR="006D3675" w:rsidRPr="00435469" w:rsidRDefault="006D3675" w:rsidP="00955FFB">
            <w:pPr>
              <w:spacing w:after="0" w:line="240" w:lineRule="auto"/>
              <w:jc w:val="center"/>
              <w:rPr>
                <w:rFonts w:eastAsia="Times New Roman" w:cs="Times New Roman"/>
                <w:b/>
                <w:bCs/>
                <w:sz w:val="16"/>
                <w:szCs w:val="16"/>
                <w:lang w:val="en-ZA" w:eastAsia="en-ZA"/>
              </w:rPr>
            </w:pPr>
            <w:proofErr w:type="spellStart"/>
            <w:r w:rsidRPr="00435469">
              <w:rPr>
                <w:rFonts w:eastAsia="Times New Roman" w:cs="Times New Roman"/>
                <w:b/>
                <w:bCs/>
                <w:sz w:val="16"/>
                <w:szCs w:val="16"/>
                <w:lang w:val="en-ZA" w:eastAsia="en-ZA"/>
              </w:rPr>
              <w:t>Thembisa</w:t>
            </w:r>
            <w:proofErr w:type="spellEnd"/>
            <w:r w:rsidRPr="00435469">
              <w:rPr>
                <w:rFonts w:eastAsia="Times New Roman" w:cs="Times New Roman"/>
                <w:b/>
                <w:bCs/>
                <w:sz w:val="16"/>
                <w:szCs w:val="16"/>
                <w:lang w:val="en-ZA" w:eastAsia="en-ZA"/>
              </w:rPr>
              <w:t xml:space="preserve"> TB/HIV</w:t>
            </w:r>
          </w:p>
        </w:tc>
        <w:tc>
          <w:tcPr>
            <w:tcW w:w="2662" w:type="dxa"/>
            <w:tcBorders>
              <w:top w:val="single" w:sz="4" w:space="0" w:color="auto"/>
              <w:bottom w:val="single" w:sz="4" w:space="0" w:color="auto"/>
            </w:tcBorders>
            <w:shd w:val="clear" w:color="auto" w:fill="auto"/>
            <w:noWrap/>
            <w:vAlign w:val="center"/>
            <w:hideMark/>
          </w:tcPr>
          <w:p w14:paraId="6C415686" w14:textId="48967472" w:rsidR="006D3675" w:rsidRPr="00435469" w:rsidRDefault="006D3675"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IMHE</w:t>
            </w:r>
            <w:r w:rsidR="00574E0B" w:rsidRPr="00435469">
              <w:rPr>
                <w:rFonts w:cs="Times New Roman"/>
                <w:sz w:val="16"/>
                <w:szCs w:val="16"/>
              </w:rPr>
              <w:t>⁋</w:t>
            </w:r>
          </w:p>
        </w:tc>
        <w:tc>
          <w:tcPr>
            <w:tcW w:w="1504" w:type="dxa"/>
            <w:tcBorders>
              <w:top w:val="single" w:sz="4" w:space="0" w:color="auto"/>
              <w:bottom w:val="single" w:sz="4" w:space="0" w:color="auto"/>
            </w:tcBorders>
            <w:shd w:val="clear" w:color="auto" w:fill="auto"/>
            <w:noWrap/>
            <w:vAlign w:val="center"/>
            <w:hideMark/>
          </w:tcPr>
          <w:p w14:paraId="21A14147" w14:textId="77777777" w:rsidR="006D3675" w:rsidRPr="00435469" w:rsidRDefault="006D3675" w:rsidP="00955FFB">
            <w:pPr>
              <w:spacing w:after="0" w:line="240" w:lineRule="auto"/>
              <w:jc w:val="center"/>
              <w:rPr>
                <w:rFonts w:eastAsia="Times New Roman" w:cs="Times New Roman"/>
                <w:b/>
                <w:bCs/>
                <w:sz w:val="16"/>
                <w:szCs w:val="16"/>
                <w:lang w:val="en-ZA" w:eastAsia="en-ZA"/>
              </w:rPr>
            </w:pPr>
            <w:r w:rsidRPr="00435469">
              <w:rPr>
                <w:rFonts w:eastAsia="Times New Roman" w:cs="Times New Roman"/>
                <w:b/>
                <w:bCs/>
                <w:sz w:val="16"/>
                <w:szCs w:val="16"/>
                <w:lang w:val="en-ZA" w:eastAsia="en-ZA"/>
              </w:rPr>
              <w:t>WHO*</w:t>
            </w:r>
          </w:p>
        </w:tc>
      </w:tr>
      <w:tr w:rsidR="0061685C" w:rsidRPr="00435469" w14:paraId="33495C05" w14:textId="77777777" w:rsidTr="00335CE6">
        <w:trPr>
          <w:trHeight w:val="254"/>
        </w:trPr>
        <w:tc>
          <w:tcPr>
            <w:tcW w:w="2410" w:type="dxa"/>
            <w:tcBorders>
              <w:top w:val="single" w:sz="4" w:space="0" w:color="auto"/>
              <w:bottom w:val="single" w:sz="4" w:space="0" w:color="auto"/>
            </w:tcBorders>
            <w:shd w:val="clear" w:color="auto" w:fill="auto"/>
            <w:vAlign w:val="center"/>
            <w:hideMark/>
          </w:tcPr>
          <w:p w14:paraId="5DAA4603" w14:textId="20D936FF" w:rsidR="006D3675" w:rsidRPr="00435469" w:rsidRDefault="00ED3326"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eastAsia="en-ZA"/>
              </w:rPr>
              <w:t>New tuberculosis cases</w:t>
            </w:r>
          </w:p>
        </w:tc>
        <w:tc>
          <w:tcPr>
            <w:tcW w:w="2040" w:type="dxa"/>
            <w:tcBorders>
              <w:top w:val="single" w:sz="4" w:space="0" w:color="auto"/>
            </w:tcBorders>
            <w:shd w:val="clear" w:color="auto" w:fill="auto"/>
            <w:vAlign w:val="center"/>
            <w:hideMark/>
          </w:tcPr>
          <w:p w14:paraId="684CCA5D"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w:t>
            </w:r>
          </w:p>
        </w:tc>
        <w:tc>
          <w:tcPr>
            <w:tcW w:w="2662" w:type="dxa"/>
            <w:tcBorders>
              <w:top w:val="single" w:sz="4" w:space="0" w:color="auto"/>
            </w:tcBorders>
            <w:shd w:val="clear" w:color="auto" w:fill="auto"/>
            <w:vAlign w:val="center"/>
            <w:hideMark/>
          </w:tcPr>
          <w:p w14:paraId="64FC337D"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 </w:t>
            </w:r>
          </w:p>
        </w:tc>
        <w:tc>
          <w:tcPr>
            <w:tcW w:w="1504" w:type="dxa"/>
            <w:tcBorders>
              <w:top w:val="single" w:sz="4" w:space="0" w:color="auto"/>
            </w:tcBorders>
            <w:shd w:val="clear" w:color="auto" w:fill="auto"/>
            <w:vAlign w:val="center"/>
            <w:hideMark/>
          </w:tcPr>
          <w:p w14:paraId="3A503D38" w14:textId="77777777" w:rsidR="006D3675" w:rsidRPr="00435469" w:rsidRDefault="006D3675" w:rsidP="00955FFB">
            <w:pPr>
              <w:spacing w:after="0" w:line="240" w:lineRule="auto"/>
              <w:jc w:val="center"/>
              <w:rPr>
                <w:rFonts w:eastAsia="Times New Roman" w:cs="Times New Roman"/>
                <w:sz w:val="16"/>
                <w:szCs w:val="16"/>
                <w:lang w:val="en-ZA" w:eastAsia="en-ZA"/>
              </w:rPr>
            </w:pPr>
          </w:p>
        </w:tc>
      </w:tr>
      <w:tr w:rsidR="0061685C" w:rsidRPr="00435469" w14:paraId="2D840E75" w14:textId="77777777" w:rsidTr="00335CE6">
        <w:trPr>
          <w:trHeight w:val="254"/>
        </w:trPr>
        <w:tc>
          <w:tcPr>
            <w:tcW w:w="2410" w:type="dxa"/>
            <w:tcBorders>
              <w:top w:val="single" w:sz="4" w:space="0" w:color="auto"/>
            </w:tcBorders>
            <w:shd w:val="clear" w:color="auto" w:fill="auto"/>
            <w:vAlign w:val="center"/>
            <w:hideMark/>
          </w:tcPr>
          <w:p w14:paraId="205BFB05" w14:textId="77777777" w:rsidR="006D3675" w:rsidRPr="00435469" w:rsidRDefault="006D3675"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Males  </w:t>
            </w:r>
          </w:p>
        </w:tc>
        <w:tc>
          <w:tcPr>
            <w:tcW w:w="2040" w:type="dxa"/>
            <w:shd w:val="clear" w:color="auto" w:fill="auto"/>
            <w:vAlign w:val="center"/>
          </w:tcPr>
          <w:p w14:paraId="03B9A212" w14:textId="6B38D769"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w:t>
            </w:r>
            <w:r w:rsidR="00851CE8" w:rsidRPr="00435469">
              <w:rPr>
                <w:rFonts w:eastAsia="Times New Roman" w:cs="Times New Roman"/>
                <w:sz w:val="16"/>
                <w:szCs w:val="16"/>
                <w:lang w:val="en-ZA" w:eastAsia="en-ZA"/>
              </w:rPr>
              <w:t>64 0</w:t>
            </w:r>
            <w:r w:rsidRPr="00435469">
              <w:rPr>
                <w:rFonts w:eastAsia="Times New Roman" w:cs="Times New Roman"/>
                <w:sz w:val="16"/>
                <w:szCs w:val="16"/>
                <w:lang w:val="en-ZA" w:eastAsia="en-ZA"/>
              </w:rPr>
              <w:t>00</w:t>
            </w:r>
          </w:p>
        </w:tc>
        <w:tc>
          <w:tcPr>
            <w:tcW w:w="2662" w:type="dxa"/>
            <w:shd w:val="clear" w:color="auto" w:fill="auto"/>
            <w:vAlign w:val="center"/>
          </w:tcPr>
          <w:p w14:paraId="038B494F"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179 500</w:t>
            </w:r>
          </w:p>
        </w:tc>
        <w:tc>
          <w:tcPr>
            <w:tcW w:w="1504" w:type="dxa"/>
            <w:shd w:val="clear" w:color="auto" w:fill="auto"/>
            <w:vAlign w:val="center"/>
          </w:tcPr>
          <w:p w14:paraId="11881B17"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214 000</w:t>
            </w:r>
          </w:p>
        </w:tc>
      </w:tr>
      <w:tr w:rsidR="0061685C" w:rsidRPr="00435469" w14:paraId="1EB56C34" w14:textId="77777777" w:rsidTr="00335CE6">
        <w:trPr>
          <w:trHeight w:val="254"/>
        </w:trPr>
        <w:tc>
          <w:tcPr>
            <w:tcW w:w="2410" w:type="dxa"/>
            <w:shd w:val="clear" w:color="auto" w:fill="auto"/>
            <w:vAlign w:val="center"/>
            <w:hideMark/>
          </w:tcPr>
          <w:p w14:paraId="3E2B74D2" w14:textId="77777777" w:rsidR="006D3675" w:rsidRPr="00435469" w:rsidRDefault="006D3675"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Females  </w:t>
            </w:r>
          </w:p>
        </w:tc>
        <w:tc>
          <w:tcPr>
            <w:tcW w:w="2040" w:type="dxa"/>
            <w:shd w:val="clear" w:color="auto" w:fill="auto"/>
            <w:vAlign w:val="center"/>
          </w:tcPr>
          <w:p w14:paraId="242D7FB9" w14:textId="42502549" w:rsidR="006D3675" w:rsidRPr="00435469" w:rsidRDefault="00851CE8"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109 0</w:t>
            </w:r>
            <w:r w:rsidR="006D3675" w:rsidRPr="00435469">
              <w:rPr>
                <w:rFonts w:eastAsia="Times New Roman" w:cs="Times New Roman"/>
                <w:sz w:val="16"/>
                <w:szCs w:val="16"/>
                <w:lang w:val="en-ZA" w:eastAsia="en-ZA"/>
              </w:rPr>
              <w:t>00</w:t>
            </w:r>
          </w:p>
        </w:tc>
        <w:tc>
          <w:tcPr>
            <w:tcW w:w="2662" w:type="dxa"/>
            <w:shd w:val="clear" w:color="auto" w:fill="auto"/>
            <w:vAlign w:val="center"/>
          </w:tcPr>
          <w:p w14:paraId="0089911C"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243 000</w:t>
            </w:r>
          </w:p>
        </w:tc>
        <w:tc>
          <w:tcPr>
            <w:tcW w:w="1504" w:type="dxa"/>
            <w:shd w:val="clear" w:color="auto" w:fill="auto"/>
            <w:vAlign w:val="center"/>
          </w:tcPr>
          <w:p w14:paraId="38909BCA"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146 000</w:t>
            </w:r>
          </w:p>
        </w:tc>
      </w:tr>
      <w:tr w:rsidR="0061685C" w:rsidRPr="00435469" w14:paraId="3F5A84C2" w14:textId="77777777" w:rsidTr="00335CE6">
        <w:trPr>
          <w:trHeight w:val="254"/>
        </w:trPr>
        <w:tc>
          <w:tcPr>
            <w:tcW w:w="2410" w:type="dxa"/>
            <w:shd w:val="clear" w:color="auto" w:fill="auto"/>
            <w:vAlign w:val="center"/>
            <w:hideMark/>
          </w:tcPr>
          <w:p w14:paraId="3104C156" w14:textId="1CE8CFA8" w:rsidR="006D3675" w:rsidRPr="00435469" w:rsidRDefault="006D3675"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 </w:t>
            </w:r>
            <w:proofErr w:type="gramStart"/>
            <w:r w:rsidR="0058253B" w:rsidRPr="00435469">
              <w:rPr>
                <w:rFonts w:eastAsia="Times New Roman" w:cs="Times New Roman"/>
                <w:b/>
                <w:bCs/>
                <w:sz w:val="16"/>
                <w:szCs w:val="16"/>
                <w:lang w:val="en-ZA" w:eastAsia="en-ZA"/>
              </w:rPr>
              <w:t>of</w:t>
            </w:r>
            <w:proofErr w:type="gramEnd"/>
            <w:r w:rsidR="00C664CF" w:rsidRPr="00435469">
              <w:rPr>
                <w:rFonts w:eastAsia="Times New Roman" w:cs="Times New Roman"/>
                <w:b/>
                <w:bCs/>
                <w:sz w:val="16"/>
                <w:szCs w:val="16"/>
                <w:lang w:val="en-ZA" w:eastAsia="en-ZA"/>
              </w:rPr>
              <w:t xml:space="preserve"> TB in</w:t>
            </w:r>
            <w:r w:rsidR="0058253B" w:rsidRPr="00435469">
              <w:rPr>
                <w:rFonts w:eastAsia="Times New Roman" w:cs="Times New Roman"/>
                <w:b/>
                <w:bCs/>
                <w:sz w:val="16"/>
                <w:szCs w:val="16"/>
                <w:lang w:val="en-ZA" w:eastAsia="en-ZA"/>
              </w:rPr>
              <w:t xml:space="preserve"> </w:t>
            </w:r>
            <w:r w:rsidRPr="00435469">
              <w:rPr>
                <w:rFonts w:eastAsia="Times New Roman" w:cs="Times New Roman"/>
                <w:b/>
                <w:bCs/>
                <w:sz w:val="16"/>
                <w:szCs w:val="16"/>
                <w:lang w:val="en-ZA" w:eastAsia="en-ZA"/>
              </w:rPr>
              <w:t xml:space="preserve">males </w:t>
            </w:r>
          </w:p>
        </w:tc>
        <w:tc>
          <w:tcPr>
            <w:tcW w:w="2040" w:type="dxa"/>
            <w:shd w:val="clear" w:color="auto" w:fill="auto"/>
            <w:vAlign w:val="center"/>
          </w:tcPr>
          <w:p w14:paraId="1E79CDCC" w14:textId="6F5FFCCD"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6</w:t>
            </w:r>
            <w:r w:rsidR="0036525F" w:rsidRPr="00435469">
              <w:rPr>
                <w:rFonts w:eastAsia="Times New Roman" w:cs="Times New Roman"/>
                <w:sz w:val="16"/>
                <w:szCs w:val="16"/>
                <w:lang w:val="en-ZA" w:eastAsia="en-ZA"/>
              </w:rPr>
              <w:t>0</w:t>
            </w:r>
            <w:r w:rsidRPr="00435469">
              <w:rPr>
                <w:rFonts w:eastAsia="Times New Roman" w:cs="Times New Roman"/>
                <w:sz w:val="16"/>
                <w:szCs w:val="16"/>
                <w:lang w:val="en-ZA" w:eastAsia="en-ZA"/>
              </w:rPr>
              <w:t>%</w:t>
            </w:r>
          </w:p>
        </w:tc>
        <w:tc>
          <w:tcPr>
            <w:tcW w:w="2662" w:type="dxa"/>
            <w:shd w:val="clear" w:color="auto" w:fill="auto"/>
            <w:vAlign w:val="center"/>
          </w:tcPr>
          <w:p w14:paraId="41D8BE83"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42%</w:t>
            </w:r>
          </w:p>
        </w:tc>
        <w:tc>
          <w:tcPr>
            <w:tcW w:w="1504" w:type="dxa"/>
            <w:shd w:val="clear" w:color="auto" w:fill="auto"/>
            <w:vAlign w:val="center"/>
          </w:tcPr>
          <w:p w14:paraId="3311724B"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59%</w:t>
            </w:r>
          </w:p>
        </w:tc>
      </w:tr>
      <w:tr w:rsidR="0061685C" w:rsidRPr="00435469" w14:paraId="29786CCA" w14:textId="77777777" w:rsidTr="00335CE6">
        <w:trPr>
          <w:trHeight w:val="254"/>
        </w:trPr>
        <w:tc>
          <w:tcPr>
            <w:tcW w:w="2410" w:type="dxa"/>
            <w:tcBorders>
              <w:bottom w:val="single" w:sz="4" w:space="0" w:color="auto"/>
            </w:tcBorders>
            <w:shd w:val="clear" w:color="auto" w:fill="auto"/>
            <w:vAlign w:val="center"/>
            <w:hideMark/>
          </w:tcPr>
          <w:p w14:paraId="0EA3D455" w14:textId="77777777" w:rsidR="006D3675" w:rsidRPr="00435469" w:rsidRDefault="006D3675"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Totals</w:t>
            </w:r>
          </w:p>
        </w:tc>
        <w:tc>
          <w:tcPr>
            <w:tcW w:w="2040" w:type="dxa"/>
            <w:tcBorders>
              <w:bottom w:val="single" w:sz="4" w:space="0" w:color="auto"/>
            </w:tcBorders>
            <w:shd w:val="clear" w:color="auto" w:fill="auto"/>
            <w:vAlign w:val="center"/>
          </w:tcPr>
          <w:p w14:paraId="3E1569CA" w14:textId="11638B3E" w:rsidR="006D3675" w:rsidRPr="00435469" w:rsidRDefault="00FC6263"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273 000</w:t>
            </w:r>
          </w:p>
        </w:tc>
        <w:tc>
          <w:tcPr>
            <w:tcW w:w="2662" w:type="dxa"/>
            <w:tcBorders>
              <w:bottom w:val="single" w:sz="4" w:space="0" w:color="auto"/>
            </w:tcBorders>
            <w:shd w:val="clear" w:color="auto" w:fill="auto"/>
            <w:vAlign w:val="center"/>
          </w:tcPr>
          <w:p w14:paraId="56884AF7"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422 500</w:t>
            </w:r>
          </w:p>
        </w:tc>
        <w:tc>
          <w:tcPr>
            <w:tcW w:w="1504" w:type="dxa"/>
            <w:tcBorders>
              <w:bottom w:val="single" w:sz="4" w:space="0" w:color="auto"/>
            </w:tcBorders>
            <w:shd w:val="clear" w:color="auto" w:fill="auto"/>
            <w:vAlign w:val="center"/>
          </w:tcPr>
          <w:p w14:paraId="45B0C4BD"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360 000</w:t>
            </w:r>
          </w:p>
        </w:tc>
      </w:tr>
      <w:tr w:rsidR="0061685C" w:rsidRPr="00435469" w14:paraId="212E282A" w14:textId="77777777" w:rsidTr="00335CE6">
        <w:trPr>
          <w:trHeight w:val="254"/>
        </w:trPr>
        <w:tc>
          <w:tcPr>
            <w:tcW w:w="2410" w:type="dxa"/>
            <w:tcBorders>
              <w:top w:val="single" w:sz="4" w:space="0" w:color="auto"/>
              <w:bottom w:val="single" w:sz="4" w:space="0" w:color="auto"/>
            </w:tcBorders>
            <w:shd w:val="clear" w:color="auto" w:fill="auto"/>
            <w:vAlign w:val="center"/>
            <w:hideMark/>
          </w:tcPr>
          <w:p w14:paraId="0BF24AF7" w14:textId="77777777" w:rsidR="006D3675" w:rsidRPr="00435469" w:rsidRDefault="006D3675"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Tuberculosis mortality </w:t>
            </w:r>
          </w:p>
        </w:tc>
        <w:tc>
          <w:tcPr>
            <w:tcW w:w="2040" w:type="dxa"/>
            <w:tcBorders>
              <w:top w:val="single" w:sz="4" w:space="0" w:color="auto"/>
            </w:tcBorders>
            <w:shd w:val="clear" w:color="auto" w:fill="auto"/>
            <w:vAlign w:val="center"/>
          </w:tcPr>
          <w:p w14:paraId="6932A771" w14:textId="77777777" w:rsidR="006D3675" w:rsidRPr="00435469" w:rsidRDefault="006D3675" w:rsidP="00955FFB">
            <w:pPr>
              <w:spacing w:after="0" w:line="240" w:lineRule="auto"/>
              <w:jc w:val="center"/>
              <w:rPr>
                <w:rFonts w:eastAsia="Times New Roman" w:cs="Times New Roman"/>
                <w:sz w:val="16"/>
                <w:szCs w:val="16"/>
                <w:lang w:val="en-ZA" w:eastAsia="en-ZA"/>
              </w:rPr>
            </w:pPr>
          </w:p>
        </w:tc>
        <w:tc>
          <w:tcPr>
            <w:tcW w:w="2662" w:type="dxa"/>
            <w:tcBorders>
              <w:top w:val="single" w:sz="4" w:space="0" w:color="auto"/>
            </w:tcBorders>
            <w:shd w:val="clear" w:color="auto" w:fill="auto"/>
            <w:vAlign w:val="center"/>
          </w:tcPr>
          <w:p w14:paraId="574E7F5A" w14:textId="77777777" w:rsidR="006D3675" w:rsidRPr="00435469" w:rsidRDefault="006D3675" w:rsidP="00955FFB">
            <w:pPr>
              <w:spacing w:after="0" w:line="240" w:lineRule="auto"/>
              <w:jc w:val="center"/>
              <w:rPr>
                <w:rFonts w:eastAsia="Times New Roman" w:cs="Times New Roman"/>
                <w:sz w:val="16"/>
                <w:szCs w:val="16"/>
                <w:lang w:val="en-ZA" w:eastAsia="en-ZA"/>
              </w:rPr>
            </w:pPr>
          </w:p>
        </w:tc>
        <w:tc>
          <w:tcPr>
            <w:tcW w:w="1504" w:type="dxa"/>
            <w:tcBorders>
              <w:top w:val="single" w:sz="4" w:space="0" w:color="auto"/>
            </w:tcBorders>
            <w:shd w:val="clear" w:color="auto" w:fill="auto"/>
            <w:vAlign w:val="center"/>
          </w:tcPr>
          <w:p w14:paraId="79788FB6" w14:textId="77777777" w:rsidR="006D3675" w:rsidRPr="00435469" w:rsidRDefault="006D3675" w:rsidP="00955FFB">
            <w:pPr>
              <w:spacing w:after="0" w:line="240" w:lineRule="auto"/>
              <w:jc w:val="center"/>
              <w:rPr>
                <w:rFonts w:eastAsia="Times New Roman" w:cs="Times New Roman"/>
                <w:sz w:val="16"/>
                <w:szCs w:val="16"/>
                <w:lang w:val="en-ZA" w:eastAsia="en-ZA"/>
              </w:rPr>
            </w:pPr>
          </w:p>
        </w:tc>
      </w:tr>
      <w:tr w:rsidR="0061685C" w:rsidRPr="00435469" w14:paraId="1C358B62" w14:textId="77777777" w:rsidTr="00335CE6">
        <w:trPr>
          <w:trHeight w:val="254"/>
        </w:trPr>
        <w:tc>
          <w:tcPr>
            <w:tcW w:w="2410" w:type="dxa"/>
            <w:tcBorders>
              <w:top w:val="single" w:sz="4" w:space="0" w:color="auto"/>
            </w:tcBorders>
            <w:shd w:val="clear" w:color="auto" w:fill="auto"/>
            <w:vAlign w:val="center"/>
            <w:hideMark/>
          </w:tcPr>
          <w:p w14:paraId="02C78E3B" w14:textId="77777777" w:rsidR="006D3675" w:rsidRPr="00435469" w:rsidRDefault="006D3675"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Males  </w:t>
            </w:r>
          </w:p>
        </w:tc>
        <w:tc>
          <w:tcPr>
            <w:tcW w:w="2040" w:type="dxa"/>
            <w:shd w:val="clear" w:color="auto" w:fill="auto"/>
            <w:vAlign w:val="center"/>
          </w:tcPr>
          <w:p w14:paraId="3CA81F09" w14:textId="15AA1A5D"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w:t>
            </w:r>
            <w:r w:rsidR="00F54AE5" w:rsidRPr="00435469">
              <w:rPr>
                <w:rFonts w:eastAsia="Times New Roman" w:cs="Times New Roman"/>
                <w:sz w:val="16"/>
                <w:szCs w:val="16"/>
                <w:lang w:val="en-ZA" w:eastAsia="en-ZA"/>
              </w:rPr>
              <w:t>1</w:t>
            </w:r>
            <w:r w:rsidRPr="00435469">
              <w:rPr>
                <w:rFonts w:eastAsia="Times New Roman" w:cs="Times New Roman"/>
                <w:sz w:val="16"/>
                <w:szCs w:val="16"/>
                <w:lang w:val="en-ZA" w:eastAsia="en-ZA"/>
              </w:rPr>
              <w:t xml:space="preserve"> 000</w:t>
            </w:r>
          </w:p>
        </w:tc>
        <w:tc>
          <w:tcPr>
            <w:tcW w:w="2662" w:type="dxa"/>
            <w:shd w:val="clear" w:color="auto" w:fill="auto"/>
            <w:vAlign w:val="center"/>
          </w:tcPr>
          <w:p w14:paraId="18BB7F8E"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32 800</w:t>
            </w:r>
          </w:p>
        </w:tc>
        <w:tc>
          <w:tcPr>
            <w:tcW w:w="1504" w:type="dxa"/>
            <w:shd w:val="clear" w:color="auto" w:fill="auto"/>
            <w:vAlign w:val="center"/>
          </w:tcPr>
          <w:p w14:paraId="6C19288D" w14:textId="77777777" w:rsidR="006D3675" w:rsidRPr="00435469" w:rsidRDefault="006D3675" w:rsidP="00955FFB">
            <w:pPr>
              <w:spacing w:after="0" w:line="240" w:lineRule="auto"/>
              <w:jc w:val="center"/>
              <w:rPr>
                <w:rFonts w:eastAsia="Times New Roman" w:cs="Times New Roman"/>
                <w:sz w:val="16"/>
                <w:szCs w:val="16"/>
                <w:lang w:val="en-ZA" w:eastAsia="en-ZA"/>
              </w:rPr>
            </w:pPr>
          </w:p>
        </w:tc>
      </w:tr>
      <w:tr w:rsidR="0061685C" w:rsidRPr="00435469" w14:paraId="5D9EBC2B" w14:textId="77777777" w:rsidTr="00335CE6">
        <w:trPr>
          <w:trHeight w:val="254"/>
        </w:trPr>
        <w:tc>
          <w:tcPr>
            <w:tcW w:w="2410" w:type="dxa"/>
            <w:shd w:val="clear" w:color="auto" w:fill="auto"/>
            <w:vAlign w:val="center"/>
            <w:hideMark/>
          </w:tcPr>
          <w:p w14:paraId="4D30E047" w14:textId="77777777" w:rsidR="006D3675" w:rsidRPr="00435469" w:rsidRDefault="006D3675"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Females  </w:t>
            </w:r>
          </w:p>
        </w:tc>
        <w:tc>
          <w:tcPr>
            <w:tcW w:w="2040" w:type="dxa"/>
            <w:shd w:val="clear" w:color="auto" w:fill="auto"/>
            <w:vAlign w:val="center"/>
          </w:tcPr>
          <w:p w14:paraId="6718EE0A" w14:textId="5153E5B0" w:rsidR="006D3675" w:rsidRPr="00435469" w:rsidRDefault="00F54AE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21</w:t>
            </w:r>
            <w:r w:rsidR="006D3675" w:rsidRPr="00435469">
              <w:rPr>
                <w:rFonts w:eastAsia="Times New Roman" w:cs="Times New Roman"/>
                <w:sz w:val="16"/>
                <w:szCs w:val="16"/>
                <w:lang w:val="en-ZA" w:eastAsia="en-ZA"/>
              </w:rPr>
              <w:t xml:space="preserve"> 500</w:t>
            </w:r>
          </w:p>
        </w:tc>
        <w:tc>
          <w:tcPr>
            <w:tcW w:w="2662" w:type="dxa"/>
            <w:shd w:val="clear" w:color="auto" w:fill="auto"/>
            <w:vAlign w:val="center"/>
          </w:tcPr>
          <w:p w14:paraId="4270E534"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27 120</w:t>
            </w:r>
          </w:p>
        </w:tc>
        <w:tc>
          <w:tcPr>
            <w:tcW w:w="1504" w:type="dxa"/>
            <w:shd w:val="clear" w:color="auto" w:fill="auto"/>
            <w:vAlign w:val="center"/>
          </w:tcPr>
          <w:p w14:paraId="0015C121" w14:textId="77777777" w:rsidR="006D3675" w:rsidRPr="00435469" w:rsidRDefault="006D3675" w:rsidP="00955FFB">
            <w:pPr>
              <w:spacing w:after="0" w:line="240" w:lineRule="auto"/>
              <w:jc w:val="center"/>
              <w:rPr>
                <w:rFonts w:eastAsia="Times New Roman" w:cs="Times New Roman"/>
                <w:sz w:val="16"/>
                <w:szCs w:val="16"/>
                <w:lang w:val="en-ZA" w:eastAsia="en-ZA"/>
              </w:rPr>
            </w:pPr>
          </w:p>
        </w:tc>
      </w:tr>
      <w:tr w:rsidR="0061685C" w:rsidRPr="00435469" w14:paraId="1ABA7203" w14:textId="77777777" w:rsidTr="00335CE6">
        <w:trPr>
          <w:trHeight w:val="254"/>
        </w:trPr>
        <w:tc>
          <w:tcPr>
            <w:tcW w:w="2410" w:type="dxa"/>
            <w:shd w:val="clear" w:color="auto" w:fill="auto"/>
            <w:vAlign w:val="center"/>
            <w:hideMark/>
          </w:tcPr>
          <w:p w14:paraId="2DA5ABC5" w14:textId="646ECAE2" w:rsidR="006D3675" w:rsidRPr="00435469" w:rsidRDefault="006D3675"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 xml:space="preserve">% </w:t>
            </w:r>
            <w:proofErr w:type="gramStart"/>
            <w:r w:rsidR="003538A2" w:rsidRPr="00435469">
              <w:rPr>
                <w:rFonts w:eastAsia="Times New Roman" w:cs="Times New Roman"/>
                <w:b/>
                <w:bCs/>
                <w:sz w:val="16"/>
                <w:szCs w:val="16"/>
                <w:lang w:val="en-ZA" w:eastAsia="en-ZA"/>
              </w:rPr>
              <w:t>of</w:t>
            </w:r>
            <w:proofErr w:type="gramEnd"/>
            <w:r w:rsidR="003538A2" w:rsidRPr="00435469">
              <w:rPr>
                <w:rFonts w:eastAsia="Times New Roman" w:cs="Times New Roman"/>
                <w:b/>
                <w:bCs/>
                <w:sz w:val="16"/>
                <w:szCs w:val="16"/>
                <w:lang w:val="en-ZA" w:eastAsia="en-ZA"/>
              </w:rPr>
              <w:t xml:space="preserve"> </w:t>
            </w:r>
            <w:r w:rsidR="00C664CF" w:rsidRPr="00435469">
              <w:rPr>
                <w:rFonts w:eastAsia="Times New Roman" w:cs="Times New Roman"/>
                <w:b/>
                <w:bCs/>
                <w:sz w:val="16"/>
                <w:szCs w:val="16"/>
                <w:lang w:val="en-ZA" w:eastAsia="en-ZA"/>
              </w:rPr>
              <w:t xml:space="preserve">TB deaths in </w:t>
            </w:r>
            <w:r w:rsidRPr="00435469">
              <w:rPr>
                <w:rFonts w:eastAsia="Times New Roman" w:cs="Times New Roman"/>
                <w:b/>
                <w:bCs/>
                <w:sz w:val="16"/>
                <w:szCs w:val="16"/>
                <w:lang w:val="en-ZA" w:eastAsia="en-ZA"/>
              </w:rPr>
              <w:t xml:space="preserve">males </w:t>
            </w:r>
          </w:p>
        </w:tc>
        <w:tc>
          <w:tcPr>
            <w:tcW w:w="2040" w:type="dxa"/>
            <w:shd w:val="clear" w:color="auto" w:fill="auto"/>
            <w:vAlign w:val="center"/>
          </w:tcPr>
          <w:p w14:paraId="47BB6621" w14:textId="1D067C3D"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6</w:t>
            </w:r>
            <w:r w:rsidR="00155A35" w:rsidRPr="00435469">
              <w:rPr>
                <w:rFonts w:eastAsia="Times New Roman" w:cs="Times New Roman"/>
                <w:sz w:val="16"/>
                <w:szCs w:val="16"/>
                <w:lang w:val="en-ZA" w:eastAsia="en-ZA"/>
              </w:rPr>
              <w:t>0</w:t>
            </w:r>
            <w:r w:rsidRPr="00435469">
              <w:rPr>
                <w:rFonts w:eastAsia="Times New Roman" w:cs="Times New Roman"/>
                <w:sz w:val="16"/>
                <w:szCs w:val="16"/>
                <w:lang w:val="en-ZA" w:eastAsia="en-ZA"/>
              </w:rPr>
              <w:t>%</w:t>
            </w:r>
          </w:p>
        </w:tc>
        <w:tc>
          <w:tcPr>
            <w:tcW w:w="2662" w:type="dxa"/>
            <w:shd w:val="clear" w:color="auto" w:fill="auto"/>
            <w:vAlign w:val="center"/>
          </w:tcPr>
          <w:p w14:paraId="7B49D75A"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54%</w:t>
            </w:r>
          </w:p>
        </w:tc>
        <w:tc>
          <w:tcPr>
            <w:tcW w:w="1504" w:type="dxa"/>
            <w:shd w:val="clear" w:color="auto" w:fill="auto"/>
            <w:vAlign w:val="center"/>
          </w:tcPr>
          <w:p w14:paraId="5AD78FF4" w14:textId="77777777" w:rsidR="006D3675" w:rsidRPr="00435469" w:rsidRDefault="006D3675" w:rsidP="00955FFB">
            <w:pPr>
              <w:spacing w:after="0" w:line="240" w:lineRule="auto"/>
              <w:jc w:val="center"/>
              <w:rPr>
                <w:rFonts w:eastAsia="Times New Roman" w:cs="Times New Roman"/>
                <w:sz w:val="16"/>
                <w:szCs w:val="16"/>
                <w:lang w:val="en-ZA" w:eastAsia="en-ZA"/>
              </w:rPr>
            </w:pPr>
          </w:p>
        </w:tc>
      </w:tr>
      <w:tr w:rsidR="0061685C" w:rsidRPr="00435469" w14:paraId="28DEDA22" w14:textId="77777777" w:rsidTr="00335CE6">
        <w:trPr>
          <w:trHeight w:val="254"/>
        </w:trPr>
        <w:tc>
          <w:tcPr>
            <w:tcW w:w="2410" w:type="dxa"/>
            <w:tcBorders>
              <w:bottom w:val="single" w:sz="4" w:space="0" w:color="auto"/>
            </w:tcBorders>
            <w:shd w:val="clear" w:color="auto" w:fill="auto"/>
            <w:vAlign w:val="center"/>
            <w:hideMark/>
          </w:tcPr>
          <w:p w14:paraId="7DB4A5EB" w14:textId="77777777" w:rsidR="006D3675" w:rsidRPr="00435469" w:rsidRDefault="006D3675" w:rsidP="00955FFB">
            <w:pPr>
              <w:spacing w:after="0" w:line="240" w:lineRule="auto"/>
              <w:rPr>
                <w:rFonts w:eastAsia="Times New Roman" w:cs="Times New Roman"/>
                <w:b/>
                <w:bCs/>
                <w:sz w:val="16"/>
                <w:szCs w:val="16"/>
                <w:lang w:val="en-ZA" w:eastAsia="en-ZA"/>
              </w:rPr>
            </w:pPr>
            <w:r w:rsidRPr="00435469">
              <w:rPr>
                <w:rFonts w:eastAsia="Times New Roman" w:cs="Times New Roman"/>
                <w:b/>
                <w:bCs/>
                <w:sz w:val="16"/>
                <w:szCs w:val="16"/>
                <w:lang w:val="en-ZA" w:eastAsia="en-ZA"/>
              </w:rPr>
              <w:t>Totals</w:t>
            </w:r>
          </w:p>
        </w:tc>
        <w:tc>
          <w:tcPr>
            <w:tcW w:w="2040" w:type="dxa"/>
            <w:tcBorders>
              <w:bottom w:val="single" w:sz="4" w:space="0" w:color="auto"/>
            </w:tcBorders>
            <w:shd w:val="clear" w:color="auto" w:fill="auto"/>
            <w:vAlign w:val="center"/>
          </w:tcPr>
          <w:p w14:paraId="164E177E" w14:textId="6D7C1442" w:rsidR="006D3675" w:rsidRPr="00435469" w:rsidRDefault="00FC6263"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52 000</w:t>
            </w:r>
          </w:p>
        </w:tc>
        <w:tc>
          <w:tcPr>
            <w:tcW w:w="2662" w:type="dxa"/>
            <w:tcBorders>
              <w:bottom w:val="single" w:sz="4" w:space="0" w:color="auto"/>
            </w:tcBorders>
            <w:shd w:val="clear" w:color="auto" w:fill="auto"/>
            <w:vAlign w:val="center"/>
          </w:tcPr>
          <w:p w14:paraId="4CE7FEA3" w14:textId="77777777" w:rsidR="006D3675" w:rsidRPr="00435469" w:rsidRDefault="006D3675" w:rsidP="00955FFB">
            <w:pPr>
              <w:spacing w:after="0" w:line="240" w:lineRule="auto"/>
              <w:jc w:val="center"/>
              <w:rPr>
                <w:rFonts w:eastAsia="Times New Roman" w:cs="Times New Roman"/>
                <w:sz w:val="16"/>
                <w:szCs w:val="16"/>
                <w:lang w:val="en-ZA" w:eastAsia="en-ZA"/>
              </w:rPr>
            </w:pPr>
            <w:r w:rsidRPr="00435469">
              <w:rPr>
                <w:rFonts w:eastAsia="Times New Roman" w:cs="Times New Roman"/>
                <w:sz w:val="16"/>
                <w:szCs w:val="16"/>
                <w:lang w:val="en-ZA" w:eastAsia="en-ZA"/>
              </w:rPr>
              <w:t>59 920</w:t>
            </w:r>
          </w:p>
        </w:tc>
        <w:tc>
          <w:tcPr>
            <w:tcW w:w="1504" w:type="dxa"/>
            <w:tcBorders>
              <w:bottom w:val="single" w:sz="4" w:space="0" w:color="auto"/>
            </w:tcBorders>
            <w:shd w:val="clear" w:color="auto" w:fill="auto"/>
            <w:vAlign w:val="center"/>
          </w:tcPr>
          <w:p w14:paraId="7B208017" w14:textId="77777777" w:rsidR="006D3675" w:rsidRPr="00435469" w:rsidRDefault="006D3675" w:rsidP="00955FFB">
            <w:pPr>
              <w:spacing w:after="0" w:line="240" w:lineRule="auto"/>
              <w:jc w:val="center"/>
              <w:rPr>
                <w:rFonts w:eastAsia="Times New Roman" w:cs="Times New Roman"/>
                <w:sz w:val="16"/>
                <w:szCs w:val="16"/>
                <w:lang w:val="en-ZA" w:eastAsia="en-ZA"/>
              </w:rPr>
            </w:pPr>
          </w:p>
        </w:tc>
      </w:tr>
    </w:tbl>
    <w:p w14:paraId="49B4C5BB" w14:textId="36C4E41F" w:rsidR="00851CE8" w:rsidRPr="00435469" w:rsidRDefault="00223758" w:rsidP="00955FFB">
      <w:pPr>
        <w:pStyle w:val="3TableNote"/>
        <w:rPr>
          <w:szCs w:val="20"/>
        </w:rPr>
      </w:pPr>
      <w:r w:rsidRPr="00435469">
        <w:rPr>
          <w:szCs w:val="20"/>
        </w:rPr>
        <w:lastRenderedPageBreak/>
        <w:t>Source</w:t>
      </w:r>
      <w:r w:rsidR="007E4844" w:rsidRPr="00435469">
        <w:rPr>
          <w:szCs w:val="20"/>
        </w:rPr>
        <w:t>s</w:t>
      </w:r>
      <w:r w:rsidRPr="00435469">
        <w:rPr>
          <w:szCs w:val="20"/>
        </w:rPr>
        <w:t xml:space="preserve">: </w:t>
      </w:r>
      <w:r w:rsidR="006D3675" w:rsidRPr="00435469">
        <w:rPr>
          <w:szCs w:val="20"/>
        </w:rPr>
        <w:t xml:space="preserve">Ledesma </w:t>
      </w:r>
      <w:r w:rsidR="006D3675" w:rsidRPr="00435469">
        <w:rPr>
          <w:i/>
          <w:iCs/>
          <w:szCs w:val="20"/>
        </w:rPr>
        <w:t>et al</w:t>
      </w:r>
      <w:r w:rsidR="006D3675" w:rsidRPr="00435469">
        <w:rPr>
          <w:szCs w:val="20"/>
        </w:rPr>
        <w:t xml:space="preserve"> 2021 </w:t>
      </w:r>
      <w:r w:rsidR="006D3675" w:rsidRPr="00435469">
        <w:rPr>
          <w:szCs w:val="20"/>
        </w:rPr>
        <w:fldChar w:fldCharType="begin" w:fldLock="1"/>
      </w:r>
      <w:r w:rsidR="00A142FF" w:rsidRPr="00435469">
        <w:rPr>
          <w:szCs w:val="20"/>
        </w:rPr>
        <w:instrText>ADDIN CSL_CITATION {"citationItems":[{"id":"ITEM-1","itemData":{"DOI":"10.1016/s1473-3099(21)00449-7","ISSN":"14733099","abstract":"Background Tuberculosis is a major contributor to the global burden of disease, causing more than a million deaths annually. Given an emphasis on equity in access to diagnosis and treatment of tuberculosis in global health targets, evaluations of differences in tuberculosis burden by sex are crucial. We aimed to assess the levels and trends of the global burden of tuberculosis, with an emphasis on investigating differences in sex by HIV status for 204 countries and territories from 1990 to 2019.","author":[{"dropping-particle":"","family":"Ledesma","given":"Jorge R","non-dropping-particle":"","parse-names":false,"suffix":""},{"dropping-particle":"","family":"Ma","given":"Jianing","non-dropping-particle":"","parse-names":false,"suffix":""},{"dropping-particle":"","family":"Vongpradith","given":"Avina","non-dropping-particle":"","parse-names":false,"suffix":""},{"dropping-particle":"","family":"Maddison","given":"Emilie R","non-dropping-particle":"","parse-names":false,"suffix":""},{"dropping-particle":"","family":"Novotney","given":"Amanda","non-dropping-particle":"","parse-names":false,"suffix":""},{"dropping-particle":"","family":"Biehl","given":"Molly H","non-dropping-particle":"","parse-names":false,"suffix":""},{"dropping-particle":"","family":"LeGrand","given":"Kate E","non-dropping-particle":"","parse-names":false,"suffix":""},{"dropping-particle":"","family":"Ross","given":"Jennifer M","non-dropping-particle":"","parse-names":false,"suffix":""},{"dropping-particle":"","family":"Jahagirdar","given":"Deepa","non-dropping-particle":"","parse-names":false,"suffix":""},{"dropping-particle":"","family":"Bryazka","given":"Dana","non-dropping-particle":"","parse-names":false,"suffix":""},{"dropping-particle":"","family":"Feldman","given":"Rachel","non-dropping-particle":"","parse-names":false,"suffix":""},{"dropping-particle":"","family":"Abolhassani","given":"Hassan","non-dropping-particle":"","parse-names":false,"suffix":""},{"dropping-particle":"","family":"Abosetugn","given":"Akine Eshete","non-dropping-particle":"","parse-names":false,"suffix":""},{"dropping-particle":"","family":"Abu-Gharbieh","given":"Eman","non-dropping-particle":"","parse-names":false,"suffix":""},{"dropping-particle":"","family":"Adebayo","given":"Oladimeji M","non-dropping-particle":"","parse-names":false,"suffix":""},{"dropping-particle":"","family":"Adnani","given":"Qorinah Estiningtyas Sakilah","non-dropping-particle":"","parse-names":false,"suffix":""},{"dropping-particle":"","family":"Afzal","given":"Saira","non-dropping-particle":"","parse-names":false,"suffix":""},{"dropping-particle":"","family":"Ahinkorah","given":"Bright Opoku","non-dropping-particle":"","parse-names":false,"suffix":""},{"dropping-particle":"","family":"Ahmad","given":"Sajjad Ahmad","non-dropping-particle":"","parse-names":false,"suffix":""},{"dropping-particle":"","family":"Ahmadi","given":"Sepideh","non-dropping-particle":"","parse-names":false,"suffix":""},{"dropping-particle":"","family":"Ahmed Rashid","given":"Tarik","non-dropping-particle":"","parse-names":false,"suffix":""},{"dropping-particle":"","family":"Ahmed Salih","given":"Yusra","non-dropping-particle":"","parse-names":false,"suffix":""},{"dropping-particle":"","family":"Aklilu","given":"Addis","non-dropping-particle":"","parse-names":false,"suffix":""},{"dropping-particle":"","family":"Akunna","given":"Chisom Joyqueenet","non-dropping-particle":"","parse-names":false,"suffix":""},{"dropping-particle":"","family":"Hamad","given":"Hanadi","non-dropping-particle":"Al","parse-names":false,"suffix":""},{"dropping-particle":"","family":"Alahdab","given":"Fares","non-dropping-particle":"","parse-names":false,"suffix":""},{"dropping-particle":"","family":"Alemayehu","given":"Yosef","non-dropping-particle":"","parse-names":false,"suffix":""},{"dropping-particle":"","family":"Alene","given":"Kefyalew Addis","non-dropping-particle":"","parse-names":false,"suffix":""},{"dropping-particle":"","family":"Ali","given":"Beriwan Abdulqadir","non-dropping-particle":"","parse-names":false,"suffix":""},{"dropping-particle":"","family":"Ali","given":"Liaqat","non-dropping-particle":"","parse-names":false,"suffix":""},{"dropping-particle":"","family":"Alipour","given":"Vahid","non-dropping-particle":"","parse-names":false,"suffix":""},{"dropping-particle":"","family":"Alizade","given":"Hesam","non-dropping-particle":"","parse-names":false,"suffix":""},{"dropping-particle":"","family":"Al-Raddadi","given":"Rajaa M","non-dropping-particle":"","parse-names":false,"suffix":""},{"dropping-particle":"","family":"Alvis-Guzman","given":"Nelson","non-dropping-particle":"","parse-names":false,"suffix":""},{"dropping-particle":"","family":"Amini","given":"Saeed","non-dropping-particle":"","parse-names":false,"suffix":""},{"dropping-particle":"","family":"Amit","given":"Arianna Maever L","non-dropping-particle":"","parse-names":false,"suffix":""},{"dropping-particle":"","family":"Anderson","given":"Jason A","non-dropping-particle":"","parse-names":false,"suffix":""},{"dropping-particle":"","family":"Androudi","given":"Sofia","non-dropping-particle":"","parse-names":false,"suffix":""},{"dropping-particle":"","family":"Antonio","given":"Carl Abelardo T","non-dropping-particle":"","parse-names":false,"suffix":""},{"dropping-particle":"","family":"Antony","given":"Catherine M","non-dropping-particle":"","parse-names":false,"suffix":""},{"dropping-particle":"","family":"Anwer","given":"Razique","non-dropping-particle":"","parse-names":false,"suffix":""},{"dropping-particle":"","family":"Arabloo","given":"Jalal","non-dropping-particle":"","parse-names":false,"suffix":""},{"dropping-particle":"","family":"Arja","given":"Asrat","non-dropping-particle":"","parse-names":false,"suffix":""},{"dropping-particle":"","family":"Asemahagn","given":"Mulusew A","non-dropping-particle":"","parse-names":false,"suffix":""},{"dropping-particle":"","family":"Atre","given":"Sachin R","non-dropping-particle":"","parse-names":false,"suffix":""},{"dropping-particle":"","family":"Azhar","given":"Gulrez Shah","non-dropping-particle":"","parse-names":false,"suffix":""},{"dropping-particle":"","family":"B","given":"Darshan B","non-dropping-particle":"","parse-names":false,"suffix":""},{"dropping-particle":"","family":"Babar","given":"Zaheer-Ud-Din","non-dropping-particle":"","parse-names":false,"suffix":""},{"dropping-particle":"","family":"Baig","given":"Atif Amin","non-dropping-particle":"","parse-names":false,"suffix":""},{"dropping-particle":"","family":"Banach","given":"Maciej","non-dropping-particle":"","parse-names":false,"suffix":""},{"dropping-particle":"","family":"Barqawi","given":"Hiba Jawdat","non-dropping-particle":"","parse-names":false,"suffix":""},{"dropping-particle":"","family":"Barra","given":"Fabio","non-dropping-particle":"","parse-names":false,"suffix":""},{"dropping-particle":"","family":"Barrow","given":"Amadou","non-dropping-particle":"","parse-names":false,"suffix":""},{"dropping-particle":"","family":"Basu","given":"Sanjay","non-dropping-particle":"","parse-names":false,"suffix":""},{"dropping-particle":"","family":"Belgaumi","given":"Uzma Iqbal","non-dropping-particle":"","parse-names":false,"suffix":""},{"dropping-particle":"","family":"Bhagavathula","given":"Akshaya Srikanth","non-dropping-particle":"","parse-names":false,"suffix":""},{"dropping-particle":"","family":"Bhardwaj","given":"Nikha","non-dropping-particle":"","parse-names":false,"suffix":""},{"dropping-particle":"","family":"Bhardwaj","given":"Pankaj","non-dropping-particle":"","parse-names":false,"suffix":""},{"dropping-particle":"V","family":"Bhattacharjee","given":"Natalia","non-dropping-particle":"","parse-names":false,"suffix":""},{"dropping-particle":"","family":"Bhattacharyya","given":"Krittika","non-dropping-particle":"","parse-names":false,"suffix":""},{"dropping-particle":"","family":"Bijani","given":"Ali","non-dropping-particle":"","parse-names":false,"suffix":""},{"dropping-particle":"","family":"Bikbov","given":"Boris","non-dropping-particle":"","parse-names":false,"suffix":""},{"dropping-particle":"","family":"Boloor","given":"Archith","non-dropping-particle":"","parse-names":false,"suffix":""},{"dropping-particle":"","family":"Briko","given":"Nikolay Ivanovich","non-dropping-particle":"","parse-names":false,"suffix":""},{"dropping-particle":"","family":"Buonsenso","given":"Danilo","non-dropping-particle":"","parse-names":false,"suffix":""},{"dropping-particle":"","family":"Burugina Nagaraja","given":"Sharath","non-dropping-particle":"","parse-names":false,"suffix":""},{"dropping-particle":"","family":"Butt","given":"Zahid A","non-dropping-particle":"","parse-names":false,"suffix":""},{"dropping-particle":"","family":"Carter","given":"Austin","non-dropping-particle":"","parse-names":false,"suffix":""},{"dropping-particle":"","family":"Carvalho","given":"Felix","non-dropping-particle":"","parse-names":false,"suffix":""},{"dropping-particle":"","family":"Charan","given":"Jaykaran","non-dropping-particle":"","parse-names":false,"suffix":""},{"dropping-particle":"","family":"Chatterjee","given":"Souranshu","non-dropping-particle":"","parse-names":false,"suffix":""},{"dropping-particle":"","family":"Chattu","given":"Soosanna Kumary","non-dropping-particle":"","parse-names":false,"suffix":""},{"dropping-particle":"","family":"Chattu","given":"Vijay Kumar","non-dropping-particle":"","parse-names":false,"suffix":""},{"dropping-particle":"","family":"Christopher","given":"Devasahayam J","non-dropping-particle":"","parse-names":false,"suffix":""},{"dropping-particle":"","family":"Chu","given":"Dinh-Toi","non-dropping-particle":"","parse-names":false,"suffix":""},{"dropping-particle":"","family":"Claassens","given":"Mareli M","non-dropping-particle":"","parse-names":false,"suffix":""},{"dropping-particle":"","family":"Dadras","given":"Omid","non-dropping-particle":"","parse-names":false,"suffix":""},{"dropping-particle":"","family":"Dagnew","given":"Amare Belachew","non-dropping-particle":"","parse-names":false,"suffix":""},{"dropping-particle":"","family":"Dai","given":"Xiaochen","non-dropping-particle":"","parse-names":false,"suffix":""},{"dropping-particle":"","family":"Dandona","given":"Lalit","non-dropping-particle":"","parse-names":false,"suffix":""},{"dropping-particle":"","family":"Dandona","given":"Rakhi","non-dropping-particle":"","parse-names":false,"suffix":""},{"dropping-particle":"","family":"Daneshpajouhnejad","given":"Parnaz","non-dropping-particle":"","parse-names":false,"suffix":""},{"dropping-particle":"","family":"Darwesh","given":"Aso Mohammad","non-dropping-particle":"","parse-names":false,"suffix":""},{"dropping-particle":"","family":"Dhamnetiya","given":"Deepak","non-dropping-particle":"","parse-names":false,"suffix":""},{"dropping-particle":"","family":"Dianatinasab","given":"Mostafa","non-dropping-particle":"","parse-names":false,"suffix":""},{"dropping-particle":"","family":"Diaz","given":"Daniel","non-dropping-particle":"","parse-names":false,"suffix":""},{"dropping-particle":"","family":"Doan","given":"Linh Phuong","non-dropping-particle":"","parse-names":false,"suffix":""},{"dropping-particle":"","family":"Eftekharzadeh","given":"Sahar","non-dropping-particle":"","parse-names":false,"suffix":""},{"dropping-particle":"","family":"Elhadi","given":"Muhammed","non-dropping-particle":"","parse-names":false,"suffix":""},{"dropping-particle":"","family":"Emami","given":"Amir","non-dropping-particle":"","parse-names":false,"suffix":""},{"dropping-particle":"","family":"Enany","given":"Shymaa","non-dropping-particle":"","parse-names":false,"suffix":""},{"dropping-particle":"","family":"Faraon","given":"Emerito Jose A","non-dropping-particle":"","parse-names":false,"suffix":""},{"dropping-particle":"","family":"Farzadfar","given":"Farshad","non-dropping-particle":"","parse-names":false,"suffix":""},{"dropping-particle":"","family":"Fernandes","given":"Eduarda","non-dropping-particle":"","parse-names":false,"suffix":""},{"dropping-particle":"","family":"Ferro Desideri","given":"Lorenzo","non-dropping-particle":"","parse-names":false,"suffix":""},{"dropping-particle":"","family":"Filip","given":"Irina","non-dropping-particle":"","parse-names":false,"suffix":""},{"dropping-particle":"","family":"Fischer","given":"Florian","non-dropping-particle":"","parse-names":false,"suffix":""},{"dropping-particle":"","family":"Foroutan","given":"Masoud","non-dropping-particle":"","parse-names":false,"suffix":""},{"dropping-particle":"","family":"Frank","given":"Tahvi D","non-dropping-particle":"","parse-names":false,"suffix":""},{"dropping-particle":"","family":"Garcia-Basteiro","given":"Alberto L","non-dropping-particle":"","parse-names":false,"suffix":""},{"dropping-particle":"","family":"Garcia-Calavaro","given":"Christian","non-dropping-particle":"","parse-names":false,"suffix":""},{"dropping-particle":"","family":"Garg","given":"Tushar","non-dropping-particle":"","parse-names":false,"suffix":""},{"dropping-particle":"","family":"Geberemariyam","given":"Biniyam Sahiledengle","non-dropping-particle":"","parse-names":false,"suffix":""},{"dropping-particle":"","family":"Ghadiri","given":"Keyghobad","non-dropping-particle":"","parse-names":false,"suffix":""},{"dropping-particle":"","family":"Ghashghaee","given":"Ahmad","non-dropping-particle":"","parse-names":false,"suffix":""},{"dropping-particle":"","family":"Golechha","given":"Mahaveer","non-dropping-particle":"","parse-names":false,"suffix":""},{"dropping-particle":"","family":"Goodridge","given":"Amador","non-dropping-particle":"","parse-names":false,"suffix":""},{"dropping-particle":"","family":"Gupta","given":"Bhawna","non-dropping-particle":"","parse-names":false,"suffix":""},{"dropping-particle":"","family":"Gupta","given":"Sapna","non-dropping-particle":"","parse-names":false,"suffix":""},{"dropping-particle":"","family":"Gupta","given":"Veer Bala","non-dropping-particle":"","parse-names":false,"suffix":""},{"dropping-particle":"","family":"Gupta","given":"Vivek Kumar","non-dropping-particle":"","parse-names":false,"suffix":""},{"dropping-particle":"","family":"Haider","given":"Mohammad Rifat","non-dropping-particle":"","parse-names":false,"suffix":""},{"dropping-particle":"","family":"Hamidi","given":"Samer","non-dropping-particle":"","parse-names":false,"suffix":""},{"dropping-particle":"","family":"Hanif","given":"Asif","non-dropping-particle":"","parse-names":false,"suffix":""},{"dropping-particle":"","family":"Haque","given":"Shafiul","non-dropping-particle":"","parse-names":false,"suffix":""},{"dropping-particle":"","family":"Harapan","given":"Harapan","non-dropping-particle":"","parse-names":false,"suffix":""},{"dropping-particle":"","family":"Hargono","given":"Arief","non-dropping-particle":"","parse-names":false,"suffix":""},{"dropping-particle":"","family":"Hasaballah","given":"Ahmed I","non-dropping-particle":"","parse-names":false,"suffix":""},{"dropping-particle":"","family":"Hashi","given":"Abdiwahab","non-dropping-particle":"","parse-names":false,"suffix":""},{"dropping-particle":"","family":"Hassan","given":"Shoaib","non-dropping-particle":"","parse-names":false,"suffix":""},{"dropping-particle":"","family":"Hassankhani","given":"Hadi","non-dropping-particle":"","parse-names":false,"suffix":""},{"dropping-particle":"","family":"Hayat","given":"Khezar","non-dropping-particle":"","parse-names":false,"suffix":""},{"dropping-particle":"","family":"Hezam","given":"Kamal","non-dropping-particle":"","parse-names":false,"suffix":""},{"dropping-particle":"","family":"Holla","given":"Ramesh","non-dropping-particle":"","parse-names":false,"suffix":""},{"dropping-particle":"","family":"Hosseinzadeh","given":"Mehdi","non-dropping-particle":"","parse-names":false,"suffix":""},{"dropping-particle":"","family":"Hostiuc","given":"Mihaela","non-dropping-particle":"","parse-names":false,"suffix":""},{"dropping-particle":"","family":"Househ","given":"Mowafa","non-dropping-particle":"","parse-names":false,"suffix":""},{"dropping-particle":"","family":"Hussain","given":"Rabia","non-dropping-particle":"","parse-names":false,"suffix":""},{"dropping-particle":"","family":"Ibitoye","given":"Segun Emmanuel","non-dropping-particle":"","parse-names":false,"suffix":""},{"dropping-particle":"","family":"Ilic","given":"Irena M","non-dropping-particle":"","parse-names":false,"suffix":""},{"dropping-particle":"","family":"Ilic","given":"Milena D","non-dropping-particle":"","parse-names":false,"suffix":""},{"dropping-particle":"","family":"Irvani","given":"Seyed Sina Naghibi","non-dropping-particle":"","parse-names":false,"suffix":""},{"dropping-particle":"","family":"Ismail","given":"Nahlah Elkudssiah","non-dropping-particle":"","parse-names":false,"suffix":""},{"dropping-particle":"","family":"Itumalla","given":"Ramaiah","non-dropping-particle":"","parse-names":false,"suffix":""},{"dropping-particle":"","family":"Jaafari","given":"Jalil","non-dropping-particle":"","parse-names":false,"suffix":""},{"dropping-particle":"","family":"Jacobsen","given":"Kathryn H","non-dropping-particle":"","parse-names":false,"suffix":""},{"dropping-particle":"","family":"Jain","given":"Vardhmaan","non-dropping-particle":"","parse-names":false,"suffix":""},{"dropping-particle":"","family":"Javanmardi","given":"Fatemeh","non-dropping-particle":"","parse-names":false,"suffix":""},{"dropping-particle":"","family":"Jayapal","given":"Sathish Kumar","non-dropping-particle":"","parse-names":false,"suffix":""},{"dropping-particle":"","family":"Jayaram","given":"Shubha","non-dropping-particle":"","parse-names":false,"suffix":""},{"dropping-particle":"","family":"Jha","given":"Ravi Prakash","non-dropping-particle":"","parse-names":false,"suffix":""},{"dropping-particle":"","family":"Jonas","given":"Jost B","non-dropping-particle":"","parse-names":false,"suffix":""},{"dropping-particle":"","family":"Joseph","given":"Nitin","non-dropping-particle":"","parse-names":false,"suffix":""},{"dropping-particle":"","family":"Joukar","given":"Farahnaz","non-dropping-particle":"","parse-names":false,"suffix":""},{"dropping-particle":"","family":"Kabir","given":"Zubair","non-dropping-particle":"","parse-names":false,"suffix":""},{"dropping-particle":"","family":"Kamath","given":"Ashwin","non-dropping-particle":"","parse-names":false,"suffix":""},{"dropping-particle":"","family":"Kanchan","given":"Tanuj","non-dropping-particle":"","parse-names":false,"suffix":""},{"dropping-particle":"","family":"Kandel","given":"Himal","non-dropping-particle":"","parse-names":false,"suffix":""},{"dropping-particle":"","family":"Katoto","given":"Patrick DMC","non-dropping-particle":"","parse-names":false,"suffix":""},{"dropping-particle":"","family":"Kayode","given":"Gbenga A","non-dropping-particle":"","parse-names":false,"suffix":""},{"dropping-particle":"","family":"Kendrick","given":"Parkes J","non-dropping-particle":"","parse-names":false,"suffix":""},{"dropping-particle":"","family":"Kerbo","given":"Amene Abebe","non-dropping-particle":"","parse-names":false,"suffix":""},{"dropping-particle":"","family":"Khajuria","given":"Himanshu","non-dropping-particle":"","parse-names":false,"suffix":""},{"dropping-particle":"","family":"Khalilov","given":"Rovshan","non-dropping-particle":"","parse-names":false,"suffix":""},{"dropping-particle":"","family":"Khatab","given":"Khaled","non-dropping-particle":"","parse-names":false,"suffix":""},{"dropping-particle":"","family":"Khoja","given":"Abdullah T","non-dropping-particle":"","parse-names":false,"suffix":""},{"dropping-particle":"","family":"Khubchandani","given":"Jagdish","non-dropping-particle":"","parse-names":false,"suffix":""},{"dropping-particle":"","family":"Kim","given":"Min Seo","non-dropping-particle":"","parse-names":false,"suffix":""},{"dropping-particle":"","family":"Kim","given":"Yun Jin","non-dropping-particle":"","parse-names":false,"suffix":""},{"dropping-particle":"","family":"Kisa","given":"Adnan","non-dropping-particle":"","parse-names":false,"suffix":""},{"dropping-particle":"","family":"Kisa","given":"Sezer","non-dropping-particle":"","parse-names":false,"suffix":""},{"dropping-particle":"","family":"Kosen","given":"Soewarta","non-dropping-particle":"","parse-names":false,"suffix":""},{"dropping-particle":"","family":"Koul","given":"Parvaiz A","non-dropping-particle":"","parse-names":false,"suffix":""},{"dropping-particle":"","family":"Koulmane Laxminarayana","given":"Sindhura Lakshmi","non-dropping-particle":"","parse-names":false,"suffix":""},{"dropping-particle":"","family":"Koyanagi","given":"Ai","non-dropping-particle":"","parse-names":false,"suffix":""},{"dropping-particle":"","family":"Krishan","given":"Kewal","non-dropping-particle":"","parse-names":false,"suffix":""},{"dropping-particle":"","family":"Kucuk Bicer","given":"Burcu","non-dropping-particle":"","parse-names":false,"suffix":""},{"dropping-particle":"","family":"Kumar","given":"Avinash","non-dropping-particle":"","parse-names":false,"suffix":""},{"dropping-particle":"","family":"Kumar","given":"G Anil","non-dropping-particle":"","parse-names":false,"suffix":""},{"dropping-particle":"","family":"Kumar","given":"Narinder","non-dropping-particle":"","parse-names":false,"suffix":""},{"dropping-particle":"","family":"Kumar","given":"Nithin","non-dropping-particle":"","parse-names":false,"suffix":""},{"dropping-particle":"","family":"Kwarteng","given":"Alexander","non-dropping-particle":"","parse-names":false,"suffix":""},{"dropping-particle":"","family":"Lak","given":"Hassan Mehmood","non-dropping-particle":"","parse-names":false,"suffix":""},{"dropping-particle":"","family":"Lal","given":"Dharmesh Kumar","non-dropping-particle":"","parse-names":false,"suffix":""},{"dropping-particle":"","family":"Landires","given":"Iván","non-dropping-particle":"","parse-names":false,"suffix":""},{"dropping-particle":"","family":"Lasrado","given":"Savita","non-dropping-particle":"","parse-names":false,"suffix":""},{"dropping-particle":"","family":"Lee","given":"Shaun Wen Huey","non-dropping-particle":"","parse-names":false,"suffix":""},{"dropping-particle":"","family":"Lee","given":"Wei-Chen","non-dropping-particle":"","parse-names":false,"suffix":""},{"dropping-particle":"","family":"Lin","given":"Christine","non-dropping-particle":"","parse-names":false,"suffix":""},{"dropping-particle":"","family":"Liu","given":"Xuefeng","non-dropping-particle":"","parse-names":false,"suffix":""},{"dropping-particle":"","family":"Lopukhov","given":"Platon D","non-dropping-particle":"","parse-names":false,"suffix":""},{"dropping-particle":"","family":"Lozano","given":"Rafael","non-dropping-particle":"","parse-names":false,"suffix":""},{"dropping-particle":"","family":"Machado","given":"Daiane Borges","non-dropping-particle":"","parse-names":false,"suffix":""},{"dropping-particle":"","family":"Madhava Kunjathur","given":"Shilpashree","non-dropping-particle":"","parse-names":false,"suffix":""},{"dropping-particle":"","family":"Madi","given":"Deepak","non-dropping-particle":"","parse-names":false,"suffix":""},{"dropping-particle":"","family":"Mahajan","given":"Preetam Bhalchandra","non-dropping-particle":"","parse-names":false,"suffix":""},{"dropping-particle":"","family":"Majeed","given":"Azeem","non-dropping-particle":"","parse-names":false,"suffix":""},{"dropping-particle":"","family":"Malik","given":"Ahmad Azam","non-dropping-particle":"","parse-names":false,"suffix":""},{"dropping-particle":"","family":"Martins-Melo","given":"Francisco Rogerlândio","non-dropping-particle":"","parse-names":false,"suffix":""},{"dropping-particle":"","family":"Mehta","given":"Saurabh","non-dropping-particle":"","parse-names":false,"suffix":""},{"dropping-particle":"","family":"Memish","given":"Ziad A","non-dropping-particle":"","parse-names":false,"suffix":""},{"dropping-particle":"","family":"Mendoza","given":"Walter","non-dropping-particle":"","parse-names":false,"suffix":""},{"dropping-particle":"","family":"Menezes","given":"Ritesh G","non-dropping-particle":"","parse-names":false,"suffix":""},{"dropping-particle":"","family":"Merie","given":"Hayimro Edemealem","non-dropping-particle":"","parse-names":false,"suffix":""},{"dropping-particle":"","family":"Mersha","given":"Amanual Getnet","non-dropping-particle":"","parse-names":false,"suffix":""},{"dropping-particle":"","family":"Mesregah","given":"Mohamed Kamal","non-dropping-particle":"","parse-names":false,"suffix":""},{"dropping-particle":"","family":"Mestrovic","given":"Tomislav","non-dropping-particle":"","parse-names":false,"suffix":""},{"dropping-particle":"","family":"Mheidly","given":"Nour Mheidly","non-dropping-particle":"","parse-names":false,"suffix":""},{"dropping-particle":"","family":"Misra","given":"Sanjeev","non-dropping-particle":"","parse-names":false,"suffix":""},{"dropping-particle":"","family":"Mithra","given":"Prasanna","non-dropping-particle":"","parse-names":false,"suffix":""},{"dropping-particle":"","family":"Moghadaszadeh","given":"Masoud","non-dropping-particle":"","parse-names":false,"suffix":""},{"dropping-particle":"","family":"Mohammadi","given":"Mokhtar","non-dropping-particle":"","parse-names":false,"suffix":""},{"dropping-particle":"","family":"Mohammadian-Hafshejani","given":"Abdollah","non-dropping-particle":"","parse-names":false,"suffix":""},{"dropping-particle":"","family":"Mohammed","given":"Shafiu","non-dropping-particle":"","parse-names":false,"suffix":""},{"dropping-particle":"","family":"Molokhia","given":"Mariam","non-dropping-particle":"","parse-names":false,"suffix":""},{"dropping-particle":"","family":"Moni","given":"Mohammad Ali","non-dropping-particle":"","parse-names":false,"suffix":""},{"dropping-particle":"Al","family":"Montasir","given":"Ahmed","non-dropping-particle":"","parse-names":false,"suffix":""},{"dropping-particle":"","family":"Moore","given":"Catrin E","non-dropping-particle":"","parse-names":false,"suffix":""},{"dropping-particle":"","family":"Nagarajan","given":"Ahamarshan Jayaraman","non-dropping-particle":"","parse-names":false,"suffix":""},{"dropping-particle":"","family":"Nair","given":"Sanjeev","non-dropping-particle":"","parse-names":false,"suffix":""},{"dropping-particle":"","family":"Nair","given":"Suma","non-dropping-particle":"","parse-names":false,"suffix":""},{"dropping-particle":"","family":"Naqvi","given":"Atta Abbas","non-dropping-particle":"","parse-names":false,"suffix":""},{"dropping-particle":"","family":"Narasimha Swamy","given":"Sreenivas","non-dropping-particle":"","parse-names":false,"suffix":""},{"dropping-particle":"","family":"Nayak","given":"Biswa Prakash","non-dropping-particle":"","parse-names":false,"suffix":""},{"dropping-particle":"","family":"Nazari","given":"Javad","non-dropping-particle":"","parse-names":false,"suffix":""},{"dropping-particle":"","family":"Neupane Kandel","given":"Sandhya","non-dropping-particle":"","parse-names":false,"suffix":""},{"dropping-particle":"","family":"Nguyen","given":"Trang Huyen","non-dropping-particle":"","parse-names":false,"suffix":""},{"dropping-particle":"","family":"Nixon","given":"Molly R","non-dropping-particle":"","parse-names":false,"suffix":""},{"dropping-particle":"","family":"Nnaji","given":"Chukwudi A","non-dropping-particle":"","parse-names":false,"suffix":""},{"dropping-particle":"","family":"Ntsekhe","given":"Mpiko","non-dropping-particle":"","parse-names":false,"suffix":""},{"dropping-particle":"","family":"Nuñez-Samudio","given":"Virginia","non-dropping-particle":"","parse-names":false,"suffix":""},{"dropping-particle":"","family":"Oancea","given":"Bogdan","non-dropping-particle":"","parse-names":false,"suffix":""},{"dropping-particle":"","family":"Odukoya","given":"Oluwakemi Ololade","non-dropping-particle":"","parse-names":false,"suffix":""},{"dropping-particle":"","family":"Olagunju","given":"Andrew T","non-dropping-particle":"","parse-names":false,"suffix":""},{"dropping-particle":"","family":"Oren","given":"Eyal","non-dropping-particle":"","parse-names":false,"suffix":""},{"dropping-particle":"","family":"P A","given":"Mahesh","non-dropping-particle":"","parse-names":false,"suffix":""},{"dropping-particle":"","family":"Parthasarathi","given":"Ramakrishnan","non-dropping-particle":"","parse-names":false,"suffix":""},{"dropping-particle":"","family":"Pashazadeh Kan","given":"Fatemeh","non-dropping-particle":"","parse-names":false,"suffix":""},{"dropping-particle":"","family":"Pattanshetty","given":"Sanjay M","non-dropping-particle":"","parse-names":false,"suffix":""},{"dropping-particle":"","family":"Paudel","given":"Rajan","non-dropping-particle":"","parse-names":false,"suffix":""},{"dropping-particle":"","family":"Paul","given":"Pintu","non-dropping-particle":"","parse-names":false,"suffix":""},{"dropping-particle":"","family":"Pawar","given":"Shrikant","non-dropping-particle":"","parse-names":false,"suffix":""},{"dropping-particle":"","family":"Pepito","given":"Veincent Christian Filipino","non-dropping-particle":"","parse-names":false,"suffix":""},{"dropping-particle":"","family":"Perico","given":"Norberto","non-dropping-particle":"","parse-names":false,"suffix":""},{"dropping-particle":"","family":"Pirestani","given":"Majid","non-dropping-particle":"","parse-names":false,"suffix":""},{"dropping-particle":"V","family":"Polibin","given":"Roman","non-dropping-particle":"","parse-names":false,"suffix":""},{"dropping-particle":"","family":"Postma","given":"Maarten J","non-dropping-particle":"","parse-names":false,"suffix":""},{"dropping-particle":"","family":"Pourshams","given":"Akram","non-dropping-particle":"","parse-names":false,"suffix":""},{"dropping-particle":"","family":"Prashant","given":"Akila","non-dropping-particle":"","parse-names":false,"suffix":""},{"dropping-particle":"","family":"Pribadi","given":"Dimas Ria Angga","non-dropping-particle":"","parse-names":false,"suffix":""},{"dropping-particle":"","family":"Radfar","given":"Amir","non-dropping-particle":"","parse-names":false,"suffix":""},{"dropping-particle":"","family":"Rafiei","given":"Alireza","non-dropping-particle":"","parse-names":false,"suffix":""},{"dropping-particle":"","family":"Rahim","given":"Fakher","non-dropping-particle":"","parse-names":false,"suffix":""},{"dropping-particle":"","family":"Rahimi-Movaghar","given":"Vafa","non-dropping-particle":"","parse-names":false,"suffix":""},{"dropping-particle":"","family":"Rahman","given":"Mahfuzar","non-dropping-particle":"","parse-names":false,"suffix":""},{"dropping-particle":"","family":"Rahman","given":"Mosiur","non-dropping-particle":"","parse-names":false,"suffix":""},{"dropping-particle":"","family":"Rahmani","given":"Amir Masoud","non-dropping-particle":"","parse-names":false,"suffix":""},{"dropping-particle":"","family":"Ranasinghe","given":"Priyanga","non-dropping-particle":"","parse-names":false,"suffix":""},{"dropping-particle":"","family":"Rao","given":"Chythra R","non-dropping-particle":"","parse-names":false,"suffix":""},{"dropping-particle":"","family":"Rawaf","given":"David Laith","non-dropping-particle":"","parse-names":false,"suffix":""},{"dropping-particle":"","family":"Rawaf","given":"Salman","non-dropping-particle":"","parse-names":false,"suffix":""},{"dropping-particle":"","family":"Reitsma","given":"Marissa B","non-dropping-particle":"","parse-names":false,"suffix":""},{"dropping-particle":"","family":"Remuzzi","given":"Giuseppe","non-dropping-particle":"","parse-names":false,"suffix":""},{"dropping-particle":"","family":"Renzaho","given":"Andre M N","non-dropping-particle":"","parse-names":false,"suffix":""},{"dropping-particle":"","family":"Reta","given":"Melese Abate","non-dropping-particle":"","parse-names":false,"suffix":""},{"dropping-particle":"","family":"Rezaei","given":"Nima","non-dropping-particle":"","parse-names":false,"suffix":""},{"dropping-particle":"","family":"Rezahosseini","given":"Omid","non-dropping-particle":"","parse-names":false,"suffix":""},{"dropping-particle":"","family":"Rezai","given":"Mohammad sadegh","non-dropping-particle":"","parse-names":false,"suffix":""},{"dropping-particle":"","family":"Rezapour","given":"Aziz","non-dropping-particle":"","parse-names":false,"suffix":""},{"dropping-particle":"","family":"Roshandel","given":"Gholamreza","non-dropping-particle":"","parse-names":false,"suffix":""},{"dropping-particle":"","family":"Roshchin","given":"Denis O","non-dropping-particle":"","parse-names":false,"suffix":""},{"dropping-particle":"","family":"Sabour","given":"Siamak","non-dropping-particle":"","parse-names":false,"suffix":""},{"dropping-particle":"","family":"Saif-Ur-Rahman","given":"KM","non-dropping-particle":"","parse-names":false,"suffix":""},{"dropping-particle":"","family":"Salam","given":"Nasir","non-dropping-particle":"","parse-names":false,"suffix":""},{"dropping-particle":"","family":"Samadi Kafil","given":"Hossein","non-dropping-particle":"","parse-names":false,"suffix":""},{"dropping-particle":"","family":"Samaei","given":"Mehrnoosh","non-dropping-particle":"","parse-names":false,"suffix":""},{"dropping-particle":"","family":"Samy","given":"Abdallah M","non-dropping-particle":"","parse-names":false,"suffix":""},{"dropping-particle":"","family":"Saroshe","given":"Satish","non-dropping-particle":"","parse-names":false,"suffix":""},{"dropping-particle":"","family":"Sartorius","given":"Benn","non-dropping-particle":"","parse-names":false,"suffix":""},{"dropping-particle":"","family":"Sathian","given":"Brijesh","non-dropping-particle":"","parse-names":false,"suffix":""},{"dropping-particle":"","family":"Sawyer","given":"Susan M","non-dropping-particle":"","parse-names":false,"suffix":""},{"dropping-particle":"","family":"Senthilkumaran","given":"Subramanian","non-dropping-particle":"","parse-names":false,"suffix":""},{"dropping-particle":"","family":"Seylani","given":"Allen","non-dropping-particle":"","parse-names":false,"suffix":""},{"dropping-particle":"","family":"Shafaat","given":"Omid","non-dropping-particle":"","parse-names":false,"suffix":""},{"dropping-particle":"","family":"Shaikh","given":"Masood Ali","non-dropping-particle":"","parse-names":false,"suffix":""},{"dropping-particle":"","family":"Sharafi","given":"Kiomars","non-dropping-particle":"","parse-names":false,"suffix":""},{"dropping-particle":"","family":"Shetty","given":"Ranjitha S","non-dropping-particle":"","parse-names":false,"suffix":""},{"dropping-particle":"","family":"Shigematsu","given":"Mika","non-dropping-particle":"","parse-names":false,"suffix":""},{"dropping-particle":"Il","family":"Shin","given":"Jae","non-dropping-particle":"","parse-names":false,"suffix":""},{"dropping-particle":"","family":"Silva","given":"João Pedro","non-dropping-particle":"","parse-names":false,"suffix":""},{"dropping-particle":"","family":"Singh","given":"Jitendra Kumar","non-dropping-particle":"","parse-names":false,"suffix":""},{"dropping-particle":"","family":"Sinha","given":"Smriti","non-dropping-particle":"","parse-names":false,"suffix":""},{"dropping-particle":"","family":"Skryabin","given":"Valentin Yurievich","non-dropping-particle":"","parse-names":false,"suffix":""},{"dropping-particle":"","family":"Skryabina","given":"Anna Aleksandrovna","non-dropping-particle":"","parse-names":false,"suffix":""},{"dropping-particle":"","family":"Spurlock","given":"Emma Elizabeth","non-dropping-particle":"","parse-names":false,"suffix":""},{"dropping-particle":"","family":"Sreeramareddy","given":"Chandrashekhar T","non-dropping-particle":"","parse-names":false,"suffix":""},{"dropping-particle":"","family":"Steiropoulos","given":"Paschalis","non-dropping-particle":"","parse-names":false,"suffix":""},{"dropping-particle":"","family":"Sufiyan","given":"Mu'awiyyah Babale","non-dropping-particle":"","parse-names":false,"suffix":""},{"dropping-particle":"","family":"Tabuchi","given":"Takahiro","non-dropping-particle":"","parse-names":false,"suffix":""},{"dropping-particle":"","family":"Tadesse","given":"Eyayou Girma","non-dropping-particle":"","parse-names":false,"suffix":""},{"dropping-particle":"","family":"Tamir","given":"Zemenu","non-dropping-particle":"","parse-names":false,"suffix":""},{"dropping-particle":"","family":"Tarkang","given":"Elvis Enowbeyang","non-dropping-particle":"","parse-names":false,"suffix":""},{"dropping-particle":"","family":"Tekalegn","given":"Yohannes","non-dropping-particle":"","parse-names":false,"suffix":""},{"dropping-particle":"","family":"Tesfay","given":"Fisaha Haile","non-dropping-particle":"","parse-names":false,"suffix":""},{"dropping-particle":"","family":"Tessema","given":"Belay","non-dropping-particle":"","parse-names":false,"suffix":""},{"dropping-particle":"","family":"Thapar","given":"Rekha","non-dropping-particle":"","parse-names":false,"suffix":""},{"dropping-particle":"","family":"Tleyjeh","given":"Imad I","non-dropping-particle":"","parse-names":false,"suffix":""},{"dropping-particle":"","family":"Tobe-Gai","given":"Ruoyan","non-dropping-particle":"","parse-names":false,"suffix":""},{"dropping-particle":"","family":"Tran","given":"Bach Xuan","non-dropping-particle":"","parse-names":false,"suffix":""},{"dropping-particle":"","family":"Tsegaye","given":"Berhan","non-dropping-particle":"","parse-names":false,"suffix":""},{"dropping-particle":"","family":"Tsegaye","given":"Gebiyaw Wudie","non-dropping-particle":"","parse-names":false,"suffix":""},{"dropping-particle":"","family":"Ullah","given":"Anayat","non-dropping-particle":"","parse-names":false,"suffix":""},{"dropping-particle":"","family":"Umeokonkwo","given":"Chukwuma David","non-dropping-particle":"","parse-names":false,"suffix":""},{"dropping-particle":"","family":"Valadan Tahbaz","given":"Sahel","non-dropping-particle":"","parse-names":false,"suffix":""},{"dropping-particle":"","family":"Vo","given":"Bay","non-dropping-particle":"","parse-names":false,"suffix":""},{"dropping-particle":"","family":"Vu","given":"Giang Thu","non-dropping-particle":"","parse-names":false,"suffix":""},{"dropping-particle":"","family":"Waheed","given":"Yasir","non-dropping-particle":"","parse-names":false,"suffix":""},{"dropping-particle":"","family":"Walters","given":"Magdalene K","non-dropping-particle":"","parse-names":false,"suffix":""},{"dropping-particle":"","family":"Whisnant","given":"Joanna L","non-dropping-particle":"","parse-names":false,"suffix":""},{"dropping-particle":"","family":"Woldekidan","given":"Mesfin Agachew","non-dropping-particle":"","parse-names":false,"suffix":""},{"dropping-particle":"","family":"Wubishet","given":"Befikadu Legesse","non-dropping-particle":"","parse-names":false,"suffix":""},{"dropping-particle":"","family":"Yahyazadeh Jabbari","given":"Seyed Hossein","non-dropping-particle":"","parse-names":false,"suffix":""},{"dropping-particle":"","family":"Yazie","given":"Taklo Simeneh Yazie","non-dropping-particle":"","parse-names":false,"suffix":""},{"dropping-particle":"","family":"Yeshaw","given":"Yigizie","non-dropping-particle":"","parse-names":false,"suffix":""},{"dropping-particle":"","family":"Yi","given":"Siyan","non-dropping-particle":"","parse-names":false,"suffix":""},{"dropping-particle":"","family":"Yiğit","given":"Vahit","non-dropping-particle":"","parse-names":false,"suffix":""},{"dropping-particle":"","family":"Yonemoto","given":"Naohiro","non-dropping-particle":"","parse-names":false,"suffix":""},{"dropping-particle":"","family":"Yu","given":"Chuanhua","non-dropping-particle":"","parse-names":false,"suffix":""},{"dropping-particle":"","family":"Yunusa","given":"Ismaeel","non-dropping-particle":"","parse-names":false,"suffix":""},{"dropping-particle":"","family":"Zastrozhin","given":"Mikhail Sergeevich","non-dropping-particle":"","parse-names":false,"suffix":""},{"dropping-particle":"","family":"Zastrozhina","given":"Anasthasia","non-dropping-particle":"","parse-names":false,"suffix":""},{"dropping-particle":"","family":"Zhang","given":"Zhi-Jiang","non-dropping-particle":"","parse-names":false,"suffix":""},{"dropping-particle":"","family":"Zumla","given":"Alimuddin","non-dropping-particle":"","parse-names":false,"suffix":""},{"dropping-particle":"","family":"Mokdad","given":"Ali H","non-dropping-particle":"","parse-names":false,"suffix":""},{"dropping-particle":"","family":"Salomon","given":"Joshua A","non-dropping-particle":"","parse-names":false,"suffix":""},{"dropping-particle":"","family":"Reiner Jr","given":"Robert C","non-dropping-particle":"","parse-names":false,"suffix":""},{"dropping-particle":"","family":"Lim","given":"Stephen S","non-dropping-particle":"","parse-names":false,"suffix":""},{"dropping-particle":"","family":"Naghavi","given":"Mohsen","non-dropping-particle":"","parse-names":false,"suffix":""},{"dropping-particle":"","family":"Vos","given":"Theo","non-dropping-particle":"","parse-names":false,"suffix":""},{"dropping-particle":"","family":"Hay","given":"Simon I","non-dropping-particle":"","parse-names":false,"suffix":""},{"dropping-particle":"","family":"Murray","given":"Christopher J L","non-dropping-particle":"","parse-names":false,"suffix":""},{"dropping-particle":"","family":"Kyu","given":"Hmwe Hmwe","non-dropping-particle":"","parse-names":false,"suffix":""}],"container-title":"The Lancet Infectious Diseases","id":"ITEM-1","issue":"21","issued":{"date-parts":[["2021"]]},"page":"1-20","title":"Global, regional, and national sex differences in the global burden of tuberculosis by HIV status, 1990–2019: results from the Global Burden of Disease Study 2019","type":"article-journal","volume":"3099"},"uris":["http://www.mendeley.com/documents/?uuid=c9821754-811b-47c0-83ed-a22596cd482c"]}],"mendeley":{"formattedCitation":"(134)","plainTextFormattedCitation":"(134)","previouslyFormattedCitation":"(134)"},"properties":{"noteIndex":0},"schema":"https://github.com/citation-style-language/schema/raw/master/csl-citation.json"}</w:instrText>
      </w:r>
      <w:r w:rsidR="006D3675" w:rsidRPr="00435469">
        <w:rPr>
          <w:szCs w:val="20"/>
        </w:rPr>
        <w:fldChar w:fldCharType="separate"/>
      </w:r>
      <w:r w:rsidR="0016391D" w:rsidRPr="00435469">
        <w:rPr>
          <w:noProof/>
          <w:szCs w:val="20"/>
        </w:rPr>
        <w:t>(134)</w:t>
      </w:r>
      <w:r w:rsidR="006D3675" w:rsidRPr="00435469">
        <w:rPr>
          <w:szCs w:val="20"/>
        </w:rPr>
        <w:fldChar w:fldCharType="end"/>
      </w:r>
      <w:r w:rsidR="006D3675" w:rsidRPr="00435469">
        <w:rPr>
          <w:szCs w:val="20"/>
        </w:rPr>
        <w:t xml:space="preserve">; 2020 WHO TB reported </w:t>
      </w:r>
      <w:r w:rsidR="006D3675" w:rsidRPr="00435469">
        <w:rPr>
          <w:szCs w:val="20"/>
        </w:rPr>
        <w:fldChar w:fldCharType="begin" w:fldLock="1"/>
      </w:r>
      <w:r w:rsidR="00650727" w:rsidRPr="00435469">
        <w:rPr>
          <w:szCs w:val="20"/>
        </w:rPr>
        <w:instrText>ADDIN CSL_CITATION {"citationItems":[{"id":"ITEM-1","itemData":{"ISBN":"978-92-4-001313-1","id":"ITEM-1","issued":{"date-parts":[["2020"]]},"publisher-place":"Geneva: World Health Organization; 2020","title":"World Health Organization. Global Tuberculosis Report, 2020","type":"report"},"uris":["http://www.mendeley.com/documents/?uuid=1e49d534-4bbd-4b07-a44c-38383625af56"]}],"mendeley":{"formattedCitation":"(133)","plainTextFormattedCitation":"(133)","previouslyFormattedCitation":"(133)"},"properties":{"noteIndex":0},"schema":"https://github.com/citation-style-language/schema/raw/master/csl-citation.json"}</w:instrText>
      </w:r>
      <w:r w:rsidR="006D3675" w:rsidRPr="00435469">
        <w:rPr>
          <w:szCs w:val="20"/>
        </w:rPr>
        <w:fldChar w:fldCharType="separate"/>
      </w:r>
      <w:r w:rsidR="0016391D" w:rsidRPr="00435469">
        <w:rPr>
          <w:noProof/>
          <w:szCs w:val="20"/>
        </w:rPr>
        <w:t>(133)</w:t>
      </w:r>
      <w:r w:rsidR="006D3675" w:rsidRPr="00435469">
        <w:rPr>
          <w:szCs w:val="20"/>
        </w:rPr>
        <w:fldChar w:fldCharType="end"/>
      </w:r>
      <w:r w:rsidR="006D3675" w:rsidRPr="00435469">
        <w:rPr>
          <w:szCs w:val="20"/>
        </w:rPr>
        <w:t xml:space="preserve">. </w:t>
      </w:r>
      <w:r w:rsidR="000C6244" w:rsidRPr="00435469">
        <w:rPr>
          <w:rFonts w:cs="Times New Roman"/>
          <w:szCs w:val="20"/>
        </w:rPr>
        <w:t>⁋</w:t>
      </w:r>
      <w:r w:rsidR="000C6244" w:rsidRPr="00435469">
        <w:rPr>
          <w:szCs w:val="20"/>
        </w:rPr>
        <w:t>IMHE</w:t>
      </w:r>
      <w:r w:rsidR="00332B79" w:rsidRPr="00435469">
        <w:rPr>
          <w:szCs w:val="20"/>
        </w:rPr>
        <w:t xml:space="preserve"> figures obtained from summing </w:t>
      </w:r>
      <w:r w:rsidR="006473BF" w:rsidRPr="00435469">
        <w:rPr>
          <w:szCs w:val="20"/>
        </w:rPr>
        <w:t>HIV-sex-disaggregated data.</w:t>
      </w:r>
      <w:r w:rsidR="000C6244" w:rsidRPr="00435469">
        <w:rPr>
          <w:szCs w:val="20"/>
        </w:rPr>
        <w:t xml:space="preserve"> </w:t>
      </w:r>
      <w:r w:rsidR="006D3675" w:rsidRPr="00435469">
        <w:rPr>
          <w:szCs w:val="20"/>
        </w:rPr>
        <w:t>*WHO sex-specific data obtained from reading a graph so may not be the exact</w:t>
      </w:r>
      <w:r w:rsidR="00C664CF" w:rsidRPr="00435469">
        <w:rPr>
          <w:szCs w:val="20"/>
        </w:rPr>
        <w:t>.</w:t>
      </w:r>
      <w:r w:rsidR="006D3675" w:rsidRPr="00435469">
        <w:rPr>
          <w:szCs w:val="20"/>
        </w:rPr>
        <w:t xml:space="preserve"> </w:t>
      </w:r>
    </w:p>
    <w:p w14:paraId="7BC6D861" w14:textId="5D4F11FC" w:rsidR="00F3450D" w:rsidRPr="00435469" w:rsidRDefault="006D3675" w:rsidP="00626FCA">
      <w:pPr>
        <w:pStyle w:val="1Para"/>
        <w:spacing w:line="240" w:lineRule="auto"/>
        <w:ind w:firstLine="0"/>
        <w:rPr>
          <w:sz w:val="20"/>
          <w:szCs w:val="20"/>
          <w:lang w:val="en-ZA"/>
        </w:rPr>
      </w:pPr>
      <w:r w:rsidRPr="00435469">
        <w:rPr>
          <w:sz w:val="20"/>
          <w:szCs w:val="20"/>
          <w:lang w:val="en-ZA"/>
        </w:rPr>
        <w:t>The notable differences described above may be driven by differences in the</w:t>
      </w:r>
      <w:r w:rsidR="000F2D49" w:rsidRPr="00435469">
        <w:rPr>
          <w:sz w:val="20"/>
          <w:szCs w:val="20"/>
          <w:lang w:val="en-ZA"/>
        </w:rPr>
        <w:t xml:space="preserve"> </w:t>
      </w:r>
      <w:r w:rsidRPr="00435469">
        <w:rPr>
          <w:sz w:val="20"/>
          <w:szCs w:val="20"/>
          <w:lang w:val="en-ZA"/>
        </w:rPr>
        <w:t xml:space="preserve">methodological approaches for estimating the </w:t>
      </w:r>
      <w:r w:rsidR="000F2D49" w:rsidRPr="00435469">
        <w:rPr>
          <w:sz w:val="20"/>
          <w:szCs w:val="20"/>
          <w:lang w:val="en-ZA"/>
        </w:rPr>
        <w:t xml:space="preserve">tuberculosis </w:t>
      </w:r>
      <w:r w:rsidRPr="00435469">
        <w:rPr>
          <w:sz w:val="20"/>
          <w:szCs w:val="20"/>
          <w:lang w:val="en-ZA"/>
        </w:rPr>
        <w:t>burden and the data sources used for inputs</w:t>
      </w:r>
      <w:r w:rsidR="00626FCA" w:rsidRPr="00435469">
        <w:rPr>
          <w:sz w:val="20"/>
          <w:szCs w:val="20"/>
          <w:lang w:val="en-ZA"/>
        </w:rPr>
        <w:t xml:space="preserve"> (</w:t>
      </w:r>
      <w:r w:rsidR="00626FCA" w:rsidRPr="00435469">
        <w:rPr>
          <w:sz w:val="20"/>
          <w:szCs w:val="20"/>
          <w:lang w:val="en-ZA"/>
        </w:rPr>
        <w:fldChar w:fldCharType="begin"/>
      </w:r>
      <w:r w:rsidR="00626FCA" w:rsidRPr="00435469">
        <w:rPr>
          <w:sz w:val="20"/>
          <w:szCs w:val="20"/>
          <w:lang w:val="en-ZA"/>
        </w:rPr>
        <w:instrText xml:space="preserve"> REF _Ref102647425 \h  \* MERGEFORMAT </w:instrText>
      </w:r>
      <w:r w:rsidR="00626FCA" w:rsidRPr="00435469">
        <w:rPr>
          <w:sz w:val="20"/>
          <w:szCs w:val="20"/>
          <w:lang w:val="en-ZA"/>
        </w:rPr>
      </w:r>
      <w:r w:rsidR="00626FCA" w:rsidRPr="00435469">
        <w:rPr>
          <w:sz w:val="20"/>
          <w:szCs w:val="20"/>
          <w:lang w:val="en-ZA"/>
        </w:rPr>
        <w:fldChar w:fldCharType="separate"/>
      </w:r>
      <w:r w:rsidR="00186C2F" w:rsidRPr="00435469">
        <w:rPr>
          <w:sz w:val="20"/>
          <w:szCs w:val="20"/>
        </w:rPr>
        <w:t xml:space="preserve">Table </w:t>
      </w:r>
      <w:r w:rsidR="00186C2F" w:rsidRPr="00435469">
        <w:rPr>
          <w:noProof/>
          <w:sz w:val="20"/>
          <w:szCs w:val="20"/>
        </w:rPr>
        <w:t>28</w:t>
      </w:r>
      <w:r w:rsidR="00626FCA" w:rsidRPr="00435469">
        <w:rPr>
          <w:sz w:val="20"/>
          <w:szCs w:val="20"/>
          <w:lang w:val="en-ZA"/>
        </w:rPr>
        <w:fldChar w:fldCharType="end"/>
      </w:r>
      <w:r w:rsidR="00626FCA" w:rsidRPr="00435469">
        <w:rPr>
          <w:sz w:val="20"/>
          <w:szCs w:val="20"/>
          <w:lang w:val="en-ZA"/>
        </w:rPr>
        <w:t>)</w:t>
      </w:r>
      <w:r w:rsidR="000F2520" w:rsidRPr="00435469">
        <w:rPr>
          <w:sz w:val="20"/>
          <w:szCs w:val="20"/>
          <w:lang w:val="en-ZA"/>
        </w:rPr>
        <w:t>.</w:t>
      </w:r>
      <w:r w:rsidR="00036440" w:rsidRPr="00435469">
        <w:rPr>
          <w:sz w:val="20"/>
          <w:szCs w:val="20"/>
          <w:lang w:val="en-ZA"/>
        </w:rPr>
        <w:t>T</w:t>
      </w:r>
      <w:r w:rsidRPr="00435469">
        <w:rPr>
          <w:sz w:val="20"/>
          <w:szCs w:val="20"/>
          <w:lang w:val="en-ZA"/>
        </w:rPr>
        <w:t>he IMHE relies largely on mo</w:t>
      </w:r>
      <w:r w:rsidR="00F30F38" w:rsidRPr="00435469">
        <w:rPr>
          <w:sz w:val="20"/>
          <w:szCs w:val="20"/>
          <w:lang w:val="en-ZA"/>
        </w:rPr>
        <w:t>rt</w:t>
      </w:r>
      <w:r w:rsidRPr="00435469">
        <w:rPr>
          <w:sz w:val="20"/>
          <w:szCs w:val="20"/>
          <w:lang w:val="en-ZA"/>
        </w:rPr>
        <w:t xml:space="preserve">ality data and </w:t>
      </w:r>
      <w:r w:rsidR="00A06A79" w:rsidRPr="00435469">
        <w:rPr>
          <w:sz w:val="20"/>
          <w:szCs w:val="20"/>
          <w:lang w:val="en-ZA"/>
        </w:rPr>
        <w:t xml:space="preserve">indirectly </w:t>
      </w:r>
      <w:r w:rsidRPr="00435469">
        <w:rPr>
          <w:sz w:val="20"/>
          <w:szCs w:val="20"/>
          <w:lang w:val="en-ZA"/>
        </w:rPr>
        <w:t>estimate</w:t>
      </w:r>
      <w:r w:rsidR="00C664CF" w:rsidRPr="00435469">
        <w:rPr>
          <w:sz w:val="20"/>
          <w:szCs w:val="20"/>
          <w:lang w:val="en-ZA"/>
        </w:rPr>
        <w:t>s</w:t>
      </w:r>
      <w:r w:rsidRPr="00435469">
        <w:rPr>
          <w:sz w:val="20"/>
          <w:szCs w:val="20"/>
          <w:lang w:val="en-ZA"/>
        </w:rPr>
        <w:t xml:space="preserve"> incidence </w:t>
      </w:r>
      <w:r w:rsidR="00F30F38" w:rsidRPr="00435469">
        <w:rPr>
          <w:sz w:val="20"/>
          <w:szCs w:val="20"/>
          <w:lang w:val="en-ZA"/>
        </w:rPr>
        <w:t xml:space="preserve">from case </w:t>
      </w:r>
      <w:r w:rsidRPr="00435469">
        <w:rPr>
          <w:sz w:val="20"/>
          <w:szCs w:val="20"/>
          <w:lang w:val="en-ZA"/>
        </w:rPr>
        <w:t xml:space="preserve">fatality ratios </w:t>
      </w:r>
      <w:r w:rsidR="00A06A79" w:rsidRPr="00435469">
        <w:rPr>
          <w:sz w:val="20"/>
          <w:szCs w:val="20"/>
          <w:lang w:val="en-ZA"/>
        </w:rPr>
        <w:t xml:space="preserve">estimated from </w:t>
      </w:r>
      <w:r w:rsidR="00CD7F0C" w:rsidRPr="00435469">
        <w:rPr>
          <w:sz w:val="20"/>
          <w:szCs w:val="20"/>
          <w:lang w:val="en-ZA"/>
        </w:rPr>
        <w:t xml:space="preserve">a </w:t>
      </w:r>
      <w:r w:rsidRPr="00435469">
        <w:rPr>
          <w:sz w:val="20"/>
          <w:szCs w:val="20"/>
          <w:lang w:val="en-ZA"/>
        </w:rPr>
        <w:t xml:space="preserve">regression model </w:t>
      </w:r>
      <w:r w:rsidRPr="00435469">
        <w:rPr>
          <w:sz w:val="20"/>
          <w:szCs w:val="20"/>
        </w:rPr>
        <w:fldChar w:fldCharType="begin" w:fldLock="1"/>
      </w:r>
      <w:r w:rsidR="00A142FF" w:rsidRPr="00435469">
        <w:rPr>
          <w:sz w:val="20"/>
          <w:szCs w:val="20"/>
        </w:rPr>
        <w:instrText>ADDIN CSL_CITATION {"citationItems":[{"id":"ITEM-1","itemData":{"DOI":"10.1016/s1473-3099(21)00449-7","ISSN":"14733099","abstract":"Background Tuberculosis is a major contributor to the global burden of disease, causing more than a million deaths annually. Given an emphasis on equity in access to diagnosis and treatment of tuberculosis in global health targets, evaluations of differences in tuberculosis burden by sex are crucial. We aimed to assess the levels and trends of the global burden of tuberculosis, with an emphasis on investigating differences in sex by HIV status for 204 countries and territories from 1990 to 2019.","author":[{"dropping-particle":"","family":"Ledesma","given":"Jorge R","non-dropping-particle":"","parse-names":false,"suffix":""},{"dropping-particle":"","family":"Ma","given":"Jianing","non-dropping-particle":"","parse-names":false,"suffix":""},{"dropping-particle":"","family":"Vongpradith","given":"Avina","non-dropping-particle":"","parse-names":false,"suffix":""},{"dropping-particle":"","family":"Maddison","given":"Emilie R","non-dropping-particle":"","parse-names":false,"suffix":""},{"dropping-particle":"","family":"Novotney","given":"Amanda","non-dropping-particle":"","parse-names":false,"suffix":""},{"dropping-particle":"","family":"Biehl","given":"Molly H","non-dropping-particle":"","parse-names":false,"suffix":""},{"dropping-particle":"","family":"LeGrand","given":"Kate E","non-dropping-particle":"","parse-names":false,"suffix":""},{"dropping-particle":"","family":"Ross","given":"Jennifer M","non-dropping-particle":"","parse-names":false,"suffix":""},{"dropping-particle":"","family":"Jahagirdar","given":"Deepa","non-dropping-particle":"","parse-names":false,"suffix":""},{"dropping-particle":"","family":"Bryazka","given":"Dana","non-dropping-particle":"","parse-names":false,"suffix":""},{"dropping-particle":"","family":"Feldman","given":"Rachel","non-dropping-particle":"","parse-names":false,"suffix":""},{"dropping-particle":"","family":"Abolhassani","given":"Hassan","non-dropping-particle":"","parse-names":false,"suffix":""},{"dropping-particle":"","family":"Abosetugn","given":"Akine Eshete","non-dropping-particle":"","parse-names":false,"suffix":""},{"dropping-particle":"","family":"Abu-Gharbieh","given":"Eman","non-dropping-particle":"","parse-names":false,"suffix":""},{"dropping-particle":"","family":"Adebayo","given":"Oladimeji M","non-dropping-particle":"","parse-names":false,"suffix":""},{"dropping-particle":"","family":"Adnani","given":"Qorinah Estiningtyas Sakilah","non-dropping-particle":"","parse-names":false,"suffix":""},{"dropping-particle":"","family":"Afzal","given":"Saira","non-dropping-particle":"","parse-names":false,"suffix":""},{"dropping-particle":"","family":"Ahinkorah","given":"Bright Opoku","non-dropping-particle":"","parse-names":false,"suffix":""},{"dropping-particle":"","family":"Ahmad","given":"Sajjad Ahmad","non-dropping-particle":"","parse-names":false,"suffix":""},{"dropping-particle":"","family":"Ahmadi","given":"Sepideh","non-dropping-particle":"","parse-names":false,"suffix":""},{"dropping-particle":"","family":"Ahmed Rashid","given":"Tarik","non-dropping-particle":"","parse-names":false,"suffix":""},{"dropping-particle":"","family":"Ahmed Salih","given":"Yusra","non-dropping-particle":"","parse-names":false,"suffix":""},{"dropping-particle":"","family":"Aklilu","given":"Addis","non-dropping-particle":"","parse-names":false,"suffix":""},{"dropping-particle":"","family":"Akunna","given":"Chisom Joyqueenet","non-dropping-particle":"","parse-names":false,"suffix":""},{"dropping-particle":"","family":"Hamad","given":"Hanadi","non-dropping-particle":"Al","parse-names":false,"suffix":""},{"dropping-particle":"","family":"Alahdab","given":"Fares","non-dropping-particle":"","parse-names":false,"suffix":""},{"dropping-particle":"","family":"Alemayehu","given":"Yosef","non-dropping-particle":"","parse-names":false,"suffix":""},{"dropping-particle":"","family":"Alene","given":"Kefyalew Addis","non-dropping-particle":"","parse-names":false,"suffix":""},{"dropping-particle":"","family":"Ali","given":"Beriwan Abdulqadir","non-dropping-particle":"","parse-names":false,"suffix":""},{"dropping-particle":"","family":"Ali","given":"Liaqat","non-dropping-particle":"","parse-names":false,"suffix":""},{"dropping-particle":"","family":"Alipour","given":"Vahid","non-dropping-particle":"","parse-names":false,"suffix":""},{"dropping-particle":"","family":"Alizade","given":"Hesam","non-dropping-particle":"","parse-names":false,"suffix":""},{"dropping-particle":"","family":"Al-Raddadi","given":"Rajaa M","non-dropping-particle":"","parse-names":false,"suffix":""},{"dropping-particle":"","family":"Alvis-Guzman","given":"Nelson","non-dropping-particle":"","parse-names":false,"suffix":""},{"dropping-particle":"","family":"Amini","given":"Saeed","non-dropping-particle":"","parse-names":false,"suffix":""},{"dropping-particle":"","family":"Amit","given":"Arianna Maever L","non-dropping-particle":"","parse-names":false,"suffix":""},{"dropping-particle":"","family":"Anderson","given":"Jason A","non-dropping-particle":"","parse-names":false,"suffix":""},{"dropping-particle":"","family":"Androudi","given":"Sofia","non-dropping-particle":"","parse-names":false,"suffix":""},{"dropping-particle":"","family":"Antonio","given":"Carl Abelardo T","non-dropping-particle":"","parse-names":false,"suffix":""},{"dropping-particle":"","family":"Antony","given":"Catherine M","non-dropping-particle":"","parse-names":false,"suffix":""},{"dropping-particle":"","family":"Anwer","given":"Razique","non-dropping-particle":"","parse-names":false,"suffix":""},{"dropping-particle":"","family":"Arabloo","given":"Jalal","non-dropping-particle":"","parse-names":false,"suffix":""},{"dropping-particle":"","family":"Arja","given":"Asrat","non-dropping-particle":"","parse-names":false,"suffix":""},{"dropping-particle":"","family":"Asemahagn","given":"Mulusew A","non-dropping-particle":"","parse-names":false,"suffix":""},{"dropping-particle":"","family":"Atre","given":"Sachin R","non-dropping-particle":"","parse-names":false,"suffix":""},{"dropping-particle":"","family":"Azhar","given":"Gulrez Shah","non-dropping-particle":"","parse-names":false,"suffix":""},{"dropping-particle":"","family":"B","given":"Darshan B","non-dropping-particle":"","parse-names":false,"suffix":""},{"dropping-particle":"","family":"Babar","given":"Zaheer-Ud-Din","non-dropping-particle":"","parse-names":false,"suffix":""},{"dropping-particle":"","family":"Baig","given":"Atif Amin","non-dropping-particle":"","parse-names":false,"suffix":""},{"dropping-particle":"","family":"Banach","given":"Maciej","non-dropping-particle":"","parse-names":false,"suffix":""},{"dropping-particle":"","family":"Barqawi","given":"Hiba Jawdat","non-dropping-particle":"","parse-names":false,"suffix":""},{"dropping-particle":"","family":"Barra","given":"Fabio","non-dropping-particle":"","parse-names":false,"suffix":""},{"dropping-particle":"","family":"Barrow","given":"Amadou","non-dropping-particle":"","parse-names":false,"suffix":""},{"dropping-particle":"","family":"Basu","given":"Sanjay","non-dropping-particle":"","parse-names":false,"suffix":""},{"dropping-particle":"","family":"Belgaumi","given":"Uzma Iqbal","non-dropping-particle":"","parse-names":false,"suffix":""},{"dropping-particle":"","family":"Bhagavathula","given":"Akshaya Srikanth","non-dropping-particle":"","parse-names":false,"suffix":""},{"dropping-particle":"","family":"Bhardwaj","given":"Nikha","non-dropping-particle":"","parse-names":false,"suffix":""},{"dropping-particle":"","family":"Bhardwaj","given":"Pankaj","non-dropping-particle":"","parse-names":false,"suffix":""},{"dropping-particle":"V","family":"Bhattacharjee","given":"Natalia","non-dropping-particle":"","parse-names":false,"suffix":""},{"dropping-particle":"","family":"Bhattacharyya","given":"Krittika","non-dropping-particle":"","parse-names":false,"suffix":""},{"dropping-particle":"","family":"Bijani","given":"Ali","non-dropping-particle":"","parse-names":false,"suffix":""},{"dropping-particle":"","family":"Bikbov","given":"Boris","non-dropping-particle":"","parse-names":false,"suffix":""},{"dropping-particle":"","family":"Boloor","given":"Archith","non-dropping-particle":"","parse-names":false,"suffix":""},{"dropping-particle":"","family":"Briko","given":"Nikolay Ivanovich","non-dropping-particle":"","parse-names":false,"suffix":""},{"dropping-particle":"","family":"Buonsenso","given":"Danilo","non-dropping-particle":"","parse-names":false,"suffix":""},{"dropping-particle":"","family":"Burugina Nagaraja","given":"Sharath","non-dropping-particle":"","parse-names":false,"suffix":""},{"dropping-particle":"","family":"Butt","given":"Zahid A","non-dropping-particle":"","parse-names":false,"suffix":""},{"dropping-particle":"","family":"Carter","given":"Austin","non-dropping-particle":"","parse-names":false,"suffix":""},{"dropping-particle":"","family":"Carvalho","given":"Felix","non-dropping-particle":"","parse-names":false,"suffix":""},{"dropping-particle":"","family":"Charan","given":"Jaykaran","non-dropping-particle":"","parse-names":false,"suffix":""},{"dropping-particle":"","family":"Chatterjee","given":"Souranshu","non-dropping-particle":"","parse-names":false,"suffix":""},{"dropping-particle":"","family":"Chattu","given":"Soosanna Kumary","non-dropping-particle":"","parse-names":false,"suffix":""},{"dropping-particle":"","family":"Chattu","given":"Vijay Kumar","non-dropping-particle":"","parse-names":false,"suffix":""},{"dropping-particle":"","family":"Christopher","given":"Devasahayam J","non-dropping-particle":"","parse-names":false,"suffix":""},{"dropping-particle":"","family":"Chu","given":"Dinh-Toi","non-dropping-particle":"","parse-names":false,"suffix":""},{"dropping-particle":"","family":"Claassens","given":"Mareli M","non-dropping-particle":"","parse-names":false,"suffix":""},{"dropping-particle":"","family":"Dadras","given":"Omid","non-dropping-particle":"","parse-names":false,"suffix":""},{"dropping-particle":"","family":"Dagnew","given":"Amare Belachew","non-dropping-particle":"","parse-names":false,"suffix":""},{"dropping-particle":"","family":"Dai","given":"Xiaochen","non-dropping-particle":"","parse-names":false,"suffix":""},{"dropping-particle":"","family":"Dandona","given":"Lalit","non-dropping-particle":"","parse-names":false,"suffix":""},{"dropping-particle":"","family":"Dandona","given":"Rakhi","non-dropping-particle":"","parse-names":false,"suffix":""},{"dropping-particle":"","family":"Daneshpajouhnejad","given":"Parnaz","non-dropping-particle":"","parse-names":false,"suffix":""},{"dropping-particle":"","family":"Darwesh","given":"Aso Mohammad","non-dropping-particle":"","parse-names":false,"suffix":""},{"dropping-particle":"","family":"Dhamnetiya","given":"Deepak","non-dropping-particle":"","parse-names":false,"suffix":""},{"dropping-particle":"","family":"Dianatinasab","given":"Mostafa","non-dropping-particle":"","parse-names":false,"suffix":""},{"dropping-particle":"","family":"Diaz","given":"Daniel","non-dropping-particle":"","parse-names":false,"suffix":""},{"dropping-particle":"","family":"Doan","given":"Linh Phuong","non-dropping-particle":"","parse-names":false,"suffix":""},{"dropping-particle":"","family":"Eftekharzadeh","given":"Sahar","non-dropping-particle":"","parse-names":false,"suffix":""},{"dropping-particle":"","family":"Elhadi","given":"Muhammed","non-dropping-particle":"","parse-names":false,"suffix":""},{"dropping-particle":"","family":"Emami","given":"Amir","non-dropping-particle":"","parse-names":false,"suffix":""},{"dropping-particle":"","family":"Enany","given":"Shymaa","non-dropping-particle":"","parse-names":false,"suffix":""},{"dropping-particle":"","family":"Faraon","given":"Emerito Jose A","non-dropping-particle":"","parse-names":false,"suffix":""},{"dropping-particle":"","family":"Farzadfar","given":"Farshad","non-dropping-particle":"","parse-names":false,"suffix":""},{"dropping-particle":"","family":"Fernandes","given":"Eduarda","non-dropping-particle":"","parse-names":false,"suffix":""},{"dropping-particle":"","family":"Ferro Desideri","given":"Lorenzo","non-dropping-particle":"","parse-names":false,"suffix":""},{"dropping-particle":"","family":"Filip","given":"Irina","non-dropping-particle":"","parse-names":false,"suffix":""},{"dropping-particle":"","family":"Fischer","given":"Florian","non-dropping-particle":"","parse-names":false,"suffix":""},{"dropping-particle":"","family":"Foroutan","given":"Masoud","non-dropping-particle":"","parse-names":false,"suffix":""},{"dropping-particle":"","family":"Frank","given":"Tahvi D","non-dropping-particle":"","parse-names":false,"suffix":""},{"dropping-particle":"","family":"Garcia-Basteiro","given":"Alberto L","non-dropping-particle":"","parse-names":false,"suffix":""},{"dropping-particle":"","family":"Garcia-Calavaro","given":"Christian","non-dropping-particle":"","parse-names":false,"suffix":""},{"dropping-particle":"","family":"Garg","given":"Tushar","non-dropping-particle":"","parse-names":false,"suffix":""},{"dropping-particle":"","family":"Geberemariyam","given":"Biniyam Sahiledengle","non-dropping-particle":"","parse-names":false,"suffix":""},{"dropping-particle":"","family":"Ghadiri","given":"Keyghobad","non-dropping-particle":"","parse-names":false,"suffix":""},{"dropping-particle":"","family":"Ghashghaee","given":"Ahmad","non-dropping-particle":"","parse-names":false,"suffix":""},{"dropping-particle":"","family":"Golechha","given":"Mahaveer","non-dropping-particle":"","parse-names":false,"suffix":""},{"dropping-particle":"","family":"Goodridge","given":"Amador","non-dropping-particle":"","parse-names":false,"suffix":""},{"dropping-particle":"","family":"Gupta","given":"Bhawna","non-dropping-particle":"","parse-names":false,"suffix":""},{"dropping-particle":"","family":"Gupta","given":"Sapna","non-dropping-particle":"","parse-names":false,"suffix":""},{"dropping-particle":"","family":"Gupta","given":"Veer Bala","non-dropping-particle":"","parse-names":false,"suffix":""},{"dropping-particle":"","family":"Gupta","given":"Vivek Kumar","non-dropping-particle":"","parse-names":false,"suffix":""},{"dropping-particle":"","family":"Haider","given":"Mohammad Rifat","non-dropping-particle":"","parse-names":false,"suffix":""},{"dropping-particle":"","family":"Hamidi","given":"Samer","non-dropping-particle":"","parse-names":false,"suffix":""},{"dropping-particle":"","family":"Hanif","given":"Asif","non-dropping-particle":"","parse-names":false,"suffix":""},{"dropping-particle":"","family":"Haque","given":"Shafiul","non-dropping-particle":"","parse-names":false,"suffix":""},{"dropping-particle":"","family":"Harapan","given":"Harapan","non-dropping-particle":"","parse-names":false,"suffix":""},{"dropping-particle":"","family":"Hargono","given":"Arief","non-dropping-particle":"","parse-names":false,"suffix":""},{"dropping-particle":"","family":"Hasaballah","given":"Ahmed I","non-dropping-particle":"","parse-names":false,"suffix":""},{"dropping-particle":"","family":"Hashi","given":"Abdiwahab","non-dropping-particle":"","parse-names":false,"suffix":""},{"dropping-particle":"","family":"Hassan","given":"Shoaib","non-dropping-particle":"","parse-names":false,"suffix":""},{"dropping-particle":"","family":"Hassankhani","given":"Hadi","non-dropping-particle":"","parse-names":false,"suffix":""},{"dropping-particle":"","family":"Hayat","given":"Khezar","non-dropping-particle":"","parse-names":false,"suffix":""},{"dropping-particle":"","family":"Hezam","given":"Kamal","non-dropping-particle":"","parse-names":false,"suffix":""},{"dropping-particle":"","family":"Holla","given":"Ramesh","non-dropping-particle":"","parse-names":false,"suffix":""},{"dropping-particle":"","family":"Hosseinzadeh","given":"Mehdi","non-dropping-particle":"","parse-names":false,"suffix":""},{"dropping-particle":"","family":"Hostiuc","given":"Mihaela","non-dropping-particle":"","parse-names":false,"suffix":""},{"dropping-particle":"","family":"Househ","given":"Mowafa","non-dropping-particle":"","parse-names":false,"suffix":""},{"dropping-particle":"","family":"Hussain","given":"Rabia","non-dropping-particle":"","parse-names":false,"suffix":""},{"dropping-particle":"","family":"Ibitoye","given":"Segun Emmanuel","non-dropping-particle":"","parse-names":false,"suffix":""},{"dropping-particle":"","family":"Ilic","given":"Irena M","non-dropping-particle":"","parse-names":false,"suffix":""},{"dropping-particle":"","family":"Ilic","given":"Milena D","non-dropping-particle":"","parse-names":false,"suffix":""},{"dropping-particle":"","family":"Irvani","given":"Seyed Sina Naghibi","non-dropping-particle":"","parse-names":false,"suffix":""},{"dropping-particle":"","family":"Ismail","given":"Nahlah Elkudssiah","non-dropping-particle":"","parse-names":false,"suffix":""},{"dropping-particle":"","family":"Itumalla","given":"Ramaiah","non-dropping-particle":"","parse-names":false,"suffix":""},{"dropping-particle":"","family":"Jaafari","given":"Jalil","non-dropping-particle":"","parse-names":false,"suffix":""},{"dropping-particle":"","family":"Jacobsen","given":"Kathryn H","non-dropping-particle":"","parse-names":false,"suffix":""},{"dropping-particle":"","family":"Jain","given":"Vardhmaan","non-dropping-particle":"","parse-names":false,"suffix":""},{"dropping-particle":"","family":"Javanmardi","given":"Fatemeh","non-dropping-particle":"","parse-names":false,"suffix":""},{"dropping-particle":"","family":"Jayapal","given":"Sathish Kumar","non-dropping-particle":"","parse-names":false,"suffix":""},{"dropping-particle":"","family":"Jayaram","given":"Shubha","non-dropping-particle":"","parse-names":false,"suffix":""},{"dropping-particle":"","family":"Jha","given":"Ravi Prakash","non-dropping-particle":"","parse-names":false,"suffix":""},{"dropping-particle":"","family":"Jonas","given":"Jost B","non-dropping-particle":"","parse-names":false,"suffix":""},{"dropping-particle":"","family":"Joseph","given":"Nitin","non-dropping-particle":"","parse-names":false,"suffix":""},{"dropping-particle":"","family":"Joukar","given":"Farahnaz","non-dropping-particle":"","parse-names":false,"suffix":""},{"dropping-particle":"","family":"Kabir","given":"Zubair","non-dropping-particle":"","parse-names":false,"suffix":""},{"dropping-particle":"","family":"Kamath","given":"Ashwin","non-dropping-particle":"","parse-names":false,"suffix":""},{"dropping-particle":"","family":"Kanchan","given":"Tanuj","non-dropping-particle":"","parse-names":false,"suffix":""},{"dropping-particle":"","family":"Kandel","given":"Himal","non-dropping-particle":"","parse-names":false,"suffix":""},{"dropping-particle":"","family":"Katoto","given":"Patrick DMC","non-dropping-particle":"","parse-names":false,"suffix":""},{"dropping-particle":"","family":"Kayode","given":"Gbenga A","non-dropping-particle":"","parse-names":false,"suffix":""},{"dropping-particle":"","family":"Kendrick","given":"Parkes J","non-dropping-particle":"","parse-names":false,"suffix":""},{"dropping-particle":"","family":"Kerbo","given":"Amene Abebe","non-dropping-particle":"","parse-names":false,"suffix":""},{"dropping-particle":"","family":"Khajuria","given":"Himanshu","non-dropping-particle":"","parse-names":false,"suffix":""},{"dropping-particle":"","family":"Khalilov","given":"Rovshan","non-dropping-particle":"","parse-names":false,"suffix":""},{"dropping-particle":"","family":"Khatab","given":"Khaled","non-dropping-particle":"","parse-names":false,"suffix":""},{"dropping-particle":"","family":"Khoja","given":"Abdullah T","non-dropping-particle":"","parse-names":false,"suffix":""},{"dropping-particle":"","family":"Khubchandani","given":"Jagdish","non-dropping-particle":"","parse-names":false,"suffix":""},{"dropping-particle":"","family":"Kim","given":"Min Seo","non-dropping-particle":"","parse-names":false,"suffix":""},{"dropping-particle":"","family":"Kim","given":"Yun Jin","non-dropping-particle":"","parse-names":false,"suffix":""},{"dropping-particle":"","family":"Kisa","given":"Adnan","non-dropping-particle":"","parse-names":false,"suffix":""},{"dropping-particle":"","family":"Kisa","given":"Sezer","non-dropping-particle":"","parse-names":false,"suffix":""},{"dropping-particle":"","family":"Kosen","given":"Soewarta","non-dropping-particle":"","parse-names":false,"suffix":""},{"dropping-particle":"","family":"Koul","given":"Parvaiz A","non-dropping-particle":"","parse-names":false,"suffix":""},{"dropping-particle":"","family":"Koulmane Laxminarayana","given":"Sindhura Lakshmi","non-dropping-particle":"","parse-names":false,"suffix":""},{"dropping-particle":"","family":"Koyanagi","given":"Ai","non-dropping-particle":"","parse-names":false,"suffix":""},{"dropping-particle":"","family":"Krishan","given":"Kewal","non-dropping-particle":"","parse-names":false,"suffix":""},{"dropping-particle":"","family":"Kucuk Bicer","given":"Burcu","non-dropping-particle":"","parse-names":false,"suffix":""},{"dropping-particle":"","family":"Kumar","given":"Avinash","non-dropping-particle":"","parse-names":false,"suffix":""},{"dropping-particle":"","family":"Kumar","given":"G Anil","non-dropping-particle":"","parse-names":false,"suffix":""},{"dropping-particle":"","family":"Kumar","given":"Narinder","non-dropping-particle":"","parse-names":false,"suffix":""},{"dropping-particle":"","family":"Kumar","given":"Nithin","non-dropping-particle":"","parse-names":false,"suffix":""},{"dropping-particle":"","family":"Kwarteng","given":"Alexander","non-dropping-particle":"","parse-names":false,"suffix":""},{"dropping-particle":"","family":"Lak","given":"Hassan Mehmood","non-dropping-particle":"","parse-names":false,"suffix":""},{"dropping-particle":"","family":"Lal","given":"Dharmesh Kumar","non-dropping-particle":"","parse-names":false,"suffix":""},{"dropping-particle":"","family":"Landires","given":"Iván","non-dropping-particle":"","parse-names":false,"suffix":""},{"dropping-particle":"","family":"Lasrado","given":"Savita","non-dropping-particle":"","parse-names":false,"suffix":""},{"dropping-particle":"","family":"Lee","given":"Shaun Wen Huey","non-dropping-particle":"","parse-names":false,"suffix":""},{"dropping-particle":"","family":"Lee","given":"Wei-Chen","non-dropping-particle":"","parse-names":false,"suffix":""},{"dropping-particle":"","family":"Lin","given":"Christine","non-dropping-particle":"","parse-names":false,"suffix":""},{"dropping-particle":"","family":"Liu","given":"Xuefeng","non-dropping-particle":"","parse-names":false,"suffix":""},{"dropping-particle":"","family":"Lopukhov","given":"Platon D","non-dropping-particle":"","parse-names":false,"suffix":""},{"dropping-particle":"","family":"Lozano","given":"Rafael","non-dropping-particle":"","parse-names":false,"suffix":""},{"dropping-particle":"","family":"Machado","given":"Daiane Borges","non-dropping-particle":"","parse-names":false,"suffix":""},{"dropping-particle":"","family":"Madhava Kunjathur","given":"Shilpashree","non-dropping-particle":"","parse-names":false,"suffix":""},{"dropping-particle":"","family":"Madi","given":"Deepak","non-dropping-particle":"","parse-names":false,"suffix":""},{"dropping-particle":"","family":"Mahajan","given":"Preetam Bhalchandra","non-dropping-particle":"","parse-names":false,"suffix":""},{"dropping-particle":"","family":"Majeed","given":"Azeem","non-dropping-particle":"","parse-names":false,"suffix":""},{"dropping-particle":"","family":"Malik","given":"Ahmad Azam","non-dropping-particle":"","parse-names":false,"suffix":""},{"dropping-particle":"","family":"Martins-Melo","given":"Francisco Rogerlândio","non-dropping-particle":"","parse-names":false,"suffix":""},{"dropping-particle":"","family":"Mehta","given":"Saurabh","non-dropping-particle":"","parse-names":false,"suffix":""},{"dropping-particle":"","family":"Memish","given":"Ziad A","non-dropping-particle":"","parse-names":false,"suffix":""},{"dropping-particle":"","family":"Mendoza","given":"Walter","non-dropping-particle":"","parse-names":false,"suffix":""},{"dropping-particle":"","family":"Menezes","given":"Ritesh G","non-dropping-particle":"","parse-names":false,"suffix":""},{"dropping-particle":"","family":"Merie","given":"Hayimro Edemealem","non-dropping-particle":"","parse-names":false,"suffix":""},{"dropping-particle":"","family":"Mersha","given":"Amanual Getnet","non-dropping-particle":"","parse-names":false,"suffix":""},{"dropping-particle":"","family":"Mesregah","given":"Mohamed Kamal","non-dropping-particle":"","parse-names":false,"suffix":""},{"dropping-particle":"","family":"Mestrovic","given":"Tomislav","non-dropping-particle":"","parse-names":false,"suffix":""},{"dropping-particle":"","family":"Mheidly","given":"Nour Mheidly","non-dropping-particle":"","parse-names":false,"suffix":""},{"dropping-particle":"","family":"Misra","given":"Sanjeev","non-dropping-particle":"","parse-names":false,"suffix":""},{"dropping-particle":"","family":"Mithra","given":"Prasanna","non-dropping-particle":"","parse-names":false,"suffix":""},{"dropping-particle":"","family":"Moghadaszadeh","given":"Masoud","non-dropping-particle":"","parse-names":false,"suffix":""},{"dropping-particle":"","family":"Mohammadi","given":"Mokhtar","non-dropping-particle":"","parse-names":false,"suffix":""},{"dropping-particle":"","family":"Mohammadian-Hafshejani","given":"Abdollah","non-dropping-particle":"","parse-names":false,"suffix":""},{"dropping-particle":"","family":"Mohammed","given":"Shafiu","non-dropping-particle":"","parse-names":false,"suffix":""},{"dropping-particle":"","family":"Molokhia","given":"Mariam","non-dropping-particle":"","parse-names":false,"suffix":""},{"dropping-particle":"","family":"Moni","given":"Mohammad Ali","non-dropping-particle":"","parse-names":false,"suffix":""},{"dropping-particle":"Al","family":"Montasir","given":"Ahmed","non-dropping-particle":"","parse-names":false,"suffix":""},{"dropping-particle":"","family":"Moore","given":"Catrin E","non-dropping-particle":"","parse-names":false,"suffix":""},{"dropping-particle":"","family":"Nagarajan","given":"Ahamarshan Jayaraman","non-dropping-particle":"","parse-names":false,"suffix":""},{"dropping-particle":"","family":"Nair","given":"Sanjeev","non-dropping-particle":"","parse-names":false,"suffix":""},{"dropping-particle":"","family":"Nair","given":"Suma","non-dropping-particle":"","parse-names":false,"suffix":""},{"dropping-particle":"","family":"Naqvi","given":"Atta Abbas","non-dropping-particle":"","parse-names":false,"suffix":""},{"dropping-particle":"","family":"Narasimha Swamy","given":"Sreenivas","non-dropping-particle":"","parse-names":false,"suffix":""},{"dropping-particle":"","family":"Nayak","given":"Biswa Prakash","non-dropping-particle":"","parse-names":false,"suffix":""},{"dropping-particle":"","family":"Nazari","given":"Javad","non-dropping-particle":"","parse-names":false,"suffix":""},{"dropping-particle":"","family":"Neupane Kandel","given":"Sandhya","non-dropping-particle":"","parse-names":false,"suffix":""},{"dropping-particle":"","family":"Nguyen","given":"Trang Huyen","non-dropping-particle":"","parse-names":false,"suffix":""},{"dropping-particle":"","family":"Nixon","given":"Molly R","non-dropping-particle":"","parse-names":false,"suffix":""},{"dropping-particle":"","family":"Nnaji","given":"Chukwudi A","non-dropping-particle":"","parse-names":false,"suffix":""},{"dropping-particle":"","family":"Ntsekhe","given":"Mpiko","non-dropping-particle":"","parse-names":false,"suffix":""},{"dropping-particle":"","family":"Nuñez-Samudio","given":"Virginia","non-dropping-particle":"","parse-names":false,"suffix":""},{"dropping-particle":"","family":"Oancea","given":"Bogdan","non-dropping-particle":"","parse-names":false,"suffix":""},{"dropping-particle":"","family":"Odukoya","given":"Oluwakemi Ololade","non-dropping-particle":"","parse-names":false,"suffix":""},{"dropping-particle":"","family":"Olagunju","given":"Andrew T","non-dropping-particle":"","parse-names":false,"suffix":""},{"dropping-particle":"","family":"Oren","given":"Eyal","non-dropping-particle":"","parse-names":false,"suffix":""},{"dropping-particle":"","family":"P A","given":"Mahesh","non-dropping-particle":"","parse-names":false,"suffix":""},{"dropping-particle":"","family":"Parthasarathi","given":"Ramakrishnan","non-dropping-particle":"","parse-names":false,"suffix":""},{"dropping-particle":"","family":"Pashazadeh Kan","given":"Fatemeh","non-dropping-particle":"","parse-names":false,"suffix":""},{"dropping-particle":"","family":"Pattanshetty","given":"Sanjay M","non-dropping-particle":"","parse-names":false,"suffix":""},{"dropping-particle":"","family":"Paudel","given":"Rajan","non-dropping-particle":"","parse-names":false,"suffix":""},{"dropping-particle":"","family":"Paul","given":"Pintu","non-dropping-particle":"","parse-names":false,"suffix":""},{"dropping-particle":"","family":"Pawar","given":"Shrikant","non-dropping-particle":"","parse-names":false,"suffix":""},{"dropping-particle":"","family":"Pepito","given":"Veincent Christian Filipino","non-dropping-particle":"","parse-names":false,"suffix":""},{"dropping-particle":"","family":"Perico","given":"Norberto","non-dropping-particle":"","parse-names":false,"suffix":""},{"dropping-particle":"","family":"Pirestani","given":"Majid","non-dropping-particle":"","parse-names":false,"suffix":""},{"dropping-particle":"V","family":"Polibin","given":"Roman","non-dropping-particle":"","parse-names":false,"suffix":""},{"dropping-particle":"","family":"Postma","given":"Maarten J","non-dropping-particle":"","parse-names":false,"suffix":""},{"dropping-particle":"","family":"Pourshams","given":"Akram","non-dropping-particle":"","parse-names":false,"suffix":""},{"dropping-particle":"","family":"Prashant","given":"Akila","non-dropping-particle":"","parse-names":false,"suffix":""},{"dropping-particle":"","family":"Pribadi","given":"Dimas Ria Angga","non-dropping-particle":"","parse-names":false,"suffix":""},{"dropping-particle":"","family":"Radfar","given":"Amir","non-dropping-particle":"","parse-names":false,"suffix":""},{"dropping-particle":"","family":"Rafiei","given":"Alireza","non-dropping-particle":"","parse-names":false,"suffix":""},{"dropping-particle":"","family":"Rahim","given":"Fakher","non-dropping-particle":"","parse-names":false,"suffix":""},{"dropping-particle":"","family":"Rahimi-Movaghar","given":"Vafa","non-dropping-particle":"","parse-names":false,"suffix":""},{"dropping-particle":"","family":"Rahman","given":"Mahfuzar","non-dropping-particle":"","parse-names":false,"suffix":""},{"dropping-particle":"","family":"Rahman","given":"Mosiur","non-dropping-particle":"","parse-names":false,"suffix":""},{"dropping-particle":"","family":"Rahmani","given":"Amir Masoud","non-dropping-particle":"","parse-names":false,"suffix":""},{"dropping-particle":"","family":"Ranasinghe","given":"Priyanga","non-dropping-particle":"","parse-names":false,"suffix":""},{"dropping-particle":"","family":"Rao","given":"Chythra R","non-dropping-particle":"","parse-names":false,"suffix":""},{"dropping-particle":"","family":"Rawaf","given":"David Laith","non-dropping-particle":"","parse-names":false,"suffix":""},{"dropping-particle":"","family":"Rawaf","given":"Salman","non-dropping-particle":"","parse-names":false,"suffix":""},{"dropping-particle":"","family":"Reitsma","given":"Marissa B","non-dropping-particle":"","parse-names":false,"suffix":""},{"dropping-particle":"","family":"Remuzzi","given":"Giuseppe","non-dropping-particle":"","parse-names":false,"suffix":""},{"dropping-particle":"","family":"Renzaho","given":"Andre M N","non-dropping-particle":"","parse-names":false,"suffix":""},{"dropping-particle":"","family":"Reta","given":"Melese Abate","non-dropping-particle":"","parse-names":false,"suffix":""},{"dropping-particle":"","family":"Rezaei","given":"Nima","non-dropping-particle":"","parse-names":false,"suffix":""},{"dropping-particle":"","family":"Rezahosseini","given":"Omid","non-dropping-particle":"","parse-names":false,"suffix":""},{"dropping-particle":"","family":"Rezai","given":"Mohammad sadegh","non-dropping-particle":"","parse-names":false,"suffix":""},{"dropping-particle":"","family":"Rezapour","given":"Aziz","non-dropping-particle":"","parse-names":false,"suffix":""},{"dropping-particle":"","family":"Roshandel","given":"Gholamreza","non-dropping-particle":"","parse-names":false,"suffix":""},{"dropping-particle":"","family":"Roshchin","given":"Denis O","non-dropping-particle":"","parse-names":false,"suffix":""},{"dropping-particle":"","family":"Sabour","given":"Siamak","non-dropping-particle":"","parse-names":false,"suffix":""},{"dropping-particle":"","family":"Saif-Ur-Rahman","given":"KM","non-dropping-particle":"","parse-names":false,"suffix":""},{"dropping-particle":"","family":"Salam","given":"Nasir","non-dropping-particle":"","parse-names":false,"suffix":""},{"dropping-particle":"","family":"Samadi Kafil","given":"Hossein","non-dropping-particle":"","parse-names":false,"suffix":""},{"dropping-particle":"","family":"Samaei","given":"Mehrnoosh","non-dropping-particle":"","parse-names":false,"suffix":""},{"dropping-particle":"","family":"Samy","given":"Abdallah M","non-dropping-particle":"","parse-names":false,"suffix":""},{"dropping-particle":"","family":"Saroshe","given":"Satish","non-dropping-particle":"","parse-names":false,"suffix":""},{"dropping-particle":"","family":"Sartorius","given":"Benn","non-dropping-particle":"","parse-names":false,"suffix":""},{"dropping-particle":"","family":"Sathian","given":"Brijesh","non-dropping-particle":"","parse-names":false,"suffix":""},{"dropping-particle":"","family":"Sawyer","given":"Susan M","non-dropping-particle":"","parse-names":false,"suffix":""},{"dropping-particle":"","family":"Senthilkumaran","given":"Subramanian","non-dropping-particle":"","parse-names":false,"suffix":""},{"dropping-particle":"","family":"Seylani","given":"Allen","non-dropping-particle":"","parse-names":false,"suffix":""},{"dropping-particle":"","family":"Shafaat","given":"Omid","non-dropping-particle":"","parse-names":false,"suffix":""},{"dropping-particle":"","family":"Shaikh","given":"Masood Ali","non-dropping-particle":"","parse-names":false,"suffix":""},{"dropping-particle":"","family":"Sharafi","given":"Kiomars","non-dropping-particle":"","parse-names":false,"suffix":""},{"dropping-particle":"","family":"Shetty","given":"Ranjitha S","non-dropping-particle":"","parse-names":false,"suffix":""},{"dropping-particle":"","family":"Shigematsu","given":"Mika","non-dropping-particle":"","parse-names":false,"suffix":""},{"dropping-particle":"Il","family":"Shin","given":"Jae","non-dropping-particle":"","parse-names":false,"suffix":""},{"dropping-particle":"","family":"Silva","given":"João Pedro","non-dropping-particle":"","parse-names":false,"suffix":""},{"dropping-particle":"","family":"Singh","given":"Jitendra Kumar","non-dropping-particle":"","parse-names":false,"suffix":""},{"dropping-particle":"","family":"Sinha","given":"Smriti","non-dropping-particle":"","parse-names":false,"suffix":""},{"dropping-particle":"","family":"Skryabin","given":"Valentin Yurievich","non-dropping-particle":"","parse-names":false,"suffix":""},{"dropping-particle":"","family":"Skryabina","given":"Anna Aleksandrovna","non-dropping-particle":"","parse-names":false,"suffix":""},{"dropping-particle":"","family":"Spurlock","given":"Emma Elizabeth","non-dropping-particle":"","parse-names":false,"suffix":""},{"dropping-particle":"","family":"Sreeramareddy","given":"Chandrashekhar T","non-dropping-particle":"","parse-names":false,"suffix":""},{"dropping-particle":"","family":"Steiropoulos","given":"Paschalis","non-dropping-particle":"","parse-names":false,"suffix":""},{"dropping-particle":"","family":"Sufiyan","given":"Mu'awiyyah Babale","non-dropping-particle":"","parse-names":false,"suffix":""},{"dropping-particle":"","family":"Tabuchi","given":"Takahiro","non-dropping-particle":"","parse-names":false,"suffix":""},{"dropping-particle":"","family":"Tadesse","given":"Eyayou Girma","non-dropping-particle":"","parse-names":false,"suffix":""},{"dropping-particle":"","family":"Tamir","given":"Zemenu","non-dropping-particle":"","parse-names":false,"suffix":""},{"dropping-particle":"","family":"Tarkang","given":"Elvis Enowbeyang","non-dropping-particle":"","parse-names":false,"suffix":""},{"dropping-particle":"","family":"Tekalegn","given":"Yohannes","non-dropping-particle":"","parse-names":false,"suffix":""},{"dropping-particle":"","family":"Tesfay","given":"Fisaha Haile","non-dropping-particle":"","parse-names":false,"suffix":""},{"dropping-particle":"","family":"Tessema","given":"Belay","non-dropping-particle":"","parse-names":false,"suffix":""},{"dropping-particle":"","family":"Thapar","given":"Rekha","non-dropping-particle":"","parse-names":false,"suffix":""},{"dropping-particle":"","family":"Tleyjeh","given":"Imad I","non-dropping-particle":"","parse-names":false,"suffix":""},{"dropping-particle":"","family":"Tobe-Gai","given":"Ruoyan","non-dropping-particle":"","parse-names":false,"suffix":""},{"dropping-particle":"","family":"Tran","given":"Bach Xuan","non-dropping-particle":"","parse-names":false,"suffix":""},{"dropping-particle":"","family":"Tsegaye","given":"Berhan","non-dropping-particle":"","parse-names":false,"suffix":""},{"dropping-particle":"","family":"Tsegaye","given":"Gebiyaw Wudie","non-dropping-particle":"","parse-names":false,"suffix":""},{"dropping-particle":"","family":"Ullah","given":"Anayat","non-dropping-particle":"","parse-names":false,"suffix":""},{"dropping-particle":"","family":"Umeokonkwo","given":"Chukwuma David","non-dropping-particle":"","parse-names":false,"suffix":""},{"dropping-particle":"","family":"Valadan Tahbaz","given":"Sahel","non-dropping-particle":"","parse-names":false,"suffix":""},{"dropping-particle":"","family":"Vo","given":"Bay","non-dropping-particle":"","parse-names":false,"suffix":""},{"dropping-particle":"","family":"Vu","given":"Giang Thu","non-dropping-particle":"","parse-names":false,"suffix":""},{"dropping-particle":"","family":"Waheed","given":"Yasir","non-dropping-particle":"","parse-names":false,"suffix":""},{"dropping-particle":"","family":"Walters","given":"Magdalene K","non-dropping-particle":"","parse-names":false,"suffix":""},{"dropping-particle":"","family":"Whisnant","given":"Joanna L","non-dropping-particle":"","parse-names":false,"suffix":""},{"dropping-particle":"","family":"Woldekidan","given":"Mesfin Agachew","non-dropping-particle":"","parse-names":false,"suffix":""},{"dropping-particle":"","family":"Wubishet","given":"Befikadu Legesse","non-dropping-particle":"","parse-names":false,"suffix":""},{"dropping-particle":"","family":"Yahyazadeh Jabbari","given":"Seyed Hossein","non-dropping-particle":"","parse-names":false,"suffix":""},{"dropping-particle":"","family":"Yazie","given":"Taklo Simeneh Yazie","non-dropping-particle":"","parse-names":false,"suffix":""},{"dropping-particle":"","family":"Yeshaw","given":"Yigizie","non-dropping-particle":"","parse-names":false,"suffix":""},{"dropping-particle":"","family":"Yi","given":"Siyan","non-dropping-particle":"","parse-names":false,"suffix":""},{"dropping-particle":"","family":"Yiğit","given":"Vahit","non-dropping-particle":"","parse-names":false,"suffix":""},{"dropping-particle":"","family":"Yonemoto","given":"Naohiro","non-dropping-particle":"","parse-names":false,"suffix":""},{"dropping-particle":"","family":"Yu","given":"Chuanhua","non-dropping-particle":"","parse-names":false,"suffix":""},{"dropping-particle":"","family":"Yunusa","given":"Ismaeel","non-dropping-particle":"","parse-names":false,"suffix":""},{"dropping-particle":"","family":"Zastrozhin","given":"Mikhail Sergeevich","non-dropping-particle":"","parse-names":false,"suffix":""},{"dropping-particle":"","family":"Zastrozhina","given":"Anasthasia","non-dropping-particle":"","parse-names":false,"suffix":""},{"dropping-particle":"","family":"Zhang","given":"Zhi-Jiang","non-dropping-particle":"","parse-names":false,"suffix":""},{"dropping-particle":"","family":"Zumla","given":"Alimuddin","non-dropping-particle":"","parse-names":false,"suffix":""},{"dropping-particle":"","family":"Mokdad","given":"Ali H","non-dropping-particle":"","parse-names":false,"suffix":""},{"dropping-particle":"","family":"Salomon","given":"Joshua A","non-dropping-particle":"","parse-names":false,"suffix":""},{"dropping-particle":"","family":"Reiner Jr","given":"Robert C","non-dropping-particle":"","parse-names":false,"suffix":""},{"dropping-particle":"","family":"Lim","given":"Stephen S","non-dropping-particle":"","parse-names":false,"suffix":""},{"dropping-particle":"","family":"Naghavi","given":"Mohsen","non-dropping-particle":"","parse-names":false,"suffix":""},{"dropping-particle":"","family":"Vos","given":"Theo","non-dropping-particle":"","parse-names":false,"suffix":""},{"dropping-particle":"","family":"Hay","given":"Simon I","non-dropping-particle":"","parse-names":false,"suffix":""},{"dropping-particle":"","family":"Murray","given":"Christopher J L","non-dropping-particle":"","parse-names":false,"suffix":""},{"dropping-particle":"","family":"Kyu","given":"Hmwe Hmwe","non-dropping-particle":"","parse-names":false,"suffix":""}],"container-title":"The Lancet Infectious Diseases","id":"ITEM-1","issue":"21","issued":{"date-parts":[["2021"]]},"page":"1-20","title":"Global, regional, and national sex differences in the global burden of tuberculosis by HIV status, 1990–2019: results from the Global Burden of Disease Study 2019","type":"article-journal","volume":"3099"},"uris":["http://www.mendeley.com/documents/?uuid=c9821754-811b-47c0-83ed-a22596cd482c"]}],"mendeley":{"formattedCitation":"(134)","plainTextFormattedCitation":"(134)","previouslyFormattedCitation":"(134)"},"properties":{"noteIndex":0},"schema":"https://github.com/citation-style-language/schema/raw/master/csl-citation.json"}</w:instrText>
      </w:r>
      <w:r w:rsidRPr="00435469">
        <w:rPr>
          <w:sz w:val="20"/>
          <w:szCs w:val="20"/>
        </w:rPr>
        <w:fldChar w:fldCharType="separate"/>
      </w:r>
      <w:r w:rsidR="0016391D" w:rsidRPr="00435469">
        <w:rPr>
          <w:noProof/>
          <w:sz w:val="20"/>
          <w:szCs w:val="20"/>
        </w:rPr>
        <w:t>(134)</w:t>
      </w:r>
      <w:r w:rsidRPr="00435469">
        <w:rPr>
          <w:sz w:val="20"/>
          <w:szCs w:val="20"/>
        </w:rPr>
        <w:fldChar w:fldCharType="end"/>
      </w:r>
      <w:r w:rsidRPr="00435469">
        <w:rPr>
          <w:sz w:val="20"/>
          <w:szCs w:val="20"/>
          <w:lang w:val="en-ZA"/>
        </w:rPr>
        <w:t xml:space="preserve">. The WHO on the other hand relied on the 2018 prevalence survey and assumptions </w:t>
      </w:r>
      <w:r w:rsidR="00C664CF" w:rsidRPr="00435469">
        <w:rPr>
          <w:sz w:val="20"/>
          <w:szCs w:val="20"/>
          <w:lang w:val="en-ZA"/>
        </w:rPr>
        <w:t xml:space="preserve">about </w:t>
      </w:r>
      <w:r w:rsidRPr="00435469">
        <w:rPr>
          <w:sz w:val="20"/>
          <w:szCs w:val="20"/>
          <w:lang w:val="en-ZA"/>
        </w:rPr>
        <w:t>TB disease duration</w:t>
      </w:r>
      <w:r w:rsidR="00CD7F0C" w:rsidRPr="00435469">
        <w:rPr>
          <w:sz w:val="20"/>
          <w:szCs w:val="20"/>
          <w:lang w:val="en-ZA"/>
        </w:rPr>
        <w:t xml:space="preserve"> to estimate TB incidence</w:t>
      </w:r>
      <w:r w:rsidRPr="00435469">
        <w:rPr>
          <w:sz w:val="20"/>
          <w:szCs w:val="20"/>
          <w:lang w:val="en-ZA"/>
        </w:rPr>
        <w:t xml:space="preserve"> </w:t>
      </w:r>
      <w:r w:rsidRPr="00435469">
        <w:rPr>
          <w:sz w:val="20"/>
          <w:szCs w:val="20"/>
        </w:rPr>
        <w:fldChar w:fldCharType="begin" w:fldLock="1"/>
      </w:r>
      <w:r w:rsidR="00650727" w:rsidRPr="00435469">
        <w:rPr>
          <w:sz w:val="20"/>
          <w:szCs w:val="20"/>
        </w:rPr>
        <w:instrText>ADDIN CSL_CITATION {"citationItems":[{"id":"ITEM-1","itemData":{"ISBN":"978-92-4-001313-1","id":"ITEM-1","issued":{"date-parts":[["2020"]]},"publisher-place":"Geneva: World Health Organization; 2020","title":"World Health Organization. Global Tuberculosis Report, 2020","type":"report"},"uris":["http://www.mendeley.com/documents/?uuid=1e49d534-4bbd-4b07-a44c-38383625af56"]}],"mendeley":{"formattedCitation":"(133)","plainTextFormattedCitation":"(133)","previouslyFormattedCitation":"(133)"},"properties":{"noteIndex":0},"schema":"https://github.com/citation-style-language/schema/raw/master/csl-citation.json"}</w:instrText>
      </w:r>
      <w:r w:rsidRPr="00435469">
        <w:rPr>
          <w:sz w:val="20"/>
          <w:szCs w:val="20"/>
        </w:rPr>
        <w:fldChar w:fldCharType="separate"/>
      </w:r>
      <w:r w:rsidR="0016391D" w:rsidRPr="00435469">
        <w:rPr>
          <w:noProof/>
          <w:sz w:val="20"/>
          <w:szCs w:val="20"/>
        </w:rPr>
        <w:t>(133)</w:t>
      </w:r>
      <w:r w:rsidRPr="00435469">
        <w:rPr>
          <w:sz w:val="20"/>
          <w:szCs w:val="20"/>
        </w:rPr>
        <w:fldChar w:fldCharType="end"/>
      </w:r>
      <w:r w:rsidR="005617F7" w:rsidRPr="00435469">
        <w:rPr>
          <w:sz w:val="20"/>
          <w:szCs w:val="20"/>
        </w:rPr>
        <w:t xml:space="preserve">. </w:t>
      </w:r>
      <w:r w:rsidR="003A2324" w:rsidRPr="00435469">
        <w:rPr>
          <w:sz w:val="20"/>
          <w:szCs w:val="20"/>
        </w:rPr>
        <w:t xml:space="preserve">The WHO’s </w:t>
      </w:r>
      <w:r w:rsidR="00AC544B" w:rsidRPr="00435469">
        <w:rPr>
          <w:sz w:val="20"/>
          <w:szCs w:val="20"/>
        </w:rPr>
        <w:t>estimates of disease duration are based on literature reviews and a s</w:t>
      </w:r>
      <w:proofErr w:type="spellStart"/>
      <w:r w:rsidR="00AC544B" w:rsidRPr="00435469">
        <w:rPr>
          <w:sz w:val="20"/>
          <w:szCs w:val="20"/>
          <w:lang w:val="en-ZA"/>
        </w:rPr>
        <w:t>impl</w:t>
      </w:r>
      <w:r w:rsidR="002F2033" w:rsidRPr="00435469">
        <w:rPr>
          <w:sz w:val="20"/>
          <w:szCs w:val="20"/>
          <w:lang w:val="en-ZA"/>
        </w:rPr>
        <w:t>e</w:t>
      </w:r>
      <w:proofErr w:type="spellEnd"/>
      <w:r w:rsidR="00AC544B" w:rsidRPr="00435469">
        <w:rPr>
          <w:sz w:val="20"/>
          <w:szCs w:val="20"/>
          <w:lang w:val="en-ZA"/>
        </w:rPr>
        <w:t xml:space="preserve"> dynamic model of three compartments</w:t>
      </w:r>
      <w:r w:rsidR="006F7DF1" w:rsidRPr="00435469">
        <w:rPr>
          <w:sz w:val="20"/>
          <w:szCs w:val="20"/>
          <w:lang w:val="en-ZA"/>
        </w:rPr>
        <w:t xml:space="preserve"> (susceptible, untreated</w:t>
      </w:r>
      <w:r w:rsidR="00D63487" w:rsidRPr="00435469">
        <w:rPr>
          <w:sz w:val="20"/>
          <w:szCs w:val="20"/>
          <w:lang w:val="en-ZA"/>
        </w:rPr>
        <w:t xml:space="preserve"> TB</w:t>
      </w:r>
      <w:r w:rsidR="006F7DF1" w:rsidRPr="00435469">
        <w:rPr>
          <w:sz w:val="20"/>
          <w:szCs w:val="20"/>
          <w:lang w:val="en-ZA"/>
        </w:rPr>
        <w:t xml:space="preserve">, </w:t>
      </w:r>
      <w:r w:rsidR="00D63487" w:rsidRPr="00435469">
        <w:rPr>
          <w:sz w:val="20"/>
          <w:szCs w:val="20"/>
          <w:lang w:val="en-ZA"/>
        </w:rPr>
        <w:t>and treated TB</w:t>
      </w:r>
      <w:r w:rsidR="006F7DF1" w:rsidRPr="00435469">
        <w:rPr>
          <w:sz w:val="20"/>
          <w:szCs w:val="20"/>
          <w:lang w:val="en-ZA"/>
        </w:rPr>
        <w:t>)</w:t>
      </w:r>
      <w:r w:rsidR="00CF4ADB" w:rsidRPr="00435469">
        <w:rPr>
          <w:sz w:val="20"/>
          <w:szCs w:val="20"/>
          <w:lang w:val="en-ZA"/>
        </w:rPr>
        <w:t xml:space="preserve"> </w:t>
      </w:r>
      <w:r w:rsidR="00AC544B" w:rsidRPr="00435469">
        <w:rPr>
          <w:sz w:val="20"/>
          <w:szCs w:val="20"/>
          <w:lang w:val="en-ZA"/>
        </w:rPr>
        <w:fldChar w:fldCharType="begin" w:fldLock="1"/>
      </w:r>
      <w:r w:rsidR="00A142FF" w:rsidRPr="00435469">
        <w:rPr>
          <w:sz w:val="20"/>
          <w:szCs w:val="20"/>
          <w:lang w:val="en-ZA"/>
        </w:rPr>
        <w:instrText>ADDIN CSL_CITATION {"citationItems":[{"id":"ITEM-1","itemData":{"author":[{"dropping-particle":"","family":"Glaziou","given":"P","non-dropping-particle":"","parse-names":false,"suffix":""},{"dropping-particle":"","family":"Sismanidis","given":"C","non-dropping-particle":"","parse-names":false,"suffix":""},{"dropping-particle":"","family":"Pretorius","given":"C","non-dropping-particle":"","parse-names":false,"suffix":""},{"dropping-particle":"","family":"Timimi","given":"H","non-dropping-particle":"","parse-names":false,"suffix":""},{"dropping-particle":"","family":"Floyd","given":"K","non-dropping-particle":"","parse-names":false,"suffix":""}],"id":"ITEM-1","issued":{"date-parts":[["2015"]]},"number-of-pages":"1-34","publisher-place":"World Health Organisation. Geneva","title":"Global TB Report 2015 : Technical appendix on methods used to estimate the global burden of disease caused by TB","type":"report"},"uris":["http://www.mendeley.com/documents/?uuid=3781fd9a-6e9c-4273-9e95-b2bd49eadd99"]}],"mendeley":{"formattedCitation":"(135)","plainTextFormattedCitation":"(135)","previouslyFormattedCitation":"(135)"},"properties":{"noteIndex":0},"schema":"https://github.com/citation-style-language/schema/raw/master/csl-citation.json"}</w:instrText>
      </w:r>
      <w:r w:rsidR="00AC544B" w:rsidRPr="00435469">
        <w:rPr>
          <w:sz w:val="20"/>
          <w:szCs w:val="20"/>
          <w:lang w:val="en-ZA"/>
        </w:rPr>
        <w:fldChar w:fldCharType="separate"/>
      </w:r>
      <w:r w:rsidR="0016391D" w:rsidRPr="00435469">
        <w:rPr>
          <w:noProof/>
          <w:sz w:val="20"/>
          <w:szCs w:val="20"/>
          <w:lang w:val="en-ZA"/>
        </w:rPr>
        <w:t>(135)</w:t>
      </w:r>
      <w:r w:rsidR="00AC544B" w:rsidRPr="00435469">
        <w:rPr>
          <w:sz w:val="20"/>
          <w:szCs w:val="20"/>
          <w:lang w:val="en-ZA"/>
        </w:rPr>
        <w:fldChar w:fldCharType="end"/>
      </w:r>
      <w:r w:rsidR="00AC544B" w:rsidRPr="00435469">
        <w:rPr>
          <w:sz w:val="20"/>
          <w:szCs w:val="20"/>
          <w:lang w:val="en-ZA"/>
        </w:rPr>
        <w:t xml:space="preserve">. </w:t>
      </w:r>
      <w:r w:rsidRPr="00435469">
        <w:rPr>
          <w:sz w:val="20"/>
          <w:szCs w:val="20"/>
          <w:lang w:val="en-ZA"/>
        </w:rPr>
        <w:t xml:space="preserve"> </w:t>
      </w:r>
      <w:r w:rsidR="000D2B76" w:rsidRPr="00435469">
        <w:rPr>
          <w:sz w:val="20"/>
          <w:szCs w:val="20"/>
          <w:lang w:val="en-ZA"/>
        </w:rPr>
        <w:t>Prior to 2019</w:t>
      </w:r>
      <w:r w:rsidR="00CF4ADB" w:rsidRPr="00435469">
        <w:rPr>
          <w:sz w:val="20"/>
          <w:szCs w:val="20"/>
          <w:lang w:val="en-ZA"/>
        </w:rPr>
        <w:t xml:space="preserve"> (i.e.</w:t>
      </w:r>
      <w:r w:rsidR="00D00804" w:rsidRPr="00435469">
        <w:rPr>
          <w:sz w:val="20"/>
          <w:szCs w:val="20"/>
          <w:lang w:val="en-ZA"/>
        </w:rPr>
        <w:t>,</w:t>
      </w:r>
      <w:r w:rsidR="00CF4ADB" w:rsidRPr="00435469">
        <w:rPr>
          <w:sz w:val="20"/>
          <w:szCs w:val="20"/>
          <w:lang w:val="en-ZA"/>
        </w:rPr>
        <w:t xml:space="preserve"> </w:t>
      </w:r>
      <w:r w:rsidR="00AC2AD0" w:rsidRPr="00435469">
        <w:rPr>
          <w:sz w:val="20"/>
          <w:szCs w:val="20"/>
          <w:lang w:val="en-ZA"/>
        </w:rPr>
        <w:t>before the release of the South African TB prevalence survey</w:t>
      </w:r>
      <w:r w:rsidR="00CF4ADB" w:rsidRPr="00435469">
        <w:rPr>
          <w:sz w:val="20"/>
          <w:szCs w:val="20"/>
          <w:lang w:val="en-ZA"/>
        </w:rPr>
        <w:t>)</w:t>
      </w:r>
      <w:r w:rsidR="00AC2AD0" w:rsidRPr="00435469">
        <w:rPr>
          <w:sz w:val="20"/>
          <w:szCs w:val="20"/>
          <w:lang w:val="en-ZA"/>
        </w:rPr>
        <w:t>,</w:t>
      </w:r>
      <w:r w:rsidR="000D2B76" w:rsidRPr="00435469">
        <w:rPr>
          <w:sz w:val="20"/>
          <w:szCs w:val="20"/>
          <w:lang w:val="en-ZA"/>
        </w:rPr>
        <w:t xml:space="preserve"> </w:t>
      </w:r>
      <w:r w:rsidR="00AC2AD0" w:rsidRPr="00435469">
        <w:rPr>
          <w:sz w:val="20"/>
          <w:szCs w:val="20"/>
          <w:lang w:val="en-ZA"/>
        </w:rPr>
        <w:t xml:space="preserve">to estimate incidence for South Africa, </w:t>
      </w:r>
      <w:r w:rsidR="000D2B76" w:rsidRPr="00435469">
        <w:rPr>
          <w:sz w:val="20"/>
          <w:szCs w:val="20"/>
          <w:lang w:val="en-ZA"/>
        </w:rPr>
        <w:t>the WHO</w:t>
      </w:r>
      <w:r w:rsidR="00482269" w:rsidRPr="00435469">
        <w:rPr>
          <w:sz w:val="20"/>
          <w:szCs w:val="20"/>
          <w:lang w:val="en-ZA"/>
        </w:rPr>
        <w:t xml:space="preserve"> mainly</w:t>
      </w:r>
      <w:r w:rsidR="000D2B76" w:rsidRPr="00435469">
        <w:rPr>
          <w:sz w:val="20"/>
          <w:szCs w:val="20"/>
          <w:lang w:val="en-ZA"/>
        </w:rPr>
        <w:t xml:space="preserve"> relied on TB notification </w:t>
      </w:r>
      <w:r w:rsidR="00D57D85" w:rsidRPr="00435469">
        <w:rPr>
          <w:sz w:val="20"/>
          <w:szCs w:val="20"/>
          <w:lang w:val="en-ZA"/>
        </w:rPr>
        <w:t xml:space="preserve">data </w:t>
      </w:r>
      <w:r w:rsidR="00D9154D" w:rsidRPr="00435469">
        <w:rPr>
          <w:sz w:val="20"/>
          <w:szCs w:val="20"/>
          <w:lang w:val="en-ZA"/>
        </w:rPr>
        <w:t>combined with expert opinion about case detection</w:t>
      </w:r>
      <w:r w:rsidR="00D57D85" w:rsidRPr="00435469">
        <w:rPr>
          <w:sz w:val="20"/>
          <w:szCs w:val="20"/>
          <w:lang w:val="en-ZA"/>
        </w:rPr>
        <w:t xml:space="preserve"> </w:t>
      </w:r>
      <w:r w:rsidR="00D9154D" w:rsidRPr="00435469">
        <w:rPr>
          <w:sz w:val="20"/>
          <w:szCs w:val="20"/>
          <w:lang w:val="en-ZA"/>
        </w:rPr>
        <w:t>gaps</w:t>
      </w:r>
      <w:r w:rsidR="00AC2AD0" w:rsidRPr="00435469">
        <w:rPr>
          <w:sz w:val="20"/>
          <w:szCs w:val="20"/>
          <w:lang w:val="en-ZA"/>
        </w:rPr>
        <w:t xml:space="preserve"> </w:t>
      </w:r>
      <w:r w:rsidR="00AC2AD0" w:rsidRPr="00435469">
        <w:rPr>
          <w:sz w:val="20"/>
          <w:szCs w:val="20"/>
          <w:lang w:val="en-ZA"/>
        </w:rPr>
        <w:fldChar w:fldCharType="begin" w:fldLock="1"/>
      </w:r>
      <w:r w:rsidR="00A142FF" w:rsidRPr="00435469">
        <w:rPr>
          <w:sz w:val="20"/>
          <w:szCs w:val="20"/>
          <w:lang w:val="en-ZA"/>
        </w:rPr>
        <w:instrText>ADDIN CSL_CITATION {"citationItems":[{"id":"ITEM-1","itemData":{"author":[{"dropping-particle":"","family":"Glaziou","given":"P","non-dropping-particle":"","parse-names":false,"suffix":""},{"dropping-particle":"","family":"Sismanidis","given":"C","non-dropping-particle":"","parse-names":false,"suffix":""},{"dropping-particle":"","family":"Pretorius","given":"C","non-dropping-particle":"","parse-names":false,"suffix":""},{"dropping-particle":"","family":"Timimi","given":"H","non-dropping-particle":"","parse-names":false,"suffix":""},{"dropping-particle":"","family":"Floyd","given":"K","non-dropping-particle":"","parse-names":false,"suffix":""}],"id":"ITEM-1","issued":{"date-parts":[["2015"]]},"number-of-pages":"1-34","publisher-place":"World Health Organisation. Geneva","title":"Global TB Report 2015 : Technical appendix on methods used to estimate the global burden of disease caused by TB","type":"report"},"uris":["http://www.mendeley.com/documents/?uuid=3781fd9a-6e9c-4273-9e95-b2bd49eadd99"]},{"id":"ITEM-2","itemData":{"abstract":"This paper describes methodological details used by WHO in 2015 to estimate TB incidence, prevalence and mortality. Incidence and mortality are disaggregated by HIV status, age and sex. Methods to derive MDR-TB burden indicators are detailed. Four main methods were used to derive incidence: (i) case notification data combined with expert opinion about case detection gaps (120 countries representing 51% of global incidence); (ii) results from national TB prevalence surveys (19 countries, 46% of global incidence); (iii) notifications in high-income countries adjusted by a standard factor to account for under-reporting and underdiagnosis (73 countries, 3% of global incidence) and (iv) capture-recapture modelling (5 countries, 0.5% of global incidence). Prevalence was obtained from results of national prevalence surveys in 21 countries, representing 69% of global prevalence). In other countries, prevalence was estimated from incidence and disease duration. Mortality was obtained from national vital registration systems of mortality surveys in 129 countries (43% of global HIV-negative TB mortality). In other countries, mortality was derived indirectly from incidence and case fatality ratio.","author":[{"dropping-particle":"","family":"Philippe","given":"Glaziou","non-dropping-particle":"","parse-names":false,"suffix":""},{"dropping-particle":"","family":"Dodd","given":"Peter J.","non-dropping-particle":"","parse-names":false,"suffix":""},{"dropping-particle":"","family":"Dean","given":"A","non-dropping-particle":"","parse-names":false,"suffix":""},{"dropping-particle":"","family":"Floyd","given":"K","non-dropping-particle":"","parse-names":false,"suffix":""}],"id":"ITEM-2","issued":{"date-parts":[["2019"]]},"title":"Methods used by WHO to estimate the Global burden of TB disease","type":"report"},"uris":["http://www.mendeley.com/documents/?uuid=dbc1f696-aaf5-4f50-a06d-4e1f3a6b1600"]}],"mendeley":{"formattedCitation":"(135,136)","plainTextFormattedCitation":"(135,136)","previouslyFormattedCitation":"(135,136)"},"properties":{"noteIndex":0},"schema":"https://github.com/citation-style-language/schema/raw/master/csl-citation.json"}</w:instrText>
      </w:r>
      <w:r w:rsidR="00AC2AD0" w:rsidRPr="00435469">
        <w:rPr>
          <w:sz w:val="20"/>
          <w:szCs w:val="20"/>
          <w:lang w:val="en-ZA"/>
        </w:rPr>
        <w:fldChar w:fldCharType="separate"/>
      </w:r>
      <w:r w:rsidR="0016391D" w:rsidRPr="00435469">
        <w:rPr>
          <w:noProof/>
          <w:sz w:val="20"/>
          <w:szCs w:val="20"/>
          <w:lang w:val="en-ZA"/>
        </w:rPr>
        <w:t>(135,136)</w:t>
      </w:r>
      <w:r w:rsidR="00AC2AD0" w:rsidRPr="00435469">
        <w:rPr>
          <w:sz w:val="20"/>
          <w:szCs w:val="20"/>
          <w:lang w:val="en-ZA"/>
        </w:rPr>
        <w:fldChar w:fldCharType="end"/>
      </w:r>
      <w:r w:rsidR="000D2B76" w:rsidRPr="00435469">
        <w:rPr>
          <w:sz w:val="20"/>
          <w:szCs w:val="20"/>
          <w:lang w:val="en-ZA"/>
        </w:rPr>
        <w:t xml:space="preserve">. </w:t>
      </w:r>
    </w:p>
    <w:p w14:paraId="1B2E1736" w14:textId="3BE92F42" w:rsidR="0053774E" w:rsidRPr="00435469" w:rsidRDefault="00C664CF" w:rsidP="00955FFB">
      <w:pPr>
        <w:pStyle w:val="1Para"/>
        <w:spacing w:line="240" w:lineRule="auto"/>
        <w:ind w:firstLine="0"/>
        <w:rPr>
          <w:sz w:val="20"/>
          <w:szCs w:val="20"/>
          <w:lang w:val="en-ZA"/>
        </w:rPr>
      </w:pPr>
      <w:r w:rsidRPr="00435469">
        <w:rPr>
          <w:sz w:val="20"/>
          <w:szCs w:val="20"/>
          <w:lang w:val="en-ZA"/>
        </w:rPr>
        <w:t>W</w:t>
      </w:r>
      <w:r w:rsidR="006D3675" w:rsidRPr="00435469">
        <w:rPr>
          <w:sz w:val="20"/>
          <w:szCs w:val="20"/>
          <w:lang w:val="en-ZA"/>
        </w:rPr>
        <w:t>e have used a dynamic transmission model which considers the tuberculosis natural history (i.e., disease progression, recovery), transmission dynamics, health-seeking behaviours and diagnostic algorithms, and intervention impacts</w:t>
      </w:r>
      <w:r w:rsidRPr="00435469">
        <w:rPr>
          <w:sz w:val="20"/>
          <w:szCs w:val="20"/>
          <w:lang w:val="en-ZA"/>
        </w:rPr>
        <w:t>, whereas the IHME estimates are not based on dynamic modelling</w:t>
      </w:r>
      <w:r w:rsidR="006D3675" w:rsidRPr="00435469">
        <w:rPr>
          <w:sz w:val="20"/>
          <w:szCs w:val="20"/>
          <w:lang w:val="en-ZA"/>
        </w:rPr>
        <w:t>. To simulate the effects of HIV on tuberculosis incidence and mortality</w:t>
      </w:r>
      <w:r w:rsidR="00FF41D9" w:rsidRPr="00435469">
        <w:rPr>
          <w:sz w:val="20"/>
          <w:szCs w:val="20"/>
          <w:lang w:val="en-ZA"/>
        </w:rPr>
        <w:t xml:space="preserve"> in our model</w:t>
      </w:r>
      <w:r w:rsidR="006D3675" w:rsidRPr="00435469">
        <w:rPr>
          <w:sz w:val="20"/>
          <w:szCs w:val="20"/>
          <w:lang w:val="en-ZA"/>
        </w:rPr>
        <w:t>, we used available evidence to estimate relative risks</w:t>
      </w:r>
      <w:r w:rsidR="0083198D" w:rsidRPr="00435469">
        <w:rPr>
          <w:sz w:val="20"/>
          <w:szCs w:val="20"/>
          <w:lang w:val="en-ZA"/>
        </w:rPr>
        <w:t xml:space="preserve"> (which varied by CD4 count and ART status)</w:t>
      </w:r>
      <w:r w:rsidR="006D3675" w:rsidRPr="00435469">
        <w:rPr>
          <w:sz w:val="20"/>
          <w:szCs w:val="20"/>
          <w:lang w:val="en-ZA"/>
        </w:rPr>
        <w:t xml:space="preserve"> of TB incidence and mortality for HIV positive individuals. Additionally, </w:t>
      </w:r>
      <w:r w:rsidR="00080E21" w:rsidRPr="00435469">
        <w:rPr>
          <w:sz w:val="20"/>
          <w:szCs w:val="20"/>
          <w:lang w:val="en-ZA"/>
        </w:rPr>
        <w:t>we per</w:t>
      </w:r>
      <w:r w:rsidR="006D3675" w:rsidRPr="00435469">
        <w:rPr>
          <w:sz w:val="20"/>
          <w:szCs w:val="20"/>
          <w:lang w:val="en-ZA"/>
        </w:rPr>
        <w:t>form</w:t>
      </w:r>
      <w:r w:rsidR="004013AC" w:rsidRPr="00435469">
        <w:rPr>
          <w:sz w:val="20"/>
          <w:szCs w:val="20"/>
          <w:lang w:val="en-ZA"/>
        </w:rPr>
        <w:t>ed a formal</w:t>
      </w:r>
      <w:r w:rsidR="006D3675" w:rsidRPr="00435469">
        <w:rPr>
          <w:sz w:val="20"/>
          <w:szCs w:val="20"/>
          <w:lang w:val="en-ZA"/>
        </w:rPr>
        <w:t xml:space="preserve"> Bayesian calibration proc</w:t>
      </w:r>
      <w:r w:rsidR="004013AC" w:rsidRPr="00435469">
        <w:rPr>
          <w:sz w:val="20"/>
          <w:szCs w:val="20"/>
          <w:lang w:val="en-ZA"/>
        </w:rPr>
        <w:t xml:space="preserve">ess </w:t>
      </w:r>
      <w:r w:rsidR="006D3675" w:rsidRPr="00435469">
        <w:rPr>
          <w:sz w:val="20"/>
          <w:szCs w:val="20"/>
          <w:lang w:val="en-ZA"/>
        </w:rPr>
        <w:t xml:space="preserve">to ensure </w:t>
      </w:r>
      <w:r w:rsidR="004013AC" w:rsidRPr="00435469">
        <w:rPr>
          <w:sz w:val="20"/>
          <w:szCs w:val="20"/>
          <w:lang w:val="en-ZA"/>
        </w:rPr>
        <w:t xml:space="preserve">the </w:t>
      </w:r>
      <w:r w:rsidR="006D3675" w:rsidRPr="00435469">
        <w:rPr>
          <w:sz w:val="20"/>
          <w:szCs w:val="20"/>
          <w:lang w:val="en-ZA"/>
        </w:rPr>
        <w:t>estimates are consistent with epidemiological data, including the recorded mortality data, notified cases initiating treatment and the latest 2018 TB prevalence survey.</w:t>
      </w:r>
      <w:bookmarkStart w:id="403" w:name="_Toc87863412"/>
      <w:r w:rsidR="00FF41D9" w:rsidRPr="00435469">
        <w:rPr>
          <w:sz w:val="20"/>
          <w:szCs w:val="20"/>
          <w:lang w:val="en-ZA"/>
        </w:rPr>
        <w:t xml:space="preserve"> </w:t>
      </w:r>
    </w:p>
    <w:p w14:paraId="50BDDB8D" w14:textId="488ECD40" w:rsidR="00933055" w:rsidRPr="00435469" w:rsidRDefault="006D3675" w:rsidP="00955FFB">
      <w:pPr>
        <w:pStyle w:val="1Para"/>
        <w:spacing w:line="240" w:lineRule="auto"/>
        <w:ind w:firstLine="0"/>
        <w:rPr>
          <w:sz w:val="20"/>
          <w:szCs w:val="20"/>
          <w:lang w:val="en-ZA"/>
        </w:rPr>
      </w:pPr>
      <w:r w:rsidRPr="00435469">
        <w:rPr>
          <w:sz w:val="20"/>
          <w:szCs w:val="20"/>
          <w:lang w:val="en-ZA"/>
        </w:rPr>
        <w:t>To estimate mortality in HIV-negative individuals the WHO uses the vital register data</w:t>
      </w:r>
      <w:r w:rsidR="00296B5B" w:rsidRPr="00435469">
        <w:rPr>
          <w:sz w:val="20"/>
          <w:szCs w:val="20"/>
          <w:lang w:val="en-ZA"/>
        </w:rPr>
        <w:t>; however</w:t>
      </w:r>
      <w:r w:rsidR="00A17DC9" w:rsidRPr="00435469">
        <w:rPr>
          <w:sz w:val="20"/>
          <w:szCs w:val="20"/>
          <w:lang w:val="en-ZA"/>
        </w:rPr>
        <w:t>, the data were adjusted for TB/HIV miscoding</w:t>
      </w:r>
      <w:r w:rsidR="00F55373" w:rsidRPr="00435469">
        <w:rPr>
          <w:sz w:val="20"/>
          <w:szCs w:val="20"/>
          <w:lang w:val="en-ZA"/>
        </w:rPr>
        <w:t xml:space="preserve"> (the WHO obtains these adjusted data from the IMHE)</w:t>
      </w:r>
      <w:r w:rsidR="00EC239B" w:rsidRPr="00435469">
        <w:rPr>
          <w:sz w:val="20"/>
          <w:szCs w:val="20"/>
          <w:lang w:val="en-ZA"/>
        </w:rPr>
        <w:t xml:space="preserve"> </w:t>
      </w:r>
      <w:r w:rsidR="00577809" w:rsidRPr="00435469">
        <w:rPr>
          <w:sz w:val="20"/>
          <w:szCs w:val="20"/>
          <w:lang w:val="en-ZA"/>
        </w:rPr>
        <w:fldChar w:fldCharType="begin" w:fldLock="1"/>
      </w:r>
      <w:r w:rsidR="00A142FF" w:rsidRPr="00435469">
        <w:rPr>
          <w:sz w:val="20"/>
          <w:szCs w:val="20"/>
          <w:lang w:val="en-ZA"/>
        </w:rPr>
        <w:instrText>ADDIN CSL_CITATION {"citationItems":[{"id":"ITEM-1","itemData":{"author":[{"dropping-particle":"","family":"Glaziou","given":"P","non-dropping-particle":"","parse-names":false,"suffix":""},{"dropping-particle":"","family":"Sismanidis","given":"C","non-dropping-particle":"","parse-names":false,"suffix":""},{"dropping-particle":"","family":"Pretorius","given":"C","non-dropping-particle":"","parse-names":false,"suffix":""},{"dropping-particle":"","family":"Timimi","given":"H","non-dropping-particle":"","parse-names":false,"suffix":""},{"dropping-particle":"","family":"Floyd","given":"K","non-dropping-particle":"","parse-names":false,"suffix":""}],"id":"ITEM-1","issued":{"date-parts":[["2015"]]},"number-of-pages":"1-34","publisher-place":"World Health Organisation. Geneva","title":"Global TB Report 2015 : Technical appendix on methods used to estimate the global burden of disease caused by TB","type":"report"},"uris":["http://www.mendeley.com/documents/?uuid=3781fd9a-6e9c-4273-9e95-b2bd49eadd99"]},{"id":"ITEM-2","itemData":{"abstract":"This paper describes methodological details used by WHO in 2015 to estimate TB incidence, prevalence and mortality. Incidence and mortality are disaggregated by HIV status, age and sex. Methods to derive MDR-TB burden indicators are detailed. Four main methods were used to derive incidence: (i) case notification data combined with expert opinion about case detection gaps (120 countries representing 51% of global incidence); (ii) results from national TB prevalence surveys (19 countries, 46% of global incidence); (iii) notifications in high-income countries adjusted by a standard factor to account for under-reporting and underdiagnosis (73 countries, 3% of global incidence) and (iv) capture-recapture modelling (5 countries, 0.5% of global incidence). Prevalence was obtained from results of national prevalence surveys in 21 countries, representing 69% of global prevalence). In other countries, prevalence was estimated from incidence and disease duration. Mortality was obtained from national vital registration systems of mortality surveys in 129 countries (43% of global HIV-negative TB mortality). In other countries, mortality was derived indirectly from incidence and case fatality ratio.","author":[{"dropping-particle":"","family":"Philippe","given":"Glaziou","non-dropping-particle":"","parse-names":false,"suffix":""},{"dropping-particle":"","family":"Dodd","given":"Peter J.","non-dropping-particle":"","parse-names":false,"suffix":""},{"dropping-particle":"","family":"Dean","given":"A","non-dropping-particle":"","parse-names":false,"suffix":""},{"dropping-particle":"","family":"Floyd","given":"K","non-dropping-particle":"","parse-names":false,"suffix":""}],"id":"ITEM-2","issued":{"date-parts":[["2019"]]},"title":"Methods used by WHO to estimate the Global burden of TB disease","type":"report"},"uris":["http://www.mendeley.com/documents/?uuid=dbc1f696-aaf5-4f50-a06d-4e1f3a6b1600"]}],"mendeley":{"formattedCitation":"(135,136)","plainTextFormattedCitation":"(135,136)","previouslyFormattedCitation":"(135,136)"},"properties":{"noteIndex":0},"schema":"https://github.com/citation-style-language/schema/raw/master/csl-citation.json"}</w:instrText>
      </w:r>
      <w:r w:rsidR="00577809" w:rsidRPr="00435469">
        <w:rPr>
          <w:sz w:val="20"/>
          <w:szCs w:val="20"/>
          <w:lang w:val="en-ZA"/>
        </w:rPr>
        <w:fldChar w:fldCharType="separate"/>
      </w:r>
      <w:r w:rsidR="0016391D" w:rsidRPr="00435469">
        <w:rPr>
          <w:noProof/>
          <w:sz w:val="20"/>
          <w:szCs w:val="20"/>
          <w:lang w:val="en-ZA"/>
        </w:rPr>
        <w:t>(135,136)</w:t>
      </w:r>
      <w:r w:rsidR="00577809" w:rsidRPr="00435469">
        <w:rPr>
          <w:sz w:val="20"/>
          <w:szCs w:val="20"/>
          <w:lang w:val="en-ZA"/>
        </w:rPr>
        <w:fldChar w:fldCharType="end"/>
      </w:r>
      <w:r w:rsidR="00700121" w:rsidRPr="00435469">
        <w:rPr>
          <w:sz w:val="20"/>
          <w:szCs w:val="20"/>
          <w:lang w:val="en-ZA"/>
        </w:rPr>
        <w:t>.</w:t>
      </w:r>
      <w:r w:rsidR="002F0323" w:rsidRPr="00435469">
        <w:rPr>
          <w:sz w:val="20"/>
          <w:szCs w:val="20"/>
          <w:lang w:val="en-ZA"/>
        </w:rPr>
        <w:t xml:space="preserve"> </w:t>
      </w:r>
      <w:r w:rsidR="00700121" w:rsidRPr="00435469">
        <w:rPr>
          <w:sz w:val="20"/>
          <w:szCs w:val="20"/>
          <w:lang w:val="en-ZA"/>
        </w:rPr>
        <w:t>F</w:t>
      </w:r>
      <w:r w:rsidRPr="00435469">
        <w:rPr>
          <w:sz w:val="20"/>
          <w:szCs w:val="20"/>
          <w:lang w:val="en-ZA"/>
        </w:rPr>
        <w:t>or the HIV-positive population</w:t>
      </w:r>
      <w:r w:rsidR="006B1898" w:rsidRPr="00435469">
        <w:rPr>
          <w:sz w:val="20"/>
          <w:szCs w:val="20"/>
          <w:lang w:val="en-ZA"/>
        </w:rPr>
        <w:t>,</w:t>
      </w:r>
      <w:r w:rsidRPr="00435469">
        <w:rPr>
          <w:sz w:val="20"/>
          <w:szCs w:val="20"/>
          <w:lang w:val="en-ZA"/>
        </w:rPr>
        <w:t xml:space="preserve"> the</w:t>
      </w:r>
      <w:r w:rsidR="00700121" w:rsidRPr="00435469">
        <w:rPr>
          <w:sz w:val="20"/>
          <w:szCs w:val="20"/>
          <w:lang w:val="en-ZA"/>
        </w:rPr>
        <w:t xml:space="preserve"> WHO </w:t>
      </w:r>
      <w:r w:rsidRPr="00435469">
        <w:rPr>
          <w:sz w:val="20"/>
          <w:szCs w:val="20"/>
          <w:lang w:val="en-ZA"/>
        </w:rPr>
        <w:t xml:space="preserve"> appl</w:t>
      </w:r>
      <w:r w:rsidR="00700121" w:rsidRPr="00435469">
        <w:rPr>
          <w:sz w:val="20"/>
          <w:szCs w:val="20"/>
          <w:lang w:val="en-ZA"/>
        </w:rPr>
        <w:t>ies</w:t>
      </w:r>
      <w:r w:rsidRPr="00435469">
        <w:rPr>
          <w:sz w:val="20"/>
          <w:szCs w:val="20"/>
          <w:lang w:val="en-ZA"/>
        </w:rPr>
        <w:t xml:space="preserve"> HIV-specific case-fatality ratios </w:t>
      </w:r>
      <w:r w:rsidR="00217060" w:rsidRPr="00435469">
        <w:rPr>
          <w:sz w:val="20"/>
          <w:szCs w:val="20"/>
          <w:lang w:val="en-ZA"/>
        </w:rPr>
        <w:t xml:space="preserve">to </w:t>
      </w:r>
      <w:r w:rsidRPr="00435469">
        <w:rPr>
          <w:sz w:val="20"/>
          <w:szCs w:val="20"/>
          <w:lang w:val="en-ZA"/>
        </w:rPr>
        <w:t xml:space="preserve">the estimated TB incidence </w:t>
      </w:r>
      <w:r w:rsidRPr="00435469">
        <w:rPr>
          <w:sz w:val="20"/>
          <w:szCs w:val="20"/>
        </w:rPr>
        <w:fldChar w:fldCharType="begin" w:fldLock="1"/>
      </w:r>
      <w:r w:rsidR="00650727" w:rsidRPr="00435469">
        <w:rPr>
          <w:sz w:val="20"/>
          <w:szCs w:val="20"/>
        </w:rPr>
        <w:instrText>ADDIN CSL_CITATION {"citationItems":[{"id":"ITEM-1","itemData":{"ISBN":"978-92-4-001313-1","id":"ITEM-1","issued":{"date-parts":[["2020"]]},"publisher-place":"Geneva: World Health Organization; 2020","title":"World Health Organization. Global Tuberculosis Report, 2020","type":"report"},"uris":["http://www.mendeley.com/documents/?uuid=1e49d534-4bbd-4b07-a44c-38383625af56"]}],"mendeley":{"formattedCitation":"(133)","plainTextFormattedCitation":"(133)","previouslyFormattedCitation":"(133)"},"properties":{"noteIndex":0},"schema":"https://github.com/citation-style-language/schema/raw/master/csl-citation.json"}</w:instrText>
      </w:r>
      <w:r w:rsidRPr="00435469">
        <w:rPr>
          <w:sz w:val="20"/>
          <w:szCs w:val="20"/>
        </w:rPr>
        <w:fldChar w:fldCharType="separate"/>
      </w:r>
      <w:r w:rsidR="0016391D" w:rsidRPr="00435469">
        <w:rPr>
          <w:noProof/>
          <w:sz w:val="20"/>
          <w:szCs w:val="20"/>
        </w:rPr>
        <w:t>(133)</w:t>
      </w:r>
      <w:r w:rsidRPr="00435469">
        <w:rPr>
          <w:sz w:val="20"/>
          <w:szCs w:val="20"/>
        </w:rPr>
        <w:fldChar w:fldCharType="end"/>
      </w:r>
      <w:r w:rsidRPr="00435469">
        <w:rPr>
          <w:sz w:val="20"/>
          <w:szCs w:val="20"/>
          <w:lang w:val="en-ZA"/>
        </w:rPr>
        <w:t>. The IMHE use</w:t>
      </w:r>
      <w:r w:rsidR="006B1898" w:rsidRPr="00435469">
        <w:rPr>
          <w:sz w:val="20"/>
          <w:szCs w:val="20"/>
          <w:lang w:val="en-ZA"/>
        </w:rPr>
        <w:t>s</w:t>
      </w:r>
      <w:r w:rsidRPr="00435469">
        <w:rPr>
          <w:sz w:val="20"/>
          <w:szCs w:val="20"/>
          <w:lang w:val="en-ZA"/>
        </w:rPr>
        <w:t xml:space="preserve"> a mixed-effects regression model to estimate the proportion of HIV-TB cases among all TB cases</w:t>
      </w:r>
      <w:r w:rsidR="00217060" w:rsidRPr="00435469">
        <w:rPr>
          <w:sz w:val="20"/>
          <w:szCs w:val="20"/>
          <w:lang w:val="en-ZA"/>
        </w:rPr>
        <w:t>,</w:t>
      </w:r>
      <w:r w:rsidRPr="00435469">
        <w:rPr>
          <w:sz w:val="20"/>
          <w:szCs w:val="20"/>
          <w:lang w:val="en-ZA"/>
        </w:rPr>
        <w:t xml:space="preserve"> then they e</w:t>
      </w:r>
      <w:proofErr w:type="spellStart"/>
      <w:r w:rsidRPr="00435469">
        <w:rPr>
          <w:sz w:val="20"/>
          <w:szCs w:val="20"/>
          <w:lang w:val="en-GB"/>
        </w:rPr>
        <w:t>stimate</w:t>
      </w:r>
      <w:proofErr w:type="spellEnd"/>
      <w:r w:rsidRPr="00435469">
        <w:rPr>
          <w:sz w:val="20"/>
          <w:szCs w:val="20"/>
          <w:lang w:val="en-GB"/>
        </w:rPr>
        <w:t xml:space="preserve"> relative risks of TB deaths in HIV-positive individuals </w:t>
      </w:r>
      <w:r w:rsidRPr="00435469">
        <w:rPr>
          <w:sz w:val="20"/>
          <w:szCs w:val="20"/>
        </w:rPr>
        <w:fldChar w:fldCharType="begin" w:fldLock="1"/>
      </w:r>
      <w:r w:rsidR="00A142FF" w:rsidRPr="00435469">
        <w:rPr>
          <w:sz w:val="20"/>
          <w:szCs w:val="20"/>
        </w:rPr>
        <w:instrText>ADDIN CSL_CITATION {"citationItems":[{"id":"ITEM-1","itemData":{"DOI":"10.1016/s1473-3099(21)00449-7","ISSN":"14733099","abstract":"Background Tuberculosis is a major contributor to the global burden of disease, causing more than a million deaths annually. Given an emphasis on equity in access to diagnosis and treatment of tuberculosis in global health targets, evaluations of differences in tuberculosis burden by sex are crucial. We aimed to assess the levels and trends of the global burden of tuberculosis, with an emphasis on investigating differences in sex by HIV status for 204 countries and territories from 1990 to 2019.","author":[{"dropping-particle":"","family":"Ledesma","given":"Jorge R","non-dropping-particle":"","parse-names":false,"suffix":""},{"dropping-particle":"","family":"Ma","given":"Jianing","non-dropping-particle":"","parse-names":false,"suffix":""},{"dropping-particle":"","family":"Vongpradith","given":"Avina","non-dropping-particle":"","parse-names":false,"suffix":""},{"dropping-particle":"","family":"Maddison","given":"Emilie R","non-dropping-particle":"","parse-names":false,"suffix":""},{"dropping-particle":"","family":"Novotney","given":"Amanda","non-dropping-particle":"","parse-names":false,"suffix":""},{"dropping-particle":"","family":"Biehl","given":"Molly H","non-dropping-particle":"","parse-names":false,"suffix":""},{"dropping-particle":"","family":"LeGrand","given":"Kate E","non-dropping-particle":"","parse-names":false,"suffix":""},{"dropping-particle":"","family":"Ross","given":"Jennifer M","non-dropping-particle":"","parse-names":false,"suffix":""},{"dropping-particle":"","family":"Jahagirdar","given":"Deepa","non-dropping-particle":"","parse-names":false,"suffix":""},{"dropping-particle":"","family":"Bryazka","given":"Dana","non-dropping-particle":"","parse-names":false,"suffix":""},{"dropping-particle":"","family":"Feldman","given":"Rachel","non-dropping-particle":"","parse-names":false,"suffix":""},{"dropping-particle":"","family":"Abolhassani","given":"Hassan","non-dropping-particle":"","parse-names":false,"suffix":""},{"dropping-particle":"","family":"Abosetugn","given":"Akine Eshete","non-dropping-particle":"","parse-names":false,"suffix":""},{"dropping-particle":"","family":"Abu-Gharbieh","given":"Eman","non-dropping-particle":"","parse-names":false,"suffix":""},{"dropping-particle":"","family":"Adebayo","given":"Oladimeji M","non-dropping-particle":"","parse-names":false,"suffix":""},{"dropping-particle":"","family":"Adnani","given":"Qorinah Estiningtyas Sakilah","non-dropping-particle":"","parse-names":false,"suffix":""},{"dropping-particle":"","family":"Afzal","given":"Saira","non-dropping-particle":"","parse-names":false,"suffix":""},{"dropping-particle":"","family":"Ahinkorah","given":"Bright Opoku","non-dropping-particle":"","parse-names":false,"suffix":""},{"dropping-particle":"","family":"Ahmad","given":"Sajjad Ahmad","non-dropping-particle":"","parse-names":false,"suffix":""},{"dropping-particle":"","family":"Ahmadi","given":"Sepideh","non-dropping-particle":"","parse-names":false,"suffix":""},{"dropping-particle":"","family":"Ahmed Rashid","given":"Tarik","non-dropping-particle":"","parse-names":false,"suffix":""},{"dropping-particle":"","family":"Ahmed Salih","given":"Yusra","non-dropping-particle":"","parse-names":false,"suffix":""},{"dropping-particle":"","family":"Aklilu","given":"Addis","non-dropping-particle":"","parse-names":false,"suffix":""},{"dropping-particle":"","family":"Akunna","given":"Chisom Joyqueenet","non-dropping-particle":"","parse-names":false,"suffix":""},{"dropping-particle":"","family":"Hamad","given":"Hanadi","non-dropping-particle":"Al","parse-names":false,"suffix":""},{"dropping-particle":"","family":"Alahdab","given":"Fares","non-dropping-particle":"","parse-names":false,"suffix":""},{"dropping-particle":"","family":"Alemayehu","given":"Yosef","non-dropping-particle":"","parse-names":false,"suffix":""},{"dropping-particle":"","family":"Alene","given":"Kefyalew Addis","non-dropping-particle":"","parse-names":false,"suffix":""},{"dropping-particle":"","family":"Ali","given":"Beriwan Abdulqadir","non-dropping-particle":"","parse-names":false,"suffix":""},{"dropping-particle":"","family":"Ali","given":"Liaqat","non-dropping-particle":"","parse-names":false,"suffix":""},{"dropping-particle":"","family":"Alipour","given":"Vahid","non-dropping-particle":"","parse-names":false,"suffix":""},{"dropping-particle":"","family":"Alizade","given":"Hesam","non-dropping-particle":"","parse-names":false,"suffix":""},{"dropping-particle":"","family":"Al-Raddadi","given":"Rajaa M","non-dropping-particle":"","parse-names":false,"suffix":""},{"dropping-particle":"","family":"Alvis-Guzman","given":"Nelson","non-dropping-particle":"","parse-names":false,"suffix":""},{"dropping-particle":"","family":"Amini","given":"Saeed","non-dropping-particle":"","parse-names":false,"suffix":""},{"dropping-particle":"","family":"Amit","given":"Arianna Maever L","non-dropping-particle":"","parse-names":false,"suffix":""},{"dropping-particle":"","family":"Anderson","given":"Jason A","non-dropping-particle":"","parse-names":false,"suffix":""},{"dropping-particle":"","family":"Androudi","given":"Sofia","non-dropping-particle":"","parse-names":false,"suffix":""},{"dropping-particle":"","family":"Antonio","given":"Carl Abelardo T","non-dropping-particle":"","parse-names":false,"suffix":""},{"dropping-particle":"","family":"Antony","given":"Catherine M","non-dropping-particle":"","parse-names":false,"suffix":""},{"dropping-particle":"","family":"Anwer","given":"Razique","non-dropping-particle":"","parse-names":false,"suffix":""},{"dropping-particle":"","family":"Arabloo","given":"Jalal","non-dropping-particle":"","parse-names":false,"suffix":""},{"dropping-particle":"","family":"Arja","given":"Asrat","non-dropping-particle":"","parse-names":false,"suffix":""},{"dropping-particle":"","family":"Asemahagn","given":"Mulusew A","non-dropping-particle":"","parse-names":false,"suffix":""},{"dropping-particle":"","family":"Atre","given":"Sachin R","non-dropping-particle":"","parse-names":false,"suffix":""},{"dropping-particle":"","family":"Azhar","given":"Gulrez Shah","non-dropping-particle":"","parse-names":false,"suffix":""},{"dropping-particle":"","family":"B","given":"Darshan B","non-dropping-particle":"","parse-names":false,"suffix":""},{"dropping-particle":"","family":"Babar","given":"Zaheer-Ud-Din","non-dropping-particle":"","parse-names":false,"suffix":""},{"dropping-particle":"","family":"Baig","given":"Atif Amin","non-dropping-particle":"","parse-names":false,"suffix":""},{"dropping-particle":"","family":"Banach","given":"Maciej","non-dropping-particle":"","parse-names":false,"suffix":""},{"dropping-particle":"","family":"Barqawi","given":"Hiba Jawdat","non-dropping-particle":"","parse-names":false,"suffix":""},{"dropping-particle":"","family":"Barra","given":"Fabio","non-dropping-particle":"","parse-names":false,"suffix":""},{"dropping-particle":"","family":"Barrow","given":"Amadou","non-dropping-particle":"","parse-names":false,"suffix":""},{"dropping-particle":"","family":"Basu","given":"Sanjay","non-dropping-particle":"","parse-names":false,"suffix":""},{"dropping-particle":"","family":"Belgaumi","given":"Uzma Iqbal","non-dropping-particle":"","parse-names":false,"suffix":""},{"dropping-particle":"","family":"Bhagavathula","given":"Akshaya Srikanth","non-dropping-particle":"","parse-names":false,"suffix":""},{"dropping-particle":"","family":"Bhardwaj","given":"Nikha","non-dropping-particle":"","parse-names":false,"suffix":""},{"dropping-particle":"","family":"Bhardwaj","given":"Pankaj","non-dropping-particle":"","parse-names":false,"suffix":""},{"dropping-particle":"V","family":"Bhattacharjee","given":"Natalia","non-dropping-particle":"","parse-names":false,"suffix":""},{"dropping-particle":"","family":"Bhattacharyya","given":"Krittika","non-dropping-particle":"","parse-names":false,"suffix":""},{"dropping-particle":"","family":"Bijani","given":"Ali","non-dropping-particle":"","parse-names":false,"suffix":""},{"dropping-particle":"","family":"Bikbov","given":"Boris","non-dropping-particle":"","parse-names":false,"suffix":""},{"dropping-particle":"","family":"Boloor","given":"Archith","non-dropping-particle":"","parse-names":false,"suffix":""},{"dropping-particle":"","family":"Briko","given":"Nikolay Ivanovich","non-dropping-particle":"","parse-names":false,"suffix":""},{"dropping-particle":"","family":"Buonsenso","given":"Danilo","non-dropping-particle":"","parse-names":false,"suffix":""},{"dropping-particle":"","family":"Burugina Nagaraja","given":"Sharath","non-dropping-particle":"","parse-names":false,"suffix":""},{"dropping-particle":"","family":"Butt","given":"Zahid A","non-dropping-particle":"","parse-names":false,"suffix":""},{"dropping-particle":"","family":"Carter","given":"Austin","non-dropping-particle":"","parse-names":false,"suffix":""},{"dropping-particle":"","family":"Carvalho","given":"Felix","non-dropping-particle":"","parse-names":false,"suffix":""},{"dropping-particle":"","family":"Charan","given":"Jaykaran","non-dropping-particle":"","parse-names":false,"suffix":""},{"dropping-particle":"","family":"Chatterjee","given":"Souranshu","non-dropping-particle":"","parse-names":false,"suffix":""},{"dropping-particle":"","family":"Chattu","given":"Soosanna Kumary","non-dropping-particle":"","parse-names":false,"suffix":""},{"dropping-particle":"","family":"Chattu","given":"Vijay Kumar","non-dropping-particle":"","parse-names":false,"suffix":""},{"dropping-particle":"","family":"Christopher","given":"Devasahayam J","non-dropping-particle":"","parse-names":false,"suffix":""},{"dropping-particle":"","family":"Chu","given":"Dinh-Toi","non-dropping-particle":"","parse-names":false,"suffix":""},{"dropping-particle":"","family":"Claassens","given":"Mareli M","non-dropping-particle":"","parse-names":false,"suffix":""},{"dropping-particle":"","family":"Dadras","given":"Omid","non-dropping-particle":"","parse-names":false,"suffix":""},{"dropping-particle":"","family":"Dagnew","given":"Amare Belachew","non-dropping-particle":"","parse-names":false,"suffix":""},{"dropping-particle":"","family":"Dai","given":"Xiaochen","non-dropping-particle":"","parse-names":false,"suffix":""},{"dropping-particle":"","family":"Dandona","given":"Lalit","non-dropping-particle":"","parse-names":false,"suffix":""},{"dropping-particle":"","family":"Dandona","given":"Rakhi","non-dropping-particle":"","parse-names":false,"suffix":""},{"dropping-particle":"","family":"Daneshpajouhnejad","given":"Parnaz","non-dropping-particle":"","parse-names":false,"suffix":""},{"dropping-particle":"","family":"Darwesh","given":"Aso Mohammad","non-dropping-particle":"","parse-names":false,"suffix":""},{"dropping-particle":"","family":"Dhamnetiya","given":"Deepak","non-dropping-particle":"","parse-names":false,"suffix":""},{"dropping-particle":"","family":"Dianatinasab","given":"Mostafa","non-dropping-particle":"","parse-names":false,"suffix":""},{"dropping-particle":"","family":"Diaz","given":"Daniel","non-dropping-particle":"","parse-names":false,"suffix":""},{"dropping-particle":"","family":"Doan","given":"Linh Phuong","non-dropping-particle":"","parse-names":false,"suffix":""},{"dropping-particle":"","family":"Eftekharzadeh","given":"Sahar","non-dropping-particle":"","parse-names":false,"suffix":""},{"dropping-particle":"","family":"Elhadi","given":"Muhammed","non-dropping-particle":"","parse-names":false,"suffix":""},{"dropping-particle":"","family":"Emami","given":"Amir","non-dropping-particle":"","parse-names":false,"suffix":""},{"dropping-particle":"","family":"Enany","given":"Shymaa","non-dropping-particle":"","parse-names":false,"suffix":""},{"dropping-particle":"","family":"Faraon","given":"Emerito Jose A","non-dropping-particle":"","parse-names":false,"suffix":""},{"dropping-particle":"","family":"Farzadfar","given":"Farshad","non-dropping-particle":"","parse-names":false,"suffix":""},{"dropping-particle":"","family":"Fernandes","given":"Eduarda","non-dropping-particle":"","parse-names":false,"suffix":""},{"dropping-particle":"","family":"Ferro Desideri","given":"Lorenzo","non-dropping-particle":"","parse-names":false,"suffix":""},{"dropping-particle":"","family":"Filip","given":"Irina","non-dropping-particle":"","parse-names":false,"suffix":""},{"dropping-particle":"","family":"Fischer","given":"Florian","non-dropping-particle":"","parse-names":false,"suffix":""},{"dropping-particle":"","family":"Foroutan","given":"Masoud","non-dropping-particle":"","parse-names":false,"suffix":""},{"dropping-particle":"","family":"Frank","given":"Tahvi D","non-dropping-particle":"","parse-names":false,"suffix":""},{"dropping-particle":"","family":"Garcia-Basteiro","given":"Alberto L","non-dropping-particle":"","parse-names":false,"suffix":""},{"dropping-particle":"","family":"Garcia-Calavaro","given":"Christian","non-dropping-particle":"","parse-names":false,"suffix":""},{"dropping-particle":"","family":"Garg","given":"Tushar","non-dropping-particle":"","parse-names":false,"suffix":""},{"dropping-particle":"","family":"Geberemariyam","given":"Biniyam Sahiledengle","non-dropping-particle":"","parse-names":false,"suffix":""},{"dropping-particle":"","family":"Ghadiri","given":"Keyghobad","non-dropping-particle":"","parse-names":false,"suffix":""},{"dropping-particle":"","family":"Ghashghaee","given":"Ahmad","non-dropping-particle":"","parse-names":false,"suffix":""},{"dropping-particle":"","family":"Golechha","given":"Mahaveer","non-dropping-particle":"","parse-names":false,"suffix":""},{"dropping-particle":"","family":"Goodridge","given":"Amador","non-dropping-particle":"","parse-names":false,"suffix":""},{"dropping-particle":"","family":"Gupta","given":"Bhawna","non-dropping-particle":"","parse-names":false,"suffix":""},{"dropping-particle":"","family":"Gupta","given":"Sapna","non-dropping-particle":"","parse-names":false,"suffix":""},{"dropping-particle":"","family":"Gupta","given":"Veer Bala","non-dropping-particle":"","parse-names":false,"suffix":""},{"dropping-particle":"","family":"Gupta","given":"Vivek Kumar","non-dropping-particle":"","parse-names":false,"suffix":""},{"dropping-particle":"","family":"Haider","given":"Mohammad Rifat","non-dropping-particle":"","parse-names":false,"suffix":""},{"dropping-particle":"","family":"Hamidi","given":"Samer","non-dropping-particle":"","parse-names":false,"suffix":""},{"dropping-particle":"","family":"Hanif","given":"Asif","non-dropping-particle":"","parse-names":false,"suffix":""},{"dropping-particle":"","family":"Haque","given":"Shafiul","non-dropping-particle":"","parse-names":false,"suffix":""},{"dropping-particle":"","family":"Harapan","given":"Harapan","non-dropping-particle":"","parse-names":false,"suffix":""},{"dropping-particle":"","family":"Hargono","given":"Arief","non-dropping-particle":"","parse-names":false,"suffix":""},{"dropping-particle":"","family":"Hasaballah","given":"Ahmed I","non-dropping-particle":"","parse-names":false,"suffix":""},{"dropping-particle":"","family":"Hashi","given":"Abdiwahab","non-dropping-particle":"","parse-names":false,"suffix":""},{"dropping-particle":"","family":"Hassan","given":"Shoaib","non-dropping-particle":"","parse-names":false,"suffix":""},{"dropping-particle":"","family":"Hassankhani","given":"Hadi","non-dropping-particle":"","parse-names":false,"suffix":""},{"dropping-particle":"","family":"Hayat","given":"Khezar","non-dropping-particle":"","parse-names":false,"suffix":""},{"dropping-particle":"","family":"Hezam","given":"Kamal","non-dropping-particle":"","parse-names":false,"suffix":""},{"dropping-particle":"","family":"Holla","given":"Ramesh","non-dropping-particle":"","parse-names":false,"suffix":""},{"dropping-particle":"","family":"Hosseinzadeh","given":"Mehdi","non-dropping-particle":"","parse-names":false,"suffix":""},{"dropping-particle":"","family":"Hostiuc","given":"Mihaela","non-dropping-particle":"","parse-names":false,"suffix":""},{"dropping-particle":"","family":"Househ","given":"Mowafa","non-dropping-particle":"","parse-names":false,"suffix":""},{"dropping-particle":"","family":"Hussain","given":"Rabia","non-dropping-particle":"","parse-names":false,"suffix":""},{"dropping-particle":"","family":"Ibitoye","given":"Segun Emmanuel","non-dropping-particle":"","parse-names":false,"suffix":""},{"dropping-particle":"","family":"Ilic","given":"Irena M","non-dropping-particle":"","parse-names":false,"suffix":""},{"dropping-particle":"","family":"Ilic","given":"Milena D","non-dropping-particle":"","parse-names":false,"suffix":""},{"dropping-particle":"","family":"Irvani","given":"Seyed Sina Naghibi","non-dropping-particle":"","parse-names":false,"suffix":""},{"dropping-particle":"","family":"Ismail","given":"Nahlah Elkudssiah","non-dropping-particle":"","parse-names":false,"suffix":""},{"dropping-particle":"","family":"Itumalla","given":"Ramaiah","non-dropping-particle":"","parse-names":false,"suffix":""},{"dropping-particle":"","family":"Jaafari","given":"Jalil","non-dropping-particle":"","parse-names":false,"suffix":""},{"dropping-particle":"","family":"Jacobsen","given":"Kathryn H","non-dropping-particle":"","parse-names":false,"suffix":""},{"dropping-particle":"","family":"Jain","given":"Vardhmaan","non-dropping-particle":"","parse-names":false,"suffix":""},{"dropping-particle":"","family":"Javanmardi","given":"Fatemeh","non-dropping-particle":"","parse-names":false,"suffix":""},{"dropping-particle":"","family":"Jayapal","given":"Sathish Kumar","non-dropping-particle":"","parse-names":false,"suffix":""},{"dropping-particle":"","family":"Jayaram","given":"Shubha","non-dropping-particle":"","parse-names":false,"suffix":""},{"dropping-particle":"","family":"Jha","given":"Ravi Prakash","non-dropping-particle":"","parse-names":false,"suffix":""},{"dropping-particle":"","family":"Jonas","given":"Jost B","non-dropping-particle":"","parse-names":false,"suffix":""},{"dropping-particle":"","family":"Joseph","given":"Nitin","non-dropping-particle":"","parse-names":false,"suffix":""},{"dropping-particle":"","family":"Joukar","given":"Farahnaz","non-dropping-particle":"","parse-names":false,"suffix":""},{"dropping-particle":"","family":"Kabir","given":"Zubair","non-dropping-particle":"","parse-names":false,"suffix":""},{"dropping-particle":"","family":"Kamath","given":"Ashwin","non-dropping-particle":"","parse-names":false,"suffix":""},{"dropping-particle":"","family":"Kanchan","given":"Tanuj","non-dropping-particle":"","parse-names":false,"suffix":""},{"dropping-particle":"","family":"Kandel","given":"Himal","non-dropping-particle":"","parse-names":false,"suffix":""},{"dropping-particle":"","family":"Katoto","given":"Patrick DMC","non-dropping-particle":"","parse-names":false,"suffix":""},{"dropping-particle":"","family":"Kayode","given":"Gbenga A","non-dropping-particle":"","parse-names":false,"suffix":""},{"dropping-particle":"","family":"Kendrick","given":"Parkes J","non-dropping-particle":"","parse-names":false,"suffix":""},{"dropping-particle":"","family":"Kerbo","given":"Amene Abebe","non-dropping-particle":"","parse-names":false,"suffix":""},{"dropping-particle":"","family":"Khajuria","given":"Himanshu","non-dropping-particle":"","parse-names":false,"suffix":""},{"dropping-particle":"","family":"Khalilov","given":"Rovshan","non-dropping-particle":"","parse-names":false,"suffix":""},{"dropping-particle":"","family":"Khatab","given":"Khaled","non-dropping-particle":"","parse-names":false,"suffix":""},{"dropping-particle":"","family":"Khoja","given":"Abdullah T","non-dropping-particle":"","parse-names":false,"suffix":""},{"dropping-particle":"","family":"Khubchandani","given":"Jagdish","non-dropping-particle":"","parse-names":false,"suffix":""},{"dropping-particle":"","family":"Kim","given":"Min Seo","non-dropping-particle":"","parse-names":false,"suffix":""},{"dropping-particle":"","family":"Kim","given":"Yun Jin","non-dropping-particle":"","parse-names":false,"suffix":""},{"dropping-particle":"","family":"Kisa","given":"Adnan","non-dropping-particle":"","parse-names":false,"suffix":""},{"dropping-particle":"","family":"Kisa","given":"Sezer","non-dropping-particle":"","parse-names":false,"suffix":""},{"dropping-particle":"","family":"Kosen","given":"Soewarta","non-dropping-particle":"","parse-names":false,"suffix":""},{"dropping-particle":"","family":"Koul","given":"Parvaiz A","non-dropping-particle":"","parse-names":false,"suffix":""},{"dropping-particle":"","family":"Koulmane Laxminarayana","given":"Sindhura Lakshmi","non-dropping-particle":"","parse-names":false,"suffix":""},{"dropping-particle":"","family":"Koyanagi","given":"Ai","non-dropping-particle":"","parse-names":false,"suffix":""},{"dropping-particle":"","family":"Krishan","given":"Kewal","non-dropping-particle":"","parse-names":false,"suffix":""},{"dropping-particle":"","family":"Kucuk Bicer","given":"Burcu","non-dropping-particle":"","parse-names":false,"suffix":""},{"dropping-particle":"","family":"Kumar","given":"Avinash","non-dropping-particle":"","parse-names":false,"suffix":""},{"dropping-particle":"","family":"Kumar","given":"G Anil","non-dropping-particle":"","parse-names":false,"suffix":""},{"dropping-particle":"","family":"Kumar","given":"Narinder","non-dropping-particle":"","parse-names":false,"suffix":""},{"dropping-particle":"","family":"Kumar","given":"Nithin","non-dropping-particle":"","parse-names":false,"suffix":""},{"dropping-particle":"","family":"Kwarteng","given":"Alexander","non-dropping-particle":"","parse-names":false,"suffix":""},{"dropping-particle":"","family":"Lak","given":"Hassan Mehmood","non-dropping-particle":"","parse-names":false,"suffix":""},{"dropping-particle":"","family":"Lal","given":"Dharmesh Kumar","non-dropping-particle":"","parse-names":false,"suffix":""},{"dropping-particle":"","family":"Landires","given":"Iván","non-dropping-particle":"","parse-names":false,"suffix":""},{"dropping-particle":"","family":"Lasrado","given":"Savita","non-dropping-particle":"","parse-names":false,"suffix":""},{"dropping-particle":"","family":"Lee","given":"Shaun Wen Huey","non-dropping-particle":"","parse-names":false,"suffix":""},{"dropping-particle":"","family":"Lee","given":"Wei-Chen","non-dropping-particle":"","parse-names":false,"suffix":""},{"dropping-particle":"","family":"Lin","given":"Christine","non-dropping-particle":"","parse-names":false,"suffix":""},{"dropping-particle":"","family":"Liu","given":"Xuefeng","non-dropping-particle":"","parse-names":false,"suffix":""},{"dropping-particle":"","family":"Lopukhov","given":"Platon D","non-dropping-particle":"","parse-names":false,"suffix":""},{"dropping-particle":"","family":"Lozano","given":"Rafael","non-dropping-particle":"","parse-names":false,"suffix":""},{"dropping-particle":"","family":"Machado","given":"Daiane Borges","non-dropping-particle":"","parse-names":false,"suffix":""},{"dropping-particle":"","family":"Madhava Kunjathur","given":"Shilpashree","non-dropping-particle":"","parse-names":false,"suffix":""},{"dropping-particle":"","family":"Madi","given":"Deepak","non-dropping-particle":"","parse-names":false,"suffix":""},{"dropping-particle":"","family":"Mahajan","given":"Preetam Bhalchandra","non-dropping-particle":"","parse-names":false,"suffix":""},{"dropping-particle":"","family":"Majeed","given":"Azeem","non-dropping-particle":"","parse-names":false,"suffix":""},{"dropping-particle":"","family":"Malik","given":"Ahmad Azam","non-dropping-particle":"","parse-names":false,"suffix":""},{"dropping-particle":"","family":"Martins-Melo","given":"Francisco Rogerlândio","non-dropping-particle":"","parse-names":false,"suffix":""},{"dropping-particle":"","family":"Mehta","given":"Saurabh","non-dropping-particle":"","parse-names":false,"suffix":""},{"dropping-particle":"","family":"Memish","given":"Ziad A","non-dropping-particle":"","parse-names":false,"suffix":""},{"dropping-particle":"","family":"Mendoza","given":"Walter","non-dropping-particle":"","parse-names":false,"suffix":""},{"dropping-particle":"","family":"Menezes","given":"Ritesh G","non-dropping-particle":"","parse-names":false,"suffix":""},{"dropping-particle":"","family":"Merie","given":"Hayimro Edemealem","non-dropping-particle":"","parse-names":false,"suffix":""},{"dropping-particle":"","family":"Mersha","given":"Amanual Getnet","non-dropping-particle":"","parse-names":false,"suffix":""},{"dropping-particle":"","family":"Mesregah","given":"Mohamed Kamal","non-dropping-particle":"","parse-names":false,"suffix":""},{"dropping-particle":"","family":"Mestrovic","given":"Tomislav","non-dropping-particle":"","parse-names":false,"suffix":""},{"dropping-particle":"","family":"Mheidly","given":"Nour Mheidly","non-dropping-particle":"","parse-names":false,"suffix":""},{"dropping-particle":"","family":"Misra","given":"Sanjeev","non-dropping-particle":"","parse-names":false,"suffix":""},{"dropping-particle":"","family":"Mithra","given":"Prasanna","non-dropping-particle":"","parse-names":false,"suffix":""},{"dropping-particle":"","family":"Moghadaszadeh","given":"Masoud","non-dropping-particle":"","parse-names":false,"suffix":""},{"dropping-particle":"","family":"Mohammadi","given":"Mokhtar","non-dropping-particle":"","parse-names":false,"suffix":""},{"dropping-particle":"","family":"Mohammadian-Hafshejani","given":"Abdollah","non-dropping-particle":"","parse-names":false,"suffix":""},{"dropping-particle":"","family":"Mohammed","given":"Shafiu","non-dropping-particle":"","parse-names":false,"suffix":""},{"dropping-particle":"","family":"Molokhia","given":"Mariam","non-dropping-particle":"","parse-names":false,"suffix":""},{"dropping-particle":"","family":"Moni","given":"Mohammad Ali","non-dropping-particle":"","parse-names":false,"suffix":""},{"dropping-particle":"Al","family":"Montasir","given":"Ahmed","non-dropping-particle":"","parse-names":false,"suffix":""},{"dropping-particle":"","family":"Moore","given":"Catrin E","non-dropping-particle":"","parse-names":false,"suffix":""},{"dropping-particle":"","family":"Nagarajan","given":"Ahamarshan Jayaraman","non-dropping-particle":"","parse-names":false,"suffix":""},{"dropping-particle":"","family":"Nair","given":"Sanjeev","non-dropping-particle":"","parse-names":false,"suffix":""},{"dropping-particle":"","family":"Nair","given":"Suma","non-dropping-particle":"","parse-names":false,"suffix":""},{"dropping-particle":"","family":"Naqvi","given":"Atta Abbas","non-dropping-particle":"","parse-names":false,"suffix":""},{"dropping-particle":"","family":"Narasimha Swamy","given":"Sreenivas","non-dropping-particle":"","parse-names":false,"suffix":""},{"dropping-particle":"","family":"Nayak","given":"Biswa Prakash","non-dropping-particle":"","parse-names":false,"suffix":""},{"dropping-particle":"","family":"Nazari","given":"Javad","non-dropping-particle":"","parse-names":false,"suffix":""},{"dropping-particle":"","family":"Neupane Kandel","given":"Sandhya","non-dropping-particle":"","parse-names":false,"suffix":""},{"dropping-particle":"","family":"Nguyen","given":"Trang Huyen","non-dropping-particle":"","parse-names":false,"suffix":""},{"dropping-particle":"","family":"Nixon","given":"Molly R","non-dropping-particle":"","parse-names":false,"suffix":""},{"dropping-particle":"","family":"Nnaji","given":"Chukwudi A","non-dropping-particle":"","parse-names":false,"suffix":""},{"dropping-particle":"","family":"Ntsekhe","given":"Mpiko","non-dropping-particle":"","parse-names":false,"suffix":""},{"dropping-particle":"","family":"Nuñez-Samudio","given":"Virginia","non-dropping-particle":"","parse-names":false,"suffix":""},{"dropping-particle":"","family":"Oancea","given":"Bogdan","non-dropping-particle":"","parse-names":false,"suffix":""},{"dropping-particle":"","family":"Odukoya","given":"Oluwakemi Ololade","non-dropping-particle":"","parse-names":false,"suffix":""},{"dropping-particle":"","family":"Olagunju","given":"Andrew T","non-dropping-particle":"","parse-names":false,"suffix":""},{"dropping-particle":"","family":"Oren","given":"Eyal","non-dropping-particle":"","parse-names":false,"suffix":""},{"dropping-particle":"","family":"P A","given":"Mahesh","non-dropping-particle":"","parse-names":false,"suffix":""},{"dropping-particle":"","family":"Parthasarathi","given":"Ramakrishnan","non-dropping-particle":"","parse-names":false,"suffix":""},{"dropping-particle":"","family":"Pashazadeh Kan","given":"Fatemeh","non-dropping-particle":"","parse-names":false,"suffix":""},{"dropping-particle":"","family":"Pattanshetty","given":"Sanjay M","non-dropping-particle":"","parse-names":false,"suffix":""},{"dropping-particle":"","family":"Paudel","given":"Rajan","non-dropping-particle":"","parse-names":false,"suffix":""},{"dropping-particle":"","family":"Paul","given":"Pintu","non-dropping-particle":"","parse-names":false,"suffix":""},{"dropping-particle":"","family":"Pawar","given":"Shrikant","non-dropping-particle":"","parse-names":false,"suffix":""},{"dropping-particle":"","family":"Pepito","given":"Veincent Christian Filipino","non-dropping-particle":"","parse-names":false,"suffix":""},{"dropping-particle":"","family":"Perico","given":"Norberto","non-dropping-particle":"","parse-names":false,"suffix":""},{"dropping-particle":"","family":"Pirestani","given":"Majid","non-dropping-particle":"","parse-names":false,"suffix":""},{"dropping-particle":"V","family":"Polibin","given":"Roman","non-dropping-particle":"","parse-names":false,"suffix":""},{"dropping-particle":"","family":"Postma","given":"Maarten J","non-dropping-particle":"","parse-names":false,"suffix":""},{"dropping-particle":"","family":"Pourshams","given":"Akram","non-dropping-particle":"","parse-names":false,"suffix":""},{"dropping-particle":"","family":"Prashant","given":"Akila","non-dropping-particle":"","parse-names":false,"suffix":""},{"dropping-particle":"","family":"Pribadi","given":"Dimas Ria Angga","non-dropping-particle":"","parse-names":false,"suffix":""},{"dropping-particle":"","family":"Radfar","given":"Amir","non-dropping-particle":"","parse-names":false,"suffix":""},{"dropping-particle":"","family":"Rafiei","given":"Alireza","non-dropping-particle":"","parse-names":false,"suffix":""},{"dropping-particle":"","family":"Rahim","given":"Fakher","non-dropping-particle":"","parse-names":false,"suffix":""},{"dropping-particle":"","family":"Rahimi-Movaghar","given":"Vafa","non-dropping-particle":"","parse-names":false,"suffix":""},{"dropping-particle":"","family":"Rahman","given":"Mahfuzar","non-dropping-particle":"","parse-names":false,"suffix":""},{"dropping-particle":"","family":"Rahman","given":"Mosiur","non-dropping-particle":"","parse-names":false,"suffix":""},{"dropping-particle":"","family":"Rahmani","given":"Amir Masoud","non-dropping-particle":"","parse-names":false,"suffix":""},{"dropping-particle":"","family":"Ranasinghe","given":"Priyanga","non-dropping-particle":"","parse-names":false,"suffix":""},{"dropping-particle":"","family":"Rao","given":"Chythra R","non-dropping-particle":"","parse-names":false,"suffix":""},{"dropping-particle":"","family":"Rawaf","given":"David Laith","non-dropping-particle":"","parse-names":false,"suffix":""},{"dropping-particle":"","family":"Rawaf","given":"Salman","non-dropping-particle":"","parse-names":false,"suffix":""},{"dropping-particle":"","family":"Reitsma","given":"Marissa B","non-dropping-particle":"","parse-names":false,"suffix":""},{"dropping-particle":"","family":"Remuzzi","given":"Giuseppe","non-dropping-particle":"","parse-names":false,"suffix":""},{"dropping-particle":"","family":"Renzaho","given":"Andre M N","non-dropping-particle":"","parse-names":false,"suffix":""},{"dropping-particle":"","family":"Reta","given":"Melese Abate","non-dropping-particle":"","parse-names":false,"suffix":""},{"dropping-particle":"","family":"Rezaei","given":"Nima","non-dropping-particle":"","parse-names":false,"suffix":""},{"dropping-particle":"","family":"Rezahosseini","given":"Omid","non-dropping-particle":"","parse-names":false,"suffix":""},{"dropping-particle":"","family":"Rezai","given":"Mohammad sadegh","non-dropping-particle":"","parse-names":false,"suffix":""},{"dropping-particle":"","family":"Rezapour","given":"Aziz","non-dropping-particle":"","parse-names":false,"suffix":""},{"dropping-particle":"","family":"Roshandel","given":"Gholamreza","non-dropping-particle":"","parse-names":false,"suffix":""},{"dropping-particle":"","family":"Roshchin","given":"Denis O","non-dropping-particle":"","parse-names":false,"suffix":""},{"dropping-particle":"","family":"Sabour","given":"Siamak","non-dropping-particle":"","parse-names":false,"suffix":""},{"dropping-particle":"","family":"Saif-Ur-Rahman","given":"KM","non-dropping-particle":"","parse-names":false,"suffix":""},{"dropping-particle":"","family":"Salam","given":"Nasir","non-dropping-particle":"","parse-names":false,"suffix":""},{"dropping-particle":"","family":"Samadi Kafil","given":"Hossein","non-dropping-particle":"","parse-names":false,"suffix":""},{"dropping-particle":"","family":"Samaei","given":"Mehrnoosh","non-dropping-particle":"","parse-names":false,"suffix":""},{"dropping-particle":"","family":"Samy","given":"Abdallah M","non-dropping-particle":"","parse-names":false,"suffix":""},{"dropping-particle":"","family":"Saroshe","given":"Satish","non-dropping-particle":"","parse-names":false,"suffix":""},{"dropping-particle":"","family":"Sartorius","given":"Benn","non-dropping-particle":"","parse-names":false,"suffix":""},{"dropping-particle":"","family":"Sathian","given":"Brijesh","non-dropping-particle":"","parse-names":false,"suffix":""},{"dropping-particle":"","family":"Sawyer","given":"Susan M","non-dropping-particle":"","parse-names":false,"suffix":""},{"dropping-particle":"","family":"Senthilkumaran","given":"Subramanian","non-dropping-particle":"","parse-names":false,"suffix":""},{"dropping-particle":"","family":"Seylani","given":"Allen","non-dropping-particle":"","parse-names":false,"suffix":""},{"dropping-particle":"","family":"Shafaat","given":"Omid","non-dropping-particle":"","parse-names":false,"suffix":""},{"dropping-particle":"","family":"Shaikh","given":"Masood Ali","non-dropping-particle":"","parse-names":false,"suffix":""},{"dropping-particle":"","family":"Sharafi","given":"Kiomars","non-dropping-particle":"","parse-names":false,"suffix":""},{"dropping-particle":"","family":"Shetty","given":"Ranjitha S","non-dropping-particle":"","parse-names":false,"suffix":""},{"dropping-particle":"","family":"Shigematsu","given":"Mika","non-dropping-particle":"","parse-names":false,"suffix":""},{"dropping-particle":"Il","family":"Shin","given":"Jae","non-dropping-particle":"","parse-names":false,"suffix":""},{"dropping-particle":"","family":"Silva","given":"João Pedro","non-dropping-particle":"","parse-names":false,"suffix":""},{"dropping-particle":"","family":"Singh","given":"Jitendra Kumar","non-dropping-particle":"","parse-names":false,"suffix":""},{"dropping-particle":"","family":"Sinha","given":"Smriti","non-dropping-particle":"","parse-names":false,"suffix":""},{"dropping-particle":"","family":"Skryabin","given":"Valentin Yurievich","non-dropping-particle":"","parse-names":false,"suffix":""},{"dropping-particle":"","family":"Skryabina","given":"Anna Aleksandrovna","non-dropping-particle":"","parse-names":false,"suffix":""},{"dropping-particle":"","family":"Spurlock","given":"Emma Elizabeth","non-dropping-particle":"","parse-names":false,"suffix":""},{"dropping-particle":"","family":"Sreeramareddy","given":"Chandrashekhar T","non-dropping-particle":"","parse-names":false,"suffix":""},{"dropping-particle":"","family":"Steiropoulos","given":"Paschalis","non-dropping-particle":"","parse-names":false,"suffix":""},{"dropping-particle":"","family":"Sufiyan","given":"Mu'awiyyah Babale","non-dropping-particle":"","parse-names":false,"suffix":""},{"dropping-particle":"","family":"Tabuchi","given":"Takahiro","non-dropping-particle":"","parse-names":false,"suffix":""},{"dropping-particle":"","family":"Tadesse","given":"Eyayou Girma","non-dropping-particle":"","parse-names":false,"suffix":""},{"dropping-particle":"","family":"Tamir","given":"Zemenu","non-dropping-particle":"","parse-names":false,"suffix":""},{"dropping-particle":"","family":"Tarkang","given":"Elvis Enowbeyang","non-dropping-particle":"","parse-names":false,"suffix":""},{"dropping-particle":"","family":"Tekalegn","given":"Yohannes","non-dropping-particle":"","parse-names":false,"suffix":""},{"dropping-particle":"","family":"Tesfay","given":"Fisaha Haile","non-dropping-particle":"","parse-names":false,"suffix":""},{"dropping-particle":"","family":"Tessema","given":"Belay","non-dropping-particle":"","parse-names":false,"suffix":""},{"dropping-particle":"","family":"Thapar","given":"Rekha","non-dropping-particle":"","parse-names":false,"suffix":""},{"dropping-particle":"","family":"Tleyjeh","given":"Imad I","non-dropping-particle":"","parse-names":false,"suffix":""},{"dropping-particle":"","family":"Tobe-Gai","given":"Ruoyan","non-dropping-particle":"","parse-names":false,"suffix":""},{"dropping-particle":"","family":"Tran","given":"Bach Xuan","non-dropping-particle":"","parse-names":false,"suffix":""},{"dropping-particle":"","family":"Tsegaye","given":"Berhan","non-dropping-particle":"","parse-names":false,"suffix":""},{"dropping-particle":"","family":"Tsegaye","given":"Gebiyaw Wudie","non-dropping-particle":"","parse-names":false,"suffix":""},{"dropping-particle":"","family":"Ullah","given":"Anayat","non-dropping-particle":"","parse-names":false,"suffix":""},{"dropping-particle":"","family":"Umeokonkwo","given":"Chukwuma David","non-dropping-particle":"","parse-names":false,"suffix":""},{"dropping-particle":"","family":"Valadan Tahbaz","given":"Sahel","non-dropping-particle":"","parse-names":false,"suffix":""},{"dropping-particle":"","family":"Vo","given":"Bay","non-dropping-particle":"","parse-names":false,"suffix":""},{"dropping-particle":"","family":"Vu","given":"Giang Thu","non-dropping-particle":"","parse-names":false,"suffix":""},{"dropping-particle":"","family":"Waheed","given":"Yasir","non-dropping-particle":"","parse-names":false,"suffix":""},{"dropping-particle":"","family":"Walters","given":"Magdalene K","non-dropping-particle":"","parse-names":false,"suffix":""},{"dropping-particle":"","family":"Whisnant","given":"Joanna L","non-dropping-particle":"","parse-names":false,"suffix":""},{"dropping-particle":"","family":"Woldekidan","given":"Mesfin Agachew","non-dropping-particle":"","parse-names":false,"suffix":""},{"dropping-particle":"","family":"Wubishet","given":"Befikadu Legesse","non-dropping-particle":"","parse-names":false,"suffix":""},{"dropping-particle":"","family":"Yahyazadeh Jabbari","given":"Seyed Hossein","non-dropping-particle":"","parse-names":false,"suffix":""},{"dropping-particle":"","family":"Yazie","given":"Taklo Simeneh Yazie","non-dropping-particle":"","parse-names":false,"suffix":""},{"dropping-particle":"","family":"Yeshaw","given":"Yigizie","non-dropping-particle":"","parse-names":false,"suffix":""},{"dropping-particle":"","family":"Yi","given":"Siyan","non-dropping-particle":"","parse-names":false,"suffix":""},{"dropping-particle":"","family":"Yiğit","given":"Vahit","non-dropping-particle":"","parse-names":false,"suffix":""},{"dropping-particle":"","family":"Yonemoto","given":"Naohiro","non-dropping-particle":"","parse-names":false,"suffix":""},{"dropping-particle":"","family":"Yu","given":"Chuanhua","non-dropping-particle":"","parse-names":false,"suffix":""},{"dropping-particle":"","family":"Yunusa","given":"Ismaeel","non-dropping-particle":"","parse-names":false,"suffix":""},{"dropping-particle":"","family":"Zastrozhin","given":"Mikhail Sergeevich","non-dropping-particle":"","parse-names":false,"suffix":""},{"dropping-particle":"","family":"Zastrozhina","given":"Anasthasia","non-dropping-particle":"","parse-names":false,"suffix":""},{"dropping-particle":"","family":"Zhang","given":"Zhi-Jiang","non-dropping-particle":"","parse-names":false,"suffix":""},{"dropping-particle":"","family":"Zumla","given":"Alimuddin","non-dropping-particle":"","parse-names":false,"suffix":""},{"dropping-particle":"","family":"Mokdad","given":"Ali H","non-dropping-particle":"","parse-names":false,"suffix":""},{"dropping-particle":"","family":"Salomon","given":"Joshua A","non-dropping-particle":"","parse-names":false,"suffix":""},{"dropping-particle":"","family":"Reiner Jr","given":"Robert C","non-dropping-particle":"","parse-names":false,"suffix":""},{"dropping-particle":"","family":"Lim","given":"Stephen S","non-dropping-particle":"","parse-names":false,"suffix":""},{"dropping-particle":"","family":"Naghavi","given":"Mohsen","non-dropping-particle":"","parse-names":false,"suffix":""},{"dropping-particle":"","family":"Vos","given":"Theo","non-dropping-particle":"","parse-names":false,"suffix":""},{"dropping-particle":"","family":"Hay","given":"Simon I","non-dropping-particle":"","parse-names":false,"suffix":""},{"dropping-particle":"","family":"Murray","given":"Christopher J L","non-dropping-particle":"","parse-names":false,"suffix":""},{"dropping-particle":"","family":"Kyu","given":"Hmwe Hmwe","non-dropping-particle":"","parse-names":false,"suffix":""}],"container-title":"The Lancet Infectious Diseases","id":"ITEM-1","issue":"21","issued":{"date-parts":[["2021"]]},"page":"1-20","title":"Global, regional, and national sex differences in the global burden of tuberculosis by HIV status, 1990–2019: results from the Global Burden of Disease Study 2019","type":"article-journal","volume":"3099"},"uris":["http://www.mendeley.com/documents/?uuid=c9821754-811b-47c0-83ed-a22596cd482c"]}],"mendeley":{"formattedCitation":"(134)","plainTextFormattedCitation":"(134)","previouslyFormattedCitation":"(134)"},"properties":{"noteIndex":0},"schema":"https://github.com/citation-style-language/schema/raw/master/csl-citation.json"}</w:instrText>
      </w:r>
      <w:r w:rsidRPr="00435469">
        <w:rPr>
          <w:sz w:val="20"/>
          <w:szCs w:val="20"/>
        </w:rPr>
        <w:fldChar w:fldCharType="separate"/>
      </w:r>
      <w:r w:rsidR="0016391D" w:rsidRPr="00435469">
        <w:rPr>
          <w:noProof/>
          <w:sz w:val="20"/>
          <w:szCs w:val="20"/>
        </w:rPr>
        <w:t>(134)</w:t>
      </w:r>
      <w:r w:rsidRPr="00435469">
        <w:rPr>
          <w:sz w:val="20"/>
          <w:szCs w:val="20"/>
        </w:rPr>
        <w:fldChar w:fldCharType="end"/>
      </w:r>
      <w:r w:rsidRPr="00435469">
        <w:rPr>
          <w:sz w:val="20"/>
          <w:szCs w:val="20"/>
          <w:lang w:val="en-GB"/>
        </w:rPr>
        <w:t xml:space="preserve">. </w:t>
      </w:r>
      <w:r w:rsidR="00217060" w:rsidRPr="00435469">
        <w:rPr>
          <w:sz w:val="20"/>
          <w:szCs w:val="20"/>
          <w:lang w:val="en-GB"/>
        </w:rPr>
        <w:t xml:space="preserve">Based on this, </w:t>
      </w:r>
      <w:r w:rsidRPr="00435469">
        <w:rPr>
          <w:sz w:val="20"/>
          <w:szCs w:val="20"/>
          <w:lang w:val="en-GB"/>
        </w:rPr>
        <w:t xml:space="preserve">they estimate the proportions of TB deaths </w:t>
      </w:r>
      <w:r w:rsidRPr="00435469">
        <w:rPr>
          <w:sz w:val="20"/>
          <w:szCs w:val="20"/>
          <w:lang w:val="en-ZA"/>
        </w:rPr>
        <w:t xml:space="preserve">attributable to HIV </w:t>
      </w:r>
      <w:r w:rsidRPr="00435469">
        <w:rPr>
          <w:sz w:val="20"/>
          <w:szCs w:val="20"/>
        </w:rPr>
        <w:fldChar w:fldCharType="begin" w:fldLock="1"/>
      </w:r>
      <w:r w:rsidR="00A142FF" w:rsidRPr="00435469">
        <w:rPr>
          <w:sz w:val="20"/>
          <w:szCs w:val="20"/>
        </w:rPr>
        <w:instrText>ADDIN CSL_CITATION {"citationItems":[{"id":"ITEM-1","itemData":{"DOI":"10.1016/s1473-3099(21)00449-7","ISSN":"14733099","abstract":"Background Tuberculosis is a major contributor to the global burden of disease, causing more than a million deaths annually. Given an emphasis on equity in access to diagnosis and treatment of tuberculosis in global health targets, evaluations of differences in tuberculosis burden by sex are crucial. We aimed to assess the levels and trends of the global burden of tuberculosis, with an emphasis on investigating differences in sex by HIV status for 204 countries and territories from 1990 to 2019.","author":[{"dropping-particle":"","family":"Ledesma","given":"Jorge R","non-dropping-particle":"","parse-names":false,"suffix":""},{"dropping-particle":"","family":"Ma","given":"Jianing","non-dropping-particle":"","parse-names":false,"suffix":""},{"dropping-particle":"","family":"Vongpradith","given":"Avina","non-dropping-particle":"","parse-names":false,"suffix":""},{"dropping-particle":"","family":"Maddison","given":"Emilie R","non-dropping-particle":"","parse-names":false,"suffix":""},{"dropping-particle":"","family":"Novotney","given":"Amanda","non-dropping-particle":"","parse-names":false,"suffix":""},{"dropping-particle":"","family":"Biehl","given":"Molly H","non-dropping-particle":"","parse-names":false,"suffix":""},{"dropping-particle":"","family":"LeGrand","given":"Kate E","non-dropping-particle":"","parse-names":false,"suffix":""},{"dropping-particle":"","family":"Ross","given":"Jennifer M","non-dropping-particle":"","parse-names":false,"suffix":""},{"dropping-particle":"","family":"Jahagirdar","given":"Deepa","non-dropping-particle":"","parse-names":false,"suffix":""},{"dropping-particle":"","family":"Bryazka","given":"Dana","non-dropping-particle":"","parse-names":false,"suffix":""},{"dropping-particle":"","family":"Feldman","given":"Rachel","non-dropping-particle":"","parse-names":false,"suffix":""},{"dropping-particle":"","family":"Abolhassani","given":"Hassan","non-dropping-particle":"","parse-names":false,"suffix":""},{"dropping-particle":"","family":"Abosetugn","given":"Akine Eshete","non-dropping-particle":"","parse-names":false,"suffix":""},{"dropping-particle":"","family":"Abu-Gharbieh","given":"Eman","non-dropping-particle":"","parse-names":false,"suffix":""},{"dropping-particle":"","family":"Adebayo","given":"Oladimeji M","non-dropping-particle":"","parse-names":false,"suffix":""},{"dropping-particle":"","family":"Adnani","given":"Qorinah Estiningtyas Sakilah","non-dropping-particle":"","parse-names":false,"suffix":""},{"dropping-particle":"","family":"Afzal","given":"Saira","non-dropping-particle":"","parse-names":false,"suffix":""},{"dropping-particle":"","family":"Ahinkorah","given":"Bright Opoku","non-dropping-particle":"","parse-names":false,"suffix":""},{"dropping-particle":"","family":"Ahmad","given":"Sajjad Ahmad","non-dropping-particle":"","parse-names":false,"suffix":""},{"dropping-particle":"","family":"Ahmadi","given":"Sepideh","non-dropping-particle":"","parse-names":false,"suffix":""},{"dropping-particle":"","family":"Ahmed Rashid","given":"Tarik","non-dropping-particle":"","parse-names":false,"suffix":""},{"dropping-particle":"","family":"Ahmed Salih","given":"Yusra","non-dropping-particle":"","parse-names":false,"suffix":""},{"dropping-particle":"","family":"Aklilu","given":"Addis","non-dropping-particle":"","parse-names":false,"suffix":""},{"dropping-particle":"","family":"Akunna","given":"Chisom Joyqueenet","non-dropping-particle":"","parse-names":false,"suffix":""},{"dropping-particle":"","family":"Hamad","given":"Hanadi","non-dropping-particle":"Al","parse-names":false,"suffix":""},{"dropping-particle":"","family":"Alahdab","given":"Fares","non-dropping-particle":"","parse-names":false,"suffix":""},{"dropping-particle":"","family":"Alemayehu","given":"Yosef","non-dropping-particle":"","parse-names":false,"suffix":""},{"dropping-particle":"","family":"Alene","given":"Kefyalew Addis","non-dropping-particle":"","parse-names":false,"suffix":""},{"dropping-particle":"","family":"Ali","given":"Beriwan Abdulqadir","non-dropping-particle":"","parse-names":false,"suffix":""},{"dropping-particle":"","family":"Ali","given":"Liaqat","non-dropping-particle":"","parse-names":false,"suffix":""},{"dropping-particle":"","family":"Alipour","given":"Vahid","non-dropping-particle":"","parse-names":false,"suffix":""},{"dropping-particle":"","family":"Alizade","given":"Hesam","non-dropping-particle":"","parse-names":false,"suffix":""},{"dropping-particle":"","family":"Al-Raddadi","given":"Rajaa M","non-dropping-particle":"","parse-names":false,"suffix":""},{"dropping-particle":"","family":"Alvis-Guzman","given":"Nelson","non-dropping-particle":"","parse-names":false,"suffix":""},{"dropping-particle":"","family":"Amini","given":"Saeed","non-dropping-particle":"","parse-names":false,"suffix":""},{"dropping-particle":"","family":"Amit","given":"Arianna Maever L","non-dropping-particle":"","parse-names":false,"suffix":""},{"dropping-particle":"","family":"Anderson","given":"Jason A","non-dropping-particle":"","parse-names":false,"suffix":""},{"dropping-particle":"","family":"Androudi","given":"Sofia","non-dropping-particle":"","parse-names":false,"suffix":""},{"dropping-particle":"","family":"Antonio","given":"Carl Abelardo T","non-dropping-particle":"","parse-names":false,"suffix":""},{"dropping-particle":"","family":"Antony","given":"Catherine M","non-dropping-particle":"","parse-names":false,"suffix":""},{"dropping-particle":"","family":"Anwer","given":"Razique","non-dropping-particle":"","parse-names":false,"suffix":""},{"dropping-particle":"","family":"Arabloo","given":"Jalal","non-dropping-particle":"","parse-names":false,"suffix":""},{"dropping-particle":"","family":"Arja","given":"Asrat","non-dropping-particle":"","parse-names":false,"suffix":""},{"dropping-particle":"","family":"Asemahagn","given":"Mulusew A","non-dropping-particle":"","parse-names":false,"suffix":""},{"dropping-particle":"","family":"Atre","given":"Sachin R","non-dropping-particle":"","parse-names":false,"suffix":""},{"dropping-particle":"","family":"Azhar","given":"Gulrez Shah","non-dropping-particle":"","parse-names":false,"suffix":""},{"dropping-particle":"","family":"B","given":"Darshan B","non-dropping-particle":"","parse-names":false,"suffix":""},{"dropping-particle":"","family":"Babar","given":"Zaheer-Ud-Din","non-dropping-particle":"","parse-names":false,"suffix":""},{"dropping-particle":"","family":"Baig","given":"Atif Amin","non-dropping-particle":"","parse-names":false,"suffix":""},{"dropping-particle":"","family":"Banach","given":"Maciej","non-dropping-particle":"","parse-names":false,"suffix":""},{"dropping-particle":"","family":"Barqawi","given":"Hiba Jawdat","non-dropping-particle":"","parse-names":false,"suffix":""},{"dropping-particle":"","family":"Barra","given":"Fabio","non-dropping-particle":"","parse-names":false,"suffix":""},{"dropping-particle":"","family":"Barrow","given":"Amadou","non-dropping-particle":"","parse-names":false,"suffix":""},{"dropping-particle":"","family":"Basu","given":"Sanjay","non-dropping-particle":"","parse-names":false,"suffix":""},{"dropping-particle":"","family":"Belgaumi","given":"Uzma Iqbal","non-dropping-particle":"","parse-names":false,"suffix":""},{"dropping-particle":"","family":"Bhagavathula","given":"Akshaya Srikanth","non-dropping-particle":"","parse-names":false,"suffix":""},{"dropping-particle":"","family":"Bhardwaj","given":"Nikha","non-dropping-particle":"","parse-names":false,"suffix":""},{"dropping-particle":"","family":"Bhardwaj","given":"Pankaj","non-dropping-particle":"","parse-names":false,"suffix":""},{"dropping-particle":"V","family":"Bhattacharjee","given":"Natalia","non-dropping-particle":"","parse-names":false,"suffix":""},{"dropping-particle":"","family":"Bhattacharyya","given":"Krittika","non-dropping-particle":"","parse-names":false,"suffix":""},{"dropping-particle":"","family":"Bijani","given":"Ali","non-dropping-particle":"","parse-names":false,"suffix":""},{"dropping-particle":"","family":"Bikbov","given":"Boris","non-dropping-particle":"","parse-names":false,"suffix":""},{"dropping-particle":"","family":"Boloor","given":"Archith","non-dropping-particle":"","parse-names":false,"suffix":""},{"dropping-particle":"","family":"Briko","given":"Nikolay Ivanovich","non-dropping-particle":"","parse-names":false,"suffix":""},{"dropping-particle":"","family":"Buonsenso","given":"Danilo","non-dropping-particle":"","parse-names":false,"suffix":""},{"dropping-particle":"","family":"Burugina Nagaraja","given":"Sharath","non-dropping-particle":"","parse-names":false,"suffix":""},{"dropping-particle":"","family":"Butt","given":"Zahid A","non-dropping-particle":"","parse-names":false,"suffix":""},{"dropping-particle":"","family":"Carter","given":"Austin","non-dropping-particle":"","parse-names":false,"suffix":""},{"dropping-particle":"","family":"Carvalho","given":"Felix","non-dropping-particle":"","parse-names":false,"suffix":""},{"dropping-particle":"","family":"Charan","given":"Jaykaran","non-dropping-particle":"","parse-names":false,"suffix":""},{"dropping-particle":"","family":"Chatterjee","given":"Souranshu","non-dropping-particle":"","parse-names":false,"suffix":""},{"dropping-particle":"","family":"Chattu","given":"Soosanna Kumary","non-dropping-particle":"","parse-names":false,"suffix":""},{"dropping-particle":"","family":"Chattu","given":"Vijay Kumar","non-dropping-particle":"","parse-names":false,"suffix":""},{"dropping-particle":"","family":"Christopher","given":"Devasahayam J","non-dropping-particle":"","parse-names":false,"suffix":""},{"dropping-particle":"","family":"Chu","given":"Dinh-Toi","non-dropping-particle":"","parse-names":false,"suffix":""},{"dropping-particle":"","family":"Claassens","given":"Mareli M","non-dropping-particle":"","parse-names":false,"suffix":""},{"dropping-particle":"","family":"Dadras","given":"Omid","non-dropping-particle":"","parse-names":false,"suffix":""},{"dropping-particle":"","family":"Dagnew","given":"Amare Belachew","non-dropping-particle":"","parse-names":false,"suffix":""},{"dropping-particle":"","family":"Dai","given":"Xiaochen","non-dropping-particle":"","parse-names":false,"suffix":""},{"dropping-particle":"","family":"Dandona","given":"Lalit","non-dropping-particle":"","parse-names":false,"suffix":""},{"dropping-particle":"","family":"Dandona","given":"Rakhi","non-dropping-particle":"","parse-names":false,"suffix":""},{"dropping-particle":"","family":"Daneshpajouhnejad","given":"Parnaz","non-dropping-particle":"","parse-names":false,"suffix":""},{"dropping-particle":"","family":"Darwesh","given":"Aso Mohammad","non-dropping-particle":"","parse-names":false,"suffix":""},{"dropping-particle":"","family":"Dhamnetiya","given":"Deepak","non-dropping-particle":"","parse-names":false,"suffix":""},{"dropping-particle":"","family":"Dianatinasab","given":"Mostafa","non-dropping-particle":"","parse-names":false,"suffix":""},{"dropping-particle":"","family":"Diaz","given":"Daniel","non-dropping-particle":"","parse-names":false,"suffix":""},{"dropping-particle":"","family":"Doan","given":"Linh Phuong","non-dropping-particle":"","parse-names":false,"suffix":""},{"dropping-particle":"","family":"Eftekharzadeh","given":"Sahar","non-dropping-particle":"","parse-names":false,"suffix":""},{"dropping-particle":"","family":"Elhadi","given":"Muhammed","non-dropping-particle":"","parse-names":false,"suffix":""},{"dropping-particle":"","family":"Emami","given":"Amir","non-dropping-particle":"","parse-names":false,"suffix":""},{"dropping-particle":"","family":"Enany","given":"Shymaa","non-dropping-particle":"","parse-names":false,"suffix":""},{"dropping-particle":"","family":"Faraon","given":"Emerito Jose A","non-dropping-particle":"","parse-names":false,"suffix":""},{"dropping-particle":"","family":"Farzadfar","given":"Farshad","non-dropping-particle":"","parse-names":false,"suffix":""},{"dropping-particle":"","family":"Fernandes","given":"Eduarda","non-dropping-particle":"","parse-names":false,"suffix":""},{"dropping-particle":"","family":"Ferro Desideri","given":"Lorenzo","non-dropping-particle":"","parse-names":false,"suffix":""},{"dropping-particle":"","family":"Filip","given":"Irina","non-dropping-particle":"","parse-names":false,"suffix":""},{"dropping-particle":"","family":"Fischer","given":"Florian","non-dropping-particle":"","parse-names":false,"suffix":""},{"dropping-particle":"","family":"Foroutan","given":"Masoud","non-dropping-particle":"","parse-names":false,"suffix":""},{"dropping-particle":"","family":"Frank","given":"Tahvi D","non-dropping-particle":"","parse-names":false,"suffix":""},{"dropping-particle":"","family":"Garcia-Basteiro","given":"Alberto L","non-dropping-particle":"","parse-names":false,"suffix":""},{"dropping-particle":"","family":"Garcia-Calavaro","given":"Christian","non-dropping-particle":"","parse-names":false,"suffix":""},{"dropping-particle":"","family":"Garg","given":"Tushar","non-dropping-particle":"","parse-names":false,"suffix":""},{"dropping-particle":"","family":"Geberemariyam","given":"Biniyam Sahiledengle","non-dropping-particle":"","parse-names":false,"suffix":""},{"dropping-particle":"","family":"Ghadiri","given":"Keyghobad","non-dropping-particle":"","parse-names":false,"suffix":""},{"dropping-particle":"","family":"Ghashghaee","given":"Ahmad","non-dropping-particle":"","parse-names":false,"suffix":""},{"dropping-particle":"","family":"Golechha","given":"Mahaveer","non-dropping-particle":"","parse-names":false,"suffix":""},{"dropping-particle":"","family":"Goodridge","given":"Amador","non-dropping-particle":"","parse-names":false,"suffix":""},{"dropping-particle":"","family":"Gupta","given":"Bhawna","non-dropping-particle":"","parse-names":false,"suffix":""},{"dropping-particle":"","family":"Gupta","given":"Sapna","non-dropping-particle":"","parse-names":false,"suffix":""},{"dropping-particle":"","family":"Gupta","given":"Veer Bala","non-dropping-particle":"","parse-names":false,"suffix":""},{"dropping-particle":"","family":"Gupta","given":"Vivek Kumar","non-dropping-particle":"","parse-names":false,"suffix":""},{"dropping-particle":"","family":"Haider","given":"Mohammad Rifat","non-dropping-particle":"","parse-names":false,"suffix":""},{"dropping-particle":"","family":"Hamidi","given":"Samer","non-dropping-particle":"","parse-names":false,"suffix":""},{"dropping-particle":"","family":"Hanif","given":"Asif","non-dropping-particle":"","parse-names":false,"suffix":""},{"dropping-particle":"","family":"Haque","given":"Shafiul","non-dropping-particle":"","parse-names":false,"suffix":""},{"dropping-particle":"","family":"Harapan","given":"Harapan","non-dropping-particle":"","parse-names":false,"suffix":""},{"dropping-particle":"","family":"Hargono","given":"Arief","non-dropping-particle":"","parse-names":false,"suffix":""},{"dropping-particle":"","family":"Hasaballah","given":"Ahmed I","non-dropping-particle":"","parse-names":false,"suffix":""},{"dropping-particle":"","family":"Hashi","given":"Abdiwahab","non-dropping-particle":"","parse-names":false,"suffix":""},{"dropping-particle":"","family":"Hassan","given":"Shoaib","non-dropping-particle":"","parse-names":false,"suffix":""},{"dropping-particle":"","family":"Hassankhani","given":"Hadi","non-dropping-particle":"","parse-names":false,"suffix":""},{"dropping-particle":"","family":"Hayat","given":"Khezar","non-dropping-particle":"","parse-names":false,"suffix":""},{"dropping-particle":"","family":"Hezam","given":"Kamal","non-dropping-particle":"","parse-names":false,"suffix":""},{"dropping-particle":"","family":"Holla","given":"Ramesh","non-dropping-particle":"","parse-names":false,"suffix":""},{"dropping-particle":"","family":"Hosseinzadeh","given":"Mehdi","non-dropping-particle":"","parse-names":false,"suffix":""},{"dropping-particle":"","family":"Hostiuc","given":"Mihaela","non-dropping-particle":"","parse-names":false,"suffix":""},{"dropping-particle":"","family":"Househ","given":"Mowafa","non-dropping-particle":"","parse-names":false,"suffix":""},{"dropping-particle":"","family":"Hussain","given":"Rabia","non-dropping-particle":"","parse-names":false,"suffix":""},{"dropping-particle":"","family":"Ibitoye","given":"Segun Emmanuel","non-dropping-particle":"","parse-names":false,"suffix":""},{"dropping-particle":"","family":"Ilic","given":"Irena M","non-dropping-particle":"","parse-names":false,"suffix":""},{"dropping-particle":"","family":"Ilic","given":"Milena D","non-dropping-particle":"","parse-names":false,"suffix":""},{"dropping-particle":"","family":"Irvani","given":"Seyed Sina Naghibi","non-dropping-particle":"","parse-names":false,"suffix":""},{"dropping-particle":"","family":"Ismail","given":"Nahlah Elkudssiah","non-dropping-particle":"","parse-names":false,"suffix":""},{"dropping-particle":"","family":"Itumalla","given":"Ramaiah","non-dropping-particle":"","parse-names":false,"suffix":""},{"dropping-particle":"","family":"Jaafari","given":"Jalil","non-dropping-particle":"","parse-names":false,"suffix":""},{"dropping-particle":"","family":"Jacobsen","given":"Kathryn H","non-dropping-particle":"","parse-names":false,"suffix":""},{"dropping-particle":"","family":"Jain","given":"Vardhmaan","non-dropping-particle":"","parse-names":false,"suffix":""},{"dropping-particle":"","family":"Javanmardi","given":"Fatemeh","non-dropping-particle":"","parse-names":false,"suffix":""},{"dropping-particle":"","family":"Jayapal","given":"Sathish Kumar","non-dropping-particle":"","parse-names":false,"suffix":""},{"dropping-particle":"","family":"Jayaram","given":"Shubha","non-dropping-particle":"","parse-names":false,"suffix":""},{"dropping-particle":"","family":"Jha","given":"Ravi Prakash","non-dropping-particle":"","parse-names":false,"suffix":""},{"dropping-particle":"","family":"Jonas","given":"Jost B","non-dropping-particle":"","parse-names":false,"suffix":""},{"dropping-particle":"","family":"Joseph","given":"Nitin","non-dropping-particle":"","parse-names":false,"suffix":""},{"dropping-particle":"","family":"Joukar","given":"Farahnaz","non-dropping-particle":"","parse-names":false,"suffix":""},{"dropping-particle":"","family":"Kabir","given":"Zubair","non-dropping-particle":"","parse-names":false,"suffix":""},{"dropping-particle":"","family":"Kamath","given":"Ashwin","non-dropping-particle":"","parse-names":false,"suffix":""},{"dropping-particle":"","family":"Kanchan","given":"Tanuj","non-dropping-particle":"","parse-names":false,"suffix":""},{"dropping-particle":"","family":"Kandel","given":"Himal","non-dropping-particle":"","parse-names":false,"suffix":""},{"dropping-particle":"","family":"Katoto","given":"Patrick DMC","non-dropping-particle":"","parse-names":false,"suffix":""},{"dropping-particle":"","family":"Kayode","given":"Gbenga A","non-dropping-particle":"","parse-names":false,"suffix":""},{"dropping-particle":"","family":"Kendrick","given":"Parkes J","non-dropping-particle":"","parse-names":false,"suffix":""},{"dropping-particle":"","family":"Kerbo","given":"Amene Abebe","non-dropping-particle":"","parse-names":false,"suffix":""},{"dropping-particle":"","family":"Khajuria","given":"Himanshu","non-dropping-particle":"","parse-names":false,"suffix":""},{"dropping-particle":"","family":"Khalilov","given":"Rovshan","non-dropping-particle":"","parse-names":false,"suffix":""},{"dropping-particle":"","family":"Khatab","given":"Khaled","non-dropping-particle":"","parse-names":false,"suffix":""},{"dropping-particle":"","family":"Khoja","given":"Abdullah T","non-dropping-particle":"","parse-names":false,"suffix":""},{"dropping-particle":"","family":"Khubchandani","given":"Jagdish","non-dropping-particle":"","parse-names":false,"suffix":""},{"dropping-particle":"","family":"Kim","given":"Min Seo","non-dropping-particle":"","parse-names":false,"suffix":""},{"dropping-particle":"","family":"Kim","given":"Yun Jin","non-dropping-particle":"","parse-names":false,"suffix":""},{"dropping-particle":"","family":"Kisa","given":"Adnan","non-dropping-particle":"","parse-names":false,"suffix":""},{"dropping-particle":"","family":"Kisa","given":"Sezer","non-dropping-particle":"","parse-names":false,"suffix":""},{"dropping-particle":"","family":"Kosen","given":"Soewarta","non-dropping-particle":"","parse-names":false,"suffix":""},{"dropping-particle":"","family":"Koul","given":"Parvaiz A","non-dropping-particle":"","parse-names":false,"suffix":""},{"dropping-particle":"","family":"Koulmane Laxminarayana","given":"Sindhura Lakshmi","non-dropping-particle":"","parse-names":false,"suffix":""},{"dropping-particle":"","family":"Koyanagi","given":"Ai","non-dropping-particle":"","parse-names":false,"suffix":""},{"dropping-particle":"","family":"Krishan","given":"Kewal","non-dropping-particle":"","parse-names":false,"suffix":""},{"dropping-particle":"","family":"Kucuk Bicer","given":"Burcu","non-dropping-particle":"","parse-names":false,"suffix":""},{"dropping-particle":"","family":"Kumar","given":"Avinash","non-dropping-particle":"","parse-names":false,"suffix":""},{"dropping-particle":"","family":"Kumar","given":"G Anil","non-dropping-particle":"","parse-names":false,"suffix":""},{"dropping-particle":"","family":"Kumar","given":"Narinder","non-dropping-particle":"","parse-names":false,"suffix":""},{"dropping-particle":"","family":"Kumar","given":"Nithin","non-dropping-particle":"","parse-names":false,"suffix":""},{"dropping-particle":"","family":"Kwarteng","given":"Alexander","non-dropping-particle":"","parse-names":false,"suffix":""},{"dropping-particle":"","family":"Lak","given":"Hassan Mehmood","non-dropping-particle":"","parse-names":false,"suffix":""},{"dropping-particle":"","family":"Lal","given":"Dharmesh Kumar","non-dropping-particle":"","parse-names":false,"suffix":""},{"dropping-particle":"","family":"Landires","given":"Iván","non-dropping-particle":"","parse-names":false,"suffix":""},{"dropping-particle":"","family":"Lasrado","given":"Savita","non-dropping-particle":"","parse-names":false,"suffix":""},{"dropping-particle":"","family":"Lee","given":"Shaun Wen Huey","non-dropping-particle":"","parse-names":false,"suffix":""},{"dropping-particle":"","family":"Lee","given":"Wei-Chen","non-dropping-particle":"","parse-names":false,"suffix":""},{"dropping-particle":"","family":"Lin","given":"Christine","non-dropping-particle":"","parse-names":false,"suffix":""},{"dropping-particle":"","family":"Liu","given":"Xuefeng","non-dropping-particle":"","parse-names":false,"suffix":""},{"dropping-particle":"","family":"Lopukhov","given":"Platon D","non-dropping-particle":"","parse-names":false,"suffix":""},{"dropping-particle":"","family":"Lozano","given":"Rafael","non-dropping-particle":"","parse-names":false,"suffix":""},{"dropping-particle":"","family":"Machado","given":"Daiane Borges","non-dropping-particle":"","parse-names":false,"suffix":""},{"dropping-particle":"","family":"Madhava Kunjathur","given":"Shilpashree","non-dropping-particle":"","parse-names":false,"suffix":""},{"dropping-particle":"","family":"Madi","given":"Deepak","non-dropping-particle":"","parse-names":false,"suffix":""},{"dropping-particle":"","family":"Mahajan","given":"Preetam Bhalchandra","non-dropping-particle":"","parse-names":false,"suffix":""},{"dropping-particle":"","family":"Majeed","given":"Azeem","non-dropping-particle":"","parse-names":false,"suffix":""},{"dropping-particle":"","family":"Malik","given":"Ahmad Azam","non-dropping-particle":"","parse-names":false,"suffix":""},{"dropping-particle":"","family":"Martins-Melo","given":"Francisco Rogerlândio","non-dropping-particle":"","parse-names":false,"suffix":""},{"dropping-particle":"","family":"Mehta","given":"Saurabh","non-dropping-particle":"","parse-names":false,"suffix":""},{"dropping-particle":"","family":"Memish","given":"Ziad A","non-dropping-particle":"","parse-names":false,"suffix":""},{"dropping-particle":"","family":"Mendoza","given":"Walter","non-dropping-particle":"","parse-names":false,"suffix":""},{"dropping-particle":"","family":"Menezes","given":"Ritesh G","non-dropping-particle":"","parse-names":false,"suffix":""},{"dropping-particle":"","family":"Merie","given":"Hayimro Edemealem","non-dropping-particle":"","parse-names":false,"suffix":""},{"dropping-particle":"","family":"Mersha","given":"Amanual Getnet","non-dropping-particle":"","parse-names":false,"suffix":""},{"dropping-particle":"","family":"Mesregah","given":"Mohamed Kamal","non-dropping-particle":"","parse-names":false,"suffix":""},{"dropping-particle":"","family":"Mestrovic","given":"Tomislav","non-dropping-particle":"","parse-names":false,"suffix":""},{"dropping-particle":"","family":"Mheidly","given":"Nour Mheidly","non-dropping-particle":"","parse-names":false,"suffix":""},{"dropping-particle":"","family":"Misra","given":"Sanjeev","non-dropping-particle":"","parse-names":false,"suffix":""},{"dropping-particle":"","family":"Mithra","given":"Prasanna","non-dropping-particle":"","parse-names":false,"suffix":""},{"dropping-particle":"","family":"Moghadaszadeh","given":"Masoud","non-dropping-particle":"","parse-names":false,"suffix":""},{"dropping-particle":"","family":"Mohammadi","given":"Mokhtar","non-dropping-particle":"","parse-names":false,"suffix":""},{"dropping-particle":"","family":"Mohammadian-Hafshejani","given":"Abdollah","non-dropping-particle":"","parse-names":false,"suffix":""},{"dropping-particle":"","family":"Mohammed","given":"Shafiu","non-dropping-particle":"","parse-names":false,"suffix":""},{"dropping-particle":"","family":"Molokhia","given":"Mariam","non-dropping-particle":"","parse-names":false,"suffix":""},{"dropping-particle":"","family":"Moni","given":"Mohammad Ali","non-dropping-particle":"","parse-names":false,"suffix":""},{"dropping-particle":"Al","family":"Montasir","given":"Ahmed","non-dropping-particle":"","parse-names":false,"suffix":""},{"dropping-particle":"","family":"Moore","given":"Catrin E","non-dropping-particle":"","parse-names":false,"suffix":""},{"dropping-particle":"","family":"Nagarajan","given":"Ahamarshan Jayaraman","non-dropping-particle":"","parse-names":false,"suffix":""},{"dropping-particle":"","family":"Nair","given":"Sanjeev","non-dropping-particle":"","parse-names":false,"suffix":""},{"dropping-particle":"","family":"Nair","given":"Suma","non-dropping-particle":"","parse-names":false,"suffix":""},{"dropping-particle":"","family":"Naqvi","given":"Atta Abbas","non-dropping-particle":"","parse-names":false,"suffix":""},{"dropping-particle":"","family":"Narasimha Swamy","given":"Sreenivas","non-dropping-particle":"","parse-names":false,"suffix":""},{"dropping-particle":"","family":"Nayak","given":"Biswa Prakash","non-dropping-particle":"","parse-names":false,"suffix":""},{"dropping-particle":"","family":"Nazari","given":"Javad","non-dropping-particle":"","parse-names":false,"suffix":""},{"dropping-particle":"","family":"Neupane Kandel","given":"Sandhya","non-dropping-particle":"","parse-names":false,"suffix":""},{"dropping-particle":"","family":"Nguyen","given":"Trang Huyen","non-dropping-particle":"","parse-names":false,"suffix":""},{"dropping-particle":"","family":"Nixon","given":"Molly R","non-dropping-particle":"","parse-names":false,"suffix":""},{"dropping-particle":"","family":"Nnaji","given":"Chukwudi A","non-dropping-particle":"","parse-names":false,"suffix":""},{"dropping-particle":"","family":"Ntsekhe","given":"Mpiko","non-dropping-particle":"","parse-names":false,"suffix":""},{"dropping-particle":"","family":"Nuñez-Samudio","given":"Virginia","non-dropping-particle":"","parse-names":false,"suffix":""},{"dropping-particle":"","family":"Oancea","given":"Bogdan","non-dropping-particle":"","parse-names":false,"suffix":""},{"dropping-particle":"","family":"Odukoya","given":"Oluwakemi Ololade","non-dropping-particle":"","parse-names":false,"suffix":""},{"dropping-particle":"","family":"Olagunju","given":"Andrew T","non-dropping-particle":"","parse-names":false,"suffix":""},{"dropping-particle":"","family":"Oren","given":"Eyal","non-dropping-particle":"","parse-names":false,"suffix":""},{"dropping-particle":"","family":"P A","given":"Mahesh","non-dropping-particle":"","parse-names":false,"suffix":""},{"dropping-particle":"","family":"Parthasarathi","given":"Ramakrishnan","non-dropping-particle":"","parse-names":false,"suffix":""},{"dropping-particle":"","family":"Pashazadeh Kan","given":"Fatemeh","non-dropping-particle":"","parse-names":false,"suffix":""},{"dropping-particle":"","family":"Pattanshetty","given":"Sanjay M","non-dropping-particle":"","parse-names":false,"suffix":""},{"dropping-particle":"","family":"Paudel","given":"Rajan","non-dropping-particle":"","parse-names":false,"suffix":""},{"dropping-particle":"","family":"Paul","given":"Pintu","non-dropping-particle":"","parse-names":false,"suffix":""},{"dropping-particle":"","family":"Pawar","given":"Shrikant","non-dropping-particle":"","parse-names":false,"suffix":""},{"dropping-particle":"","family":"Pepito","given":"Veincent Christian Filipino","non-dropping-particle":"","parse-names":false,"suffix":""},{"dropping-particle":"","family":"Perico","given":"Norberto","non-dropping-particle":"","parse-names":false,"suffix":""},{"dropping-particle":"","family":"Pirestani","given":"Majid","non-dropping-particle":"","parse-names":false,"suffix":""},{"dropping-particle":"V","family":"Polibin","given":"Roman","non-dropping-particle":"","parse-names":false,"suffix":""},{"dropping-particle":"","family":"Postma","given":"Maarten J","non-dropping-particle":"","parse-names":false,"suffix":""},{"dropping-particle":"","family":"Pourshams","given":"Akram","non-dropping-particle":"","parse-names":false,"suffix":""},{"dropping-particle":"","family":"Prashant","given":"Akila","non-dropping-particle":"","parse-names":false,"suffix":""},{"dropping-particle":"","family":"Pribadi","given":"Dimas Ria Angga","non-dropping-particle":"","parse-names":false,"suffix":""},{"dropping-particle":"","family":"Radfar","given":"Amir","non-dropping-particle":"","parse-names":false,"suffix":""},{"dropping-particle":"","family":"Rafiei","given":"Alireza","non-dropping-particle":"","parse-names":false,"suffix":""},{"dropping-particle":"","family":"Rahim","given":"Fakher","non-dropping-particle":"","parse-names":false,"suffix":""},{"dropping-particle":"","family":"Rahimi-Movaghar","given":"Vafa","non-dropping-particle":"","parse-names":false,"suffix":""},{"dropping-particle":"","family":"Rahman","given":"Mahfuzar","non-dropping-particle":"","parse-names":false,"suffix":""},{"dropping-particle":"","family":"Rahman","given":"Mosiur","non-dropping-particle":"","parse-names":false,"suffix":""},{"dropping-particle":"","family":"Rahmani","given":"Amir Masoud","non-dropping-particle":"","parse-names":false,"suffix":""},{"dropping-particle":"","family":"Ranasinghe","given":"Priyanga","non-dropping-particle":"","parse-names":false,"suffix":""},{"dropping-particle":"","family":"Rao","given":"Chythra R","non-dropping-particle":"","parse-names":false,"suffix":""},{"dropping-particle":"","family":"Rawaf","given":"David Laith","non-dropping-particle":"","parse-names":false,"suffix":""},{"dropping-particle":"","family":"Rawaf","given":"Salman","non-dropping-particle":"","parse-names":false,"suffix":""},{"dropping-particle":"","family":"Reitsma","given":"Marissa B","non-dropping-particle":"","parse-names":false,"suffix":""},{"dropping-particle":"","family":"Remuzzi","given":"Giuseppe","non-dropping-particle":"","parse-names":false,"suffix":""},{"dropping-particle":"","family":"Renzaho","given":"Andre M N","non-dropping-particle":"","parse-names":false,"suffix":""},{"dropping-particle":"","family":"Reta","given":"Melese Abate","non-dropping-particle":"","parse-names":false,"suffix":""},{"dropping-particle":"","family":"Rezaei","given":"Nima","non-dropping-particle":"","parse-names":false,"suffix":""},{"dropping-particle":"","family":"Rezahosseini","given":"Omid","non-dropping-particle":"","parse-names":false,"suffix":""},{"dropping-particle":"","family":"Rezai","given":"Mohammad sadegh","non-dropping-particle":"","parse-names":false,"suffix":""},{"dropping-particle":"","family":"Rezapour","given":"Aziz","non-dropping-particle":"","parse-names":false,"suffix":""},{"dropping-particle":"","family":"Roshandel","given":"Gholamreza","non-dropping-particle":"","parse-names":false,"suffix":""},{"dropping-particle":"","family":"Roshchin","given":"Denis O","non-dropping-particle":"","parse-names":false,"suffix":""},{"dropping-particle":"","family":"Sabour","given":"Siamak","non-dropping-particle":"","parse-names":false,"suffix":""},{"dropping-particle":"","family":"Saif-Ur-Rahman","given":"KM","non-dropping-particle":"","parse-names":false,"suffix":""},{"dropping-particle":"","family":"Salam","given":"Nasir","non-dropping-particle":"","parse-names":false,"suffix":""},{"dropping-particle":"","family":"Samadi Kafil","given":"Hossein","non-dropping-particle":"","parse-names":false,"suffix":""},{"dropping-particle":"","family":"Samaei","given":"Mehrnoosh","non-dropping-particle":"","parse-names":false,"suffix":""},{"dropping-particle":"","family":"Samy","given":"Abdallah M","non-dropping-particle":"","parse-names":false,"suffix":""},{"dropping-particle":"","family":"Saroshe","given":"Satish","non-dropping-particle":"","parse-names":false,"suffix":""},{"dropping-particle":"","family":"Sartorius","given":"Benn","non-dropping-particle":"","parse-names":false,"suffix":""},{"dropping-particle":"","family":"Sathian","given":"Brijesh","non-dropping-particle":"","parse-names":false,"suffix":""},{"dropping-particle":"","family":"Sawyer","given":"Susan M","non-dropping-particle":"","parse-names":false,"suffix":""},{"dropping-particle":"","family":"Senthilkumaran","given":"Subramanian","non-dropping-particle":"","parse-names":false,"suffix":""},{"dropping-particle":"","family":"Seylani","given":"Allen","non-dropping-particle":"","parse-names":false,"suffix":""},{"dropping-particle":"","family":"Shafaat","given":"Omid","non-dropping-particle":"","parse-names":false,"suffix":""},{"dropping-particle":"","family":"Shaikh","given":"Masood Ali","non-dropping-particle":"","parse-names":false,"suffix":""},{"dropping-particle":"","family":"Sharafi","given":"Kiomars","non-dropping-particle":"","parse-names":false,"suffix":""},{"dropping-particle":"","family":"Shetty","given":"Ranjitha S","non-dropping-particle":"","parse-names":false,"suffix":""},{"dropping-particle":"","family":"Shigematsu","given":"Mika","non-dropping-particle":"","parse-names":false,"suffix":""},{"dropping-particle":"Il","family":"Shin","given":"Jae","non-dropping-particle":"","parse-names":false,"suffix":""},{"dropping-particle":"","family":"Silva","given":"João Pedro","non-dropping-particle":"","parse-names":false,"suffix":""},{"dropping-particle":"","family":"Singh","given":"Jitendra Kumar","non-dropping-particle":"","parse-names":false,"suffix":""},{"dropping-particle":"","family":"Sinha","given":"Smriti","non-dropping-particle":"","parse-names":false,"suffix":""},{"dropping-particle":"","family":"Skryabin","given":"Valentin Yurievich","non-dropping-particle":"","parse-names":false,"suffix":""},{"dropping-particle":"","family":"Skryabina","given":"Anna Aleksandrovna","non-dropping-particle":"","parse-names":false,"suffix":""},{"dropping-particle":"","family":"Spurlock","given":"Emma Elizabeth","non-dropping-particle":"","parse-names":false,"suffix":""},{"dropping-particle":"","family":"Sreeramareddy","given":"Chandrashekhar T","non-dropping-particle":"","parse-names":false,"suffix":""},{"dropping-particle":"","family":"Steiropoulos","given":"Paschalis","non-dropping-particle":"","parse-names":false,"suffix":""},{"dropping-particle":"","family":"Sufiyan","given":"Mu'awiyyah Babale","non-dropping-particle":"","parse-names":false,"suffix":""},{"dropping-particle":"","family":"Tabuchi","given":"Takahiro","non-dropping-particle":"","parse-names":false,"suffix":""},{"dropping-particle":"","family":"Tadesse","given":"Eyayou Girma","non-dropping-particle":"","parse-names":false,"suffix":""},{"dropping-particle":"","family":"Tamir","given":"Zemenu","non-dropping-particle":"","parse-names":false,"suffix":""},{"dropping-particle":"","family":"Tarkang","given":"Elvis Enowbeyang","non-dropping-particle":"","parse-names":false,"suffix":""},{"dropping-particle":"","family":"Tekalegn","given":"Yohannes","non-dropping-particle":"","parse-names":false,"suffix":""},{"dropping-particle":"","family":"Tesfay","given":"Fisaha Haile","non-dropping-particle":"","parse-names":false,"suffix":""},{"dropping-particle":"","family":"Tessema","given":"Belay","non-dropping-particle":"","parse-names":false,"suffix":""},{"dropping-particle":"","family":"Thapar","given":"Rekha","non-dropping-particle":"","parse-names":false,"suffix":""},{"dropping-particle":"","family":"Tleyjeh","given":"Imad I","non-dropping-particle":"","parse-names":false,"suffix":""},{"dropping-particle":"","family":"Tobe-Gai","given":"Ruoyan","non-dropping-particle":"","parse-names":false,"suffix":""},{"dropping-particle":"","family":"Tran","given":"Bach Xuan","non-dropping-particle":"","parse-names":false,"suffix":""},{"dropping-particle":"","family":"Tsegaye","given":"Berhan","non-dropping-particle":"","parse-names":false,"suffix":""},{"dropping-particle":"","family":"Tsegaye","given":"Gebiyaw Wudie","non-dropping-particle":"","parse-names":false,"suffix":""},{"dropping-particle":"","family":"Ullah","given":"Anayat","non-dropping-particle":"","parse-names":false,"suffix":""},{"dropping-particle":"","family":"Umeokonkwo","given":"Chukwuma David","non-dropping-particle":"","parse-names":false,"suffix":""},{"dropping-particle":"","family":"Valadan Tahbaz","given":"Sahel","non-dropping-particle":"","parse-names":false,"suffix":""},{"dropping-particle":"","family":"Vo","given":"Bay","non-dropping-particle":"","parse-names":false,"suffix":""},{"dropping-particle":"","family":"Vu","given":"Giang Thu","non-dropping-particle":"","parse-names":false,"suffix":""},{"dropping-particle":"","family":"Waheed","given":"Yasir","non-dropping-particle":"","parse-names":false,"suffix":""},{"dropping-particle":"","family":"Walters","given":"Magdalene K","non-dropping-particle":"","parse-names":false,"suffix":""},{"dropping-particle":"","family":"Whisnant","given":"Joanna L","non-dropping-particle":"","parse-names":false,"suffix":""},{"dropping-particle":"","family":"Woldekidan","given":"Mesfin Agachew","non-dropping-particle":"","parse-names":false,"suffix":""},{"dropping-particle":"","family":"Wubishet","given":"Befikadu Legesse","non-dropping-particle":"","parse-names":false,"suffix":""},{"dropping-particle":"","family":"Yahyazadeh Jabbari","given":"Seyed Hossein","non-dropping-particle":"","parse-names":false,"suffix":""},{"dropping-particle":"","family":"Yazie","given":"Taklo Simeneh Yazie","non-dropping-particle":"","parse-names":false,"suffix":""},{"dropping-particle":"","family":"Yeshaw","given":"Yigizie","non-dropping-particle":"","parse-names":false,"suffix":""},{"dropping-particle":"","family":"Yi","given":"Siyan","non-dropping-particle":"","parse-names":false,"suffix":""},{"dropping-particle":"","family":"Yiğit","given":"Vahit","non-dropping-particle":"","parse-names":false,"suffix":""},{"dropping-particle":"","family":"Yonemoto","given":"Naohiro","non-dropping-particle":"","parse-names":false,"suffix":""},{"dropping-particle":"","family":"Yu","given":"Chuanhua","non-dropping-particle":"","parse-names":false,"suffix":""},{"dropping-particle":"","family":"Yunusa","given":"Ismaeel","non-dropping-particle":"","parse-names":false,"suffix":""},{"dropping-particle":"","family":"Zastrozhin","given":"Mikhail Sergeevich","non-dropping-particle":"","parse-names":false,"suffix":""},{"dropping-particle":"","family":"Zastrozhina","given":"Anasthasia","non-dropping-particle":"","parse-names":false,"suffix":""},{"dropping-particle":"","family":"Zhang","given":"Zhi-Jiang","non-dropping-particle":"","parse-names":false,"suffix":""},{"dropping-particle":"","family":"Zumla","given":"Alimuddin","non-dropping-particle":"","parse-names":false,"suffix":""},{"dropping-particle":"","family":"Mokdad","given":"Ali H","non-dropping-particle":"","parse-names":false,"suffix":""},{"dropping-particle":"","family":"Salomon","given":"Joshua A","non-dropping-particle":"","parse-names":false,"suffix":""},{"dropping-particle":"","family":"Reiner Jr","given":"Robert C","non-dropping-particle":"","parse-names":false,"suffix":""},{"dropping-particle":"","family":"Lim","given":"Stephen S","non-dropping-particle":"","parse-names":false,"suffix":""},{"dropping-particle":"","family":"Naghavi","given":"Mohsen","non-dropping-particle":"","parse-names":false,"suffix":""},{"dropping-particle":"","family":"Vos","given":"Theo","non-dropping-particle":"","parse-names":false,"suffix":""},{"dropping-particle":"","family":"Hay","given":"Simon I","non-dropping-particle":"","parse-names":false,"suffix":""},{"dropping-particle":"","family":"Murray","given":"Christopher J L","non-dropping-particle":"","parse-names":false,"suffix":""},{"dropping-particle":"","family":"Kyu","given":"Hmwe Hmwe","non-dropping-particle":"","parse-names":false,"suffix":""}],"container-title":"The Lancet Infectious Diseases","id":"ITEM-1","issue":"21","issued":{"date-parts":[["2021"]]},"page":"1-20","title":"Global, regional, and national sex differences in the global burden of tuberculosis by HIV status, 1990–2019: results from the Global Burden of Disease Study 2019","type":"article-journal","volume":"3099"},"uris":["http://www.mendeley.com/documents/?uuid=c9821754-811b-47c0-83ed-a22596cd482c"]}],"mendeley":{"formattedCitation":"(134)","plainTextFormattedCitation":"(134)","previouslyFormattedCitation":"(134)"},"properties":{"noteIndex":0},"schema":"https://github.com/citation-style-language/schema/raw/master/csl-citation.json"}</w:instrText>
      </w:r>
      <w:r w:rsidRPr="00435469">
        <w:rPr>
          <w:sz w:val="20"/>
          <w:szCs w:val="20"/>
        </w:rPr>
        <w:fldChar w:fldCharType="separate"/>
      </w:r>
      <w:r w:rsidR="0016391D" w:rsidRPr="00435469">
        <w:rPr>
          <w:noProof/>
          <w:sz w:val="20"/>
          <w:szCs w:val="20"/>
        </w:rPr>
        <w:t>(134)</w:t>
      </w:r>
      <w:r w:rsidRPr="00435469">
        <w:rPr>
          <w:sz w:val="20"/>
          <w:szCs w:val="20"/>
        </w:rPr>
        <w:fldChar w:fldCharType="end"/>
      </w:r>
      <w:r w:rsidRPr="00435469">
        <w:rPr>
          <w:sz w:val="20"/>
          <w:szCs w:val="20"/>
          <w:lang w:val="en-ZA"/>
        </w:rPr>
        <w:t xml:space="preserve">. </w:t>
      </w:r>
    </w:p>
    <w:p w14:paraId="5F5E4AC7" w14:textId="403D6CA2" w:rsidR="00EA5ACF" w:rsidRPr="00435469" w:rsidRDefault="000B115F" w:rsidP="00D82A4B">
      <w:pPr>
        <w:pStyle w:val="1Para"/>
        <w:spacing w:line="240" w:lineRule="auto"/>
        <w:ind w:firstLine="0"/>
        <w:rPr>
          <w:rFonts w:cs="Times New Roman"/>
          <w:sz w:val="20"/>
          <w:szCs w:val="20"/>
          <w:lang w:val="en-ZA"/>
        </w:rPr>
      </w:pPr>
      <w:r w:rsidRPr="00435469">
        <w:rPr>
          <w:sz w:val="20"/>
          <w:szCs w:val="20"/>
          <w:lang w:val="en-ZA"/>
        </w:rPr>
        <w:t>To further understand what influences the</w:t>
      </w:r>
      <w:r w:rsidR="00E37309" w:rsidRPr="00435469">
        <w:rPr>
          <w:sz w:val="20"/>
          <w:szCs w:val="20"/>
          <w:lang w:val="en-ZA"/>
        </w:rPr>
        <w:t xml:space="preserve"> </w:t>
      </w:r>
      <w:r w:rsidRPr="00435469">
        <w:rPr>
          <w:sz w:val="20"/>
          <w:szCs w:val="20"/>
          <w:lang w:val="en-ZA"/>
        </w:rPr>
        <w:t>differences</w:t>
      </w:r>
      <w:r w:rsidR="00E37309" w:rsidRPr="00435469">
        <w:rPr>
          <w:sz w:val="20"/>
          <w:szCs w:val="20"/>
          <w:lang w:val="en-ZA"/>
        </w:rPr>
        <w:t xml:space="preserve"> between these models, a systematic </w:t>
      </w:r>
      <w:r w:rsidR="008B6A00" w:rsidRPr="00435469">
        <w:rPr>
          <w:sz w:val="20"/>
          <w:szCs w:val="20"/>
          <w:lang w:val="en-ZA"/>
        </w:rPr>
        <w:t xml:space="preserve">analysis involving </w:t>
      </w:r>
      <w:r w:rsidR="001434CC" w:rsidRPr="00435469">
        <w:rPr>
          <w:sz w:val="20"/>
          <w:szCs w:val="20"/>
          <w:lang w:val="en-ZA"/>
        </w:rPr>
        <w:t>a comparison of the methods</w:t>
      </w:r>
      <w:r w:rsidR="00217060" w:rsidRPr="00435469">
        <w:rPr>
          <w:sz w:val="20"/>
          <w:szCs w:val="20"/>
          <w:lang w:val="en-ZA"/>
        </w:rPr>
        <w:t xml:space="preserve"> and</w:t>
      </w:r>
      <w:r w:rsidR="007A538E" w:rsidRPr="00435469">
        <w:rPr>
          <w:sz w:val="20"/>
          <w:szCs w:val="20"/>
          <w:lang w:val="en-ZA"/>
        </w:rPr>
        <w:t xml:space="preserve"> data sources would be </w:t>
      </w:r>
      <w:r w:rsidR="00497794" w:rsidRPr="00435469">
        <w:rPr>
          <w:sz w:val="20"/>
          <w:szCs w:val="20"/>
          <w:lang w:val="en-ZA"/>
        </w:rPr>
        <w:t>required</w:t>
      </w:r>
      <w:r w:rsidR="00F50834" w:rsidRPr="00435469">
        <w:rPr>
          <w:sz w:val="20"/>
          <w:szCs w:val="20"/>
          <w:lang w:val="en-ZA"/>
        </w:rPr>
        <w:t xml:space="preserve">. </w:t>
      </w:r>
      <w:proofErr w:type="spellStart"/>
      <w:r w:rsidR="00F50834" w:rsidRPr="00435469">
        <w:rPr>
          <w:sz w:val="20"/>
          <w:szCs w:val="20"/>
          <w:lang w:val="en-ZA"/>
        </w:rPr>
        <w:t>Garcıa-Basteiro</w:t>
      </w:r>
      <w:proofErr w:type="spellEnd"/>
      <w:r w:rsidR="00F50834" w:rsidRPr="00435469">
        <w:rPr>
          <w:sz w:val="20"/>
          <w:szCs w:val="20"/>
          <w:lang w:val="en-ZA"/>
        </w:rPr>
        <w:t xml:space="preserve"> </w:t>
      </w:r>
      <w:r w:rsidR="00F50834" w:rsidRPr="00435469">
        <w:rPr>
          <w:i/>
          <w:iCs/>
          <w:sz w:val="20"/>
          <w:szCs w:val="20"/>
          <w:lang w:val="en-ZA"/>
        </w:rPr>
        <w:t>et al</w:t>
      </w:r>
      <w:r w:rsidR="008F113A" w:rsidRPr="00435469">
        <w:rPr>
          <w:sz w:val="20"/>
          <w:szCs w:val="20"/>
          <w:lang w:val="en-ZA"/>
        </w:rPr>
        <w:t xml:space="preserve">, performed </w:t>
      </w:r>
      <w:r w:rsidR="004F7D47" w:rsidRPr="00435469">
        <w:rPr>
          <w:sz w:val="20"/>
          <w:szCs w:val="20"/>
          <w:lang w:val="en-ZA"/>
        </w:rPr>
        <w:t xml:space="preserve">an </w:t>
      </w:r>
      <w:r w:rsidR="008F113A" w:rsidRPr="00435469">
        <w:rPr>
          <w:sz w:val="20"/>
          <w:szCs w:val="20"/>
          <w:lang w:val="en-ZA"/>
        </w:rPr>
        <w:t>a</w:t>
      </w:r>
      <w:r w:rsidR="00E635FC" w:rsidRPr="00435469">
        <w:rPr>
          <w:sz w:val="20"/>
          <w:szCs w:val="20"/>
          <w:lang w:val="en-ZA"/>
        </w:rPr>
        <w:t>na</w:t>
      </w:r>
      <w:r w:rsidR="007A5FB9" w:rsidRPr="00435469">
        <w:rPr>
          <w:sz w:val="20"/>
          <w:szCs w:val="20"/>
          <w:lang w:val="en-ZA"/>
        </w:rPr>
        <w:t>lysis</w:t>
      </w:r>
      <w:r w:rsidR="008F113A" w:rsidRPr="00435469">
        <w:rPr>
          <w:sz w:val="20"/>
          <w:szCs w:val="20"/>
          <w:lang w:val="en-ZA"/>
        </w:rPr>
        <w:t xml:space="preserve"> which </w:t>
      </w:r>
      <w:r w:rsidR="006D3675" w:rsidRPr="00435469">
        <w:rPr>
          <w:sz w:val="20"/>
          <w:szCs w:val="20"/>
          <w:lang w:val="en-ZA"/>
        </w:rPr>
        <w:t>compared the 2015 TB mortality estimates produced by the WHO and IHME</w:t>
      </w:r>
      <w:r w:rsidR="00CD6851" w:rsidRPr="00435469">
        <w:rPr>
          <w:sz w:val="20"/>
          <w:szCs w:val="20"/>
          <w:lang w:val="en-ZA"/>
        </w:rPr>
        <w:t>,</w:t>
      </w:r>
      <w:r w:rsidR="006D3675" w:rsidRPr="00435469">
        <w:rPr>
          <w:sz w:val="20"/>
          <w:szCs w:val="20"/>
          <w:lang w:val="en-ZA"/>
        </w:rPr>
        <w:t xml:space="preserve"> and explored the factors </w:t>
      </w:r>
      <w:r w:rsidR="00CD6851" w:rsidRPr="00435469">
        <w:rPr>
          <w:sz w:val="20"/>
          <w:szCs w:val="20"/>
          <w:lang w:val="en-ZA"/>
        </w:rPr>
        <w:t>that</w:t>
      </w:r>
      <w:r w:rsidR="006D3675" w:rsidRPr="00435469">
        <w:rPr>
          <w:sz w:val="20"/>
          <w:szCs w:val="20"/>
          <w:lang w:val="en-ZA"/>
        </w:rPr>
        <w:t xml:space="preserve"> drove</w:t>
      </w:r>
      <w:r w:rsidR="00CD6851" w:rsidRPr="00435469">
        <w:rPr>
          <w:sz w:val="20"/>
          <w:szCs w:val="20"/>
          <w:lang w:val="en-ZA"/>
        </w:rPr>
        <w:t xml:space="preserve"> the </w:t>
      </w:r>
      <w:r w:rsidR="00441267" w:rsidRPr="00435469">
        <w:rPr>
          <w:sz w:val="20"/>
          <w:szCs w:val="20"/>
          <w:lang w:val="en-ZA"/>
        </w:rPr>
        <w:t xml:space="preserve">observed </w:t>
      </w:r>
      <w:r w:rsidR="006D3675" w:rsidRPr="00435469">
        <w:rPr>
          <w:sz w:val="20"/>
          <w:szCs w:val="20"/>
          <w:lang w:val="en-ZA"/>
        </w:rPr>
        <w:t xml:space="preserve">differences </w:t>
      </w:r>
      <w:r w:rsidR="006D3675" w:rsidRPr="00435469">
        <w:rPr>
          <w:sz w:val="20"/>
          <w:szCs w:val="20"/>
          <w:lang w:val="en-ZA"/>
        </w:rPr>
        <w:fldChar w:fldCharType="begin" w:fldLock="1"/>
      </w:r>
      <w:r w:rsidR="00A142FF" w:rsidRPr="00435469">
        <w:rPr>
          <w:sz w:val="20"/>
          <w:szCs w:val="20"/>
          <w:lang w:val="en-ZA"/>
        </w:rPr>
        <w:instrText>ADDIN CSL_CITATION {"citationItems":[{"id":"ITEM-1","itemData":{"DOI":"10.1093/ije/dyy144","ISSN":"14643685","PMID":"30010785","abstract":"Background: The World Health Organization (WHO) and the Global Burden of Disease (GBD) study at the Institute for Health Metrics and Evaluation (IHME) periodically provide global estimates of tuberculosis (TB) mortality. We compared the 2015 WHO and GBD TB mortality estimates and explored which factors might drive the differences. Methods: We extracted the number of estimated TB-attributable deaths, disaggregated by age, HIV status, sex and country from publicly available WHO and GBD datasets for the year 2015. We ‘standardized’ differences between sources by adjusting each country’s difference in absolute number of deaths by the average number of deaths estimated by both sources. Results: For 195 countries with estimates from both institutions, WHO estimated 1 768 482 deaths attributable to TB, whereas GBD estimated 1 322 916 deaths, a difference of 445 566 deaths or 29% of the average of the two estimates. The countries with the largest absolute differences in deaths were Nigeria (216 621), Bangladesh (49 863) and Tanzania (38 272). The standardized difference was not associated with HIV prevalence, prevalence of multidrug resistance or global region, but did show correlation with the case detection rate as estimated by WHO [r ¼ 0.37, 95% confidence interval (CI): 049; 0.24] or, inversely, with case detection rate based on GBD data (r ¼ 0.44, 95% CI: 0.31; 0.54). Countries with a recent national prevalence survey had higher standardized differences (higher estimates by WHO) than those without (P ¼ 0.006). After exclusion of countries with recent prevalence surveys, the overall correlation between both estimates was r ¼ 0.991. Conclusions: A few countries account for the large global discrepancy in TB mortality estimates. The differences are due to the methodological approaches used by WHO and GBD. The use and interpretation of prevalence survey data and case detection rates seem to play a role in the observed differences.","author":[{"dropping-particle":"","family":"Garcıa-Basteiro","given":"Alberto L.","non-dropping-particle":"","parse-names":false,"suffix":""},{"dropping-particle":"","family":"Brew","given":"Joe","non-dropping-particle":"","parse-names":false,"suffix":""},{"dropping-particle":"","family":"Williams","given":"Brian","non-dropping-particle":"","parse-names":false,"suffix":""},{"dropping-particle":"","family":"Borgdorff","given":"Martien","non-dropping-particle":"","parse-names":false,"suffix":""},{"dropping-particle":"","family":"Cobelens","given":"Frank","non-dropping-particle":"","parse-names":false,"suffix":""}],"container-title":"International Journal of Epidemiology","id":"ITEM-1","issue":"5","issued":{"date-parts":[["2018"]]},"page":"1549-1560","title":"What is the true tuberculosis mortality burden? Differences in estimates by the World Health Organization and the Global Burden of Disease study","type":"article-journal","volume":"47"},"uris":["http://www.mendeley.com/documents/?uuid=0c19979e-33cb-463c-82c4-4c9c8b29245f"]}],"mendeley":{"formattedCitation":"(137)","plainTextFormattedCitation":"(137)","previouslyFormattedCitation":"(137)"},"properties":{"noteIndex":0},"schema":"https://github.com/citation-style-language/schema/raw/master/csl-citation.json"}</w:instrText>
      </w:r>
      <w:r w:rsidR="006D3675" w:rsidRPr="00435469">
        <w:rPr>
          <w:sz w:val="20"/>
          <w:szCs w:val="20"/>
          <w:lang w:val="en-ZA"/>
        </w:rPr>
        <w:fldChar w:fldCharType="separate"/>
      </w:r>
      <w:r w:rsidR="0016391D" w:rsidRPr="00435469">
        <w:rPr>
          <w:noProof/>
          <w:sz w:val="20"/>
          <w:szCs w:val="20"/>
          <w:lang w:val="en-ZA"/>
        </w:rPr>
        <w:t>(137)</w:t>
      </w:r>
      <w:r w:rsidR="006D3675" w:rsidRPr="00435469">
        <w:rPr>
          <w:sz w:val="20"/>
          <w:szCs w:val="20"/>
          <w:lang w:val="en-ZA"/>
        </w:rPr>
        <w:fldChar w:fldCharType="end"/>
      </w:r>
      <w:r w:rsidR="006D3675" w:rsidRPr="00435469">
        <w:rPr>
          <w:sz w:val="20"/>
          <w:szCs w:val="20"/>
          <w:lang w:val="en-ZA"/>
        </w:rPr>
        <w:t>.</w:t>
      </w:r>
      <w:r w:rsidR="00ED01B6" w:rsidRPr="00435469">
        <w:rPr>
          <w:sz w:val="20"/>
          <w:szCs w:val="20"/>
          <w:lang w:val="en-ZA"/>
        </w:rPr>
        <w:t xml:space="preserve"> </w:t>
      </w:r>
      <w:r w:rsidR="00717068" w:rsidRPr="00435469">
        <w:rPr>
          <w:sz w:val="20"/>
          <w:szCs w:val="20"/>
          <w:lang w:val="en-ZA"/>
        </w:rPr>
        <w:t xml:space="preserve">Overall, it seems </w:t>
      </w:r>
      <w:r w:rsidR="002631CC" w:rsidRPr="00435469">
        <w:rPr>
          <w:sz w:val="20"/>
          <w:szCs w:val="20"/>
          <w:lang w:val="en-ZA"/>
        </w:rPr>
        <w:t xml:space="preserve">the </w:t>
      </w:r>
      <w:r w:rsidR="00717068" w:rsidRPr="00435469">
        <w:rPr>
          <w:rFonts w:cs="Times New Roman"/>
          <w:sz w:val="20"/>
          <w:szCs w:val="20"/>
          <w:lang w:val="en-ZA"/>
        </w:rPr>
        <w:t xml:space="preserve">differences in estimation approaches and data sources </w:t>
      </w:r>
      <w:r w:rsidR="00E7301C" w:rsidRPr="00435469">
        <w:rPr>
          <w:rFonts w:cs="Times New Roman"/>
          <w:sz w:val="20"/>
          <w:szCs w:val="20"/>
          <w:lang w:val="en-ZA"/>
        </w:rPr>
        <w:t>used led to these differences</w:t>
      </w:r>
      <w:r w:rsidR="00F847C7" w:rsidRPr="00435469">
        <w:rPr>
          <w:rFonts w:cs="Times New Roman"/>
          <w:sz w:val="20"/>
          <w:szCs w:val="20"/>
          <w:lang w:val="en-ZA"/>
        </w:rPr>
        <w:t xml:space="preserve">. The authors </w:t>
      </w:r>
      <w:r w:rsidR="000E3F3F" w:rsidRPr="00435469">
        <w:rPr>
          <w:rFonts w:cs="Times New Roman"/>
          <w:sz w:val="20"/>
          <w:szCs w:val="20"/>
          <w:lang w:val="en-ZA"/>
        </w:rPr>
        <w:t>suggested that</w:t>
      </w:r>
      <w:r w:rsidR="008B10ED" w:rsidRPr="00435469">
        <w:rPr>
          <w:rFonts w:cs="Times New Roman"/>
          <w:sz w:val="20"/>
          <w:szCs w:val="20"/>
          <w:lang w:val="en-ZA"/>
        </w:rPr>
        <w:t xml:space="preserve"> </w:t>
      </w:r>
      <w:r w:rsidR="00FE42A0" w:rsidRPr="00435469">
        <w:rPr>
          <w:rFonts w:cs="Times New Roman"/>
          <w:sz w:val="20"/>
          <w:szCs w:val="20"/>
          <w:lang w:val="en-ZA"/>
        </w:rPr>
        <w:t>difference</w:t>
      </w:r>
      <w:r w:rsidR="00590ADD" w:rsidRPr="00435469">
        <w:rPr>
          <w:rFonts w:cs="Times New Roman"/>
          <w:sz w:val="20"/>
          <w:szCs w:val="20"/>
          <w:lang w:val="en-ZA"/>
        </w:rPr>
        <w:t>s</w:t>
      </w:r>
      <w:r w:rsidR="00FE42A0" w:rsidRPr="00435469">
        <w:rPr>
          <w:rFonts w:cs="Times New Roman"/>
          <w:sz w:val="20"/>
          <w:szCs w:val="20"/>
          <w:lang w:val="en-ZA"/>
        </w:rPr>
        <w:t xml:space="preserve"> in </w:t>
      </w:r>
      <w:r w:rsidR="00CA584C" w:rsidRPr="00435469">
        <w:rPr>
          <w:rFonts w:cs="Times New Roman"/>
          <w:sz w:val="20"/>
          <w:szCs w:val="20"/>
          <w:lang w:val="en-ZA"/>
        </w:rPr>
        <w:t xml:space="preserve">the </w:t>
      </w:r>
      <w:r w:rsidR="00BE428B" w:rsidRPr="00435469">
        <w:rPr>
          <w:rFonts w:cs="Times New Roman"/>
          <w:sz w:val="20"/>
          <w:szCs w:val="20"/>
          <w:lang w:val="en-ZA"/>
        </w:rPr>
        <w:t>use</w:t>
      </w:r>
      <w:r w:rsidR="008B10ED" w:rsidRPr="00435469">
        <w:rPr>
          <w:rFonts w:cs="Times New Roman"/>
          <w:sz w:val="20"/>
          <w:szCs w:val="20"/>
          <w:lang w:val="en-ZA"/>
        </w:rPr>
        <w:t xml:space="preserve"> of prevalence survey data and case detection rates</w:t>
      </w:r>
      <w:r w:rsidR="00E01F95" w:rsidRPr="00435469">
        <w:rPr>
          <w:rFonts w:cs="Times New Roman"/>
          <w:sz w:val="20"/>
          <w:szCs w:val="20"/>
          <w:lang w:val="en-ZA"/>
        </w:rPr>
        <w:t xml:space="preserve"> ma</w:t>
      </w:r>
      <w:r w:rsidR="00FE42A0" w:rsidRPr="00435469">
        <w:rPr>
          <w:rFonts w:cs="Times New Roman"/>
          <w:sz w:val="20"/>
          <w:szCs w:val="20"/>
          <w:lang w:val="en-ZA"/>
        </w:rPr>
        <w:t>y ex</w:t>
      </w:r>
      <w:r w:rsidR="00CA584C" w:rsidRPr="00435469">
        <w:rPr>
          <w:rFonts w:cs="Times New Roman"/>
          <w:sz w:val="20"/>
          <w:szCs w:val="20"/>
          <w:lang w:val="en-ZA"/>
        </w:rPr>
        <w:t>plain</w:t>
      </w:r>
      <w:r w:rsidR="006D3675" w:rsidRPr="00435469">
        <w:rPr>
          <w:rFonts w:cs="Times New Roman"/>
          <w:sz w:val="20"/>
          <w:szCs w:val="20"/>
          <w:lang w:val="en-ZA"/>
        </w:rPr>
        <w:t xml:space="preserve"> most of the </w:t>
      </w:r>
      <w:r w:rsidR="00CA584C" w:rsidRPr="00435469">
        <w:rPr>
          <w:rFonts w:cs="Times New Roman"/>
          <w:sz w:val="20"/>
          <w:szCs w:val="20"/>
          <w:lang w:val="en-ZA"/>
        </w:rPr>
        <w:t xml:space="preserve">observed </w:t>
      </w:r>
      <w:r w:rsidR="006D3675" w:rsidRPr="00435469">
        <w:rPr>
          <w:rFonts w:cs="Times New Roman"/>
          <w:sz w:val="20"/>
          <w:szCs w:val="20"/>
          <w:lang w:val="en-ZA"/>
        </w:rPr>
        <w:t>differences</w:t>
      </w:r>
      <w:r w:rsidR="00F847C7" w:rsidRPr="00435469">
        <w:rPr>
          <w:rFonts w:cs="Times New Roman"/>
          <w:sz w:val="20"/>
          <w:szCs w:val="20"/>
          <w:lang w:val="en-ZA"/>
        </w:rPr>
        <w:t xml:space="preserve"> in </w:t>
      </w:r>
      <w:r w:rsidR="002B520C" w:rsidRPr="00435469">
        <w:rPr>
          <w:rFonts w:cs="Times New Roman"/>
          <w:sz w:val="20"/>
          <w:szCs w:val="20"/>
          <w:lang w:val="en-ZA"/>
        </w:rPr>
        <w:t xml:space="preserve">the mortality </w:t>
      </w:r>
      <w:r w:rsidR="00F847C7" w:rsidRPr="00435469">
        <w:rPr>
          <w:sz w:val="20"/>
          <w:szCs w:val="20"/>
          <w:lang w:val="en-ZA"/>
        </w:rPr>
        <w:t>estimates produced by the WHO and IHME</w:t>
      </w:r>
      <w:r w:rsidR="00055F8F" w:rsidRPr="00435469">
        <w:rPr>
          <w:sz w:val="20"/>
          <w:szCs w:val="20"/>
          <w:lang w:val="en-ZA"/>
        </w:rPr>
        <w:t xml:space="preserve"> </w:t>
      </w:r>
      <w:r w:rsidR="006D3675" w:rsidRPr="00435469">
        <w:rPr>
          <w:rFonts w:cs="Times New Roman"/>
          <w:sz w:val="20"/>
          <w:szCs w:val="20"/>
          <w:lang w:val="en-ZA"/>
        </w:rPr>
        <w:fldChar w:fldCharType="begin" w:fldLock="1"/>
      </w:r>
      <w:r w:rsidR="00A142FF" w:rsidRPr="00435469">
        <w:rPr>
          <w:rFonts w:cs="Times New Roman"/>
          <w:sz w:val="20"/>
          <w:szCs w:val="20"/>
          <w:lang w:val="en-ZA"/>
        </w:rPr>
        <w:instrText>ADDIN CSL_CITATION {"citationItems":[{"id":"ITEM-1","itemData":{"DOI":"10.1093/ije/dyy144","ISSN":"14643685","PMID":"30010785","abstract":"Background: The World Health Organization (WHO) and the Global Burden of Disease (GBD) study at the Institute for Health Metrics and Evaluation (IHME) periodically provide global estimates of tuberculosis (TB) mortality. We compared the 2015 WHO and GBD TB mortality estimates and explored which factors might drive the differences. Methods: We extracted the number of estimated TB-attributable deaths, disaggregated by age, HIV status, sex and country from publicly available WHO and GBD datasets for the year 2015. We ‘standardized’ differences between sources by adjusting each country’s difference in absolute number of deaths by the average number of deaths estimated by both sources. Results: For 195 countries with estimates from both institutions, WHO estimated 1 768 482 deaths attributable to TB, whereas GBD estimated 1 322 916 deaths, a difference of 445 566 deaths or 29% of the average of the two estimates. The countries with the largest absolute differences in deaths were Nigeria (216 621), Bangladesh (49 863) and Tanzania (38 272). The standardized difference was not associated with HIV prevalence, prevalence of multidrug resistance or global region, but did show correlation with the case detection rate as estimated by WHO [r ¼ 0.37, 95% confidence interval (CI): 049; 0.24] or, inversely, with case detection rate based on GBD data (r ¼ 0.44, 95% CI: 0.31; 0.54). Countries with a recent national prevalence survey had higher standardized differences (higher estimates by WHO) than those without (P ¼ 0.006). After exclusion of countries with recent prevalence surveys, the overall correlation between both estimates was r ¼ 0.991. Conclusions: A few countries account for the large global discrepancy in TB mortality estimates. The differences are due to the methodological approaches used by WHO and GBD. The use and interpretation of prevalence survey data and case detection rates seem to play a role in the observed differences.","author":[{"dropping-particle":"","family":"Garcıa-Basteiro","given":"Alberto L.","non-dropping-particle":"","parse-names":false,"suffix":""},{"dropping-particle":"","family":"Brew","given":"Joe","non-dropping-particle":"","parse-names":false,"suffix":""},{"dropping-particle":"","family":"Williams","given":"Brian","non-dropping-particle":"","parse-names":false,"suffix":""},{"dropping-particle":"","family":"Borgdorff","given":"Martien","non-dropping-particle":"","parse-names":false,"suffix":""},{"dropping-particle":"","family":"Cobelens","given":"Frank","non-dropping-particle":"","parse-names":false,"suffix":""}],"container-title":"International Journal of Epidemiology","id":"ITEM-1","issue":"5","issued":{"date-parts":[["2018"]]},"page":"1549-1560","title":"What is the true tuberculosis mortality burden? Differences in estimates by the World Health Organization and the Global Burden of Disease study","type":"article-journal","volume":"47"},"uris":["http://www.mendeley.com/documents/?uuid=0c19979e-33cb-463c-82c4-4c9c8b29245f"]}],"mendeley":{"formattedCitation":"(137)","plainTextFormattedCitation":"(137)","previouslyFormattedCitation":"(137)"},"properties":{"noteIndex":0},"schema":"https://github.com/citation-style-language/schema/raw/master/csl-citation.json"}</w:instrText>
      </w:r>
      <w:r w:rsidR="006D3675" w:rsidRPr="00435469">
        <w:rPr>
          <w:rFonts w:cs="Times New Roman"/>
          <w:sz w:val="20"/>
          <w:szCs w:val="20"/>
          <w:lang w:val="en-ZA"/>
        </w:rPr>
        <w:fldChar w:fldCharType="separate"/>
      </w:r>
      <w:r w:rsidR="0016391D" w:rsidRPr="00435469">
        <w:rPr>
          <w:rFonts w:cs="Times New Roman"/>
          <w:noProof/>
          <w:sz w:val="20"/>
          <w:szCs w:val="20"/>
          <w:lang w:val="en-ZA"/>
        </w:rPr>
        <w:t>(137)</w:t>
      </w:r>
      <w:r w:rsidR="006D3675" w:rsidRPr="00435469">
        <w:rPr>
          <w:rFonts w:cs="Times New Roman"/>
          <w:sz w:val="20"/>
          <w:szCs w:val="20"/>
          <w:lang w:val="en-ZA"/>
        </w:rPr>
        <w:fldChar w:fldCharType="end"/>
      </w:r>
      <w:r w:rsidR="006D3675" w:rsidRPr="00435469">
        <w:rPr>
          <w:rFonts w:cs="Times New Roman"/>
          <w:sz w:val="20"/>
          <w:szCs w:val="20"/>
          <w:lang w:val="en-ZA"/>
        </w:rPr>
        <w:t>.</w:t>
      </w:r>
      <w:bookmarkStart w:id="404" w:name="_Ref89250964"/>
    </w:p>
    <w:p w14:paraId="049BEAD1" w14:textId="77777777" w:rsidR="00EA5ACF" w:rsidRPr="00435469" w:rsidRDefault="00EA5ACF" w:rsidP="00AD6E54">
      <w:pPr>
        <w:pStyle w:val="3TableHead"/>
      </w:pPr>
    </w:p>
    <w:p w14:paraId="60717F71" w14:textId="7ACE6E11" w:rsidR="00BA66F5" w:rsidRPr="00435469" w:rsidRDefault="00BA66F5" w:rsidP="00955FFB">
      <w:pPr>
        <w:spacing w:after="160" w:line="240" w:lineRule="auto"/>
        <w:rPr>
          <w:b/>
          <w:sz w:val="20"/>
          <w:szCs w:val="20"/>
        </w:rPr>
      </w:pPr>
    </w:p>
    <w:p w14:paraId="3D3BEF08" w14:textId="77777777" w:rsidR="00E4447E" w:rsidRPr="00435469" w:rsidRDefault="00E4447E" w:rsidP="00AD6E54">
      <w:pPr>
        <w:pStyle w:val="3TableHead"/>
      </w:pPr>
      <w:bookmarkStart w:id="405" w:name="_Ref101935420"/>
    </w:p>
    <w:p w14:paraId="2AACE721" w14:textId="77777777" w:rsidR="00E4447E" w:rsidRPr="00435469" w:rsidRDefault="00E4447E" w:rsidP="00AD6E54">
      <w:pPr>
        <w:pStyle w:val="3TableHead"/>
      </w:pPr>
    </w:p>
    <w:p w14:paraId="11BC269C" w14:textId="77777777" w:rsidR="00E4447E" w:rsidRPr="00435469" w:rsidRDefault="00E4447E" w:rsidP="00AD6E54">
      <w:pPr>
        <w:pStyle w:val="3TableHead"/>
      </w:pPr>
    </w:p>
    <w:p w14:paraId="03887F7A" w14:textId="77777777" w:rsidR="00E4447E" w:rsidRPr="00435469" w:rsidRDefault="00E4447E" w:rsidP="00AD6E54">
      <w:pPr>
        <w:pStyle w:val="3TableHead"/>
      </w:pPr>
    </w:p>
    <w:p w14:paraId="5C04C520" w14:textId="77777777" w:rsidR="00E4447E" w:rsidRPr="00435469" w:rsidRDefault="00E4447E" w:rsidP="00AD6E54">
      <w:pPr>
        <w:pStyle w:val="3TableHead"/>
      </w:pPr>
    </w:p>
    <w:p w14:paraId="4FE77CE2" w14:textId="77777777" w:rsidR="00E4447E" w:rsidRPr="00435469" w:rsidRDefault="00E4447E" w:rsidP="00AD6E54">
      <w:pPr>
        <w:pStyle w:val="3TableHead"/>
      </w:pPr>
    </w:p>
    <w:p w14:paraId="1382B080" w14:textId="77777777" w:rsidR="00E4447E" w:rsidRPr="00435469" w:rsidRDefault="00E4447E" w:rsidP="00AD6E54">
      <w:pPr>
        <w:pStyle w:val="3TableHead"/>
      </w:pPr>
    </w:p>
    <w:p w14:paraId="4E68B91D" w14:textId="77777777" w:rsidR="00E4447E" w:rsidRPr="00435469" w:rsidRDefault="00E4447E" w:rsidP="00AD6E54">
      <w:pPr>
        <w:pStyle w:val="3TableHead"/>
      </w:pPr>
    </w:p>
    <w:p w14:paraId="658EDFCE" w14:textId="77777777" w:rsidR="00E4447E" w:rsidRPr="00435469" w:rsidRDefault="00E4447E" w:rsidP="00AD6E54">
      <w:pPr>
        <w:pStyle w:val="3TableHead"/>
      </w:pPr>
    </w:p>
    <w:p w14:paraId="1153A013" w14:textId="77777777" w:rsidR="00E4447E" w:rsidRPr="00435469" w:rsidRDefault="00E4447E" w:rsidP="00AD6E54">
      <w:pPr>
        <w:pStyle w:val="3TableHead"/>
      </w:pPr>
    </w:p>
    <w:p w14:paraId="7543A310" w14:textId="77777777" w:rsidR="00E4447E" w:rsidRPr="00435469" w:rsidRDefault="00E4447E" w:rsidP="00AD6E54">
      <w:pPr>
        <w:pStyle w:val="3TableHead"/>
      </w:pPr>
    </w:p>
    <w:p w14:paraId="57B9EE82" w14:textId="77777777" w:rsidR="00E4447E" w:rsidRPr="00435469" w:rsidRDefault="00E4447E" w:rsidP="00AD6E54">
      <w:pPr>
        <w:pStyle w:val="3TableHead"/>
      </w:pPr>
    </w:p>
    <w:p w14:paraId="7CAA9F7D" w14:textId="77777777" w:rsidR="00E4447E" w:rsidRPr="00435469" w:rsidRDefault="00E4447E" w:rsidP="00AD6E54">
      <w:pPr>
        <w:pStyle w:val="3TableHead"/>
      </w:pPr>
    </w:p>
    <w:p w14:paraId="62B83DDE" w14:textId="7B8B48B8" w:rsidR="006D3675" w:rsidRPr="00435469" w:rsidRDefault="006D3675" w:rsidP="00AD6E54">
      <w:pPr>
        <w:pStyle w:val="3TableHead"/>
        <w:rPr>
          <w:iCs/>
        </w:rPr>
      </w:pPr>
      <w:bookmarkStart w:id="406" w:name="_Ref102647425"/>
      <w:bookmarkStart w:id="407" w:name="_Toc103253681"/>
      <w:r w:rsidRPr="00435469">
        <w:t xml:space="preserve">Table </w:t>
      </w:r>
      <w:r w:rsidR="00AB530B" w:rsidRPr="00435469">
        <w:fldChar w:fldCharType="begin"/>
      </w:r>
      <w:r w:rsidR="00AB530B" w:rsidRPr="00435469">
        <w:instrText xml:space="preserve"> SEQ Table \* ARABIC </w:instrText>
      </w:r>
      <w:r w:rsidR="00AB530B" w:rsidRPr="00435469">
        <w:fldChar w:fldCharType="separate"/>
      </w:r>
      <w:r w:rsidR="00186C2F" w:rsidRPr="00435469">
        <w:rPr>
          <w:noProof/>
        </w:rPr>
        <w:t>28</w:t>
      </w:r>
      <w:r w:rsidR="00AB530B" w:rsidRPr="00435469">
        <w:rPr>
          <w:noProof/>
        </w:rPr>
        <w:fldChar w:fldCharType="end"/>
      </w:r>
      <w:bookmarkEnd w:id="404"/>
      <w:bookmarkEnd w:id="405"/>
      <w:bookmarkEnd w:id="406"/>
      <w:r w:rsidRPr="00435469">
        <w:t xml:space="preserve">: General differences between </w:t>
      </w:r>
      <w:proofErr w:type="spellStart"/>
      <w:r w:rsidRPr="00435469">
        <w:t>Thembisa</w:t>
      </w:r>
      <w:proofErr w:type="spellEnd"/>
      <w:r w:rsidRPr="00435469">
        <w:t xml:space="preserve"> TB/HIV, the Institute </w:t>
      </w:r>
      <w:r w:rsidR="006C11F9" w:rsidRPr="00435469">
        <w:t>for</w:t>
      </w:r>
      <w:r w:rsidRPr="00435469">
        <w:t xml:space="preserve"> Health Metrics and Evaluation and the World Health Organization for 2019 TB burden estimates</w:t>
      </w:r>
      <w:bookmarkEnd w:id="403"/>
      <w:bookmarkEnd w:id="407"/>
    </w:p>
    <w:tbl>
      <w:tblPr>
        <w:tblW w:w="9680" w:type="dxa"/>
        <w:tblCellMar>
          <w:left w:w="0" w:type="dxa"/>
          <w:right w:w="0" w:type="dxa"/>
        </w:tblCellMar>
        <w:tblLook w:val="04A0" w:firstRow="1" w:lastRow="0" w:firstColumn="1" w:lastColumn="0" w:noHBand="0" w:noVBand="1"/>
      </w:tblPr>
      <w:tblGrid>
        <w:gridCol w:w="1701"/>
        <w:gridCol w:w="3048"/>
        <w:gridCol w:w="2526"/>
        <w:gridCol w:w="2405"/>
      </w:tblGrid>
      <w:tr w:rsidR="0061685C" w:rsidRPr="00435469" w14:paraId="3BCB0B6F" w14:textId="77777777" w:rsidTr="00E12B57">
        <w:trPr>
          <w:trHeight w:val="109"/>
        </w:trPr>
        <w:tc>
          <w:tcPr>
            <w:tcW w:w="1701" w:type="dxa"/>
            <w:tcBorders>
              <w:top w:val="single" w:sz="4" w:space="0" w:color="auto"/>
              <w:bottom w:val="single" w:sz="4" w:space="0" w:color="auto"/>
            </w:tcBorders>
            <w:shd w:val="clear" w:color="auto" w:fill="auto"/>
            <w:tcMar>
              <w:top w:w="15" w:type="dxa"/>
              <w:left w:w="108" w:type="dxa"/>
              <w:bottom w:w="0" w:type="dxa"/>
              <w:right w:w="108" w:type="dxa"/>
            </w:tcMar>
            <w:hideMark/>
          </w:tcPr>
          <w:p w14:paraId="512A4E88" w14:textId="77777777" w:rsidR="006D3675" w:rsidRPr="00435469" w:rsidRDefault="006D3675" w:rsidP="00AD6E54">
            <w:pPr>
              <w:pStyle w:val="3TableData"/>
            </w:pPr>
            <w:r w:rsidRPr="00435469">
              <w:t> </w:t>
            </w:r>
          </w:p>
        </w:tc>
        <w:tc>
          <w:tcPr>
            <w:tcW w:w="3048" w:type="dxa"/>
            <w:tcBorders>
              <w:top w:val="single" w:sz="4" w:space="0" w:color="auto"/>
              <w:bottom w:val="single" w:sz="4" w:space="0" w:color="auto"/>
            </w:tcBorders>
            <w:shd w:val="clear" w:color="auto" w:fill="auto"/>
            <w:tcMar>
              <w:top w:w="15" w:type="dxa"/>
              <w:left w:w="108" w:type="dxa"/>
              <w:bottom w:w="0" w:type="dxa"/>
              <w:right w:w="108" w:type="dxa"/>
            </w:tcMar>
            <w:hideMark/>
          </w:tcPr>
          <w:p w14:paraId="5F138BEC" w14:textId="39DC0D5A" w:rsidR="006D3675" w:rsidRPr="00435469" w:rsidRDefault="006D3675" w:rsidP="00AD6E54">
            <w:pPr>
              <w:pStyle w:val="3TableData"/>
            </w:pPr>
            <w:proofErr w:type="spellStart"/>
            <w:r w:rsidRPr="00435469">
              <w:t>Thembisa</w:t>
            </w:r>
            <w:proofErr w:type="spellEnd"/>
            <w:r w:rsidR="00F90F60" w:rsidRPr="00435469">
              <w:t xml:space="preserve"> TB/</w:t>
            </w:r>
            <w:r w:rsidR="0066563B" w:rsidRPr="00435469">
              <w:t>HIV</w:t>
            </w:r>
          </w:p>
        </w:tc>
        <w:tc>
          <w:tcPr>
            <w:tcW w:w="2526" w:type="dxa"/>
            <w:tcBorders>
              <w:top w:val="single" w:sz="4" w:space="0" w:color="auto"/>
              <w:bottom w:val="single" w:sz="4" w:space="0" w:color="auto"/>
            </w:tcBorders>
            <w:shd w:val="clear" w:color="auto" w:fill="auto"/>
            <w:tcMar>
              <w:top w:w="15" w:type="dxa"/>
              <w:left w:w="108" w:type="dxa"/>
              <w:bottom w:w="0" w:type="dxa"/>
              <w:right w:w="108" w:type="dxa"/>
            </w:tcMar>
            <w:hideMark/>
          </w:tcPr>
          <w:p w14:paraId="0BEBD8BF" w14:textId="77777777" w:rsidR="006D3675" w:rsidRPr="00435469" w:rsidRDefault="006D3675" w:rsidP="00AD6E54">
            <w:pPr>
              <w:pStyle w:val="3TableData"/>
            </w:pPr>
            <w:r w:rsidRPr="00435469">
              <w:t>IMHE</w:t>
            </w:r>
          </w:p>
        </w:tc>
        <w:tc>
          <w:tcPr>
            <w:tcW w:w="2405" w:type="dxa"/>
            <w:tcBorders>
              <w:top w:val="single" w:sz="4" w:space="0" w:color="auto"/>
              <w:bottom w:val="single" w:sz="4" w:space="0" w:color="auto"/>
            </w:tcBorders>
            <w:shd w:val="clear" w:color="auto" w:fill="auto"/>
            <w:tcMar>
              <w:top w:w="15" w:type="dxa"/>
              <w:left w:w="108" w:type="dxa"/>
              <w:bottom w:w="0" w:type="dxa"/>
              <w:right w:w="108" w:type="dxa"/>
            </w:tcMar>
            <w:hideMark/>
          </w:tcPr>
          <w:p w14:paraId="71E6BC19" w14:textId="77777777" w:rsidR="006D3675" w:rsidRPr="00435469" w:rsidRDefault="006D3675" w:rsidP="00AD6E54">
            <w:pPr>
              <w:pStyle w:val="3TableData"/>
            </w:pPr>
            <w:r w:rsidRPr="00435469">
              <w:t>WHO</w:t>
            </w:r>
          </w:p>
        </w:tc>
      </w:tr>
      <w:tr w:rsidR="0061685C" w:rsidRPr="00435469" w14:paraId="733BB543" w14:textId="77777777" w:rsidTr="00E12B57">
        <w:trPr>
          <w:trHeight w:val="109"/>
        </w:trPr>
        <w:tc>
          <w:tcPr>
            <w:tcW w:w="1701" w:type="dxa"/>
            <w:tcBorders>
              <w:top w:val="single" w:sz="4" w:space="0" w:color="auto"/>
              <w:bottom w:val="single" w:sz="4" w:space="0" w:color="auto"/>
            </w:tcBorders>
            <w:shd w:val="clear" w:color="auto" w:fill="auto"/>
            <w:tcMar>
              <w:top w:w="15" w:type="dxa"/>
              <w:left w:w="108" w:type="dxa"/>
              <w:bottom w:w="0" w:type="dxa"/>
              <w:right w:w="108" w:type="dxa"/>
            </w:tcMar>
          </w:tcPr>
          <w:p w14:paraId="77828101" w14:textId="77777777" w:rsidR="006D3675" w:rsidRPr="00435469" w:rsidRDefault="006D3675" w:rsidP="00AD6E54">
            <w:pPr>
              <w:pStyle w:val="3TableData"/>
            </w:pPr>
            <w:r w:rsidRPr="00435469">
              <w:t>Modelling and approach</w:t>
            </w:r>
          </w:p>
        </w:tc>
        <w:tc>
          <w:tcPr>
            <w:tcW w:w="3048" w:type="dxa"/>
            <w:tcBorders>
              <w:top w:val="single" w:sz="4" w:space="0" w:color="auto"/>
              <w:bottom w:val="single" w:sz="4" w:space="0" w:color="auto"/>
            </w:tcBorders>
            <w:shd w:val="clear" w:color="auto" w:fill="auto"/>
            <w:tcMar>
              <w:top w:w="15" w:type="dxa"/>
              <w:left w:w="108" w:type="dxa"/>
              <w:bottom w:w="0" w:type="dxa"/>
              <w:right w:w="108" w:type="dxa"/>
            </w:tcMar>
          </w:tcPr>
          <w:p w14:paraId="649C01D7" w14:textId="77777777" w:rsidR="006D3675" w:rsidRPr="00435469" w:rsidRDefault="006D3675" w:rsidP="00AD6E54">
            <w:pPr>
              <w:pStyle w:val="3TableData"/>
            </w:pPr>
            <w:r w:rsidRPr="00435469">
              <w:t>Dynamic transmission model</w:t>
            </w:r>
          </w:p>
          <w:p w14:paraId="4FFF8652" w14:textId="3B6FFE88" w:rsidR="006D3675" w:rsidRPr="00435469" w:rsidRDefault="006D3675" w:rsidP="00AD6E54">
            <w:pPr>
              <w:pStyle w:val="3TableData"/>
            </w:pPr>
            <w:r w:rsidRPr="00435469">
              <w:t xml:space="preserve">Includes: TB natural history natural history (i.e., disease progression, recovery), transmission dynamics, health-seeking </w:t>
            </w:r>
            <w:proofErr w:type="spellStart"/>
            <w:r w:rsidR="00EA1E4C" w:rsidRPr="00435469">
              <w:t>behaviours</w:t>
            </w:r>
            <w:proofErr w:type="spellEnd"/>
            <w:r w:rsidR="00EA1E4C" w:rsidRPr="00435469">
              <w:t>,</w:t>
            </w:r>
            <w:r w:rsidRPr="00435469">
              <w:t xml:space="preserve"> and diagnostic algorithms, and impacts of interventions.</w:t>
            </w:r>
          </w:p>
        </w:tc>
        <w:tc>
          <w:tcPr>
            <w:tcW w:w="2526" w:type="dxa"/>
            <w:tcBorders>
              <w:top w:val="single" w:sz="4" w:space="0" w:color="auto"/>
              <w:bottom w:val="single" w:sz="4" w:space="0" w:color="auto"/>
            </w:tcBorders>
            <w:shd w:val="clear" w:color="auto" w:fill="auto"/>
            <w:tcMar>
              <w:top w:w="15" w:type="dxa"/>
              <w:left w:w="108" w:type="dxa"/>
              <w:bottom w:w="0" w:type="dxa"/>
              <w:right w:w="108" w:type="dxa"/>
            </w:tcMar>
          </w:tcPr>
          <w:p w14:paraId="18D0E33D" w14:textId="77777777" w:rsidR="006D3675" w:rsidRPr="00435469" w:rsidRDefault="006D3675" w:rsidP="00AD6E54">
            <w:pPr>
              <w:pStyle w:val="3TableData"/>
            </w:pPr>
            <w:r w:rsidRPr="00435469">
              <w:t>Static model.</w:t>
            </w:r>
          </w:p>
          <w:p w14:paraId="20AA60C5" w14:textId="11609129" w:rsidR="006D3675" w:rsidRPr="00435469" w:rsidRDefault="006D3675" w:rsidP="00AD6E54">
            <w:pPr>
              <w:pStyle w:val="3TableData"/>
            </w:pPr>
            <w:r w:rsidRPr="00435469">
              <w:t xml:space="preserve">Meta-regression approach </w:t>
            </w:r>
            <w:r w:rsidR="004F7D47" w:rsidRPr="00435469">
              <w:t>including</w:t>
            </w:r>
            <w:r w:rsidRPr="00435469">
              <w:t xml:space="preserve"> covariates such as smoking prevalence, diabetes, indoor air pollution, alcohol, and health system access.</w:t>
            </w:r>
          </w:p>
        </w:tc>
        <w:tc>
          <w:tcPr>
            <w:tcW w:w="2405" w:type="dxa"/>
            <w:tcBorders>
              <w:top w:val="single" w:sz="4" w:space="0" w:color="auto"/>
              <w:bottom w:val="single" w:sz="4" w:space="0" w:color="auto"/>
            </w:tcBorders>
            <w:shd w:val="clear" w:color="auto" w:fill="auto"/>
            <w:tcMar>
              <w:top w:w="15" w:type="dxa"/>
              <w:left w:w="108" w:type="dxa"/>
              <w:bottom w:w="0" w:type="dxa"/>
              <w:right w:w="108" w:type="dxa"/>
            </w:tcMar>
          </w:tcPr>
          <w:p w14:paraId="50C7BB65" w14:textId="2C4BB02C" w:rsidR="006D3675" w:rsidRPr="00435469" w:rsidRDefault="00E45C79" w:rsidP="00AD6E54">
            <w:pPr>
              <w:pStyle w:val="3TableData"/>
            </w:pPr>
            <w:r w:rsidRPr="00435469">
              <w:t>Simple dynamic</w:t>
            </w:r>
            <w:r w:rsidR="006D3675" w:rsidRPr="00435469">
              <w:t xml:space="preserve"> model</w:t>
            </w:r>
            <w:r w:rsidRPr="00435469">
              <w:t xml:space="preserve"> to estimate</w:t>
            </w:r>
            <w:r w:rsidR="00AF550A" w:rsidRPr="00435469">
              <w:t xml:space="preserve"> TB </w:t>
            </w:r>
            <w:r w:rsidR="006D3675" w:rsidRPr="00435469">
              <w:t xml:space="preserve">disease duration accounting the effect of HIV and ART. </w:t>
            </w:r>
          </w:p>
          <w:p w14:paraId="196CEDDB" w14:textId="77777777" w:rsidR="006D3675" w:rsidRPr="00435469" w:rsidRDefault="006D3675" w:rsidP="00AD6E54">
            <w:pPr>
              <w:pStyle w:val="3TableData"/>
            </w:pPr>
            <w:r w:rsidRPr="00435469">
              <w:t>Use case fatality ratios estimated in the literature.</w:t>
            </w:r>
          </w:p>
          <w:p w14:paraId="02EDAE13" w14:textId="77777777" w:rsidR="006D3675" w:rsidRPr="00435469" w:rsidRDefault="006D3675" w:rsidP="00AD6E54">
            <w:pPr>
              <w:pStyle w:val="3TableData"/>
            </w:pPr>
          </w:p>
        </w:tc>
      </w:tr>
      <w:tr w:rsidR="0061685C" w:rsidRPr="00435469" w14:paraId="2A2C6E50" w14:textId="77777777" w:rsidTr="00E12B57">
        <w:trPr>
          <w:trHeight w:val="401"/>
        </w:trPr>
        <w:tc>
          <w:tcPr>
            <w:tcW w:w="1701" w:type="dxa"/>
            <w:tcBorders>
              <w:top w:val="single" w:sz="4" w:space="0" w:color="auto"/>
              <w:bottom w:val="single" w:sz="4" w:space="0" w:color="auto"/>
            </w:tcBorders>
            <w:shd w:val="clear" w:color="auto" w:fill="auto"/>
            <w:tcMar>
              <w:top w:w="15" w:type="dxa"/>
              <w:left w:w="108" w:type="dxa"/>
              <w:bottom w:w="0" w:type="dxa"/>
              <w:right w:w="108" w:type="dxa"/>
            </w:tcMar>
          </w:tcPr>
          <w:p w14:paraId="54A5CB8B" w14:textId="77777777" w:rsidR="006D3675" w:rsidRPr="00435469" w:rsidRDefault="006D3675" w:rsidP="00AD6E54">
            <w:pPr>
              <w:pStyle w:val="3TableData"/>
            </w:pPr>
            <w:r w:rsidRPr="00435469">
              <w:t xml:space="preserve">Data sources </w:t>
            </w:r>
          </w:p>
        </w:tc>
        <w:tc>
          <w:tcPr>
            <w:tcW w:w="3048" w:type="dxa"/>
            <w:tcBorders>
              <w:top w:val="single" w:sz="4" w:space="0" w:color="auto"/>
              <w:bottom w:val="single" w:sz="4" w:space="0" w:color="auto"/>
            </w:tcBorders>
            <w:shd w:val="clear" w:color="auto" w:fill="auto"/>
            <w:tcMar>
              <w:top w:w="15" w:type="dxa"/>
              <w:left w:w="108" w:type="dxa"/>
              <w:bottom w:w="0" w:type="dxa"/>
              <w:right w:w="108" w:type="dxa"/>
            </w:tcMar>
          </w:tcPr>
          <w:p w14:paraId="4A6E744F" w14:textId="6A1D0BC6" w:rsidR="006D3675" w:rsidRPr="00435469" w:rsidRDefault="00734D19" w:rsidP="00AD6E54">
            <w:pPr>
              <w:pStyle w:val="3TableData"/>
            </w:pPr>
            <w:r w:rsidRPr="00435469">
              <w:t>2018 national TB prevalence survey</w:t>
            </w:r>
            <w:r w:rsidR="006D3675" w:rsidRPr="00435469">
              <w:t xml:space="preserve"> </w:t>
            </w:r>
            <w:r w:rsidRPr="00435469">
              <w:t>R</w:t>
            </w:r>
            <w:r w:rsidR="006D3675" w:rsidRPr="00435469">
              <w:t>ecorded deaths from the vital registry cleaned and adjusted (1997-2016), electronic tuberculosis register (2004-2019). Literature review on model parameters.</w:t>
            </w:r>
          </w:p>
        </w:tc>
        <w:tc>
          <w:tcPr>
            <w:tcW w:w="2526" w:type="dxa"/>
            <w:tcBorders>
              <w:top w:val="single" w:sz="4" w:space="0" w:color="auto"/>
              <w:bottom w:val="single" w:sz="4" w:space="0" w:color="auto"/>
            </w:tcBorders>
            <w:shd w:val="clear" w:color="auto" w:fill="auto"/>
            <w:tcMar>
              <w:top w:w="15" w:type="dxa"/>
              <w:left w:w="108" w:type="dxa"/>
              <w:bottom w:w="0" w:type="dxa"/>
              <w:right w:w="108" w:type="dxa"/>
            </w:tcMar>
          </w:tcPr>
          <w:p w14:paraId="23F8966E" w14:textId="77777777" w:rsidR="006D3675" w:rsidRPr="00435469" w:rsidRDefault="006D3675" w:rsidP="00AD6E54">
            <w:pPr>
              <w:pStyle w:val="3TableData"/>
            </w:pPr>
            <w:r w:rsidRPr="00435469">
              <w:t>Recorded deaths from the vital registry and verbal autopsies</w:t>
            </w:r>
          </w:p>
          <w:p w14:paraId="12AFBEF9" w14:textId="77777777" w:rsidR="006D3675" w:rsidRPr="00435469" w:rsidRDefault="006D3675" w:rsidP="00AD6E54">
            <w:pPr>
              <w:pStyle w:val="3TableData"/>
            </w:pPr>
          </w:p>
        </w:tc>
        <w:tc>
          <w:tcPr>
            <w:tcW w:w="2405" w:type="dxa"/>
            <w:tcBorders>
              <w:top w:val="single" w:sz="4" w:space="0" w:color="auto"/>
              <w:bottom w:val="single" w:sz="4" w:space="0" w:color="auto"/>
            </w:tcBorders>
            <w:shd w:val="clear" w:color="auto" w:fill="auto"/>
            <w:tcMar>
              <w:top w:w="15" w:type="dxa"/>
              <w:left w:w="108" w:type="dxa"/>
              <w:bottom w:w="0" w:type="dxa"/>
              <w:right w:w="108" w:type="dxa"/>
            </w:tcMar>
          </w:tcPr>
          <w:p w14:paraId="17BC343B" w14:textId="77777777" w:rsidR="006D3675" w:rsidRPr="00435469" w:rsidRDefault="006D3675" w:rsidP="00AD6E54">
            <w:pPr>
              <w:pStyle w:val="3TableData"/>
            </w:pPr>
            <w:r w:rsidRPr="00435469">
              <w:t>Recorded deaths – vital register, national TB prevalence survey. Case fatality ratios estimated in the literature</w:t>
            </w:r>
          </w:p>
        </w:tc>
      </w:tr>
      <w:tr w:rsidR="0061685C" w:rsidRPr="00435469" w14:paraId="56AE2BC3" w14:textId="77777777" w:rsidTr="00E12B57">
        <w:trPr>
          <w:trHeight w:val="749"/>
        </w:trPr>
        <w:tc>
          <w:tcPr>
            <w:tcW w:w="1701" w:type="dxa"/>
            <w:tcBorders>
              <w:top w:val="single" w:sz="4" w:space="0" w:color="auto"/>
              <w:bottom w:val="single" w:sz="4" w:space="0" w:color="auto"/>
            </w:tcBorders>
            <w:shd w:val="clear" w:color="auto" w:fill="auto"/>
            <w:tcMar>
              <w:top w:w="15" w:type="dxa"/>
              <w:left w:w="108" w:type="dxa"/>
              <w:bottom w:w="0" w:type="dxa"/>
              <w:right w:w="108" w:type="dxa"/>
            </w:tcMar>
          </w:tcPr>
          <w:p w14:paraId="0590B35B" w14:textId="77777777" w:rsidR="006D3675" w:rsidRPr="00435469" w:rsidRDefault="006D3675" w:rsidP="00AD6E54">
            <w:pPr>
              <w:pStyle w:val="3TableData"/>
            </w:pPr>
            <w:r w:rsidRPr="00435469">
              <w:t>Strata</w:t>
            </w:r>
          </w:p>
        </w:tc>
        <w:tc>
          <w:tcPr>
            <w:tcW w:w="3048" w:type="dxa"/>
            <w:tcBorders>
              <w:top w:val="single" w:sz="4" w:space="0" w:color="auto"/>
              <w:bottom w:val="single" w:sz="4" w:space="0" w:color="auto"/>
            </w:tcBorders>
            <w:shd w:val="clear" w:color="auto" w:fill="auto"/>
            <w:tcMar>
              <w:top w:w="15" w:type="dxa"/>
              <w:left w:w="108" w:type="dxa"/>
              <w:bottom w:w="0" w:type="dxa"/>
              <w:right w:w="108" w:type="dxa"/>
            </w:tcMar>
          </w:tcPr>
          <w:p w14:paraId="1B3D57B1" w14:textId="25F331F4" w:rsidR="006D3675" w:rsidRPr="00435469" w:rsidRDefault="006D3675" w:rsidP="00AD6E54">
            <w:pPr>
              <w:pStyle w:val="3TableData"/>
            </w:pPr>
            <w:r w:rsidRPr="00435469">
              <w:t xml:space="preserve">HIV, </w:t>
            </w:r>
            <w:r w:rsidR="00280C2B" w:rsidRPr="00435469">
              <w:t xml:space="preserve">CD4 stage, </w:t>
            </w:r>
            <w:r w:rsidRPr="00435469">
              <w:t>ART</w:t>
            </w:r>
            <w:r w:rsidR="0045540C" w:rsidRPr="00435469">
              <w:t>,</w:t>
            </w:r>
          </w:p>
          <w:p w14:paraId="1B59EC88" w14:textId="3749C7F5" w:rsidR="006D3675" w:rsidRPr="00435469" w:rsidRDefault="006D3675" w:rsidP="00AD6E54">
            <w:pPr>
              <w:pStyle w:val="3TableData"/>
            </w:pPr>
            <w:r w:rsidRPr="00435469">
              <w:t xml:space="preserve">Sex, age </w:t>
            </w:r>
          </w:p>
        </w:tc>
        <w:tc>
          <w:tcPr>
            <w:tcW w:w="2526" w:type="dxa"/>
            <w:tcBorders>
              <w:top w:val="single" w:sz="4" w:space="0" w:color="auto"/>
              <w:bottom w:val="single" w:sz="4" w:space="0" w:color="auto"/>
            </w:tcBorders>
            <w:shd w:val="clear" w:color="auto" w:fill="auto"/>
            <w:tcMar>
              <w:top w:w="15" w:type="dxa"/>
              <w:left w:w="108" w:type="dxa"/>
              <w:bottom w:w="0" w:type="dxa"/>
              <w:right w:w="108" w:type="dxa"/>
            </w:tcMar>
          </w:tcPr>
          <w:p w14:paraId="63D3DEF7" w14:textId="77777777" w:rsidR="006D3675" w:rsidRPr="00435469" w:rsidRDefault="006D3675" w:rsidP="00AD6E54">
            <w:pPr>
              <w:pStyle w:val="3TableData"/>
            </w:pPr>
            <w:r w:rsidRPr="00435469">
              <w:t>HIV, sex, age</w:t>
            </w:r>
          </w:p>
        </w:tc>
        <w:tc>
          <w:tcPr>
            <w:tcW w:w="2405" w:type="dxa"/>
            <w:tcBorders>
              <w:top w:val="single" w:sz="4" w:space="0" w:color="auto"/>
              <w:bottom w:val="single" w:sz="4" w:space="0" w:color="auto"/>
            </w:tcBorders>
            <w:shd w:val="clear" w:color="auto" w:fill="auto"/>
            <w:tcMar>
              <w:top w:w="15" w:type="dxa"/>
              <w:left w:w="108" w:type="dxa"/>
              <w:bottom w:w="0" w:type="dxa"/>
              <w:right w:w="108" w:type="dxa"/>
            </w:tcMar>
          </w:tcPr>
          <w:p w14:paraId="521DA776" w14:textId="77777777" w:rsidR="006D3675" w:rsidRPr="00435469" w:rsidRDefault="006D3675" w:rsidP="00AD6E54">
            <w:pPr>
              <w:pStyle w:val="3TableData"/>
            </w:pPr>
            <w:r w:rsidRPr="00435469">
              <w:t>HIV, sex, age</w:t>
            </w:r>
          </w:p>
        </w:tc>
      </w:tr>
      <w:tr w:rsidR="0061685C" w:rsidRPr="00435469" w14:paraId="051ED3FB" w14:textId="77777777" w:rsidTr="00E12B57">
        <w:trPr>
          <w:trHeight w:val="1480"/>
        </w:trPr>
        <w:tc>
          <w:tcPr>
            <w:tcW w:w="1701" w:type="dxa"/>
            <w:tcBorders>
              <w:top w:val="single" w:sz="4" w:space="0" w:color="auto"/>
              <w:bottom w:val="single" w:sz="4" w:space="0" w:color="auto"/>
            </w:tcBorders>
            <w:shd w:val="clear" w:color="auto" w:fill="auto"/>
            <w:tcMar>
              <w:top w:w="15" w:type="dxa"/>
              <w:left w:w="108" w:type="dxa"/>
              <w:bottom w:w="0" w:type="dxa"/>
              <w:right w:w="108" w:type="dxa"/>
            </w:tcMar>
          </w:tcPr>
          <w:p w14:paraId="72D1C622" w14:textId="77777777" w:rsidR="006D3675" w:rsidRPr="00435469" w:rsidRDefault="006D3675" w:rsidP="00AD6E54">
            <w:pPr>
              <w:pStyle w:val="3TableData"/>
            </w:pPr>
            <w:r w:rsidRPr="00435469">
              <w:t xml:space="preserve">Modelling TB incidence </w:t>
            </w:r>
          </w:p>
        </w:tc>
        <w:tc>
          <w:tcPr>
            <w:tcW w:w="3048" w:type="dxa"/>
            <w:tcBorders>
              <w:top w:val="single" w:sz="4" w:space="0" w:color="auto"/>
              <w:bottom w:val="single" w:sz="4" w:space="0" w:color="auto"/>
            </w:tcBorders>
            <w:shd w:val="clear" w:color="auto" w:fill="auto"/>
            <w:tcMar>
              <w:top w:w="15" w:type="dxa"/>
              <w:left w:w="108" w:type="dxa"/>
              <w:bottom w:w="0" w:type="dxa"/>
              <w:right w:w="108" w:type="dxa"/>
            </w:tcMar>
          </w:tcPr>
          <w:p w14:paraId="74AAEE93" w14:textId="77777777" w:rsidR="006D3675" w:rsidRPr="00435469" w:rsidRDefault="006D3675" w:rsidP="00AD6E54">
            <w:pPr>
              <w:pStyle w:val="3TableData"/>
            </w:pPr>
            <w:r w:rsidRPr="00435469">
              <w:t>Depends on fast progression, reactivation, relapse. Incorporated the effect of HIV, ART and CD4 count.</w:t>
            </w:r>
          </w:p>
        </w:tc>
        <w:tc>
          <w:tcPr>
            <w:tcW w:w="2526" w:type="dxa"/>
            <w:tcBorders>
              <w:top w:val="single" w:sz="4" w:space="0" w:color="auto"/>
              <w:bottom w:val="single" w:sz="4" w:space="0" w:color="auto"/>
            </w:tcBorders>
            <w:shd w:val="clear" w:color="auto" w:fill="auto"/>
            <w:tcMar>
              <w:top w:w="15" w:type="dxa"/>
              <w:left w:w="108" w:type="dxa"/>
              <w:bottom w:w="0" w:type="dxa"/>
              <w:right w:w="108" w:type="dxa"/>
            </w:tcMar>
          </w:tcPr>
          <w:p w14:paraId="5C8F70B7" w14:textId="007B3BF1" w:rsidR="006D3675" w:rsidRPr="00435469" w:rsidRDefault="006D3675" w:rsidP="00AD6E54">
            <w:pPr>
              <w:pStyle w:val="3TableData"/>
            </w:pPr>
            <w:r w:rsidRPr="00435469">
              <w:t>Use</w:t>
            </w:r>
            <w:r w:rsidR="003D189D" w:rsidRPr="00435469">
              <w:t>d</w:t>
            </w:r>
            <w:r w:rsidRPr="00435469">
              <w:t xml:space="preserve"> meta-regression to estimate mortality-to-incidence ratios. Then use mortality-to-incidence ratios and cause-specific mortality estimates to compute incidence. </w:t>
            </w:r>
          </w:p>
          <w:p w14:paraId="05E40B4E" w14:textId="50C4DFEA" w:rsidR="006D3675" w:rsidRPr="00435469" w:rsidRDefault="006D3675" w:rsidP="00AD6E54">
            <w:pPr>
              <w:pStyle w:val="3TableData"/>
            </w:pPr>
            <w:r w:rsidRPr="00435469">
              <w:t xml:space="preserve">(Did not use the 2018 South African TB prevalence - based on communication with </w:t>
            </w:r>
            <w:proofErr w:type="spellStart"/>
            <w:r w:rsidR="00B93947" w:rsidRPr="00435469">
              <w:t>Hmwe</w:t>
            </w:r>
            <w:proofErr w:type="spellEnd"/>
            <w:r w:rsidR="00B93947" w:rsidRPr="00435469">
              <w:t xml:space="preserve"> Kyu</w:t>
            </w:r>
            <w:r w:rsidRPr="00435469">
              <w:t>)</w:t>
            </w:r>
          </w:p>
        </w:tc>
        <w:tc>
          <w:tcPr>
            <w:tcW w:w="2405" w:type="dxa"/>
            <w:tcBorders>
              <w:top w:val="single" w:sz="4" w:space="0" w:color="auto"/>
              <w:bottom w:val="single" w:sz="4" w:space="0" w:color="auto"/>
            </w:tcBorders>
            <w:shd w:val="clear" w:color="auto" w:fill="auto"/>
            <w:tcMar>
              <w:top w:w="15" w:type="dxa"/>
              <w:left w:w="108" w:type="dxa"/>
              <w:bottom w:w="0" w:type="dxa"/>
              <w:right w:w="108" w:type="dxa"/>
            </w:tcMar>
          </w:tcPr>
          <w:p w14:paraId="18925541" w14:textId="77777777" w:rsidR="006D3675" w:rsidRPr="00435469" w:rsidRDefault="006D3675" w:rsidP="00AD6E54">
            <w:pPr>
              <w:pStyle w:val="3TableData"/>
            </w:pPr>
            <w:r w:rsidRPr="00435469">
              <w:t>TB prevalence surveys combined with estimates of the duration of disease.</w:t>
            </w:r>
          </w:p>
          <w:p w14:paraId="40DD4EA5" w14:textId="77777777" w:rsidR="006D3675" w:rsidRPr="00435469" w:rsidRDefault="006D3675" w:rsidP="00AD6E54">
            <w:pPr>
              <w:pStyle w:val="3TableData"/>
            </w:pPr>
          </w:p>
        </w:tc>
      </w:tr>
      <w:tr w:rsidR="0061685C" w:rsidRPr="00435469" w14:paraId="059BD916" w14:textId="77777777" w:rsidTr="00E12B57">
        <w:trPr>
          <w:trHeight w:val="41"/>
        </w:trPr>
        <w:tc>
          <w:tcPr>
            <w:tcW w:w="1701" w:type="dxa"/>
            <w:tcBorders>
              <w:top w:val="single" w:sz="4" w:space="0" w:color="auto"/>
              <w:bottom w:val="single" w:sz="4" w:space="0" w:color="auto"/>
            </w:tcBorders>
            <w:shd w:val="clear" w:color="auto" w:fill="auto"/>
            <w:tcMar>
              <w:top w:w="15" w:type="dxa"/>
              <w:left w:w="108" w:type="dxa"/>
              <w:bottom w:w="0" w:type="dxa"/>
              <w:right w:w="108" w:type="dxa"/>
            </w:tcMar>
          </w:tcPr>
          <w:p w14:paraId="0AB6F4F7" w14:textId="77777777" w:rsidR="006D3675" w:rsidRPr="00435469" w:rsidRDefault="006D3675" w:rsidP="00AD6E54">
            <w:pPr>
              <w:pStyle w:val="3TableData"/>
            </w:pPr>
            <w:r w:rsidRPr="00435469">
              <w:t>Modelling TB mortality</w:t>
            </w:r>
          </w:p>
          <w:p w14:paraId="27E064B9" w14:textId="77777777" w:rsidR="006D3675" w:rsidRPr="00435469" w:rsidRDefault="006D3675" w:rsidP="00AD6E54">
            <w:pPr>
              <w:pStyle w:val="3TableData"/>
            </w:pPr>
          </w:p>
        </w:tc>
        <w:tc>
          <w:tcPr>
            <w:tcW w:w="3048" w:type="dxa"/>
            <w:tcBorders>
              <w:top w:val="single" w:sz="4" w:space="0" w:color="auto"/>
              <w:bottom w:val="single" w:sz="4" w:space="0" w:color="auto"/>
            </w:tcBorders>
            <w:shd w:val="clear" w:color="auto" w:fill="auto"/>
            <w:tcMar>
              <w:top w:w="15" w:type="dxa"/>
              <w:left w:w="108" w:type="dxa"/>
              <w:bottom w:w="0" w:type="dxa"/>
              <w:right w:w="108" w:type="dxa"/>
            </w:tcMar>
          </w:tcPr>
          <w:p w14:paraId="6684E180" w14:textId="77777777" w:rsidR="006D3675" w:rsidRPr="00435469" w:rsidRDefault="006D3675" w:rsidP="00AD6E54">
            <w:pPr>
              <w:pStyle w:val="3TableData"/>
            </w:pPr>
            <w:r w:rsidRPr="00435469">
              <w:t>Assumed death rates for TB treated and untreated cases. Incorporated the effect of HIV, ART and CD4 count.</w:t>
            </w:r>
          </w:p>
          <w:p w14:paraId="12CBD29B" w14:textId="77777777" w:rsidR="006D3675" w:rsidRPr="00435469" w:rsidRDefault="006D3675" w:rsidP="00AD6E54">
            <w:pPr>
              <w:pStyle w:val="3TableData"/>
            </w:pPr>
          </w:p>
          <w:p w14:paraId="305B3563" w14:textId="77777777" w:rsidR="006D3675" w:rsidRPr="00435469" w:rsidRDefault="006D3675" w:rsidP="00AD6E54">
            <w:pPr>
              <w:pStyle w:val="3TableData"/>
            </w:pPr>
          </w:p>
          <w:p w14:paraId="361BEFD5" w14:textId="77777777" w:rsidR="006D3675" w:rsidRPr="00435469" w:rsidRDefault="006D3675" w:rsidP="00AD6E54">
            <w:pPr>
              <w:pStyle w:val="3TableData"/>
            </w:pPr>
          </w:p>
        </w:tc>
        <w:tc>
          <w:tcPr>
            <w:tcW w:w="2526" w:type="dxa"/>
            <w:tcBorders>
              <w:top w:val="single" w:sz="4" w:space="0" w:color="auto"/>
              <w:bottom w:val="single" w:sz="4" w:space="0" w:color="auto"/>
            </w:tcBorders>
            <w:shd w:val="clear" w:color="auto" w:fill="auto"/>
            <w:tcMar>
              <w:top w:w="15" w:type="dxa"/>
              <w:left w:w="108" w:type="dxa"/>
              <w:bottom w:w="0" w:type="dxa"/>
              <w:right w:w="108" w:type="dxa"/>
            </w:tcMar>
          </w:tcPr>
          <w:p w14:paraId="68CC8230" w14:textId="0492BA68" w:rsidR="006D3675" w:rsidRPr="00435469" w:rsidRDefault="006D3675" w:rsidP="00AD6E54">
            <w:pPr>
              <w:pStyle w:val="3TableData"/>
            </w:pPr>
            <w:r w:rsidRPr="00435469">
              <w:t>Use vital registry and verbal autopsy data. Use mixed-effects regression models to estimate the proportion of HIV-TB cases among all TB cases. Estimate</w:t>
            </w:r>
            <w:r w:rsidR="00202EE4" w:rsidRPr="00435469">
              <w:t>d</w:t>
            </w:r>
            <w:r w:rsidRPr="00435469">
              <w:t xml:space="preserve"> relative risks of TB deaths in HIV-positive individuals</w:t>
            </w:r>
            <w:r w:rsidR="00EC704D" w:rsidRPr="00435469">
              <w:t>, t</w:t>
            </w:r>
            <w:r w:rsidRPr="00435469">
              <w:t xml:space="preserve">hen use a population attributable fraction approach to estimated deaths attributable to HIV. </w:t>
            </w:r>
          </w:p>
        </w:tc>
        <w:tc>
          <w:tcPr>
            <w:tcW w:w="2405" w:type="dxa"/>
            <w:tcBorders>
              <w:top w:val="single" w:sz="4" w:space="0" w:color="auto"/>
              <w:bottom w:val="single" w:sz="4" w:space="0" w:color="auto"/>
            </w:tcBorders>
            <w:shd w:val="clear" w:color="auto" w:fill="auto"/>
            <w:tcMar>
              <w:top w:w="15" w:type="dxa"/>
              <w:left w:w="108" w:type="dxa"/>
              <w:bottom w:w="0" w:type="dxa"/>
              <w:right w:w="108" w:type="dxa"/>
            </w:tcMar>
          </w:tcPr>
          <w:p w14:paraId="08AB540B" w14:textId="568E5219" w:rsidR="006D3675" w:rsidRPr="00435469" w:rsidRDefault="006D3675" w:rsidP="00AD6E54">
            <w:pPr>
              <w:pStyle w:val="3TableData"/>
            </w:pPr>
            <w:r w:rsidRPr="00435469">
              <w:t xml:space="preserve">For HIV-negative individuals: used vital registry data cleaned and </w:t>
            </w:r>
            <w:r w:rsidR="00EC704D" w:rsidRPr="00435469">
              <w:t>analyzed</w:t>
            </w:r>
            <w:r w:rsidRPr="00435469">
              <w:t xml:space="preserve"> by the IHME. </w:t>
            </w:r>
          </w:p>
          <w:p w14:paraId="2FC3CCFD" w14:textId="77777777" w:rsidR="006D3675" w:rsidRPr="00435469" w:rsidRDefault="006D3675" w:rsidP="00AD6E54">
            <w:pPr>
              <w:pStyle w:val="3TableData"/>
            </w:pPr>
            <w:r w:rsidRPr="00435469">
              <w:t>For HIV-positive individuals, apply case fatality ratios to TB incidence, accounting for antiretroviral treatment's protective effect.</w:t>
            </w:r>
          </w:p>
        </w:tc>
      </w:tr>
    </w:tbl>
    <w:p w14:paraId="314EE553" w14:textId="46382235" w:rsidR="000F0AD7" w:rsidRPr="00435469" w:rsidRDefault="0000157A" w:rsidP="00955FFB">
      <w:pPr>
        <w:pStyle w:val="3TableNote"/>
        <w:rPr>
          <w:szCs w:val="20"/>
        </w:rPr>
      </w:pPr>
      <w:r w:rsidRPr="00435469">
        <w:rPr>
          <w:szCs w:val="20"/>
        </w:rPr>
        <w:t xml:space="preserve">ART: antiretroviral therapy; </w:t>
      </w:r>
      <w:r w:rsidR="006D3675" w:rsidRPr="00435469">
        <w:rPr>
          <w:szCs w:val="20"/>
        </w:rPr>
        <w:t xml:space="preserve">IHME: Institute </w:t>
      </w:r>
      <w:r w:rsidR="00715D0B" w:rsidRPr="00435469">
        <w:rPr>
          <w:szCs w:val="20"/>
        </w:rPr>
        <w:t>for</w:t>
      </w:r>
      <w:r w:rsidR="006D3675" w:rsidRPr="00435469">
        <w:rPr>
          <w:szCs w:val="20"/>
        </w:rPr>
        <w:t xml:space="preserve"> Health Metrics and Evaluation; </w:t>
      </w:r>
      <w:r w:rsidR="00C77B6A" w:rsidRPr="00435469">
        <w:rPr>
          <w:szCs w:val="20"/>
        </w:rPr>
        <w:t xml:space="preserve">TB=Tuberculosis; </w:t>
      </w:r>
      <w:r w:rsidR="006D3675" w:rsidRPr="00435469">
        <w:rPr>
          <w:szCs w:val="20"/>
        </w:rPr>
        <w:t>WHO: World Health Organization</w:t>
      </w:r>
      <w:bookmarkStart w:id="408" w:name="_Hlk88481986"/>
      <w:bookmarkStart w:id="409" w:name="_Toc79099818"/>
      <w:bookmarkEnd w:id="395"/>
    </w:p>
    <w:bookmarkEnd w:id="408"/>
    <w:p w14:paraId="1ABFDE46" w14:textId="2285ACF8" w:rsidR="00DE4F63" w:rsidRPr="00435469" w:rsidRDefault="00DE4F63" w:rsidP="00955FFB">
      <w:pPr>
        <w:spacing w:before="240" w:line="240" w:lineRule="auto"/>
        <w:rPr>
          <w:rFonts w:eastAsiaTheme="minorEastAsia" w:cs="Times New Roman"/>
          <w:iCs/>
          <w:sz w:val="20"/>
          <w:szCs w:val="20"/>
          <w:lang w:eastAsia="en-ZA"/>
        </w:rPr>
      </w:pPr>
    </w:p>
    <w:p w14:paraId="7D4966D4" w14:textId="77777777" w:rsidR="00DE4F63" w:rsidRPr="00435469" w:rsidRDefault="00DE4F63" w:rsidP="00955FFB">
      <w:pPr>
        <w:spacing w:before="240" w:line="240" w:lineRule="auto"/>
        <w:rPr>
          <w:rFonts w:eastAsiaTheme="minorEastAsia" w:cs="Times New Roman"/>
          <w:iCs/>
          <w:sz w:val="20"/>
          <w:szCs w:val="20"/>
          <w:lang w:eastAsia="en-ZA"/>
        </w:rPr>
      </w:pPr>
    </w:p>
    <w:p w14:paraId="0A8C52C0" w14:textId="77777777" w:rsidR="00FA1C5D" w:rsidRPr="00435469" w:rsidRDefault="00FA1C5D" w:rsidP="00955FFB">
      <w:pPr>
        <w:spacing w:before="240" w:line="240" w:lineRule="auto"/>
        <w:rPr>
          <w:rFonts w:eastAsiaTheme="minorEastAsia" w:cs="Times New Roman"/>
          <w:iCs/>
          <w:sz w:val="20"/>
          <w:szCs w:val="20"/>
          <w:lang w:eastAsia="en-ZA"/>
        </w:rPr>
      </w:pPr>
    </w:p>
    <w:p w14:paraId="2E3D8BFA" w14:textId="77777777" w:rsidR="00FA1C5D" w:rsidRPr="00435469" w:rsidRDefault="00FA1C5D" w:rsidP="00955FFB">
      <w:pPr>
        <w:spacing w:before="240" w:line="240" w:lineRule="auto"/>
        <w:rPr>
          <w:rFonts w:eastAsiaTheme="minorEastAsia" w:cs="Times New Roman"/>
          <w:iCs/>
          <w:sz w:val="20"/>
          <w:szCs w:val="20"/>
          <w:lang w:eastAsia="en-ZA"/>
        </w:rPr>
      </w:pPr>
    </w:p>
    <w:p w14:paraId="5B34EFE4" w14:textId="77777777" w:rsidR="00FA1C5D" w:rsidRPr="00435469" w:rsidRDefault="00FA1C5D" w:rsidP="00955FFB">
      <w:pPr>
        <w:spacing w:before="240" w:line="240" w:lineRule="auto"/>
        <w:rPr>
          <w:rFonts w:eastAsiaTheme="minorEastAsia" w:cs="Times New Roman"/>
          <w:iCs/>
          <w:sz w:val="20"/>
          <w:szCs w:val="20"/>
          <w:lang w:eastAsia="en-ZA"/>
        </w:rPr>
      </w:pPr>
    </w:p>
    <w:p w14:paraId="11AAF91E" w14:textId="77777777" w:rsidR="00FA1C5D" w:rsidRPr="00435469" w:rsidRDefault="00FA1C5D" w:rsidP="00955FFB">
      <w:pPr>
        <w:spacing w:before="240" w:line="240" w:lineRule="auto"/>
        <w:rPr>
          <w:rFonts w:eastAsiaTheme="minorEastAsia" w:cs="Times New Roman"/>
          <w:iCs/>
          <w:sz w:val="20"/>
          <w:szCs w:val="20"/>
          <w:lang w:eastAsia="en-ZA"/>
        </w:rPr>
      </w:pPr>
    </w:p>
    <w:p w14:paraId="38E9A22F" w14:textId="77777777" w:rsidR="005B2C93" w:rsidRPr="00435469" w:rsidRDefault="005B2C93" w:rsidP="00955FFB">
      <w:pPr>
        <w:spacing w:before="240" w:line="240" w:lineRule="auto"/>
        <w:rPr>
          <w:rFonts w:eastAsiaTheme="minorEastAsia" w:cs="Times New Roman"/>
          <w:iCs/>
          <w:sz w:val="20"/>
          <w:szCs w:val="20"/>
          <w:lang w:eastAsia="en-ZA"/>
        </w:rPr>
      </w:pPr>
    </w:p>
    <w:p w14:paraId="6D01830F" w14:textId="77777777" w:rsidR="005B2C93" w:rsidRPr="00435469" w:rsidRDefault="005B2C93" w:rsidP="00955FFB">
      <w:pPr>
        <w:spacing w:before="240" w:line="240" w:lineRule="auto"/>
        <w:rPr>
          <w:rFonts w:eastAsiaTheme="minorEastAsia" w:cs="Times New Roman"/>
          <w:iCs/>
          <w:sz w:val="20"/>
          <w:szCs w:val="20"/>
          <w:lang w:eastAsia="en-ZA"/>
        </w:rPr>
      </w:pPr>
    </w:p>
    <w:p w14:paraId="5BC424E4" w14:textId="77777777" w:rsidR="005B2C93" w:rsidRPr="00435469" w:rsidRDefault="005B2C93" w:rsidP="00955FFB">
      <w:pPr>
        <w:spacing w:before="240" w:line="240" w:lineRule="auto"/>
        <w:rPr>
          <w:rFonts w:eastAsiaTheme="minorEastAsia" w:cs="Times New Roman"/>
          <w:iCs/>
          <w:sz w:val="20"/>
          <w:szCs w:val="20"/>
          <w:lang w:eastAsia="en-ZA"/>
        </w:rPr>
      </w:pPr>
    </w:p>
    <w:p w14:paraId="550267C8" w14:textId="0E351E13" w:rsidR="00F6580B" w:rsidRPr="00435469" w:rsidRDefault="00D67874" w:rsidP="00955FFB">
      <w:pPr>
        <w:pStyle w:val="Heading2"/>
        <w:numPr>
          <w:ilvl w:val="1"/>
          <w:numId w:val="11"/>
        </w:numPr>
        <w:rPr>
          <w:bCs/>
          <w:color w:val="auto"/>
          <w:sz w:val="20"/>
          <w:szCs w:val="20"/>
        </w:rPr>
      </w:pPr>
      <w:bookmarkStart w:id="410" w:name="_Toc103252969"/>
      <w:r w:rsidRPr="00435469">
        <w:rPr>
          <w:bCs/>
          <w:color w:val="auto"/>
          <w:sz w:val="20"/>
          <w:szCs w:val="20"/>
        </w:rPr>
        <w:lastRenderedPageBreak/>
        <w:t>References</w:t>
      </w:r>
      <w:bookmarkEnd w:id="410"/>
    </w:p>
    <w:p w14:paraId="47274B7D" w14:textId="1EFF50C6" w:rsidR="00650727" w:rsidRPr="00435469" w:rsidRDefault="00F6580B" w:rsidP="00650727">
      <w:pPr>
        <w:widowControl w:val="0"/>
        <w:autoSpaceDE w:val="0"/>
        <w:autoSpaceDN w:val="0"/>
        <w:adjustRightInd w:val="0"/>
        <w:spacing w:line="240" w:lineRule="auto"/>
        <w:ind w:left="640" w:hanging="640"/>
        <w:rPr>
          <w:rFonts w:cs="Times New Roman"/>
          <w:noProof/>
          <w:sz w:val="20"/>
          <w:szCs w:val="24"/>
        </w:rPr>
      </w:pPr>
      <w:r w:rsidRPr="00435469">
        <w:rPr>
          <w:sz w:val="20"/>
          <w:szCs w:val="20"/>
        </w:rPr>
        <w:fldChar w:fldCharType="begin" w:fldLock="1"/>
      </w:r>
      <w:r w:rsidRPr="00435469">
        <w:rPr>
          <w:sz w:val="20"/>
          <w:szCs w:val="20"/>
        </w:rPr>
        <w:instrText xml:space="preserve">ADDIN Mendeley Bibliography CSL_BIBLIOGRAPHY </w:instrText>
      </w:r>
      <w:r w:rsidRPr="00435469">
        <w:rPr>
          <w:sz w:val="20"/>
          <w:szCs w:val="20"/>
        </w:rPr>
        <w:fldChar w:fldCharType="separate"/>
      </w:r>
      <w:r w:rsidR="00650727" w:rsidRPr="00435469">
        <w:rPr>
          <w:rFonts w:cs="Times New Roman"/>
          <w:noProof/>
          <w:sz w:val="20"/>
          <w:szCs w:val="24"/>
        </w:rPr>
        <w:t xml:space="preserve">1. </w:t>
      </w:r>
      <w:r w:rsidR="00650727" w:rsidRPr="00435469">
        <w:rPr>
          <w:rFonts w:cs="Times New Roman"/>
          <w:noProof/>
          <w:sz w:val="20"/>
          <w:szCs w:val="24"/>
        </w:rPr>
        <w:tab/>
        <w:t xml:space="preserve">Vynnycky E, Fine PE. The natural history of tuberculosis: the implications of age-dependent risks of disease and the role of reinfection. Epidemiol Infect. 1997;119(2):183–201. </w:t>
      </w:r>
    </w:p>
    <w:p w14:paraId="4987C902"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2. </w:t>
      </w:r>
      <w:r w:rsidRPr="00435469">
        <w:rPr>
          <w:rFonts w:cs="Times New Roman"/>
          <w:noProof/>
          <w:sz w:val="20"/>
          <w:szCs w:val="24"/>
        </w:rPr>
        <w:tab/>
        <w:t xml:space="preserve">Dye C, Floyd K. Chapter 16. Tuberculosis. In: In Disease Control Priorities in Developing Countries. 2006. p. 289–309. </w:t>
      </w:r>
    </w:p>
    <w:p w14:paraId="79374051"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3. </w:t>
      </w:r>
      <w:r w:rsidRPr="00435469">
        <w:rPr>
          <w:rFonts w:cs="Times New Roman"/>
          <w:noProof/>
          <w:sz w:val="20"/>
          <w:szCs w:val="24"/>
        </w:rPr>
        <w:tab/>
        <w:t xml:space="preserve">Kasaie P, Andrews JR, Kelton WD, Dowdy DW. Timing of tuberculosis transmission and the impact of household contact tracing: An agent-based model. Am J Respir Crit Care Med. 2014;189(7):845–52. </w:t>
      </w:r>
    </w:p>
    <w:p w14:paraId="57AB6786"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4. </w:t>
      </w:r>
      <w:r w:rsidRPr="00435469">
        <w:rPr>
          <w:rFonts w:cs="Times New Roman"/>
          <w:noProof/>
          <w:sz w:val="20"/>
          <w:szCs w:val="24"/>
        </w:rPr>
        <w:tab/>
        <w:t xml:space="preserve">Johnson L, Dorrington R. Thembisa version 4.1: A model for evaluating the impact of HIV/AIDS in South Africa. 2018. </w:t>
      </w:r>
    </w:p>
    <w:p w14:paraId="65AF6282"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5. </w:t>
      </w:r>
      <w:r w:rsidRPr="00435469">
        <w:rPr>
          <w:rFonts w:cs="Times New Roman"/>
          <w:noProof/>
          <w:sz w:val="20"/>
          <w:szCs w:val="24"/>
        </w:rPr>
        <w:tab/>
        <w:t xml:space="preserve">Johnson L, Dorrington R. Thembisa version 4.4: A model for evaluating the impact of HIV/AIDS in South Africa. 2021. </w:t>
      </w:r>
    </w:p>
    <w:p w14:paraId="14630579"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6. </w:t>
      </w:r>
      <w:r w:rsidRPr="00435469">
        <w:rPr>
          <w:rFonts w:cs="Times New Roman"/>
          <w:noProof/>
          <w:sz w:val="20"/>
          <w:szCs w:val="24"/>
        </w:rPr>
        <w:tab/>
        <w:t xml:space="preserve">Kubjane M, Osman M, Boulle A, Johnson LF. The impact of HIV and tuberculosis interventions on South African adult tuberculosis trends, 1990-2019: A mathematical modelling analysis. Int J Infect Dis. 2022 Jul; </w:t>
      </w:r>
    </w:p>
    <w:p w14:paraId="35D5AA2E"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7. </w:t>
      </w:r>
      <w:r w:rsidRPr="00435469">
        <w:rPr>
          <w:rFonts w:cs="Times New Roman"/>
          <w:noProof/>
          <w:sz w:val="20"/>
          <w:szCs w:val="24"/>
        </w:rPr>
        <w:tab/>
        <w:t xml:space="preserve">Johnson L. THEMBISA version 1.0: A model for evaluating the impact of HIV / AIDS in South Africa. 2014. </w:t>
      </w:r>
    </w:p>
    <w:p w14:paraId="60EE7B87"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8. </w:t>
      </w:r>
      <w:r w:rsidRPr="00435469">
        <w:rPr>
          <w:rFonts w:cs="Times New Roman"/>
          <w:noProof/>
          <w:sz w:val="20"/>
          <w:szCs w:val="24"/>
        </w:rPr>
        <w:tab/>
        <w:t xml:space="preserve">Williams BG, Korenromp EL, Gouws E, Schmid GP, Auvert B, Dye C. HIV Infection, Antiretroviral Therapy, and CD4 + Cell Count Distributions in African Populations. J Infect Dis. 2006;194(10):1450–8. </w:t>
      </w:r>
    </w:p>
    <w:p w14:paraId="3805DB8F"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9. </w:t>
      </w:r>
      <w:r w:rsidRPr="00435469">
        <w:rPr>
          <w:rFonts w:cs="Times New Roman"/>
          <w:noProof/>
          <w:sz w:val="20"/>
          <w:szCs w:val="24"/>
        </w:rPr>
        <w:tab/>
        <w:t xml:space="preserve">Scriba TJ, Fiore-Gartland A, Penn-Nicholson A, Mulenga H, Kimbung Mbandi S, Borate B, et al. Biomarker-guided tuberculosis preventive therapy (CORTIS): a randomised controlled trial. Lancet Infect Dis. 2021;21(3):354–65. </w:t>
      </w:r>
    </w:p>
    <w:p w14:paraId="53C4DDE8"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10. </w:t>
      </w:r>
      <w:r w:rsidRPr="00435469">
        <w:rPr>
          <w:rFonts w:cs="Times New Roman"/>
          <w:noProof/>
          <w:sz w:val="20"/>
          <w:szCs w:val="24"/>
        </w:rPr>
        <w:tab/>
        <w:t xml:space="preserve">Pai M, Zwerling A, Menzies D. Systematic review: T-cell-based assays for the diagnosis of latent tuberculosis infection: an update. Ann Intern Med. 2008;149(3):177–84. </w:t>
      </w:r>
    </w:p>
    <w:p w14:paraId="4281E8C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11. </w:t>
      </w:r>
      <w:r w:rsidRPr="00435469">
        <w:rPr>
          <w:rFonts w:cs="Times New Roman"/>
          <w:noProof/>
          <w:sz w:val="20"/>
          <w:szCs w:val="24"/>
        </w:rPr>
        <w:tab/>
        <w:t xml:space="preserve">Wood R, Liang H, Wu H, Middelkoop K, Oni T. Changing prevalence of TB infection with increasing age in high TB burden townships in South Africa. Int J Tuberc Lung Dis. 2010;14(4):406–12. </w:t>
      </w:r>
    </w:p>
    <w:p w14:paraId="0CCB9F18"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12. </w:t>
      </w:r>
      <w:r w:rsidRPr="00435469">
        <w:rPr>
          <w:rFonts w:cs="Times New Roman"/>
          <w:noProof/>
          <w:sz w:val="20"/>
          <w:szCs w:val="24"/>
        </w:rPr>
        <w:tab/>
        <w:t xml:space="preserve">Mahomed H, Hawkridge T, Verver S, Geiter L, Hatherill M, Abrahams D, et al. Predictive factors for latent tuberculosis infection among adolescents in a high-burden area in South Africa. Int J Tuberc Lung Dis. 2011;15(3):331–6. </w:t>
      </w:r>
    </w:p>
    <w:p w14:paraId="7AA300CE"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13. </w:t>
      </w:r>
      <w:r w:rsidRPr="00435469">
        <w:rPr>
          <w:rFonts w:cs="Times New Roman"/>
          <w:noProof/>
          <w:sz w:val="20"/>
          <w:szCs w:val="24"/>
        </w:rPr>
        <w:tab/>
        <w:t xml:space="preserve">Hanifa Y, Grant AD, Lewis J, Corbett EL, Fielding K, Churchyard G. Prevalence of latent tuberculosis infection among gold miners in South Africa. Int J Tuberc Lung Dis. 2009;13(1):39–46. </w:t>
      </w:r>
    </w:p>
    <w:p w14:paraId="5A62DBA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14. </w:t>
      </w:r>
      <w:r w:rsidRPr="00435469">
        <w:rPr>
          <w:rFonts w:cs="Times New Roman"/>
          <w:noProof/>
          <w:sz w:val="20"/>
          <w:szCs w:val="24"/>
        </w:rPr>
        <w:tab/>
        <w:t xml:space="preserve">Ncayiyana JR, Bassett J, West N, Westreich D, Musenge E, Emch M, et al. Prevalence of latent tuberculosis infection and predictive factors in an urban informal settlement in Johannesburg, South Africa: a cross-sectional study. BMC Infect Dis. 2016;16(1):661. </w:t>
      </w:r>
    </w:p>
    <w:p w14:paraId="1D91FA47"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15. </w:t>
      </w:r>
      <w:r w:rsidRPr="00435469">
        <w:rPr>
          <w:rFonts w:cs="Times New Roman"/>
          <w:noProof/>
          <w:sz w:val="20"/>
          <w:szCs w:val="24"/>
        </w:rPr>
        <w:tab/>
        <w:t xml:space="preserve">Samson M, Porter N, Orekoya O, Hebert JR, Adams SA, Bennett CL, et al. Incidence of occupational latent tuberculosis infection in South African healthcare workers. Eur Respir J. 2015;45(5):1364–73. </w:t>
      </w:r>
    </w:p>
    <w:p w14:paraId="043B3064"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lastRenderedPageBreak/>
        <w:t xml:space="preserve">16. </w:t>
      </w:r>
      <w:r w:rsidRPr="00435469">
        <w:rPr>
          <w:rFonts w:cs="Times New Roman"/>
          <w:noProof/>
          <w:sz w:val="20"/>
          <w:szCs w:val="24"/>
        </w:rPr>
        <w:tab/>
        <w:t xml:space="preserve">Seddon JA, Paton J, Nademi Z, Keane D, Williams B, Williams A, et al. The impact of BCG vaccination on tuberculin skin test responses in children is age dependent: Evidence to be considered when screening children for tuberculosis infection. Thorax. 2016;71(10):932–9. </w:t>
      </w:r>
    </w:p>
    <w:p w14:paraId="6DBC2173"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17. </w:t>
      </w:r>
      <w:r w:rsidRPr="00435469">
        <w:rPr>
          <w:rFonts w:cs="Times New Roman"/>
          <w:noProof/>
          <w:sz w:val="20"/>
          <w:szCs w:val="24"/>
        </w:rPr>
        <w:tab/>
        <w:t xml:space="preserve">Global Tuberculosis Report 2014. World Health Organization. Geneva, Switzerland; 2014. </w:t>
      </w:r>
    </w:p>
    <w:p w14:paraId="655C30A9"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18. </w:t>
      </w:r>
      <w:r w:rsidRPr="00435469">
        <w:rPr>
          <w:rFonts w:cs="Times New Roman"/>
          <w:noProof/>
          <w:sz w:val="20"/>
          <w:szCs w:val="24"/>
        </w:rPr>
        <w:tab/>
        <w:t xml:space="preserve">Wood R, Lawn SD, Caldwell J, Kaplan R, Middelkoop K, Bekker LG. Burden of new and recurrent tuberculosis in a major South African city stratified by age and HIV-status. PLoS One. 2011;6(10). </w:t>
      </w:r>
    </w:p>
    <w:p w14:paraId="1CC3B537"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19. </w:t>
      </w:r>
      <w:r w:rsidRPr="00435469">
        <w:rPr>
          <w:rFonts w:cs="Times New Roman"/>
          <w:noProof/>
          <w:sz w:val="20"/>
          <w:szCs w:val="24"/>
        </w:rPr>
        <w:tab/>
        <w:t xml:space="preserve">Nhamoyebonde S, Leslie A. Biological differences between the sexes and susceptibility to tuberculosis. J Infect Dis. 2014;209(SUPPL. 3). </w:t>
      </w:r>
    </w:p>
    <w:p w14:paraId="1B0BAF16"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20. </w:t>
      </w:r>
      <w:r w:rsidRPr="00435469">
        <w:rPr>
          <w:rFonts w:cs="Times New Roman"/>
          <w:noProof/>
          <w:sz w:val="20"/>
          <w:szCs w:val="24"/>
        </w:rPr>
        <w:tab/>
        <w:t xml:space="preserve">WHO. Global tuberculosis report. Geneva: World Health Organization; 2019. </w:t>
      </w:r>
    </w:p>
    <w:p w14:paraId="2A48A9FF"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21. </w:t>
      </w:r>
      <w:r w:rsidRPr="00435469">
        <w:rPr>
          <w:rFonts w:cs="Times New Roman"/>
          <w:noProof/>
          <w:sz w:val="20"/>
          <w:szCs w:val="24"/>
        </w:rPr>
        <w:tab/>
        <w:t xml:space="preserve">Horton KC, Macpherson P, Houben RMGJ, White G, Corbett EL. Sex Differences in Tuberculosis Burden and Notifications in Low- and Middle-Income Countries : A Systematic Review and Meta-analysis. PLoS Med. 2016;21:1–23. </w:t>
      </w:r>
    </w:p>
    <w:p w14:paraId="40AE6EA8"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22. </w:t>
      </w:r>
      <w:r w:rsidRPr="00435469">
        <w:rPr>
          <w:rFonts w:cs="Times New Roman"/>
          <w:noProof/>
          <w:sz w:val="20"/>
          <w:szCs w:val="24"/>
        </w:rPr>
        <w:tab/>
        <w:t xml:space="preserve">Austin JF, Dick JM, Zwarenstein M. Gender disparity amongst TB suspects and new TB patients according to data recorded at the South African Institute of Medical Research laboratory for the Western Cape Region of South Africa. Int J Tuberc Lung Dis. 2004;8(4):435–9. </w:t>
      </w:r>
    </w:p>
    <w:p w14:paraId="7ED806C2"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23. </w:t>
      </w:r>
      <w:r w:rsidRPr="00435469">
        <w:rPr>
          <w:rFonts w:cs="Times New Roman"/>
          <w:noProof/>
          <w:sz w:val="20"/>
          <w:szCs w:val="24"/>
        </w:rPr>
        <w:tab/>
        <w:t xml:space="preserve">Department of Health. South African Demographic and Health Survey 1998. Department of Health. Pretoria, South Africa; 1998. </w:t>
      </w:r>
    </w:p>
    <w:p w14:paraId="4088379D"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24. </w:t>
      </w:r>
      <w:r w:rsidRPr="00435469">
        <w:rPr>
          <w:rFonts w:cs="Times New Roman"/>
          <w:noProof/>
          <w:sz w:val="20"/>
          <w:szCs w:val="24"/>
        </w:rPr>
        <w:tab/>
        <w:t xml:space="preserve">Gupta RK, Lawn SD, Bekker L-G, Caldwell J, Kaplan R, Wood R. Impact of HIV and CD4 count on tuberculosis diagnosis: analysis of citywide data from Cape Town, South Africa. Int J Tuberc Lung Dis. 2013;17(8):1014–22. </w:t>
      </w:r>
    </w:p>
    <w:p w14:paraId="44CA54AE"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25. </w:t>
      </w:r>
      <w:r w:rsidRPr="00435469">
        <w:rPr>
          <w:rFonts w:cs="Times New Roman"/>
          <w:noProof/>
          <w:sz w:val="20"/>
          <w:szCs w:val="24"/>
        </w:rPr>
        <w:tab/>
        <w:t xml:space="preserve">Icky, Looker C, Dodd PJ, Plumb ID, Shanaube K, Muyoyeta M, et al. Comparison of indoor contact time data in Zambia and Western Cape, South Africa suggests targeting of interventions to reduce Mycobacterium tuberculosis transmission should be informed by local data. BMC Infect Dis. 2016;16(1):71. </w:t>
      </w:r>
    </w:p>
    <w:p w14:paraId="211F7E77"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26. </w:t>
      </w:r>
      <w:r w:rsidRPr="00435469">
        <w:rPr>
          <w:rFonts w:cs="Times New Roman"/>
          <w:noProof/>
          <w:sz w:val="20"/>
          <w:szCs w:val="24"/>
        </w:rPr>
        <w:tab/>
        <w:t xml:space="preserve">Singla R, Singla N, Sarin R, Arora VK. Influence of pre-treatment bacillary load on treatment outcome of pulmonary tuberculosis patients receiving DOTS under revised national tuberculosis control programme. Indian J Chest Dis Allied Sci. 2005;47(1). </w:t>
      </w:r>
    </w:p>
    <w:p w14:paraId="50435A3F"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27. </w:t>
      </w:r>
      <w:r w:rsidRPr="00435469">
        <w:rPr>
          <w:rFonts w:cs="Times New Roman"/>
          <w:noProof/>
          <w:sz w:val="20"/>
          <w:szCs w:val="24"/>
        </w:rPr>
        <w:tab/>
        <w:t xml:space="preserve">Acuña-Villaorduña C, Ayakaka I, Schmidt-Castellani LG, Mumbowa F, Marques-Rodrigues P, Gaeddert M, et al. Host determinants of infectiousness in smear-positive patients with pulmonary tuberculosis. Open Forum Infect Dis. 2019;6(6):1–9. </w:t>
      </w:r>
    </w:p>
    <w:p w14:paraId="42E9F382"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28. </w:t>
      </w:r>
      <w:r w:rsidRPr="00435469">
        <w:rPr>
          <w:rFonts w:cs="Times New Roman"/>
          <w:noProof/>
          <w:sz w:val="20"/>
          <w:szCs w:val="24"/>
        </w:rPr>
        <w:tab/>
        <w:t xml:space="preserve">Behr MA, Warren SA, Salamon H, Hopewell PC, Ponce De Leon A, Daley CL, et al. Transmission of Mycobacterium tuberculosis from patients smear-negative for acid-fast bacilli. Lancet. 1999;353(9151):444–9. </w:t>
      </w:r>
    </w:p>
    <w:p w14:paraId="242FAD27"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29. </w:t>
      </w:r>
      <w:r w:rsidRPr="00435469">
        <w:rPr>
          <w:rFonts w:cs="Times New Roman"/>
          <w:noProof/>
          <w:sz w:val="20"/>
          <w:szCs w:val="24"/>
        </w:rPr>
        <w:tab/>
        <w:t xml:space="preserve">Dodd PJ, Looker C, Plumb ID, Bond V, Schaap A, Shanaube K, et al. Age- and Sex-Specific Social Contact Patterns and Incidence of Mycobacterium tuberculosis Infection. Am J Epidemiol. 2016;183(2):156–66. </w:t>
      </w:r>
    </w:p>
    <w:p w14:paraId="54126C5C"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30. </w:t>
      </w:r>
      <w:r w:rsidRPr="00435469">
        <w:rPr>
          <w:rFonts w:cs="Times New Roman"/>
          <w:noProof/>
          <w:sz w:val="20"/>
          <w:szCs w:val="24"/>
        </w:rPr>
        <w:tab/>
        <w:t xml:space="preserve">Dodd PJ, Gardiner E, Coghlan R, Seddon JA. Burden of childhood tuberculosis in 22 high-burden countries: A mathematical modelling study. Lancet Glob Heal. 2014;2(8). </w:t>
      </w:r>
    </w:p>
    <w:p w14:paraId="61D3F24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31. </w:t>
      </w:r>
      <w:r w:rsidRPr="00435469">
        <w:rPr>
          <w:rFonts w:cs="Times New Roman"/>
          <w:noProof/>
          <w:sz w:val="20"/>
          <w:szCs w:val="24"/>
        </w:rPr>
        <w:tab/>
        <w:t xml:space="preserve">Johnstone-Robertson SP, Mark D, Morrow C, Middelkoop K, Chiswell M, Aquino LDH, et al. </w:t>
      </w:r>
      <w:r w:rsidRPr="00435469">
        <w:rPr>
          <w:rFonts w:cs="Times New Roman"/>
          <w:noProof/>
          <w:sz w:val="20"/>
          <w:szCs w:val="24"/>
        </w:rPr>
        <w:lastRenderedPageBreak/>
        <w:t xml:space="preserve">Social mixing patterns within a South African township community: Implications for respiratory disease transmission and control. Am J Epidemiol. 2011;174(11):1246–55. </w:t>
      </w:r>
    </w:p>
    <w:p w14:paraId="1B02FE2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32. </w:t>
      </w:r>
      <w:r w:rsidRPr="00435469">
        <w:rPr>
          <w:rFonts w:cs="Times New Roman"/>
          <w:noProof/>
          <w:sz w:val="20"/>
          <w:szCs w:val="24"/>
        </w:rPr>
        <w:tab/>
        <w:t xml:space="preserve">de WarouxO  le P, Cohuet S, Ndazima D, Kucharski A., Juan-Giner AJ, Flasche S, et al. Characteristics of human encounters and social mixing patterns relevant to infectious diseases spread by close contact: A survey in Southwest Uganda. BMC Infect Dis. 2018;18(1):172. </w:t>
      </w:r>
    </w:p>
    <w:p w14:paraId="5CDD5FB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33. </w:t>
      </w:r>
      <w:r w:rsidRPr="00435469">
        <w:rPr>
          <w:rFonts w:cs="Times New Roman"/>
          <w:noProof/>
          <w:sz w:val="20"/>
          <w:szCs w:val="24"/>
        </w:rPr>
        <w:tab/>
        <w:t xml:space="preserve">Mossong J, Hens N, Jit M, Beutels P, Auranen K, Mikolajczyk R, et al. Social contacts and mixing patterns relevant to the spread of infectious diseases. PLoS Med. 2008;5(3):0381–91. </w:t>
      </w:r>
    </w:p>
    <w:p w14:paraId="33AD836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34. </w:t>
      </w:r>
      <w:r w:rsidRPr="00435469">
        <w:rPr>
          <w:rFonts w:cs="Times New Roman"/>
          <w:noProof/>
          <w:sz w:val="20"/>
          <w:szCs w:val="24"/>
        </w:rPr>
        <w:tab/>
        <w:t xml:space="preserve">Bacaër N, Ouifki R, Pretorius C, Wood R, Williams B. Modeling the joint epidemics of TB and HIV in a South African township. J Math Biol. 2008;57(4):557–93. </w:t>
      </w:r>
    </w:p>
    <w:p w14:paraId="22973920"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35. </w:t>
      </w:r>
      <w:r w:rsidRPr="00435469">
        <w:rPr>
          <w:rFonts w:cs="Times New Roman"/>
          <w:noProof/>
          <w:sz w:val="20"/>
          <w:szCs w:val="24"/>
        </w:rPr>
        <w:tab/>
        <w:t xml:space="preserve">Houben RMGJ, Lalli M, Sumner T, Hamilton M, Pedrazzoli D, Bonsu F, et al. TIME Impact - a new user-friendly tuberculosis (TB) model to inform TB policy decisions. BMC Med. 2016;14(1):56. </w:t>
      </w:r>
    </w:p>
    <w:p w14:paraId="1E773C4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36. </w:t>
      </w:r>
      <w:r w:rsidRPr="00435469">
        <w:rPr>
          <w:rFonts w:cs="Times New Roman"/>
          <w:noProof/>
          <w:sz w:val="20"/>
          <w:szCs w:val="24"/>
        </w:rPr>
        <w:tab/>
        <w:t xml:space="preserve">Menzies NA, Cohen T, Lin HH, Murray M, Salomon JA. Population Health Impact and Cost-Effectiveness of Tuberculosis Diagnosis with Xpert MTB/RIF: A Dynamic Simulation and Economic Evaluation. PLoS Med. 2012;9(11). </w:t>
      </w:r>
    </w:p>
    <w:p w14:paraId="5F4FED0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37. </w:t>
      </w:r>
      <w:r w:rsidRPr="00435469">
        <w:rPr>
          <w:rFonts w:cs="Times New Roman"/>
          <w:noProof/>
          <w:sz w:val="20"/>
          <w:szCs w:val="24"/>
        </w:rPr>
        <w:tab/>
        <w:t xml:space="preserve">Ellis PK, Martin WJ, Dodd PJ. CD4 count and tuberculosis risk in HIV-positive adults not on ART: a systematic review and meta-analysis. PeerJ. 2017;5:e4165. </w:t>
      </w:r>
    </w:p>
    <w:p w14:paraId="1844BD5F"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38. </w:t>
      </w:r>
      <w:r w:rsidRPr="00435469">
        <w:rPr>
          <w:rFonts w:cs="Times New Roman"/>
          <w:noProof/>
          <w:sz w:val="20"/>
          <w:szCs w:val="24"/>
        </w:rPr>
        <w:tab/>
        <w:t xml:space="preserve">Van Rie A, Westreich D, Sanne I. Tuberculosis in patients receiving antiretroviral treatment: Incidence, risk factors, and prevention strategies. J Acquir Immune Defic Syndr. 2011;56(4):349–55. </w:t>
      </w:r>
    </w:p>
    <w:p w14:paraId="2021B636"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39. </w:t>
      </w:r>
      <w:r w:rsidRPr="00435469">
        <w:rPr>
          <w:rFonts w:cs="Times New Roman"/>
          <w:noProof/>
          <w:sz w:val="20"/>
          <w:szCs w:val="24"/>
        </w:rPr>
        <w:tab/>
        <w:t xml:space="preserve">Fenner L, Atkinson A, Boulle A, Fox MP, Prozesky H, Zürcher K, et al. HIV viral load as an independent risk factor for tuberculosis in South Africa: collaborative analysis of cohort studies. J Int AIDS Soc. 2017;20(1):21327. </w:t>
      </w:r>
    </w:p>
    <w:p w14:paraId="4858012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40. </w:t>
      </w:r>
      <w:r w:rsidRPr="00435469">
        <w:rPr>
          <w:rFonts w:cs="Times New Roman"/>
          <w:noProof/>
          <w:sz w:val="20"/>
          <w:szCs w:val="24"/>
        </w:rPr>
        <w:tab/>
        <w:t xml:space="preserve">Andrews JR, Noubary F, Walensky RP, Cerda R, Losina E, Horsburgh CR. Risk of progression to active tuberculosis following reinfection with Mycobacterium tuberculosis. Clin Infect Dis. 2012;54(6):784–91. </w:t>
      </w:r>
    </w:p>
    <w:p w14:paraId="7330C5E0"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41. </w:t>
      </w:r>
      <w:r w:rsidRPr="00435469">
        <w:rPr>
          <w:rFonts w:cs="Times New Roman"/>
          <w:noProof/>
          <w:sz w:val="20"/>
          <w:szCs w:val="24"/>
        </w:rPr>
        <w:tab/>
        <w:t xml:space="preserve">Tiemersma EW, van der Werf MJ, Borgdorff MW, Williams BG, Nagelkerke NJD. Natural history of tuberculosis: Duration and fatality of untreated pulmonary tuberculosis in HIV negative patients: A systematic review. PLoS One. 2011;6(4). </w:t>
      </w:r>
    </w:p>
    <w:p w14:paraId="31240F9F"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42. </w:t>
      </w:r>
      <w:r w:rsidRPr="00435469">
        <w:rPr>
          <w:rFonts w:cs="Times New Roman"/>
          <w:noProof/>
          <w:sz w:val="20"/>
          <w:szCs w:val="24"/>
        </w:rPr>
        <w:tab/>
        <w:t xml:space="preserve">National Tuberculosis Management Guidelines 2014. 2014. </w:t>
      </w:r>
    </w:p>
    <w:p w14:paraId="4F781A4E"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43. </w:t>
      </w:r>
      <w:r w:rsidRPr="00435469">
        <w:rPr>
          <w:rFonts w:cs="Times New Roman"/>
          <w:noProof/>
          <w:sz w:val="20"/>
          <w:szCs w:val="24"/>
        </w:rPr>
        <w:tab/>
        <w:t xml:space="preserve">National Tuberculosis Management Guidelines. Department of Health. Pretoroia, South Africa; 2008. </w:t>
      </w:r>
    </w:p>
    <w:p w14:paraId="4D96107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44. </w:t>
      </w:r>
      <w:r w:rsidRPr="00435469">
        <w:rPr>
          <w:rFonts w:cs="Times New Roman"/>
          <w:noProof/>
          <w:sz w:val="20"/>
          <w:szCs w:val="24"/>
        </w:rPr>
        <w:tab/>
        <w:t xml:space="preserve">Onozaki I, Law I, Sismanidis C, Zignol M, Glaziou P, Floyd K. National tuberculosis prevalence surveys in Asia, 1990-2012: An overview of results and lessons learned. Trop Med Int Heal. 2015; </w:t>
      </w:r>
    </w:p>
    <w:p w14:paraId="110318F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45. </w:t>
      </w:r>
      <w:r w:rsidRPr="00435469">
        <w:rPr>
          <w:rFonts w:cs="Times New Roman"/>
          <w:noProof/>
          <w:sz w:val="20"/>
          <w:szCs w:val="24"/>
        </w:rPr>
        <w:tab/>
        <w:t xml:space="preserve">Claassens MM, Van Schalkwyk C, Floyd S, Ayles H, Beyers N. Symptom screening rules to identify active pulmonary tuberculosis: Findings from the Zambian South African Tuberculosis and HIV/AIDS Reduction (ZAMSTAR) trial prevalence surveys. PLoS One. 2017;12(3):1–12. </w:t>
      </w:r>
    </w:p>
    <w:p w14:paraId="3EE1DD93"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46. </w:t>
      </w:r>
      <w:r w:rsidRPr="00435469">
        <w:rPr>
          <w:rFonts w:cs="Times New Roman"/>
          <w:noProof/>
          <w:sz w:val="20"/>
          <w:szCs w:val="24"/>
        </w:rPr>
        <w:tab/>
        <w:t xml:space="preserve">Den Boon S, White NW, Van Lill SWP, Borgdorff MW, Verver S, Lombard CJ, et al. An evaluation of symptom and chest radiographic screening in tuberculosis prevalence surveys. Int J Tuberc Lung Dis. 2006;10(8):876–82. </w:t>
      </w:r>
    </w:p>
    <w:p w14:paraId="79FE376D"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lastRenderedPageBreak/>
        <w:t xml:space="preserve">47. </w:t>
      </w:r>
      <w:r w:rsidRPr="00435469">
        <w:rPr>
          <w:rFonts w:cs="Times New Roman"/>
          <w:noProof/>
          <w:sz w:val="20"/>
          <w:szCs w:val="24"/>
        </w:rPr>
        <w:tab/>
        <w:t xml:space="preserve">Corbett EL, Charalambous S, Moloi VM, Fielding K, Grant AD, Dye C, et al. Human immunodeficiency virus and the prevalence of undiagnosed tuberculosis in African gold miners. Am J Respir Crit Care Med. 2004;170(6):673–9. </w:t>
      </w:r>
    </w:p>
    <w:p w14:paraId="28A14770"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48. </w:t>
      </w:r>
      <w:r w:rsidRPr="00435469">
        <w:rPr>
          <w:rFonts w:cs="Times New Roman"/>
          <w:noProof/>
          <w:sz w:val="20"/>
          <w:szCs w:val="24"/>
        </w:rPr>
        <w:tab/>
        <w:t xml:space="preserve">Department of Health. The First National Tuberculosis Prevalence Survey: South Africa 2018. Pretoria, South Africa; 2021. </w:t>
      </w:r>
    </w:p>
    <w:p w14:paraId="4E3E4A76"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49. </w:t>
      </w:r>
      <w:r w:rsidRPr="00435469">
        <w:rPr>
          <w:rFonts w:cs="Times New Roman"/>
          <w:noProof/>
          <w:sz w:val="20"/>
          <w:szCs w:val="24"/>
        </w:rPr>
        <w:tab/>
        <w:t xml:space="preserve">Kweza PF, Van Schalkwyk C, Abraham N, Uys M, Claassens MM, Medina-Marino A. Estimating the magnitude of pulmonary tuberculosis patients missed by primary health care clinics in South Africa. Int J Tuberc Lung Dis. 2018;22(3):264–72. </w:t>
      </w:r>
    </w:p>
    <w:p w14:paraId="46BB623D"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50. </w:t>
      </w:r>
      <w:r w:rsidRPr="00435469">
        <w:rPr>
          <w:rFonts w:cs="Times New Roman"/>
          <w:noProof/>
          <w:sz w:val="20"/>
          <w:szCs w:val="24"/>
        </w:rPr>
        <w:tab/>
        <w:t xml:space="preserve">Claassens MM, Jacobs E, Cyster E, Jennings K, James A, Dunbar R, et al. Tuberculosis cases missed in primary health care facilities: Should we redefine case finding? Int J Tuberc Lung Dis. 2013;17(5):608–14. </w:t>
      </w:r>
    </w:p>
    <w:p w14:paraId="1DB4A20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51. </w:t>
      </w:r>
      <w:r w:rsidRPr="00435469">
        <w:rPr>
          <w:rFonts w:cs="Times New Roman"/>
          <w:noProof/>
          <w:sz w:val="20"/>
          <w:szCs w:val="24"/>
        </w:rPr>
        <w:tab/>
        <w:t xml:space="preserve">Chihota VN, Ginindza S, McCarthy K, Grant AD, Churchyard G, Fielding K. Missed opportunities for TB investigation in primary care clinics in South Africa: Experience from the XTEND trial. PLoS One. 2015;10(9):1–11. </w:t>
      </w:r>
    </w:p>
    <w:p w14:paraId="35B93858"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52. </w:t>
      </w:r>
      <w:r w:rsidRPr="00435469">
        <w:rPr>
          <w:rFonts w:cs="Times New Roman"/>
          <w:noProof/>
          <w:sz w:val="20"/>
          <w:szCs w:val="24"/>
        </w:rPr>
        <w:tab/>
        <w:t xml:space="preserve">South Africa Demographic and Health Survey 2003. Department of Health Pretoria, South Africa; 2007. </w:t>
      </w:r>
    </w:p>
    <w:p w14:paraId="1DB3523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53. </w:t>
      </w:r>
      <w:r w:rsidRPr="00435469">
        <w:rPr>
          <w:rFonts w:cs="Times New Roman"/>
          <w:noProof/>
          <w:sz w:val="20"/>
          <w:szCs w:val="24"/>
        </w:rPr>
        <w:tab/>
        <w:t xml:space="preserve">Use of health facilities and levels of selected health conditions in South Africa: Findings from the General Household Survey, 2011. Statistics South Africa. Pretoria, South Africa; </w:t>
      </w:r>
    </w:p>
    <w:p w14:paraId="03662EC6"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54. </w:t>
      </w:r>
      <w:r w:rsidRPr="00435469">
        <w:rPr>
          <w:rFonts w:cs="Times New Roman"/>
          <w:noProof/>
          <w:sz w:val="20"/>
          <w:szCs w:val="24"/>
        </w:rPr>
        <w:tab/>
        <w:t xml:space="preserve">Nanoo A, Izu A, Ismail NA, Ihekweazu C, Abubakar I, Mametja D, et al. Nationwide and regional incidence of microbiologically confirmed pulmonary tuberculosis in South Africa, 2004-12: A time series analysis. Lancet Infect Dis. 2015;15(9):1066–76. </w:t>
      </w:r>
    </w:p>
    <w:p w14:paraId="021D2226"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55. </w:t>
      </w:r>
      <w:r w:rsidRPr="00435469">
        <w:rPr>
          <w:rFonts w:cs="Times New Roman"/>
          <w:noProof/>
          <w:sz w:val="20"/>
          <w:szCs w:val="24"/>
        </w:rPr>
        <w:tab/>
        <w:t xml:space="preserve">National Tuberculosis Management Guidelines. Department of Health. Pretoroia, South Africa; 2009. </w:t>
      </w:r>
    </w:p>
    <w:p w14:paraId="32B3B278"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56. </w:t>
      </w:r>
      <w:r w:rsidRPr="00435469">
        <w:rPr>
          <w:rFonts w:cs="Times New Roman"/>
          <w:noProof/>
          <w:sz w:val="20"/>
          <w:szCs w:val="24"/>
        </w:rPr>
        <w:tab/>
        <w:t xml:space="preserve">Hippner P, Sumner T, Houben RMGJ, Cardenas V, Vassall A, Bozzani F, et al. Application of provincial data in mathematical modelling to inform sub-national tuberculosis program decision-making in South Africa. PLoS One. 2019;14(1):1–11. </w:t>
      </w:r>
    </w:p>
    <w:p w14:paraId="32D274F2"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57. </w:t>
      </w:r>
      <w:r w:rsidRPr="00435469">
        <w:rPr>
          <w:rFonts w:cs="Times New Roman"/>
          <w:noProof/>
          <w:sz w:val="20"/>
          <w:szCs w:val="24"/>
        </w:rPr>
        <w:tab/>
        <w:t xml:space="preserve">Sumner T, Bozzani F, Mudzengi D, Hippner P, Houben RM, Cardenas V, et al. Estimating the Impact of Tuberculosis Case Detection in Constrained Health Systems: An Example of Case-Finding in South Africa. Am J Epidemiol. 2019;188(6):1155–64. </w:t>
      </w:r>
    </w:p>
    <w:p w14:paraId="4EDD401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58. </w:t>
      </w:r>
      <w:r w:rsidRPr="00435469">
        <w:rPr>
          <w:rFonts w:cs="Times New Roman"/>
          <w:noProof/>
          <w:sz w:val="20"/>
          <w:szCs w:val="24"/>
        </w:rPr>
        <w:tab/>
        <w:t xml:space="preserve">Department of Health. National Tuberculosis Management Guidelines 2008. Department of Health, Republic of South Africa 2014; 2008. </w:t>
      </w:r>
    </w:p>
    <w:p w14:paraId="18F11DA2"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59. </w:t>
      </w:r>
      <w:r w:rsidRPr="00435469">
        <w:rPr>
          <w:rFonts w:cs="Times New Roman"/>
          <w:noProof/>
          <w:sz w:val="20"/>
          <w:szCs w:val="24"/>
        </w:rPr>
        <w:tab/>
        <w:t xml:space="preserve">Vassall A, Siapka M, Foster N, Cunnama L, Ramma L, Fielding K, et al. Cost-effectiveness of Xpert MTB/RIF for tuberculosis diagnosis in South Africa: a real-world cost analysis and economic evaluation. Lancet Glob Heal. 2017;5(7):e710–9. </w:t>
      </w:r>
    </w:p>
    <w:p w14:paraId="750A90D0"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60. </w:t>
      </w:r>
      <w:r w:rsidRPr="00435469">
        <w:rPr>
          <w:rFonts w:cs="Times New Roman"/>
          <w:noProof/>
          <w:sz w:val="20"/>
          <w:szCs w:val="24"/>
        </w:rPr>
        <w:tab/>
        <w:t xml:space="preserve">McCarthy KM, Grant AD, Chihota V, Ginindza S, Mvusi L, Churchyard GJ, et al. What happens after a negative test for tuberculosis? Evaluating adherence to TB diagnostic algorithms in South African primary health clinics. J Acquir Immune Defic Syndr. 2016;71(5):e119–26. </w:t>
      </w:r>
    </w:p>
    <w:p w14:paraId="316267E9"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61. </w:t>
      </w:r>
      <w:r w:rsidRPr="00435469">
        <w:rPr>
          <w:rFonts w:cs="Times New Roman"/>
          <w:noProof/>
          <w:sz w:val="20"/>
          <w:szCs w:val="24"/>
        </w:rPr>
        <w:tab/>
        <w:t xml:space="preserve">Naidoo P, Dunbar R, Lombard C, Du Toit E, Caldwell J, Detjen A, et al. Comparing tuberculosis diagnostic yield in smear/culture and xpert1 MTB/RIF-based algorithms using a non-randomised stepped-wedge design. PLoS One. 2016;11(3):1–13. </w:t>
      </w:r>
    </w:p>
    <w:p w14:paraId="2739224C"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lastRenderedPageBreak/>
        <w:t xml:space="preserve">62. </w:t>
      </w:r>
      <w:r w:rsidRPr="00435469">
        <w:rPr>
          <w:rFonts w:cs="Times New Roman"/>
          <w:noProof/>
          <w:sz w:val="20"/>
          <w:szCs w:val="24"/>
        </w:rPr>
        <w:tab/>
        <w:t xml:space="preserve">Boehme CC, Nabeta P, Hillemann D, Nicol MP, Shenai S, Krapp F, et al. Rapid Molecular Detection of Tuberculosis and Rifampin Resistance. N Engl J Med. 2010;225–37. </w:t>
      </w:r>
    </w:p>
    <w:p w14:paraId="55E5907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63. </w:t>
      </w:r>
      <w:r w:rsidRPr="00435469">
        <w:rPr>
          <w:rFonts w:cs="Times New Roman"/>
          <w:noProof/>
          <w:sz w:val="20"/>
          <w:szCs w:val="24"/>
        </w:rPr>
        <w:tab/>
        <w:t xml:space="preserve">Keflie TSS, Ameni G. Microscopic examination and smear negative pulmonary tuberculosis in ethiopia. Pan Afr Med J. 2014;19:1–10. </w:t>
      </w:r>
    </w:p>
    <w:p w14:paraId="62E4947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64. </w:t>
      </w:r>
      <w:r w:rsidRPr="00435469">
        <w:rPr>
          <w:rFonts w:cs="Times New Roman"/>
          <w:noProof/>
          <w:sz w:val="20"/>
          <w:szCs w:val="24"/>
        </w:rPr>
        <w:tab/>
        <w:t xml:space="preserve">Cattamanchi A, Dowdy DW, Davis JL, Worodria W, Yoo S, Joloba M, et al. Sensitivity of direct versus concentrated sputum smear microscopy in HIV-infected patients suspected of having pulmonary tuberculosis. BMC Infect Dis. 2009;9:1–8. </w:t>
      </w:r>
    </w:p>
    <w:p w14:paraId="7620E55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65. </w:t>
      </w:r>
      <w:r w:rsidRPr="00435469">
        <w:rPr>
          <w:rFonts w:cs="Times New Roman"/>
          <w:noProof/>
          <w:sz w:val="20"/>
          <w:szCs w:val="24"/>
        </w:rPr>
        <w:tab/>
        <w:t xml:space="preserve">Horne D, Kohli M, Zifodya J, I S, N D, D T, et al. Xpert MTB/RIF and Xpert MTB/RIF Ultra for pulmonary tuberculosis and rifampicin resistance in adults. Cochrane Database Syst Rev. 2019;(6). </w:t>
      </w:r>
    </w:p>
    <w:p w14:paraId="670AE5FD"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66. </w:t>
      </w:r>
      <w:r w:rsidRPr="00435469">
        <w:rPr>
          <w:rFonts w:cs="Times New Roman"/>
          <w:noProof/>
          <w:sz w:val="20"/>
          <w:szCs w:val="24"/>
        </w:rPr>
        <w:tab/>
        <w:t xml:space="preserve">Parker RA. Implications of tuberculosis sputum culture test sensitivity on accuracy of other diagnostic modalities. Am J Respir Crit Care Med. 2019;199(5):664. </w:t>
      </w:r>
    </w:p>
    <w:p w14:paraId="2825FB58"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67. </w:t>
      </w:r>
      <w:r w:rsidRPr="00435469">
        <w:rPr>
          <w:rFonts w:cs="Times New Roman"/>
          <w:noProof/>
          <w:sz w:val="20"/>
          <w:szCs w:val="24"/>
        </w:rPr>
        <w:tab/>
        <w:t xml:space="preserve">Steingart KR, Ng V, Henry M, Hopewell PC, Ramsay A, Cunningham J, et al. Sputum processing methods to improve the sensitivity of smear microscopy for tuberculosis: a systematic review. Lancet Infect Dis. 2006;6(10):664–74. </w:t>
      </w:r>
    </w:p>
    <w:p w14:paraId="5428300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68. </w:t>
      </w:r>
      <w:r w:rsidRPr="00435469">
        <w:rPr>
          <w:rFonts w:cs="Times New Roman"/>
          <w:noProof/>
          <w:sz w:val="20"/>
          <w:szCs w:val="24"/>
        </w:rPr>
        <w:tab/>
        <w:t xml:space="preserve">Naidoo P, Theron G, Rangaka MX, Chihota VN, Vaughan L, Brey ZO, et al. The South African Tuberculosis Care Cascade: Estimated Losses and Methodological Challenges. J Infect Dis. 2017;216(Suppl 7):S702–13. </w:t>
      </w:r>
    </w:p>
    <w:p w14:paraId="24C7DE01"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69. </w:t>
      </w:r>
      <w:r w:rsidRPr="00435469">
        <w:rPr>
          <w:rFonts w:cs="Times New Roman"/>
          <w:noProof/>
          <w:sz w:val="20"/>
          <w:szCs w:val="24"/>
        </w:rPr>
        <w:tab/>
        <w:t xml:space="preserve">MacPherson P, Houben RM, Glynn JR, Corbett EL, Kranzer K. Pre-treatment loss to follow-up in tuberculosis patients in low- and lower-middle-income countries and high-burden countries: a systematic review and meta-analysis. Bull World Health Organ. 2014;92(2):126–38. </w:t>
      </w:r>
    </w:p>
    <w:p w14:paraId="229C9532"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70. </w:t>
      </w:r>
      <w:r w:rsidRPr="00435469">
        <w:rPr>
          <w:rFonts w:cs="Times New Roman"/>
          <w:noProof/>
          <w:sz w:val="20"/>
          <w:szCs w:val="24"/>
        </w:rPr>
        <w:tab/>
        <w:t xml:space="preserve">Botha E, Den Boon S, Lawrence KA, Reuter H, Verver S, Lombard CJ, et al. From suspect to patient: Tuberculosis diagnosis and treatment initiation in health facilities in South Africa. Int J Tuberc Lung Dis. 2008;12(8):936–41. </w:t>
      </w:r>
    </w:p>
    <w:p w14:paraId="6C1467E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71. </w:t>
      </w:r>
      <w:r w:rsidRPr="00435469">
        <w:rPr>
          <w:rFonts w:cs="Times New Roman"/>
          <w:noProof/>
          <w:sz w:val="20"/>
          <w:szCs w:val="24"/>
        </w:rPr>
        <w:tab/>
        <w:t xml:space="preserve">Improving the diagnosis and treatment of smear-negative pulmonary and extra-pulmonary tuber- culosis among adults and adolescents: Recommendations for HIV-prevalent and resource-constrained settings. Geneva, Switzerland; 2007. </w:t>
      </w:r>
    </w:p>
    <w:p w14:paraId="65E38A8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72. </w:t>
      </w:r>
      <w:r w:rsidRPr="00435469">
        <w:rPr>
          <w:rFonts w:cs="Times New Roman"/>
          <w:noProof/>
          <w:sz w:val="20"/>
          <w:szCs w:val="24"/>
        </w:rPr>
        <w:tab/>
        <w:t xml:space="preserve">Purohit M, Mustafa T. Laboratory diagnosis of extra-pulmonary tuberculosis (EPTB) in resource-constrained setting: State of the art, challenges and the need. J Clin Diagnostic Res. 2015;9(4):EE01–6. </w:t>
      </w:r>
    </w:p>
    <w:p w14:paraId="6545FCBC"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73. </w:t>
      </w:r>
      <w:r w:rsidRPr="00435469">
        <w:rPr>
          <w:rFonts w:cs="Times New Roman"/>
          <w:noProof/>
          <w:sz w:val="20"/>
          <w:szCs w:val="24"/>
        </w:rPr>
        <w:tab/>
        <w:t xml:space="preserve">Pepper DJ, Schomaker M, Wilkinson RJ, Azevedo V, Maartens G. Independent predictors of tuberculosis mortality in a high HIV prevalence setting: A retrospective cohort study. AIDS Res Ther. 2015;12(1):1–9. </w:t>
      </w:r>
    </w:p>
    <w:p w14:paraId="48FDB221"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74. </w:t>
      </w:r>
      <w:r w:rsidRPr="00435469">
        <w:rPr>
          <w:rFonts w:cs="Times New Roman"/>
          <w:noProof/>
          <w:sz w:val="20"/>
          <w:szCs w:val="24"/>
        </w:rPr>
        <w:tab/>
        <w:t xml:space="preserve">Pronyk RM, Makhubele MB, Hargreaves JR, Tollman SM, Hausler HP. Assessing health seeking behaviour among tuberculosis patients in rural South Africa. Int J Tuberc Lung Dis. 2001; </w:t>
      </w:r>
    </w:p>
    <w:p w14:paraId="47A7832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75. </w:t>
      </w:r>
      <w:r w:rsidRPr="00435469">
        <w:rPr>
          <w:rFonts w:cs="Times New Roman"/>
          <w:noProof/>
          <w:sz w:val="20"/>
          <w:szCs w:val="24"/>
        </w:rPr>
        <w:tab/>
        <w:t xml:space="preserve">Gupta A, Wood R, Kaplan R, Bekker L, Lawn SD. Tuberculosis Incidence Rates during 8 Years of Follow-Up of an Antiretroviral Treatment Cohort in South Africa : Comparison with Rates in the Community. PLoS One. 2012;7(3):1–10. </w:t>
      </w:r>
    </w:p>
    <w:p w14:paraId="005FC0AC"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76. </w:t>
      </w:r>
      <w:r w:rsidRPr="00435469">
        <w:rPr>
          <w:rFonts w:cs="Times New Roman"/>
          <w:noProof/>
          <w:sz w:val="20"/>
          <w:szCs w:val="24"/>
        </w:rPr>
        <w:tab/>
        <w:t xml:space="preserve">Hanrahan CF, Selibas K, Deery CB, Dansey H, Clouse K, Bassett J, et al. Time to Treatment and Patient Outcomes among TB Suspects Screened by a Single Point-of-Care Xpert MTB/RIF at a Primary Care Clinic in Johannesburg, South Africa. PLoS One. 2013;8(6). </w:t>
      </w:r>
    </w:p>
    <w:p w14:paraId="746F34DD"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lastRenderedPageBreak/>
        <w:t xml:space="preserve">77. </w:t>
      </w:r>
      <w:r w:rsidRPr="00435469">
        <w:rPr>
          <w:rFonts w:cs="Times New Roman"/>
          <w:noProof/>
          <w:sz w:val="20"/>
          <w:szCs w:val="24"/>
        </w:rPr>
        <w:tab/>
        <w:t xml:space="preserve">Hermans S, Caldwell J, Kaplan R, Cobelens F, Wood R. The impact of the roll-out of rapid molecular diagnostic testing for tuberculosis on empirical treatment in Cape Town, South Africa. Bull World Health Organ. 2017;95(8):554–63. </w:t>
      </w:r>
    </w:p>
    <w:p w14:paraId="694BECD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78. </w:t>
      </w:r>
      <w:r w:rsidRPr="00435469">
        <w:rPr>
          <w:rFonts w:cs="Times New Roman"/>
          <w:noProof/>
          <w:sz w:val="20"/>
          <w:szCs w:val="24"/>
        </w:rPr>
        <w:tab/>
        <w:t xml:space="preserve">Van’t Hoog AH, Cobelens F, Vassall A, Van Kampen S, Dorman SE, Alland D, et al. Optimal triage test characteristics to improve the cost-effectiveness of the Xpert MTB/RIF assay for TB diagnosis: A decision analysis. PLoS One. 2013;8(12). </w:t>
      </w:r>
    </w:p>
    <w:p w14:paraId="20C99AD8"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79. </w:t>
      </w:r>
      <w:r w:rsidRPr="00435469">
        <w:rPr>
          <w:rFonts w:cs="Times New Roman"/>
          <w:noProof/>
          <w:sz w:val="20"/>
          <w:szCs w:val="24"/>
        </w:rPr>
        <w:tab/>
        <w:t xml:space="preserve">Rees K, Muditambi N, Maswanganyi M, Railton J, McIntyre JA, Struthers HE, et al. The impact of implementing a Xpert MTB/RIF algorithm on drug-sensitive pulmonary tuberculosis: A retrospective analysis. Epidemiol Infect. 2018;146(2):246–55. </w:t>
      </w:r>
    </w:p>
    <w:p w14:paraId="714626C9"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80. </w:t>
      </w:r>
      <w:r w:rsidRPr="00435469">
        <w:rPr>
          <w:rFonts w:cs="Times New Roman"/>
          <w:noProof/>
          <w:sz w:val="20"/>
          <w:szCs w:val="24"/>
        </w:rPr>
        <w:tab/>
        <w:t xml:space="preserve">Marx FM, Dunbar R, Enarson DA, Beyers N. The Rate of Sputum Smear-Positive Tuberculosis after Treatment Default in a High-Burden Setting: A Retrospective Cohort Study. PLoS One. 2012;7(9):1–9. </w:t>
      </w:r>
    </w:p>
    <w:p w14:paraId="2B4AD073"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81. </w:t>
      </w:r>
      <w:r w:rsidRPr="00435469">
        <w:rPr>
          <w:rFonts w:cs="Times New Roman"/>
          <w:noProof/>
          <w:sz w:val="20"/>
          <w:szCs w:val="24"/>
        </w:rPr>
        <w:tab/>
        <w:t xml:space="preserve">Edginton ME, Wong ML, Phofa R, Mahlaba D, Hodkinson HJ. Tuberculosis at Chris Hani Baragwanath Hospital: Numbers of patients diagnosed and outcomes of referrals to district clinics. Int J Tuberc Lung Dis. 2005;9(4):398–402. </w:t>
      </w:r>
    </w:p>
    <w:p w14:paraId="702BA71D"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82. </w:t>
      </w:r>
      <w:r w:rsidRPr="00435469">
        <w:rPr>
          <w:rFonts w:cs="Times New Roman"/>
          <w:noProof/>
          <w:sz w:val="20"/>
          <w:szCs w:val="24"/>
        </w:rPr>
        <w:tab/>
        <w:t xml:space="preserve">Anderegg N, Johnson LF, Zaniewski E, Althoff KN, Balestre E, Law M, et al. All-cause mortality in HIV-positive adults starting combination antiretroviral therapy: Correcting for loss to follow-up. Aids. 2017;31:S31–40. </w:t>
      </w:r>
    </w:p>
    <w:p w14:paraId="55B6ED7C"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83. </w:t>
      </w:r>
      <w:r w:rsidRPr="00435469">
        <w:rPr>
          <w:rFonts w:cs="Times New Roman"/>
          <w:noProof/>
          <w:sz w:val="20"/>
          <w:szCs w:val="24"/>
        </w:rPr>
        <w:tab/>
        <w:t xml:space="preserve">Johnson LF, Dorrington RE, Laubscher R, Hoffmann CJ, Wood R, Fox MP, et al. A comparison of death recording by health centres and civil registration in South Africans receiving antiretroviral treatment. J Int AIDS Soc. 2015;18(1):1–7. </w:t>
      </w:r>
    </w:p>
    <w:p w14:paraId="65C181E4"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84. </w:t>
      </w:r>
      <w:r w:rsidRPr="00435469">
        <w:rPr>
          <w:rFonts w:cs="Times New Roman"/>
          <w:noProof/>
          <w:sz w:val="20"/>
          <w:szCs w:val="24"/>
        </w:rPr>
        <w:tab/>
        <w:t xml:space="preserve">Berry KM, Rodriguez CA, Berhanu RH, Ismail N, Mvusi L, Long L, et al. Treatment outcomes among children, adolescents, and adults on treatment for tuberculosis in two metropolitan municipalities in Gauteng Province, South Africa. BMC Public Health. 2019;19(1):1–17. </w:t>
      </w:r>
    </w:p>
    <w:p w14:paraId="4BA0EB7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85. </w:t>
      </w:r>
      <w:r w:rsidRPr="00435469">
        <w:rPr>
          <w:rFonts w:cs="Times New Roman"/>
          <w:noProof/>
          <w:sz w:val="20"/>
          <w:szCs w:val="24"/>
        </w:rPr>
        <w:tab/>
        <w:t xml:space="preserve">Vree M, Huong NT, Duong BD, Co N V., Sy DN, Cobelens FG, et al. High mortality during tuberculosis treatment does not indicate long diagnostic delays in Vietnam: A cohort study. BMC Public Health. 2007;7:1–7. </w:t>
      </w:r>
    </w:p>
    <w:p w14:paraId="7776BDD9"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86. </w:t>
      </w:r>
      <w:r w:rsidRPr="00435469">
        <w:rPr>
          <w:rFonts w:cs="Times New Roman"/>
          <w:noProof/>
          <w:sz w:val="20"/>
          <w:szCs w:val="24"/>
        </w:rPr>
        <w:tab/>
        <w:t xml:space="preserve">Kayigamba FR, Bakker MI, Mugisha V, de Naeyer L, Gasana M, Cobelens F, et al. Adherence to Tuberculosis Treatment, Sputum Smear Conversion and Mortality: A Retrospective Cohort Study in 48 Rwandan Clinics. PLoS One. 2013;8(9):1–10. </w:t>
      </w:r>
    </w:p>
    <w:p w14:paraId="215E2AD1"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87. </w:t>
      </w:r>
      <w:r w:rsidRPr="00435469">
        <w:rPr>
          <w:rFonts w:cs="Times New Roman"/>
          <w:noProof/>
          <w:sz w:val="20"/>
          <w:szCs w:val="24"/>
        </w:rPr>
        <w:tab/>
        <w:t xml:space="preserve">Osawa T, Watanabe M, Morimoto K, Okumura M, Yoshiyama T, Ogata H, et al. Serum procalcitonin levels predict mortality risk in patients with pulmonary tuberculosis: A single-center prospective observational study. J Infect Dis. 2020;222(10):1651–4. </w:t>
      </w:r>
    </w:p>
    <w:p w14:paraId="349D4681"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88. </w:t>
      </w:r>
      <w:r w:rsidRPr="00435469">
        <w:rPr>
          <w:rFonts w:cs="Times New Roman"/>
          <w:noProof/>
          <w:sz w:val="20"/>
          <w:szCs w:val="24"/>
        </w:rPr>
        <w:tab/>
        <w:t xml:space="preserve">Muttath R, Andrews M, Prabhu D. Treatment outcome in new smear positive pulmonary tuberculosis patients with and without immunosuppression on RNTCP regimen: a comparative observational study. Int J Res Med Sci. 2017;5(2):384. </w:t>
      </w:r>
    </w:p>
    <w:p w14:paraId="10A68DA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89. </w:t>
      </w:r>
      <w:r w:rsidRPr="00435469">
        <w:rPr>
          <w:rFonts w:cs="Times New Roman"/>
          <w:noProof/>
          <w:sz w:val="20"/>
          <w:szCs w:val="24"/>
        </w:rPr>
        <w:tab/>
        <w:t xml:space="preserve">Kolappan C, Subramani R, Kumaraswami V, Santha T, Narayanan PR. Excess mortality and risk factors for mortality among a cohort of TB patients from rural south India. Int J Tuberc Lung Dis. 2008;12(1):81–6. </w:t>
      </w:r>
    </w:p>
    <w:p w14:paraId="6094B10E"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90. </w:t>
      </w:r>
      <w:r w:rsidRPr="00435469">
        <w:rPr>
          <w:rFonts w:cs="Times New Roman"/>
          <w:noProof/>
          <w:sz w:val="20"/>
          <w:szCs w:val="24"/>
        </w:rPr>
        <w:tab/>
        <w:t xml:space="preserve">Lienhardt C, Manneh K, Bouchier V, Lahai G, Milligan PJM, McAdam KPWJ. Factors determining the outcome of treatment of adult smear-positive tuberculosis cases in The Gambia. Vol. 2, International Journal of Tuberculosis and Lung Disease. 1998. p. 712–8. </w:t>
      </w:r>
    </w:p>
    <w:p w14:paraId="4359562E"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lastRenderedPageBreak/>
        <w:t xml:space="preserve">91. </w:t>
      </w:r>
      <w:r w:rsidRPr="00435469">
        <w:rPr>
          <w:rFonts w:cs="Times New Roman"/>
          <w:noProof/>
          <w:sz w:val="20"/>
          <w:szCs w:val="24"/>
        </w:rPr>
        <w:tab/>
        <w:t xml:space="preserve">Saunders MJ, Wingfield T, Datta S, Montoya R, Ramos E, Baldwin MR, et al. A household-level score to predict the risk of tuberculosis among contacts of patients with tuberculosis: a derivation and external validation prospective cohort study. Lancet Infect Dis. 2020;20(1):110–22. </w:t>
      </w:r>
    </w:p>
    <w:p w14:paraId="554BF25C"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92. </w:t>
      </w:r>
      <w:r w:rsidRPr="00435469">
        <w:rPr>
          <w:rFonts w:cs="Times New Roman"/>
          <w:noProof/>
          <w:sz w:val="20"/>
          <w:szCs w:val="24"/>
        </w:rPr>
        <w:tab/>
        <w:t xml:space="preserve">Kaplan R, Hermans S, Caldwell J, Jennings K, Bekker LG, Wood R. HIV and TB co-infection in the ART era: CD4 count distributions and TB case fatality in Cape Town. BMC Infect Dis. 2018;18(1):1–9. </w:t>
      </w:r>
    </w:p>
    <w:p w14:paraId="5D9D907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93. </w:t>
      </w:r>
      <w:r w:rsidRPr="00435469">
        <w:rPr>
          <w:rFonts w:cs="Times New Roman"/>
          <w:noProof/>
          <w:sz w:val="20"/>
          <w:szCs w:val="24"/>
        </w:rPr>
        <w:tab/>
        <w:t xml:space="preserve">Kaplan R, Caldwell J, Middelkoop K, Bekker L-G, Wood R. Impact of ART on TB case fatality stratified by CD4 count for HIV-positive TB patients in Cape Town. South Africa (2009-2011). J Acquir Immune Defic Syndr. 2014;66(5):487–94. </w:t>
      </w:r>
    </w:p>
    <w:p w14:paraId="00BCAF74"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94. </w:t>
      </w:r>
      <w:r w:rsidRPr="00435469">
        <w:rPr>
          <w:rFonts w:cs="Times New Roman"/>
          <w:noProof/>
          <w:sz w:val="20"/>
          <w:szCs w:val="24"/>
        </w:rPr>
        <w:tab/>
        <w:t xml:space="preserve">Van den Broek J, Mfinanga S, Moshiro C, O’Brien R, Mugomela A, Lefi M. Impact of human immunodeficiency virus infection on the outcome of treatment and survival of tuberculosis patients in Mwanza, Tanzania. Int J Tuberc Lung Dis. 1998;2(7):547–52. </w:t>
      </w:r>
    </w:p>
    <w:p w14:paraId="61A3B6C7"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95. </w:t>
      </w:r>
      <w:r w:rsidRPr="00435469">
        <w:rPr>
          <w:rFonts w:cs="Times New Roman"/>
          <w:noProof/>
          <w:sz w:val="20"/>
          <w:szCs w:val="24"/>
        </w:rPr>
        <w:tab/>
        <w:t xml:space="preserve">Heunis JC, Kigozi NG, Chikobvu P, Botha S, Van Rensburg HD. Risk factors for mortality in TB patients: A 10-year electronic record review in a South African province. BMC Public Health. 2017;17(1):1–7. </w:t>
      </w:r>
    </w:p>
    <w:p w14:paraId="60A7CEA1"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96. </w:t>
      </w:r>
      <w:r w:rsidRPr="00435469">
        <w:rPr>
          <w:rFonts w:cs="Times New Roman"/>
          <w:noProof/>
          <w:sz w:val="20"/>
          <w:szCs w:val="24"/>
        </w:rPr>
        <w:tab/>
        <w:t xml:space="preserve">Osman M, van Schalkwyk C, Naidoo P, Seddon JA, Dunbar R, Dlamini SS, et al. Mortality during tuberculosis treatment in South Africa using an 8-year analysis of the national tuberculosis treatment register. Sci Rep. 2021;11(1):1–10. </w:t>
      </w:r>
    </w:p>
    <w:p w14:paraId="20AECFB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97. </w:t>
      </w:r>
      <w:r w:rsidRPr="00435469">
        <w:rPr>
          <w:rFonts w:cs="Times New Roman"/>
          <w:noProof/>
          <w:sz w:val="20"/>
          <w:szCs w:val="24"/>
        </w:rPr>
        <w:tab/>
        <w:t xml:space="preserve">Mugusi FM, Mehta S, Villamor E, Urassa W, Saathoff E, Bosch RJ, et al. Factors associated with mortality in HIV-infected and uninfected patients with pulmonary tuberculosis. BMC Public Health. 2009;9:1–8. </w:t>
      </w:r>
    </w:p>
    <w:p w14:paraId="6D63F938"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98. </w:t>
      </w:r>
      <w:r w:rsidRPr="00435469">
        <w:rPr>
          <w:rFonts w:cs="Times New Roman"/>
          <w:noProof/>
          <w:sz w:val="20"/>
          <w:szCs w:val="24"/>
        </w:rPr>
        <w:tab/>
        <w:t xml:space="preserve">Lambert ML, Hasker E, Van Deun A, Roberfroid D, Boelaert M, Van der Stuyft P. Recurrence in tuberculosis: Relapse or reinfection? Lancet Infect Dis. 2003;3(5):282–7. </w:t>
      </w:r>
    </w:p>
    <w:p w14:paraId="2F5CD3B4"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99. </w:t>
      </w:r>
      <w:r w:rsidRPr="00435469">
        <w:rPr>
          <w:rFonts w:cs="Times New Roman"/>
          <w:noProof/>
          <w:sz w:val="20"/>
          <w:szCs w:val="24"/>
        </w:rPr>
        <w:tab/>
        <w:t xml:space="preserve">Korenromp EL, Scano F, Williams BG, Dye C, Nunn P. Effects of Human Immunodeficiency Virus Infection on Recurrence of Tuberculosis after Rifampin-Based Treatment: An Analytical Review. Clin Infect Dis. 2003;37(1):101–12. </w:t>
      </w:r>
    </w:p>
    <w:p w14:paraId="17326BB2"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100. </w:t>
      </w:r>
      <w:r w:rsidRPr="00435469">
        <w:rPr>
          <w:rFonts w:cs="Times New Roman"/>
          <w:noProof/>
          <w:sz w:val="20"/>
          <w:szCs w:val="24"/>
        </w:rPr>
        <w:tab/>
        <w:t xml:space="preserve">Marx FM, Dunbar R, Enarson DA, Williams BG, Warren RM, Van Der Spuy GD, et al. The temporal dynamics of relapse and reinfection tuberculosis after successful treatment: A retrospective cohort study. Clin Infect Dis. 2014;58(12):1676–83. </w:t>
      </w:r>
    </w:p>
    <w:p w14:paraId="045A5433"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101. </w:t>
      </w:r>
      <w:r w:rsidRPr="00435469">
        <w:rPr>
          <w:rFonts w:cs="Times New Roman"/>
          <w:noProof/>
          <w:sz w:val="20"/>
          <w:szCs w:val="24"/>
        </w:rPr>
        <w:tab/>
        <w:t xml:space="preserve">Naidoo K, Dookie N. Insights into Recurrent Tuberculosis: Relapse Versus Reinfection and Related Risk Factors, Tuberculosis. IntechOpen. 2018; </w:t>
      </w:r>
    </w:p>
    <w:p w14:paraId="185CD56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102. </w:t>
      </w:r>
      <w:r w:rsidRPr="00435469">
        <w:rPr>
          <w:rFonts w:cs="Times New Roman"/>
          <w:noProof/>
          <w:sz w:val="20"/>
          <w:szCs w:val="24"/>
        </w:rPr>
        <w:tab/>
        <w:t xml:space="preserve">Sonnenberg P, Murray J, Glynn JR, Shearer S, Kambashi B, Godfrey-Faussett P. HIV-1 and recurrence, relapse, and reinfection of tuberculosis after cure: A cohort study in South African mineworkers. Lancet. 2001;358(9294):1687–93. </w:t>
      </w:r>
    </w:p>
    <w:p w14:paraId="3C73EF6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103. </w:t>
      </w:r>
      <w:r w:rsidRPr="00435469">
        <w:rPr>
          <w:rFonts w:cs="Times New Roman"/>
          <w:noProof/>
          <w:sz w:val="20"/>
          <w:szCs w:val="24"/>
        </w:rPr>
        <w:tab/>
        <w:t xml:space="preserve">den Boon S, Bateman ED, Borgdorff MW, de Villiers C, Enarson D a, Irusen E, et al. High prevalence of tuberculosis in previously treated patients, Cape Town, South Africa. Emerg Infect Dis. 2007;13(8):1189–94. </w:t>
      </w:r>
    </w:p>
    <w:p w14:paraId="46B4A048"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104. </w:t>
      </w:r>
      <w:r w:rsidRPr="00435469">
        <w:rPr>
          <w:rFonts w:cs="Times New Roman"/>
          <w:noProof/>
          <w:sz w:val="20"/>
          <w:szCs w:val="24"/>
        </w:rPr>
        <w:tab/>
        <w:t xml:space="preserve">Marx FM, Floyd S, Ayles H, Godfrey-Faussett P, Beyers N, Cohen T. High burden of prevalent tuberculosis among previously treated people in Southern Africa suggests potential for targeted control interventions. Eur Respir J. 2016;(48):1227–30. </w:t>
      </w:r>
    </w:p>
    <w:p w14:paraId="1A75BDC7"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105. </w:t>
      </w:r>
      <w:r w:rsidRPr="00435469">
        <w:rPr>
          <w:rFonts w:cs="Times New Roman"/>
          <w:noProof/>
          <w:sz w:val="20"/>
          <w:szCs w:val="24"/>
        </w:rPr>
        <w:tab/>
        <w:t xml:space="preserve">National Department of Health. Guidelines for Tuberculosis Preventive Therapy among HIV </w:t>
      </w:r>
      <w:r w:rsidRPr="00435469">
        <w:rPr>
          <w:rFonts w:cs="Times New Roman"/>
          <w:noProof/>
          <w:sz w:val="20"/>
          <w:szCs w:val="24"/>
        </w:rPr>
        <w:lastRenderedPageBreak/>
        <w:t xml:space="preserve">Infected Individuals in South Africa. 2010. </w:t>
      </w:r>
    </w:p>
    <w:p w14:paraId="31FE4A0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106. </w:t>
      </w:r>
      <w:r w:rsidRPr="00435469">
        <w:rPr>
          <w:rFonts w:cs="Times New Roman"/>
          <w:noProof/>
          <w:sz w:val="20"/>
          <w:szCs w:val="24"/>
        </w:rPr>
        <w:tab/>
        <w:t xml:space="preserve">Department of Health. The South African Antiretroviral Treatment Guidelines 2013. 2013; </w:t>
      </w:r>
    </w:p>
    <w:p w14:paraId="036B5E2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107. </w:t>
      </w:r>
      <w:r w:rsidRPr="00435469">
        <w:rPr>
          <w:rFonts w:cs="Times New Roman"/>
          <w:noProof/>
          <w:sz w:val="20"/>
          <w:szCs w:val="24"/>
        </w:rPr>
        <w:tab/>
        <w:t xml:space="preserve">Van Ginderdeuren E, Bassett J, Hanrahan C, Mutunga L, Van Rie A. Health system barriers to implementation of TB preventive strategies in South African primary care facilities. PLoS One. 2019;14(2):1–12. </w:t>
      </w:r>
    </w:p>
    <w:p w14:paraId="490846C0"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108. </w:t>
      </w:r>
      <w:r w:rsidRPr="00435469">
        <w:rPr>
          <w:rFonts w:cs="Times New Roman"/>
          <w:noProof/>
          <w:sz w:val="20"/>
          <w:szCs w:val="24"/>
        </w:rPr>
        <w:tab/>
        <w:t xml:space="preserve">Wood R, Bekker LG. Isoniazid preventive therapy for tuberculosis in South Africa: An assessment of the local evidence base. South African Med J. 2014;104(3):174–7. </w:t>
      </w:r>
    </w:p>
    <w:p w14:paraId="5D8F1741"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109. </w:t>
      </w:r>
      <w:r w:rsidRPr="00435469">
        <w:rPr>
          <w:rFonts w:cs="Times New Roman"/>
          <w:noProof/>
          <w:sz w:val="20"/>
          <w:szCs w:val="24"/>
        </w:rPr>
        <w:tab/>
        <w:t xml:space="preserve">Maharaj B, Gengiah TN, Yende-Zuma N, Gengiah S, Naidoo A, Naidoo K. Implementing isoniazid preventive therapy in a tuberculosis treatment-experienced cohort on ART. Int J Tuberc Lung Dis. 2017;21(5):537–43. </w:t>
      </w:r>
    </w:p>
    <w:p w14:paraId="557BFAD8"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110. </w:t>
      </w:r>
      <w:r w:rsidRPr="00435469">
        <w:rPr>
          <w:rFonts w:cs="Times New Roman"/>
          <w:noProof/>
          <w:sz w:val="20"/>
          <w:szCs w:val="24"/>
        </w:rPr>
        <w:tab/>
        <w:t xml:space="preserve">Takarinda KC, Choto RC, Harries AD, Mutasa-Apollo T, Chakanyuka-Musanhu. Routine implementation of isoniazid preventive therapy in HIV-infected patients in seven pilot sites in Zimbabwe. Public Heal Action. 2017;7(1):55–60. </w:t>
      </w:r>
    </w:p>
    <w:p w14:paraId="10530F5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111. </w:t>
      </w:r>
      <w:r w:rsidRPr="00435469">
        <w:rPr>
          <w:rFonts w:cs="Times New Roman"/>
          <w:noProof/>
          <w:sz w:val="20"/>
          <w:szCs w:val="24"/>
        </w:rPr>
        <w:tab/>
        <w:t xml:space="preserve">Nyathi S, Dlodlo RA, Satyanarayana S, Takarinda KC, Tweya H, Hove S, et al. Isoniazid preventive therapy: Uptake, incidence of tuberculosis and survival among people living with HIV in Bulawayo, Zimbabwe. PLoS One. 2019;14(10):1–12. </w:t>
      </w:r>
    </w:p>
    <w:p w14:paraId="5D7FE1B4"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112. </w:t>
      </w:r>
      <w:r w:rsidRPr="00435469">
        <w:rPr>
          <w:rFonts w:cs="Times New Roman"/>
          <w:noProof/>
          <w:sz w:val="20"/>
          <w:szCs w:val="24"/>
        </w:rPr>
        <w:tab/>
        <w:t xml:space="preserve">Okoli EI, Roets L. Health system challenges: An obstacle to the success of isoniazid preventive therapy. South African Med J. 2016;106(11):1079–81. </w:t>
      </w:r>
    </w:p>
    <w:p w14:paraId="0E02AE94"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113. </w:t>
      </w:r>
      <w:r w:rsidRPr="00435469">
        <w:rPr>
          <w:rFonts w:cs="Times New Roman"/>
          <w:noProof/>
          <w:sz w:val="20"/>
          <w:szCs w:val="24"/>
        </w:rPr>
        <w:tab/>
        <w:t xml:space="preserve">Dhungana GP, Thekkur P, Chinnakali P, Bhatta U, Pandey B, Zhang WH. Initiation and completion rates of isoniazid preventive therapy among people living with HIV in Far-Western Region of Nepal: A retrospective cohort study. BMJ Open. 2019;9(5):1–9. </w:t>
      </w:r>
    </w:p>
    <w:p w14:paraId="17F024BB"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114. </w:t>
      </w:r>
      <w:r w:rsidRPr="00435469">
        <w:rPr>
          <w:rFonts w:cs="Times New Roman"/>
          <w:noProof/>
          <w:sz w:val="20"/>
          <w:szCs w:val="24"/>
        </w:rPr>
        <w:tab/>
        <w:t xml:space="preserve">Ayele HT, Van Mourik MSM, Debray TPA, Bonten MJM. Isoniazid prophylactic therapy for the prevention of tuberculosis in HIV infected adults: A systematic review and meta-analysis of randomized trials. PLoS One. 2015;10(11):1–16. </w:t>
      </w:r>
    </w:p>
    <w:p w14:paraId="72BDDFE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115. </w:t>
      </w:r>
      <w:r w:rsidRPr="00435469">
        <w:rPr>
          <w:rFonts w:cs="Times New Roman"/>
          <w:noProof/>
          <w:sz w:val="20"/>
          <w:szCs w:val="24"/>
        </w:rPr>
        <w:tab/>
        <w:t xml:space="preserve">Churchyard GJ, Fielding KL, Lewis JJ, Coetzee L, Corbett EL, Godfrey-Faussett P, et al. A trial of mass isoniazid preventive therapy for tuberculosis control. N Engl J Med. 2014;370(4):301–10. </w:t>
      </w:r>
    </w:p>
    <w:p w14:paraId="794406DF"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116. </w:t>
      </w:r>
      <w:r w:rsidRPr="00435469">
        <w:rPr>
          <w:rFonts w:cs="Times New Roman"/>
          <w:noProof/>
          <w:sz w:val="20"/>
          <w:szCs w:val="24"/>
        </w:rPr>
        <w:tab/>
        <w:t xml:space="preserve">Shisana O, Labadarios D, Rehle T, Simbayi L, Zuma K, Dhansay A, Reddy P, Parker W, Hoosain E, Naidoo P, Hogoro C, Mchiza Z, Steyn NP, Dwane N, Makoae M, Maluleke T, Ramlagan S, Zungu N, Evans MG, Jacobs L FM. The South African National health and Nutrition Examination Survey SANHANES-1. Cape Town: HSRC Press; 2013. </w:t>
      </w:r>
    </w:p>
    <w:p w14:paraId="41C88462"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117. </w:t>
      </w:r>
      <w:r w:rsidRPr="00435469">
        <w:rPr>
          <w:rFonts w:cs="Times New Roman"/>
          <w:noProof/>
          <w:sz w:val="20"/>
          <w:szCs w:val="24"/>
        </w:rPr>
        <w:tab/>
        <w:t xml:space="preserve">South Africa Demographic and Health Survey 2016. Pretoria, South Africa; 2019. </w:t>
      </w:r>
    </w:p>
    <w:p w14:paraId="448B88AE"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118. </w:t>
      </w:r>
      <w:r w:rsidRPr="00435469">
        <w:rPr>
          <w:rFonts w:cs="Times New Roman"/>
          <w:noProof/>
          <w:sz w:val="20"/>
          <w:szCs w:val="24"/>
        </w:rPr>
        <w:tab/>
        <w:t xml:space="preserve">Al-Rifai RH, Pearson F, Critchley JA, Abu-Raddad LJ. Association between diabetes mellitus and active tuberculosis: A systematic review and meta-analysis. PLoS One. 2017;12(11):1–26. </w:t>
      </w:r>
    </w:p>
    <w:p w14:paraId="38075653"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119. </w:t>
      </w:r>
      <w:r w:rsidRPr="00435469">
        <w:rPr>
          <w:rFonts w:cs="Times New Roman"/>
          <w:noProof/>
          <w:sz w:val="20"/>
          <w:szCs w:val="24"/>
        </w:rPr>
        <w:tab/>
        <w:t xml:space="preserve">Lönnroth K, Williams BG, Cegielski P, Dye C. A consistent log-linear relationship between tuberculosis incidence and body mass index. Int J Epidemiol. 2010;39(1):149–55. </w:t>
      </w:r>
    </w:p>
    <w:p w14:paraId="0C878333"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120. </w:t>
      </w:r>
      <w:r w:rsidRPr="00435469">
        <w:rPr>
          <w:rFonts w:cs="Times New Roman"/>
          <w:noProof/>
          <w:sz w:val="20"/>
          <w:szCs w:val="24"/>
        </w:rPr>
        <w:tab/>
        <w:t xml:space="preserve">Leung CC, Lam TH, Chan WM, Yew WW, Ho KS, Leung G, et al. Lower risk of tuberculosis in obesity. Arch Intern Med. 2007;167(12):1297–304. </w:t>
      </w:r>
    </w:p>
    <w:p w14:paraId="45C0F539"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121. </w:t>
      </w:r>
      <w:r w:rsidRPr="00435469">
        <w:rPr>
          <w:rFonts w:cs="Times New Roman"/>
          <w:noProof/>
          <w:sz w:val="20"/>
          <w:szCs w:val="24"/>
        </w:rPr>
        <w:tab/>
        <w:t xml:space="preserve">Kolappan C, Gopi P. Tobacco smoking and pulmonary tuberculosis. Thorax. 2002;(57):964–6. </w:t>
      </w:r>
    </w:p>
    <w:p w14:paraId="168C604E"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lastRenderedPageBreak/>
        <w:t xml:space="preserve">122. </w:t>
      </w:r>
      <w:r w:rsidRPr="00435469">
        <w:rPr>
          <w:rFonts w:cs="Times New Roman"/>
          <w:noProof/>
          <w:sz w:val="20"/>
          <w:szCs w:val="24"/>
        </w:rPr>
        <w:tab/>
        <w:t xml:space="preserve">Lönnroth K, Williams BG, Stadlin S, Jaramillo E, Dye C. Alcohol use as a risk factor for tuberculosis – a systematic review. BMC Public Health. 2008;8(8):289. </w:t>
      </w:r>
    </w:p>
    <w:p w14:paraId="22574696"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123. </w:t>
      </w:r>
      <w:r w:rsidRPr="00435469">
        <w:rPr>
          <w:rFonts w:cs="Times New Roman"/>
          <w:noProof/>
          <w:sz w:val="20"/>
          <w:szCs w:val="24"/>
        </w:rPr>
        <w:tab/>
        <w:t xml:space="preserve">Rehm J, Samokhvalov A V, Neuman MG, Room R, Parry C, Lönnroth K, et al. The association between alcohol use, alcohol use disorders and tuberculosis (TB). A systematic review. BMC Public Health. 2009;9:450. </w:t>
      </w:r>
    </w:p>
    <w:p w14:paraId="093BAF74"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124. </w:t>
      </w:r>
      <w:r w:rsidRPr="00435469">
        <w:rPr>
          <w:rFonts w:cs="Times New Roman"/>
          <w:noProof/>
          <w:sz w:val="20"/>
          <w:szCs w:val="24"/>
        </w:rPr>
        <w:tab/>
        <w:t xml:space="preserve">Gupta RK, Lucas SB, Fielding KL, Lawn SD. Prevalence of tuberculosis in post-mortem studies of HIV-infected adults and children in resource-limited settings: A systematic review and meta-analysis. Aids. 2015;29(15):1987–2002. </w:t>
      </w:r>
    </w:p>
    <w:p w14:paraId="51C6A924"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125. </w:t>
      </w:r>
      <w:r w:rsidRPr="00435469">
        <w:rPr>
          <w:rFonts w:cs="Times New Roman"/>
          <w:noProof/>
          <w:sz w:val="20"/>
          <w:szCs w:val="24"/>
        </w:rPr>
        <w:tab/>
        <w:t xml:space="preserve">Johnson LF, May MT, Dorrington RE, Cornell M, Boulle A, Egger M, et al. Estimating the impact of antiretroviral treatment on adult mortality trends in South Africa : A mathematical modelling study. PLoS Med. 2017;1–17. </w:t>
      </w:r>
    </w:p>
    <w:p w14:paraId="4D53A62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126. </w:t>
      </w:r>
      <w:r w:rsidRPr="00435469">
        <w:rPr>
          <w:rFonts w:cs="Times New Roman"/>
          <w:noProof/>
          <w:sz w:val="20"/>
          <w:szCs w:val="24"/>
        </w:rPr>
        <w:tab/>
        <w:t xml:space="preserve">Podewils LJ, Bantubani N, Bristow C, Bronner LE, Peters A, Pym A, et al. Completeness and Reliability of the Republic of South Africa National Tuberculosis (TB) Surveillance System. BMC Public Health. 2015;15(1):1–11. </w:t>
      </w:r>
    </w:p>
    <w:p w14:paraId="1D1A7C2A"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127. </w:t>
      </w:r>
      <w:r w:rsidRPr="00435469">
        <w:rPr>
          <w:rFonts w:cs="Times New Roman"/>
          <w:noProof/>
          <w:sz w:val="20"/>
          <w:szCs w:val="24"/>
        </w:rPr>
        <w:tab/>
        <w:t xml:space="preserve">Myburgh H, Peters RPH, Hurter T, Grobbelaar CJ, Hoddinott G. Transition to an in-facility electronic tuberculosis register: Lessons from a South African pilot project. South Afr J HIV Med. 2020;21(1):1–7. </w:t>
      </w:r>
    </w:p>
    <w:p w14:paraId="1C1A281C"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128. </w:t>
      </w:r>
      <w:r w:rsidRPr="00435469">
        <w:rPr>
          <w:rFonts w:cs="Times New Roman"/>
          <w:noProof/>
          <w:sz w:val="20"/>
          <w:szCs w:val="24"/>
        </w:rPr>
        <w:tab/>
        <w:t>Mlotshwa M, Smit S, Williams S, Reddy C, Medina-Marino A. Evaluating the electronic tuberculosis register surveillance system in Eden District, Western Cape, South Africa, 2015. Glob Health Action [Internet]. 2017;10(1). Available from: https://doi.org/10.1080/16549716.2017.1360560</w:t>
      </w:r>
    </w:p>
    <w:p w14:paraId="32816D46"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129. </w:t>
      </w:r>
      <w:r w:rsidRPr="00435469">
        <w:rPr>
          <w:rFonts w:cs="Times New Roman"/>
          <w:noProof/>
          <w:sz w:val="20"/>
          <w:szCs w:val="24"/>
        </w:rPr>
        <w:tab/>
        <w:t xml:space="preserve">Dreyer AW, Mbambo D, Machaba M, Oliphant CEM, Claassens MM. Tuberculosis cure rates and the ETR.Net: Investigating the quality of reporting treatment outcomes from primary healthcare facilities in Mpumalanga province, South Africa. BMC Health Serv Res. 2017;17(1):1–6. </w:t>
      </w:r>
    </w:p>
    <w:p w14:paraId="2A49EBA0"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130. </w:t>
      </w:r>
      <w:r w:rsidRPr="00435469">
        <w:rPr>
          <w:rFonts w:cs="Times New Roman"/>
          <w:noProof/>
          <w:sz w:val="20"/>
          <w:szCs w:val="24"/>
        </w:rPr>
        <w:tab/>
        <w:t xml:space="preserve">Johnsona LF, Rehlea TM, Joosteb S, Bekkerc LG. Rates of HIV testing and diagnosis in South Africa: Successes and challenges. AIDS. 2015;29(11):1401–9. </w:t>
      </w:r>
    </w:p>
    <w:p w14:paraId="70E120C1"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131. </w:t>
      </w:r>
      <w:r w:rsidRPr="00435469">
        <w:rPr>
          <w:rFonts w:cs="Times New Roman"/>
          <w:noProof/>
          <w:sz w:val="20"/>
          <w:szCs w:val="24"/>
        </w:rPr>
        <w:tab/>
        <w:t xml:space="preserve">Raftery AE, Bao L. Estimating and Projecting Trends in HIV/AIDS Generalized Epidemics Using Incremental Mixture Importance Sampling. Biometrics. 2010;66(4):1162–1173. </w:t>
      </w:r>
    </w:p>
    <w:p w14:paraId="07B27ED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132. </w:t>
      </w:r>
      <w:r w:rsidRPr="00435469">
        <w:rPr>
          <w:rFonts w:cs="Times New Roman"/>
          <w:noProof/>
          <w:sz w:val="20"/>
          <w:szCs w:val="24"/>
        </w:rPr>
        <w:tab/>
        <w:t xml:space="preserve">Johnson LF, Dorrington RE. Thembisa version 4.3: A model for evaluating the impact of HIV/AIDS in South Africa. 2020. </w:t>
      </w:r>
    </w:p>
    <w:p w14:paraId="65B86873"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133. </w:t>
      </w:r>
      <w:r w:rsidRPr="00435469">
        <w:rPr>
          <w:rFonts w:cs="Times New Roman"/>
          <w:noProof/>
          <w:sz w:val="20"/>
          <w:szCs w:val="24"/>
        </w:rPr>
        <w:tab/>
        <w:t xml:space="preserve">World Health Organization. Global Tuberculosis Report, 2020. Geneva: World Health Organization; 2020; 2020. </w:t>
      </w:r>
    </w:p>
    <w:p w14:paraId="6E8BF105"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134. </w:t>
      </w:r>
      <w:r w:rsidRPr="00435469">
        <w:rPr>
          <w:rFonts w:cs="Times New Roman"/>
          <w:noProof/>
          <w:sz w:val="20"/>
          <w:szCs w:val="24"/>
        </w:rPr>
        <w:tab/>
        <w:t xml:space="preserve">Ledesma JR, Ma J, Vongpradith A, Maddison ER, Novotney A, Biehl MH, et al. Global, regional, and national sex differences in the global burden of tuberculosis by HIV status, 1990–2019: results from the Global Burden of Disease Study 2019. Lancet Infect Dis. 2021;3099(21):1–20. </w:t>
      </w:r>
    </w:p>
    <w:p w14:paraId="09AA4694"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135. </w:t>
      </w:r>
      <w:r w:rsidRPr="00435469">
        <w:rPr>
          <w:rFonts w:cs="Times New Roman"/>
          <w:noProof/>
          <w:sz w:val="20"/>
          <w:szCs w:val="24"/>
        </w:rPr>
        <w:tab/>
        <w:t xml:space="preserve">Glaziou P, Sismanidis C, Pretorius C, Timimi H, Floyd K. Global TB Report 2015 : Technical appendix on methods used to estimate the global burden of disease caused by TB. World Health Organisation. Geneva; 2015. </w:t>
      </w:r>
    </w:p>
    <w:p w14:paraId="646255AF"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szCs w:val="24"/>
        </w:rPr>
      </w:pPr>
      <w:r w:rsidRPr="00435469">
        <w:rPr>
          <w:rFonts w:cs="Times New Roman"/>
          <w:noProof/>
          <w:sz w:val="20"/>
          <w:szCs w:val="24"/>
        </w:rPr>
        <w:t xml:space="preserve">136. </w:t>
      </w:r>
      <w:r w:rsidRPr="00435469">
        <w:rPr>
          <w:rFonts w:cs="Times New Roman"/>
          <w:noProof/>
          <w:sz w:val="20"/>
          <w:szCs w:val="24"/>
        </w:rPr>
        <w:tab/>
        <w:t xml:space="preserve">Philippe G, Dodd PJ, Dean A, Floyd K. Methods used by WHO to estimate the Global burden of TB disease. 2019. </w:t>
      </w:r>
    </w:p>
    <w:p w14:paraId="2B7E0413" w14:textId="77777777" w:rsidR="00650727" w:rsidRPr="00435469" w:rsidRDefault="00650727" w:rsidP="00650727">
      <w:pPr>
        <w:widowControl w:val="0"/>
        <w:autoSpaceDE w:val="0"/>
        <w:autoSpaceDN w:val="0"/>
        <w:adjustRightInd w:val="0"/>
        <w:spacing w:line="240" w:lineRule="auto"/>
        <w:ind w:left="640" w:hanging="640"/>
        <w:rPr>
          <w:rFonts w:cs="Times New Roman"/>
          <w:noProof/>
          <w:sz w:val="20"/>
        </w:rPr>
      </w:pPr>
      <w:r w:rsidRPr="00435469">
        <w:rPr>
          <w:rFonts w:cs="Times New Roman"/>
          <w:noProof/>
          <w:sz w:val="20"/>
          <w:szCs w:val="24"/>
        </w:rPr>
        <w:lastRenderedPageBreak/>
        <w:t xml:space="preserve">137. </w:t>
      </w:r>
      <w:r w:rsidRPr="00435469">
        <w:rPr>
          <w:rFonts w:cs="Times New Roman"/>
          <w:noProof/>
          <w:sz w:val="20"/>
          <w:szCs w:val="24"/>
        </w:rPr>
        <w:tab/>
        <w:t xml:space="preserve">Garcıa-Basteiro AL, Brew J, Williams B, Borgdorff M, Cobelens F. What is the true tuberculosis mortality burden? Differences in estimates by the World Health Organization and the Global Burden of Disease study. Int J Epidemiol. 2018;47(5):1549–60. </w:t>
      </w:r>
    </w:p>
    <w:p w14:paraId="30D042A1" w14:textId="77777777" w:rsidR="00F6580B" w:rsidRPr="00435469" w:rsidRDefault="00F6580B" w:rsidP="00955FFB">
      <w:pPr>
        <w:spacing w:line="240" w:lineRule="auto"/>
        <w:rPr>
          <w:sz w:val="20"/>
          <w:szCs w:val="20"/>
        </w:rPr>
      </w:pPr>
      <w:r w:rsidRPr="00435469">
        <w:rPr>
          <w:sz w:val="20"/>
          <w:szCs w:val="20"/>
        </w:rPr>
        <w:fldChar w:fldCharType="end"/>
      </w:r>
    </w:p>
    <w:bookmarkEnd w:id="409"/>
    <w:p w14:paraId="6FDFB429" w14:textId="77777777" w:rsidR="007E2A2F" w:rsidRPr="00304411" w:rsidRDefault="007E2A2F" w:rsidP="00955FFB">
      <w:pPr>
        <w:spacing w:before="240" w:line="240" w:lineRule="auto"/>
        <w:rPr>
          <w:rFonts w:eastAsiaTheme="minorEastAsia" w:cs="Times New Roman"/>
          <w:iCs/>
          <w:sz w:val="20"/>
          <w:szCs w:val="20"/>
          <w:lang w:eastAsia="en-ZA"/>
        </w:rPr>
      </w:pPr>
    </w:p>
    <w:sectPr w:rsidR="007E2A2F" w:rsidRPr="00304411" w:rsidSect="00B35B7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A1989" w14:textId="77777777" w:rsidR="00BA01CE" w:rsidRDefault="00BA01CE" w:rsidP="005801A8">
      <w:pPr>
        <w:spacing w:after="0" w:line="240" w:lineRule="auto"/>
      </w:pPr>
      <w:r>
        <w:separator/>
      </w:r>
    </w:p>
  </w:endnote>
  <w:endnote w:type="continuationSeparator" w:id="0">
    <w:p w14:paraId="11D5EC06" w14:textId="77777777" w:rsidR="00BA01CE" w:rsidRDefault="00BA01CE" w:rsidP="005801A8">
      <w:pPr>
        <w:spacing w:after="0" w:line="240" w:lineRule="auto"/>
      </w:pPr>
      <w:r>
        <w:continuationSeparator/>
      </w:r>
    </w:p>
  </w:endnote>
  <w:endnote w:type="continuationNotice" w:id="1">
    <w:p w14:paraId="77DC6140" w14:textId="77777777" w:rsidR="00BA01CE" w:rsidRDefault="00BA01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Minion Pro">
    <w:altName w:val="Cambria"/>
    <w:panose1 w:val="00000000000000000000"/>
    <w:charset w:val="00"/>
    <w:family w:val="roman"/>
    <w:notTrueType/>
    <w:pitch w:val="default"/>
    <w:sig w:usb0="00000003" w:usb1="00000000" w:usb2="00000000" w:usb3="00000000" w:csb0="00000001" w:csb1="00000000"/>
  </w:font>
  <w:font w:name="Palatino">
    <w:altName w:val="Palatino Linotype"/>
    <w:panose1 w:val="00000000000000000000"/>
    <w:charset w:val="00"/>
    <w:family w:val="roman"/>
    <w:notTrueType/>
    <w:pitch w:val="default"/>
    <w:sig w:usb0="00000003" w:usb1="00000000" w:usb2="00000000" w:usb3="00000000" w:csb0="00000001" w:csb1="00000000"/>
  </w:font>
  <w:font w:name="ITC Symbol Std Book">
    <w:altName w:val="Calibri"/>
    <w:panose1 w:val="00000000000000000000"/>
    <w:charset w:val="00"/>
    <w:family w:val="auto"/>
    <w:notTrueType/>
    <w:pitch w:val="default"/>
    <w:sig w:usb0="00000003" w:usb1="00000000" w:usb2="00000000" w:usb3="00000000" w:csb0="00000001" w:csb1="00000000"/>
  </w:font>
  <w:font w:name="ScalaLancetPro">
    <w:altName w:val="Yu Gothic"/>
    <w:panose1 w:val="00000000000000000000"/>
    <w:charset w:val="00"/>
    <w:family w:val="roman"/>
    <w:notTrueType/>
    <w:pitch w:val="default"/>
    <w:sig w:usb0="00000003"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2902079"/>
      <w:docPartObj>
        <w:docPartGallery w:val="Page Numbers (Bottom of Page)"/>
        <w:docPartUnique/>
      </w:docPartObj>
    </w:sdtPr>
    <w:sdtEndPr>
      <w:rPr>
        <w:noProof/>
      </w:rPr>
    </w:sdtEndPr>
    <w:sdtContent>
      <w:p w14:paraId="4DEBFEAC" w14:textId="77777777" w:rsidR="001E7089" w:rsidRDefault="001E70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95F023" w14:textId="77777777" w:rsidR="001E7089" w:rsidRDefault="001E70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834791"/>
      <w:docPartObj>
        <w:docPartGallery w:val="Page Numbers (Bottom of Page)"/>
        <w:docPartUnique/>
      </w:docPartObj>
    </w:sdtPr>
    <w:sdtEndPr>
      <w:rPr>
        <w:noProof/>
      </w:rPr>
    </w:sdtEndPr>
    <w:sdtContent>
      <w:p w14:paraId="5761BA86" w14:textId="77777777" w:rsidR="00841D4E" w:rsidRDefault="00841D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3D89F6" w14:textId="77777777" w:rsidR="00841D4E" w:rsidRDefault="00841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34686" w14:textId="77777777" w:rsidR="00BA01CE" w:rsidRDefault="00BA01CE" w:rsidP="005801A8">
      <w:pPr>
        <w:spacing w:after="0" w:line="240" w:lineRule="auto"/>
      </w:pPr>
      <w:r>
        <w:separator/>
      </w:r>
    </w:p>
  </w:footnote>
  <w:footnote w:type="continuationSeparator" w:id="0">
    <w:p w14:paraId="68394B66" w14:textId="77777777" w:rsidR="00BA01CE" w:rsidRDefault="00BA01CE" w:rsidP="005801A8">
      <w:pPr>
        <w:spacing w:after="0" w:line="240" w:lineRule="auto"/>
      </w:pPr>
      <w:r>
        <w:continuationSeparator/>
      </w:r>
    </w:p>
  </w:footnote>
  <w:footnote w:type="continuationNotice" w:id="1">
    <w:p w14:paraId="3963ADA1" w14:textId="77777777" w:rsidR="00BA01CE" w:rsidRDefault="00BA01CE">
      <w:pPr>
        <w:spacing w:after="0" w:line="240" w:lineRule="auto"/>
      </w:pPr>
    </w:p>
  </w:footnote>
  <w:footnote w:id="2">
    <w:p w14:paraId="4FFC3C90" w14:textId="43598D54" w:rsidR="00841D4E" w:rsidRPr="00B57955" w:rsidRDefault="00841D4E">
      <w:pPr>
        <w:pStyle w:val="FootnoteText"/>
        <w:rPr>
          <w:lang w:val="en-GB"/>
        </w:rPr>
      </w:pPr>
      <w:r w:rsidRPr="00650727">
        <w:rPr>
          <w:rStyle w:val="FootnoteReference"/>
        </w:rPr>
        <w:footnoteRef/>
      </w:r>
      <w:r w:rsidR="00396AD5">
        <w:rPr>
          <w:sz w:val="16"/>
          <w:szCs w:val="16"/>
        </w:rPr>
        <w:t>S</w:t>
      </w:r>
      <w:r w:rsidRPr="00CF123E">
        <w:rPr>
          <w:sz w:val="16"/>
          <w:szCs w:val="16"/>
        </w:rPr>
        <w:t>uppose A is the number of TB cases who are tested microbiologically, B is the number who are treated empirically (without microbiological testing) and C are the number of symptomatic TB cases that don’t get treated. We define Y as B/(B+C), however, the Pepper and Pronyk</w:t>
      </w:r>
      <w:r w:rsidR="00533AD9">
        <w:rPr>
          <w:sz w:val="16"/>
          <w:szCs w:val="16"/>
        </w:rPr>
        <w:t xml:space="preserve"> studies</w:t>
      </w:r>
      <w:r w:rsidRPr="00CF123E">
        <w:rPr>
          <w:sz w:val="16"/>
          <w:szCs w:val="16"/>
        </w:rPr>
        <w:t xml:space="preserve"> report B/(A+B). If C &gt; A, as one might expect, given the low rates of screening historically, then the Pronyk and Pepper studies are over-estimating the proportions we are interested in</w:t>
      </w:r>
      <w:r>
        <w:rPr>
          <w:sz w:val="16"/>
          <w:szCs w:val="16"/>
        </w:rPr>
        <w:t>.</w:t>
      </w:r>
    </w:p>
  </w:footnote>
  <w:footnote w:id="3">
    <w:p w14:paraId="78FCF2A5" w14:textId="77777777" w:rsidR="005757C6" w:rsidRDefault="005757C6" w:rsidP="005757C6">
      <w:pPr>
        <w:pStyle w:val="FootnoteText"/>
        <w:rPr>
          <w:vertAlign w:val="superscript"/>
          <w:lang w:val="en-GB"/>
        </w:rPr>
      </w:pPr>
      <w:r w:rsidRPr="00650727">
        <w:rPr>
          <w:rStyle w:val="FootnoteReference"/>
        </w:rPr>
        <w:footnoteRef/>
      </w:r>
      <w:r>
        <w:t xml:space="preserve"> standard error = ((upper limit – lower limit) / 3.92)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C91"/>
    <w:multiLevelType w:val="hybridMultilevel"/>
    <w:tmpl w:val="C4326C9E"/>
    <w:lvl w:ilvl="0" w:tplc="F7A62560">
      <w:start w:val="1"/>
      <w:numFmt w:val="bullet"/>
      <w:pStyle w:val="BulletedList"/>
      <w:lvlText w:val=""/>
      <w:lvlJc w:val="left"/>
      <w:pPr>
        <w:ind w:left="720" w:hanging="360"/>
      </w:pPr>
      <w:rPr>
        <w:rFonts w:ascii="Symbol" w:hAnsi="Symbol" w:hint="default"/>
      </w:rPr>
    </w:lvl>
    <w:lvl w:ilvl="1" w:tplc="1DF0F304">
      <w:start w:val="1"/>
      <w:numFmt w:val="bullet"/>
      <w:lvlText w:val="o"/>
      <w:lvlJc w:val="left"/>
      <w:pPr>
        <w:ind w:left="1440" w:hanging="360"/>
      </w:pPr>
      <w:rPr>
        <w:rFonts w:ascii="Courier New" w:hAnsi="Courier New" w:cs="Courier New" w:hint="default"/>
      </w:rPr>
    </w:lvl>
    <w:lvl w:ilvl="2" w:tplc="A2D68ED0">
      <w:start w:val="1"/>
      <w:numFmt w:val="bullet"/>
      <w:lvlText w:val=""/>
      <w:lvlJc w:val="left"/>
      <w:pPr>
        <w:ind w:left="2160" w:hanging="360"/>
      </w:pPr>
      <w:rPr>
        <w:rFonts w:ascii="Wingdings" w:hAnsi="Wingdings" w:hint="default"/>
      </w:rPr>
    </w:lvl>
    <w:lvl w:ilvl="3" w:tplc="66204510">
      <w:start w:val="1"/>
      <w:numFmt w:val="bullet"/>
      <w:lvlText w:val=""/>
      <w:lvlJc w:val="left"/>
      <w:pPr>
        <w:ind w:left="2880" w:hanging="360"/>
      </w:pPr>
      <w:rPr>
        <w:rFonts w:ascii="Symbol" w:hAnsi="Symbol" w:hint="default"/>
      </w:rPr>
    </w:lvl>
    <w:lvl w:ilvl="4" w:tplc="F50A0CAE">
      <w:start w:val="1"/>
      <w:numFmt w:val="bullet"/>
      <w:lvlText w:val="o"/>
      <w:lvlJc w:val="left"/>
      <w:pPr>
        <w:ind w:left="3600" w:hanging="360"/>
      </w:pPr>
      <w:rPr>
        <w:rFonts w:ascii="Courier New" w:hAnsi="Courier New" w:cs="Courier New" w:hint="default"/>
      </w:rPr>
    </w:lvl>
    <w:lvl w:ilvl="5" w:tplc="C532B624">
      <w:start w:val="1"/>
      <w:numFmt w:val="bullet"/>
      <w:lvlText w:val=""/>
      <w:lvlJc w:val="left"/>
      <w:pPr>
        <w:ind w:left="4320" w:hanging="360"/>
      </w:pPr>
      <w:rPr>
        <w:rFonts w:ascii="Wingdings" w:hAnsi="Wingdings" w:hint="default"/>
      </w:rPr>
    </w:lvl>
    <w:lvl w:ilvl="6" w:tplc="08B6B258">
      <w:start w:val="1"/>
      <w:numFmt w:val="bullet"/>
      <w:lvlText w:val=""/>
      <w:lvlJc w:val="left"/>
      <w:pPr>
        <w:ind w:left="5040" w:hanging="360"/>
      </w:pPr>
      <w:rPr>
        <w:rFonts w:ascii="Symbol" w:hAnsi="Symbol" w:hint="default"/>
      </w:rPr>
    </w:lvl>
    <w:lvl w:ilvl="7" w:tplc="478AD86A">
      <w:start w:val="1"/>
      <w:numFmt w:val="bullet"/>
      <w:lvlText w:val="o"/>
      <w:lvlJc w:val="left"/>
      <w:pPr>
        <w:ind w:left="5760" w:hanging="360"/>
      </w:pPr>
      <w:rPr>
        <w:rFonts w:ascii="Courier New" w:hAnsi="Courier New" w:cs="Courier New" w:hint="default"/>
      </w:rPr>
    </w:lvl>
    <w:lvl w:ilvl="8" w:tplc="F9AE29F0">
      <w:start w:val="1"/>
      <w:numFmt w:val="bullet"/>
      <w:lvlText w:val=""/>
      <w:lvlJc w:val="left"/>
      <w:pPr>
        <w:ind w:left="6480" w:hanging="360"/>
      </w:pPr>
      <w:rPr>
        <w:rFonts w:ascii="Wingdings" w:hAnsi="Wingdings" w:hint="default"/>
      </w:rPr>
    </w:lvl>
  </w:abstractNum>
  <w:abstractNum w:abstractNumId="1" w15:restartNumberingAfterBreak="0">
    <w:nsid w:val="0530201C"/>
    <w:multiLevelType w:val="hybridMultilevel"/>
    <w:tmpl w:val="1B00112E"/>
    <w:lvl w:ilvl="0" w:tplc="FFFFFFFF">
      <w:start w:val="1"/>
      <w:numFmt w:val="decimal"/>
      <w:lvlText w:val="%1."/>
      <w:lvlJc w:val="left"/>
      <w:pPr>
        <w:ind w:left="567"/>
      </w:pPr>
    </w:lvl>
    <w:lvl w:ilvl="1" w:tplc="FFFFFFFF" w:tentative="1">
      <w:start w:val="1"/>
      <w:numFmt w:val="lowerLetter"/>
      <w:lvlText w:val="%2."/>
      <w:lvlJc w:val="left"/>
      <w:pPr>
        <w:ind w:left="-4254" w:hanging="360"/>
      </w:pPr>
    </w:lvl>
    <w:lvl w:ilvl="2" w:tplc="FFFFFFFF" w:tentative="1">
      <w:start w:val="1"/>
      <w:numFmt w:val="lowerRoman"/>
      <w:lvlText w:val="%3."/>
      <w:lvlJc w:val="right"/>
      <w:pPr>
        <w:ind w:left="-3534" w:hanging="180"/>
      </w:pPr>
    </w:lvl>
    <w:lvl w:ilvl="3" w:tplc="FFFFFFFF" w:tentative="1">
      <w:start w:val="1"/>
      <w:numFmt w:val="decimal"/>
      <w:lvlText w:val="%4."/>
      <w:lvlJc w:val="left"/>
      <w:pPr>
        <w:ind w:left="-2814" w:hanging="360"/>
      </w:pPr>
    </w:lvl>
    <w:lvl w:ilvl="4" w:tplc="FFFFFFFF" w:tentative="1">
      <w:start w:val="1"/>
      <w:numFmt w:val="lowerLetter"/>
      <w:lvlText w:val="%5."/>
      <w:lvlJc w:val="left"/>
      <w:pPr>
        <w:ind w:left="-2094" w:hanging="360"/>
      </w:pPr>
    </w:lvl>
    <w:lvl w:ilvl="5" w:tplc="FFFFFFFF" w:tentative="1">
      <w:start w:val="1"/>
      <w:numFmt w:val="lowerRoman"/>
      <w:lvlText w:val="%6."/>
      <w:lvlJc w:val="right"/>
      <w:pPr>
        <w:ind w:left="-1374" w:hanging="180"/>
      </w:pPr>
    </w:lvl>
    <w:lvl w:ilvl="6" w:tplc="FFFFFFFF" w:tentative="1">
      <w:start w:val="1"/>
      <w:numFmt w:val="decimal"/>
      <w:lvlText w:val="%7."/>
      <w:lvlJc w:val="left"/>
      <w:pPr>
        <w:ind w:left="-654" w:hanging="360"/>
      </w:pPr>
    </w:lvl>
    <w:lvl w:ilvl="7" w:tplc="FFFFFFFF" w:tentative="1">
      <w:start w:val="1"/>
      <w:numFmt w:val="lowerLetter"/>
      <w:lvlText w:val="%8."/>
      <w:lvlJc w:val="left"/>
      <w:pPr>
        <w:ind w:left="66" w:hanging="360"/>
      </w:pPr>
    </w:lvl>
    <w:lvl w:ilvl="8" w:tplc="FFFFFFFF" w:tentative="1">
      <w:start w:val="1"/>
      <w:numFmt w:val="lowerRoman"/>
      <w:lvlText w:val="%9."/>
      <w:lvlJc w:val="right"/>
      <w:pPr>
        <w:ind w:left="786" w:hanging="180"/>
      </w:pPr>
    </w:lvl>
  </w:abstractNum>
  <w:abstractNum w:abstractNumId="2" w15:restartNumberingAfterBreak="0">
    <w:nsid w:val="074C2C9C"/>
    <w:multiLevelType w:val="hybridMultilevel"/>
    <w:tmpl w:val="1E7A73B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3" w15:restartNumberingAfterBreak="0">
    <w:nsid w:val="0F4610DF"/>
    <w:multiLevelType w:val="hybridMultilevel"/>
    <w:tmpl w:val="C24ED2C2"/>
    <w:lvl w:ilvl="0" w:tplc="1C09000F">
      <w:start w:val="1"/>
      <w:numFmt w:val="decimal"/>
      <w:lvlText w:val="%1."/>
      <w:lvlJc w:val="left"/>
      <w:pPr>
        <w:ind w:left="1120" w:hanging="360"/>
      </w:pPr>
    </w:lvl>
    <w:lvl w:ilvl="1" w:tplc="1C090019" w:tentative="1">
      <w:start w:val="1"/>
      <w:numFmt w:val="lowerLetter"/>
      <w:lvlText w:val="%2."/>
      <w:lvlJc w:val="left"/>
      <w:pPr>
        <w:ind w:left="1840" w:hanging="360"/>
      </w:pPr>
    </w:lvl>
    <w:lvl w:ilvl="2" w:tplc="1C09001B" w:tentative="1">
      <w:start w:val="1"/>
      <w:numFmt w:val="lowerRoman"/>
      <w:lvlText w:val="%3."/>
      <w:lvlJc w:val="right"/>
      <w:pPr>
        <w:ind w:left="2560" w:hanging="180"/>
      </w:pPr>
    </w:lvl>
    <w:lvl w:ilvl="3" w:tplc="1C09000F" w:tentative="1">
      <w:start w:val="1"/>
      <w:numFmt w:val="decimal"/>
      <w:lvlText w:val="%4."/>
      <w:lvlJc w:val="left"/>
      <w:pPr>
        <w:ind w:left="3280" w:hanging="360"/>
      </w:pPr>
    </w:lvl>
    <w:lvl w:ilvl="4" w:tplc="1C090019" w:tentative="1">
      <w:start w:val="1"/>
      <w:numFmt w:val="lowerLetter"/>
      <w:lvlText w:val="%5."/>
      <w:lvlJc w:val="left"/>
      <w:pPr>
        <w:ind w:left="4000" w:hanging="360"/>
      </w:pPr>
    </w:lvl>
    <w:lvl w:ilvl="5" w:tplc="1C09001B" w:tentative="1">
      <w:start w:val="1"/>
      <w:numFmt w:val="lowerRoman"/>
      <w:lvlText w:val="%6."/>
      <w:lvlJc w:val="right"/>
      <w:pPr>
        <w:ind w:left="4720" w:hanging="180"/>
      </w:pPr>
    </w:lvl>
    <w:lvl w:ilvl="6" w:tplc="1C09000F" w:tentative="1">
      <w:start w:val="1"/>
      <w:numFmt w:val="decimal"/>
      <w:lvlText w:val="%7."/>
      <w:lvlJc w:val="left"/>
      <w:pPr>
        <w:ind w:left="5440" w:hanging="360"/>
      </w:pPr>
    </w:lvl>
    <w:lvl w:ilvl="7" w:tplc="1C090019" w:tentative="1">
      <w:start w:val="1"/>
      <w:numFmt w:val="lowerLetter"/>
      <w:lvlText w:val="%8."/>
      <w:lvlJc w:val="left"/>
      <w:pPr>
        <w:ind w:left="6160" w:hanging="360"/>
      </w:pPr>
    </w:lvl>
    <w:lvl w:ilvl="8" w:tplc="1C09001B" w:tentative="1">
      <w:start w:val="1"/>
      <w:numFmt w:val="lowerRoman"/>
      <w:lvlText w:val="%9."/>
      <w:lvlJc w:val="right"/>
      <w:pPr>
        <w:ind w:left="6880" w:hanging="180"/>
      </w:pPr>
    </w:lvl>
  </w:abstractNum>
  <w:abstractNum w:abstractNumId="4" w15:restartNumberingAfterBreak="0">
    <w:nsid w:val="20551298"/>
    <w:multiLevelType w:val="hybridMultilevel"/>
    <w:tmpl w:val="F746F1D2"/>
    <w:lvl w:ilvl="0" w:tplc="33A25202">
      <w:start w:val="1"/>
      <w:numFmt w:val="decimal"/>
      <w:pStyle w:val="NumberedList"/>
      <w:lvlText w:val="%1."/>
      <w:lvlJc w:val="left"/>
      <w:pPr>
        <w:ind w:left="720" w:hanging="360"/>
      </w:pPr>
    </w:lvl>
    <w:lvl w:ilvl="1" w:tplc="A9328BA0">
      <w:start w:val="1"/>
      <w:numFmt w:val="lowerLetter"/>
      <w:lvlText w:val="%2."/>
      <w:lvlJc w:val="left"/>
      <w:pPr>
        <w:ind w:left="2160" w:hanging="360"/>
      </w:pPr>
    </w:lvl>
    <w:lvl w:ilvl="2" w:tplc="036E009E">
      <w:start w:val="1"/>
      <w:numFmt w:val="lowerRoman"/>
      <w:lvlText w:val="%3."/>
      <w:lvlJc w:val="right"/>
      <w:pPr>
        <w:ind w:left="2880" w:hanging="180"/>
      </w:pPr>
    </w:lvl>
    <w:lvl w:ilvl="3" w:tplc="239A26E0">
      <w:start w:val="1"/>
      <w:numFmt w:val="decimal"/>
      <w:lvlText w:val="%4."/>
      <w:lvlJc w:val="left"/>
      <w:pPr>
        <w:ind w:left="3600" w:hanging="360"/>
      </w:pPr>
    </w:lvl>
    <w:lvl w:ilvl="4" w:tplc="E6CCCD2C">
      <w:start w:val="1"/>
      <w:numFmt w:val="lowerLetter"/>
      <w:lvlText w:val="%5."/>
      <w:lvlJc w:val="left"/>
      <w:pPr>
        <w:ind w:left="4320" w:hanging="360"/>
      </w:pPr>
    </w:lvl>
    <w:lvl w:ilvl="5" w:tplc="97C00C06">
      <w:start w:val="1"/>
      <w:numFmt w:val="lowerRoman"/>
      <w:lvlText w:val="%6."/>
      <w:lvlJc w:val="right"/>
      <w:pPr>
        <w:ind w:left="5040" w:hanging="180"/>
      </w:pPr>
    </w:lvl>
    <w:lvl w:ilvl="6" w:tplc="C626180A">
      <w:start w:val="1"/>
      <w:numFmt w:val="decimal"/>
      <w:lvlText w:val="%7."/>
      <w:lvlJc w:val="left"/>
      <w:pPr>
        <w:ind w:left="5760" w:hanging="360"/>
      </w:pPr>
    </w:lvl>
    <w:lvl w:ilvl="7" w:tplc="8ADEFF1A">
      <w:start w:val="1"/>
      <w:numFmt w:val="lowerLetter"/>
      <w:lvlText w:val="%8."/>
      <w:lvlJc w:val="left"/>
      <w:pPr>
        <w:ind w:left="6480" w:hanging="360"/>
      </w:pPr>
    </w:lvl>
    <w:lvl w:ilvl="8" w:tplc="17D489D8">
      <w:start w:val="1"/>
      <w:numFmt w:val="lowerRoman"/>
      <w:lvlText w:val="%9."/>
      <w:lvlJc w:val="right"/>
      <w:pPr>
        <w:ind w:left="7200" w:hanging="180"/>
      </w:pPr>
    </w:lvl>
  </w:abstractNum>
  <w:abstractNum w:abstractNumId="5" w15:restartNumberingAfterBreak="0">
    <w:nsid w:val="23400499"/>
    <w:multiLevelType w:val="hybridMultilevel"/>
    <w:tmpl w:val="3AD8E0AA"/>
    <w:lvl w:ilvl="0" w:tplc="1C09000F">
      <w:start w:val="1"/>
      <w:numFmt w:val="decimal"/>
      <w:lvlText w:val="%1."/>
      <w:lvlJc w:val="left"/>
      <w:pPr>
        <w:ind w:left="761" w:hanging="360"/>
      </w:pPr>
    </w:lvl>
    <w:lvl w:ilvl="1" w:tplc="1C090019" w:tentative="1">
      <w:start w:val="1"/>
      <w:numFmt w:val="lowerLetter"/>
      <w:lvlText w:val="%2."/>
      <w:lvlJc w:val="left"/>
      <w:pPr>
        <w:ind w:left="1481" w:hanging="360"/>
      </w:pPr>
    </w:lvl>
    <w:lvl w:ilvl="2" w:tplc="1C09001B" w:tentative="1">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6" w15:restartNumberingAfterBreak="0">
    <w:nsid w:val="256553EF"/>
    <w:multiLevelType w:val="hybridMultilevel"/>
    <w:tmpl w:val="44E693BC"/>
    <w:lvl w:ilvl="0" w:tplc="FFFFFFFF">
      <w:start w:val="1"/>
      <w:numFmt w:val="decimal"/>
      <w:lvlText w:val="%1."/>
      <w:lvlJc w:val="left"/>
      <w:pPr>
        <w:ind w:left="567"/>
      </w:pPr>
    </w:lvl>
    <w:lvl w:ilvl="1" w:tplc="FFFFFFFF" w:tentative="1">
      <w:start w:val="1"/>
      <w:numFmt w:val="lowerLetter"/>
      <w:lvlText w:val="%2."/>
      <w:lvlJc w:val="left"/>
      <w:pPr>
        <w:ind w:left="-4254" w:hanging="360"/>
      </w:pPr>
    </w:lvl>
    <w:lvl w:ilvl="2" w:tplc="FFFFFFFF" w:tentative="1">
      <w:start w:val="1"/>
      <w:numFmt w:val="lowerRoman"/>
      <w:lvlText w:val="%3."/>
      <w:lvlJc w:val="right"/>
      <w:pPr>
        <w:ind w:left="-3534" w:hanging="180"/>
      </w:pPr>
    </w:lvl>
    <w:lvl w:ilvl="3" w:tplc="FFFFFFFF" w:tentative="1">
      <w:start w:val="1"/>
      <w:numFmt w:val="decimal"/>
      <w:lvlText w:val="%4."/>
      <w:lvlJc w:val="left"/>
      <w:pPr>
        <w:ind w:left="-2814" w:hanging="360"/>
      </w:pPr>
    </w:lvl>
    <w:lvl w:ilvl="4" w:tplc="FFFFFFFF" w:tentative="1">
      <w:start w:val="1"/>
      <w:numFmt w:val="lowerLetter"/>
      <w:lvlText w:val="%5."/>
      <w:lvlJc w:val="left"/>
      <w:pPr>
        <w:ind w:left="-2094" w:hanging="360"/>
      </w:pPr>
    </w:lvl>
    <w:lvl w:ilvl="5" w:tplc="FFFFFFFF" w:tentative="1">
      <w:start w:val="1"/>
      <w:numFmt w:val="lowerRoman"/>
      <w:lvlText w:val="%6."/>
      <w:lvlJc w:val="right"/>
      <w:pPr>
        <w:ind w:left="-1374" w:hanging="180"/>
      </w:pPr>
    </w:lvl>
    <w:lvl w:ilvl="6" w:tplc="FFFFFFFF" w:tentative="1">
      <w:start w:val="1"/>
      <w:numFmt w:val="decimal"/>
      <w:lvlText w:val="%7."/>
      <w:lvlJc w:val="left"/>
      <w:pPr>
        <w:ind w:left="-654" w:hanging="360"/>
      </w:pPr>
    </w:lvl>
    <w:lvl w:ilvl="7" w:tplc="FFFFFFFF" w:tentative="1">
      <w:start w:val="1"/>
      <w:numFmt w:val="lowerLetter"/>
      <w:lvlText w:val="%8."/>
      <w:lvlJc w:val="left"/>
      <w:pPr>
        <w:ind w:left="66" w:hanging="360"/>
      </w:pPr>
    </w:lvl>
    <w:lvl w:ilvl="8" w:tplc="FFFFFFFF" w:tentative="1">
      <w:start w:val="1"/>
      <w:numFmt w:val="lowerRoman"/>
      <w:lvlText w:val="%9."/>
      <w:lvlJc w:val="right"/>
      <w:pPr>
        <w:ind w:left="786" w:hanging="180"/>
      </w:pPr>
    </w:lvl>
  </w:abstractNum>
  <w:abstractNum w:abstractNumId="7" w15:restartNumberingAfterBreak="0">
    <w:nsid w:val="26036FA4"/>
    <w:multiLevelType w:val="hybridMultilevel"/>
    <w:tmpl w:val="714E4756"/>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8" w15:restartNumberingAfterBreak="0">
    <w:nsid w:val="2D7A643F"/>
    <w:multiLevelType w:val="hybridMultilevel"/>
    <w:tmpl w:val="D8EA3E6C"/>
    <w:lvl w:ilvl="0" w:tplc="DBB2E738">
      <w:start w:val="1"/>
      <w:numFmt w:val="bullet"/>
      <w:lvlText w:val=""/>
      <w:lvlJc w:val="left"/>
      <w:pPr>
        <w:ind w:left="1494" w:hanging="360"/>
      </w:pPr>
      <w:rPr>
        <w:rFonts w:ascii="Symbol" w:hAnsi="Symbol" w:hint="default"/>
      </w:rPr>
    </w:lvl>
    <w:lvl w:ilvl="1" w:tplc="FC30630E">
      <w:start w:val="1"/>
      <w:numFmt w:val="bullet"/>
      <w:lvlText w:val="o"/>
      <w:lvlJc w:val="left"/>
      <w:pPr>
        <w:ind w:left="2214" w:hanging="360"/>
      </w:pPr>
      <w:rPr>
        <w:rFonts w:ascii="Courier New" w:hAnsi="Courier New" w:cs="Courier New" w:hint="default"/>
      </w:rPr>
    </w:lvl>
    <w:lvl w:ilvl="2" w:tplc="7C042BBA">
      <w:start w:val="1"/>
      <w:numFmt w:val="bullet"/>
      <w:lvlText w:val=""/>
      <w:lvlJc w:val="left"/>
      <w:pPr>
        <w:ind w:left="2934" w:hanging="360"/>
      </w:pPr>
      <w:rPr>
        <w:rFonts w:ascii="Wingdings" w:hAnsi="Wingdings" w:hint="default"/>
      </w:rPr>
    </w:lvl>
    <w:lvl w:ilvl="3" w:tplc="EA7C5C18">
      <w:start w:val="1"/>
      <w:numFmt w:val="bullet"/>
      <w:lvlText w:val=""/>
      <w:lvlJc w:val="left"/>
      <w:pPr>
        <w:ind w:left="3654" w:hanging="360"/>
      </w:pPr>
      <w:rPr>
        <w:rFonts w:ascii="Symbol" w:hAnsi="Symbol" w:hint="default"/>
      </w:rPr>
    </w:lvl>
    <w:lvl w:ilvl="4" w:tplc="60865912" w:tentative="1">
      <w:start w:val="1"/>
      <w:numFmt w:val="bullet"/>
      <w:lvlText w:val="o"/>
      <w:lvlJc w:val="left"/>
      <w:pPr>
        <w:ind w:left="4374" w:hanging="360"/>
      </w:pPr>
      <w:rPr>
        <w:rFonts w:ascii="Courier New" w:hAnsi="Courier New" w:cs="Courier New" w:hint="default"/>
      </w:rPr>
    </w:lvl>
    <w:lvl w:ilvl="5" w:tplc="5DB8B7D6" w:tentative="1">
      <w:start w:val="1"/>
      <w:numFmt w:val="bullet"/>
      <w:lvlText w:val=""/>
      <w:lvlJc w:val="left"/>
      <w:pPr>
        <w:ind w:left="5094" w:hanging="360"/>
      </w:pPr>
      <w:rPr>
        <w:rFonts w:ascii="Wingdings" w:hAnsi="Wingdings" w:hint="default"/>
      </w:rPr>
    </w:lvl>
    <w:lvl w:ilvl="6" w:tplc="15361980" w:tentative="1">
      <w:start w:val="1"/>
      <w:numFmt w:val="bullet"/>
      <w:lvlText w:val=""/>
      <w:lvlJc w:val="left"/>
      <w:pPr>
        <w:ind w:left="5814" w:hanging="360"/>
      </w:pPr>
      <w:rPr>
        <w:rFonts w:ascii="Symbol" w:hAnsi="Symbol" w:hint="default"/>
      </w:rPr>
    </w:lvl>
    <w:lvl w:ilvl="7" w:tplc="9E907214" w:tentative="1">
      <w:start w:val="1"/>
      <w:numFmt w:val="bullet"/>
      <w:lvlText w:val="o"/>
      <w:lvlJc w:val="left"/>
      <w:pPr>
        <w:ind w:left="6534" w:hanging="360"/>
      </w:pPr>
      <w:rPr>
        <w:rFonts w:ascii="Courier New" w:hAnsi="Courier New" w:cs="Courier New" w:hint="default"/>
      </w:rPr>
    </w:lvl>
    <w:lvl w:ilvl="8" w:tplc="FB8E403C" w:tentative="1">
      <w:start w:val="1"/>
      <w:numFmt w:val="bullet"/>
      <w:lvlText w:val=""/>
      <w:lvlJc w:val="left"/>
      <w:pPr>
        <w:ind w:left="7254" w:hanging="360"/>
      </w:pPr>
      <w:rPr>
        <w:rFonts w:ascii="Wingdings" w:hAnsi="Wingdings" w:hint="default"/>
      </w:rPr>
    </w:lvl>
  </w:abstractNum>
  <w:abstractNum w:abstractNumId="9" w15:restartNumberingAfterBreak="0">
    <w:nsid w:val="307109AE"/>
    <w:multiLevelType w:val="hybridMultilevel"/>
    <w:tmpl w:val="2C3C6B6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29837B2"/>
    <w:multiLevelType w:val="hybridMultilevel"/>
    <w:tmpl w:val="0B447DEC"/>
    <w:lvl w:ilvl="0" w:tplc="3CCAA5E2">
      <w:start w:val="1"/>
      <w:numFmt w:val="lowerRoman"/>
      <w:lvlText w:val="%1."/>
      <w:lvlJc w:val="left"/>
      <w:rPr>
        <w:b/>
        <w:bCs/>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94A2A468">
      <w:start w:val="1"/>
      <w:numFmt w:val="lowerLetter"/>
      <w:lvlText w:val="%2."/>
      <w:lvlJc w:val="left"/>
      <w:pPr>
        <w:ind w:left="1080" w:hanging="360"/>
      </w:pPr>
    </w:lvl>
    <w:lvl w:ilvl="2" w:tplc="D8B8A872">
      <w:start w:val="1"/>
      <w:numFmt w:val="lowerRoman"/>
      <w:lvlText w:val="%3."/>
      <w:lvlJc w:val="right"/>
      <w:pPr>
        <w:ind w:left="1800" w:hanging="180"/>
      </w:pPr>
    </w:lvl>
    <w:lvl w:ilvl="3" w:tplc="9208DA46">
      <w:start w:val="1"/>
      <w:numFmt w:val="decimal"/>
      <w:lvlText w:val="%4."/>
      <w:lvlJc w:val="left"/>
      <w:pPr>
        <w:ind w:left="2520" w:hanging="360"/>
      </w:pPr>
    </w:lvl>
    <w:lvl w:ilvl="4" w:tplc="28AEF94A" w:tentative="1">
      <w:start w:val="1"/>
      <w:numFmt w:val="lowerLetter"/>
      <w:lvlText w:val="%5."/>
      <w:lvlJc w:val="left"/>
      <w:pPr>
        <w:ind w:left="3240" w:hanging="360"/>
      </w:pPr>
    </w:lvl>
    <w:lvl w:ilvl="5" w:tplc="37AC0E66" w:tentative="1">
      <w:start w:val="1"/>
      <w:numFmt w:val="lowerRoman"/>
      <w:lvlText w:val="%6."/>
      <w:lvlJc w:val="right"/>
      <w:pPr>
        <w:ind w:left="3960" w:hanging="180"/>
      </w:pPr>
    </w:lvl>
    <w:lvl w:ilvl="6" w:tplc="C1BC0218" w:tentative="1">
      <w:start w:val="1"/>
      <w:numFmt w:val="decimal"/>
      <w:lvlText w:val="%7."/>
      <w:lvlJc w:val="left"/>
      <w:pPr>
        <w:ind w:left="4680" w:hanging="360"/>
      </w:pPr>
    </w:lvl>
    <w:lvl w:ilvl="7" w:tplc="C3C6FB14" w:tentative="1">
      <w:start w:val="1"/>
      <w:numFmt w:val="lowerLetter"/>
      <w:lvlText w:val="%8."/>
      <w:lvlJc w:val="left"/>
      <w:pPr>
        <w:ind w:left="5400" w:hanging="360"/>
      </w:pPr>
    </w:lvl>
    <w:lvl w:ilvl="8" w:tplc="BBECFF62" w:tentative="1">
      <w:start w:val="1"/>
      <w:numFmt w:val="lowerRoman"/>
      <w:lvlText w:val="%9."/>
      <w:lvlJc w:val="right"/>
      <w:pPr>
        <w:ind w:left="6120" w:hanging="180"/>
      </w:pPr>
    </w:lvl>
  </w:abstractNum>
  <w:abstractNum w:abstractNumId="11" w15:restartNumberingAfterBreak="0">
    <w:nsid w:val="335462F6"/>
    <w:multiLevelType w:val="hybridMultilevel"/>
    <w:tmpl w:val="768E85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60B781A"/>
    <w:multiLevelType w:val="multilevel"/>
    <w:tmpl w:val="C8121770"/>
    <w:lvl w:ilvl="0">
      <w:start w:val="1"/>
      <w:numFmt w:val="decimal"/>
      <w:pStyle w:val="Heading1"/>
      <w:lvlText w:val="%1"/>
      <w:lvlJc w:val="left"/>
      <w:pPr>
        <w:ind w:left="432" w:hanging="432"/>
      </w:pPr>
      <w:rPr>
        <w:rFonts w:hint="default"/>
      </w:rPr>
    </w:lvl>
    <w:lvl w:ilvl="1">
      <w:start w:val="1"/>
      <w:numFmt w:val="decimal"/>
      <w:pStyle w:val="Heading2"/>
      <w:lvlText w:val="%2."/>
      <w:lvlJc w:val="left"/>
      <w:pPr>
        <w:ind w:left="0" w:firstLine="0"/>
      </w:pPr>
      <w:rPr>
        <w:rFonts w:hint="default"/>
      </w:rPr>
    </w:lvl>
    <w:lvl w:ilvl="2">
      <w:start w:val="1"/>
      <w:numFmt w:val="decimal"/>
      <w:pStyle w:val="Heading3"/>
      <w:lvlText w:val="%2.%3"/>
      <w:lvlJc w:val="left"/>
      <w:pPr>
        <w:ind w:left="720" w:hanging="720"/>
      </w:pPr>
      <w:rPr>
        <w:rFonts w:hint="default"/>
        <w:sz w:val="20"/>
        <w:szCs w:val="20"/>
      </w:rPr>
    </w:lvl>
    <w:lvl w:ilvl="3">
      <w:start w:val="1"/>
      <w:numFmt w:val="decimal"/>
      <w:pStyle w:val="Heading4"/>
      <w:lvlText w:val="%2.%3.%4"/>
      <w:lvlJc w:val="left"/>
      <w:pPr>
        <w:ind w:left="864" w:hanging="864"/>
      </w:pPr>
      <w:rPr>
        <w:strike w:val="0"/>
      </w:rPr>
    </w:lvl>
    <w:lvl w:ilvl="4">
      <w:start w:val="1"/>
      <w:numFmt w:val="decimal"/>
      <w:lvlText w:val="%2.%3.%4.%5"/>
      <w:lvlJc w:val="left"/>
      <w:pPr>
        <w:ind w:left="1008" w:hanging="1008"/>
      </w:pPr>
      <w:rPr>
        <w:rFonts w:hint="default"/>
      </w:rPr>
    </w:lvl>
    <w:lvl w:ilvl="5">
      <w:start w:val="1"/>
      <w:numFmt w:val="decimal"/>
      <w:pStyle w:val="Heading6"/>
      <w:lvlText w:val="%2.%3.%4.%5."/>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3E0D3595"/>
    <w:multiLevelType w:val="hybridMultilevel"/>
    <w:tmpl w:val="AEC403A8"/>
    <w:lvl w:ilvl="0" w:tplc="FFFFFFFF">
      <w:start w:val="1"/>
      <w:numFmt w:val="decimal"/>
      <w:lvlText w:val="%1."/>
      <w:lvlJc w:val="left"/>
      <w:pPr>
        <w:ind w:left="1854"/>
      </w:pPr>
    </w:lvl>
    <w:lvl w:ilvl="1" w:tplc="1C090019" w:tentative="1">
      <w:start w:val="1"/>
      <w:numFmt w:val="lowerLetter"/>
      <w:lvlText w:val="%2."/>
      <w:lvlJc w:val="left"/>
      <w:pPr>
        <w:ind w:left="2727" w:hanging="360"/>
      </w:pPr>
    </w:lvl>
    <w:lvl w:ilvl="2" w:tplc="1C09001B" w:tentative="1">
      <w:start w:val="1"/>
      <w:numFmt w:val="lowerRoman"/>
      <w:lvlText w:val="%3."/>
      <w:lvlJc w:val="right"/>
      <w:pPr>
        <w:ind w:left="3447" w:hanging="180"/>
      </w:pPr>
    </w:lvl>
    <w:lvl w:ilvl="3" w:tplc="1C09000F" w:tentative="1">
      <w:start w:val="1"/>
      <w:numFmt w:val="decimal"/>
      <w:lvlText w:val="%4."/>
      <w:lvlJc w:val="left"/>
      <w:pPr>
        <w:ind w:left="4167" w:hanging="360"/>
      </w:pPr>
    </w:lvl>
    <w:lvl w:ilvl="4" w:tplc="1C090019" w:tentative="1">
      <w:start w:val="1"/>
      <w:numFmt w:val="lowerLetter"/>
      <w:lvlText w:val="%5."/>
      <w:lvlJc w:val="left"/>
      <w:pPr>
        <w:ind w:left="4887" w:hanging="360"/>
      </w:pPr>
    </w:lvl>
    <w:lvl w:ilvl="5" w:tplc="1C09001B" w:tentative="1">
      <w:start w:val="1"/>
      <w:numFmt w:val="lowerRoman"/>
      <w:lvlText w:val="%6."/>
      <w:lvlJc w:val="right"/>
      <w:pPr>
        <w:ind w:left="5607" w:hanging="180"/>
      </w:pPr>
    </w:lvl>
    <w:lvl w:ilvl="6" w:tplc="1C09000F" w:tentative="1">
      <w:start w:val="1"/>
      <w:numFmt w:val="decimal"/>
      <w:lvlText w:val="%7."/>
      <w:lvlJc w:val="left"/>
      <w:pPr>
        <w:ind w:left="6327" w:hanging="360"/>
      </w:pPr>
    </w:lvl>
    <w:lvl w:ilvl="7" w:tplc="1C090019" w:tentative="1">
      <w:start w:val="1"/>
      <w:numFmt w:val="lowerLetter"/>
      <w:lvlText w:val="%8."/>
      <w:lvlJc w:val="left"/>
      <w:pPr>
        <w:ind w:left="7047" w:hanging="360"/>
      </w:pPr>
    </w:lvl>
    <w:lvl w:ilvl="8" w:tplc="1C09001B" w:tentative="1">
      <w:start w:val="1"/>
      <w:numFmt w:val="lowerRoman"/>
      <w:lvlText w:val="%9."/>
      <w:lvlJc w:val="right"/>
      <w:pPr>
        <w:ind w:left="7767" w:hanging="180"/>
      </w:pPr>
    </w:lvl>
  </w:abstractNum>
  <w:abstractNum w:abstractNumId="14" w15:restartNumberingAfterBreak="0">
    <w:nsid w:val="40C86F37"/>
    <w:multiLevelType w:val="hybridMultilevel"/>
    <w:tmpl w:val="A7C226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1A46B77"/>
    <w:multiLevelType w:val="hybridMultilevel"/>
    <w:tmpl w:val="84D8D110"/>
    <w:lvl w:ilvl="0" w:tplc="E7623170">
      <w:start w:val="1"/>
      <w:numFmt w:val="decimal"/>
      <w:lvlText w:val="%1."/>
      <w:lvlJc w:val="left"/>
      <w:pPr>
        <w:ind w:left="644" w:hanging="360"/>
      </w:pPr>
      <w:rPr>
        <w:rFonts w:hint="default"/>
      </w:rPr>
    </w:lvl>
    <w:lvl w:ilvl="1" w:tplc="E512717C">
      <w:start w:val="1"/>
      <w:numFmt w:val="bullet"/>
      <w:lvlText w:val="o"/>
      <w:lvlJc w:val="left"/>
      <w:pPr>
        <w:ind w:left="1364" w:hanging="360"/>
      </w:pPr>
      <w:rPr>
        <w:rFonts w:ascii="Courier New" w:hAnsi="Courier New" w:cs="Courier New" w:hint="default"/>
      </w:rPr>
    </w:lvl>
    <w:lvl w:ilvl="2" w:tplc="16BEBF74">
      <w:start w:val="1"/>
      <w:numFmt w:val="lowerRoman"/>
      <w:lvlText w:val="%3."/>
      <w:lvlJc w:val="right"/>
      <w:pPr>
        <w:ind w:left="2084" w:hanging="180"/>
      </w:pPr>
    </w:lvl>
    <w:lvl w:ilvl="3" w:tplc="704E0354" w:tentative="1">
      <w:start w:val="1"/>
      <w:numFmt w:val="decimal"/>
      <w:lvlText w:val="%4."/>
      <w:lvlJc w:val="left"/>
      <w:pPr>
        <w:ind w:left="2804" w:hanging="360"/>
      </w:pPr>
    </w:lvl>
    <w:lvl w:ilvl="4" w:tplc="119AC61C" w:tentative="1">
      <w:start w:val="1"/>
      <w:numFmt w:val="lowerLetter"/>
      <w:lvlText w:val="%5."/>
      <w:lvlJc w:val="left"/>
      <w:pPr>
        <w:ind w:left="3524" w:hanging="360"/>
      </w:pPr>
    </w:lvl>
    <w:lvl w:ilvl="5" w:tplc="ACA483FC" w:tentative="1">
      <w:start w:val="1"/>
      <w:numFmt w:val="lowerRoman"/>
      <w:lvlText w:val="%6."/>
      <w:lvlJc w:val="right"/>
      <w:pPr>
        <w:ind w:left="4244" w:hanging="180"/>
      </w:pPr>
    </w:lvl>
    <w:lvl w:ilvl="6" w:tplc="D1BEDC3E" w:tentative="1">
      <w:start w:val="1"/>
      <w:numFmt w:val="decimal"/>
      <w:lvlText w:val="%7."/>
      <w:lvlJc w:val="left"/>
      <w:pPr>
        <w:ind w:left="4964" w:hanging="360"/>
      </w:pPr>
    </w:lvl>
    <w:lvl w:ilvl="7" w:tplc="D08ADD74" w:tentative="1">
      <w:start w:val="1"/>
      <w:numFmt w:val="lowerLetter"/>
      <w:lvlText w:val="%8."/>
      <w:lvlJc w:val="left"/>
      <w:pPr>
        <w:ind w:left="5684" w:hanging="360"/>
      </w:pPr>
    </w:lvl>
    <w:lvl w:ilvl="8" w:tplc="4A18DAF2" w:tentative="1">
      <w:start w:val="1"/>
      <w:numFmt w:val="lowerRoman"/>
      <w:lvlText w:val="%9."/>
      <w:lvlJc w:val="right"/>
      <w:pPr>
        <w:ind w:left="6404" w:hanging="180"/>
      </w:pPr>
    </w:lvl>
  </w:abstractNum>
  <w:abstractNum w:abstractNumId="16" w15:restartNumberingAfterBreak="0">
    <w:nsid w:val="49E4638F"/>
    <w:multiLevelType w:val="hybridMultilevel"/>
    <w:tmpl w:val="8698E49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B8B587E"/>
    <w:multiLevelType w:val="hybridMultilevel"/>
    <w:tmpl w:val="C08A23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8B619B5"/>
    <w:multiLevelType w:val="hybridMultilevel"/>
    <w:tmpl w:val="364C80B2"/>
    <w:lvl w:ilvl="0" w:tplc="74EC17E2">
      <w:numFmt w:val="bullet"/>
      <w:pStyle w:val="2Bullet"/>
      <w:lvlText w:val="•"/>
      <w:lvlJc w:val="left"/>
      <w:pPr>
        <w:ind w:left="1080" w:hanging="360"/>
      </w:pPr>
      <w:rPr>
        <w:rFonts w:ascii="Arial" w:eastAsia="Times New Roman" w:hAnsi="Arial" w:hint="default"/>
      </w:rPr>
    </w:lvl>
    <w:lvl w:ilvl="1" w:tplc="98FC9DEE">
      <w:start w:val="1"/>
      <w:numFmt w:val="bullet"/>
      <w:lvlText w:val="o"/>
      <w:lvlJc w:val="left"/>
      <w:pPr>
        <w:ind w:left="1800" w:hanging="360"/>
      </w:pPr>
      <w:rPr>
        <w:rFonts w:ascii="Courier New" w:hAnsi="Courier New" w:hint="default"/>
        <w:sz w:val="16"/>
      </w:rPr>
    </w:lvl>
    <w:lvl w:ilvl="2" w:tplc="273EE964" w:tentative="1">
      <w:start w:val="1"/>
      <w:numFmt w:val="bullet"/>
      <w:lvlText w:val=""/>
      <w:lvlJc w:val="left"/>
      <w:pPr>
        <w:ind w:left="2520" w:hanging="360"/>
      </w:pPr>
      <w:rPr>
        <w:rFonts w:ascii="Wingdings" w:hAnsi="Wingdings" w:hint="default"/>
      </w:rPr>
    </w:lvl>
    <w:lvl w:ilvl="3" w:tplc="49C2163A" w:tentative="1">
      <w:start w:val="1"/>
      <w:numFmt w:val="bullet"/>
      <w:lvlText w:val=""/>
      <w:lvlJc w:val="left"/>
      <w:pPr>
        <w:ind w:left="3240" w:hanging="360"/>
      </w:pPr>
      <w:rPr>
        <w:rFonts w:ascii="Symbol" w:hAnsi="Symbol" w:hint="default"/>
      </w:rPr>
    </w:lvl>
    <w:lvl w:ilvl="4" w:tplc="0C8E224A" w:tentative="1">
      <w:start w:val="1"/>
      <w:numFmt w:val="bullet"/>
      <w:lvlText w:val="o"/>
      <w:lvlJc w:val="left"/>
      <w:pPr>
        <w:ind w:left="3960" w:hanging="360"/>
      </w:pPr>
      <w:rPr>
        <w:rFonts w:ascii="Courier New" w:hAnsi="Courier New" w:hint="default"/>
      </w:rPr>
    </w:lvl>
    <w:lvl w:ilvl="5" w:tplc="FC4EC09C" w:tentative="1">
      <w:start w:val="1"/>
      <w:numFmt w:val="bullet"/>
      <w:lvlText w:val=""/>
      <w:lvlJc w:val="left"/>
      <w:pPr>
        <w:ind w:left="4680" w:hanging="360"/>
      </w:pPr>
      <w:rPr>
        <w:rFonts w:ascii="Wingdings" w:hAnsi="Wingdings" w:hint="default"/>
      </w:rPr>
    </w:lvl>
    <w:lvl w:ilvl="6" w:tplc="9A9E4AB4" w:tentative="1">
      <w:start w:val="1"/>
      <w:numFmt w:val="bullet"/>
      <w:lvlText w:val=""/>
      <w:lvlJc w:val="left"/>
      <w:pPr>
        <w:ind w:left="5400" w:hanging="360"/>
      </w:pPr>
      <w:rPr>
        <w:rFonts w:ascii="Symbol" w:hAnsi="Symbol" w:hint="default"/>
      </w:rPr>
    </w:lvl>
    <w:lvl w:ilvl="7" w:tplc="45E26C5C" w:tentative="1">
      <w:start w:val="1"/>
      <w:numFmt w:val="bullet"/>
      <w:lvlText w:val="o"/>
      <w:lvlJc w:val="left"/>
      <w:pPr>
        <w:ind w:left="6120" w:hanging="360"/>
      </w:pPr>
      <w:rPr>
        <w:rFonts w:ascii="Courier New" w:hAnsi="Courier New" w:hint="default"/>
      </w:rPr>
    </w:lvl>
    <w:lvl w:ilvl="8" w:tplc="60ECC2F0" w:tentative="1">
      <w:start w:val="1"/>
      <w:numFmt w:val="bullet"/>
      <w:lvlText w:val=""/>
      <w:lvlJc w:val="left"/>
      <w:pPr>
        <w:ind w:left="6840" w:hanging="360"/>
      </w:pPr>
      <w:rPr>
        <w:rFonts w:ascii="Wingdings" w:hAnsi="Wingdings" w:hint="default"/>
      </w:rPr>
    </w:lvl>
  </w:abstractNum>
  <w:abstractNum w:abstractNumId="19" w15:restartNumberingAfterBreak="0">
    <w:nsid w:val="64D46284"/>
    <w:multiLevelType w:val="hybridMultilevel"/>
    <w:tmpl w:val="44E693BC"/>
    <w:lvl w:ilvl="0" w:tplc="FFFFFFFF">
      <w:start w:val="1"/>
      <w:numFmt w:val="decimal"/>
      <w:lvlText w:val="%1."/>
      <w:lvlJc w:val="left"/>
      <w:pPr>
        <w:ind w:left="567"/>
      </w:pPr>
    </w:lvl>
    <w:lvl w:ilvl="1" w:tplc="FFFFFFFF" w:tentative="1">
      <w:start w:val="1"/>
      <w:numFmt w:val="lowerLetter"/>
      <w:lvlText w:val="%2."/>
      <w:lvlJc w:val="left"/>
      <w:pPr>
        <w:ind w:left="-4254" w:hanging="360"/>
      </w:pPr>
    </w:lvl>
    <w:lvl w:ilvl="2" w:tplc="FFFFFFFF" w:tentative="1">
      <w:start w:val="1"/>
      <w:numFmt w:val="lowerRoman"/>
      <w:lvlText w:val="%3."/>
      <w:lvlJc w:val="right"/>
      <w:pPr>
        <w:ind w:left="-3534" w:hanging="180"/>
      </w:pPr>
    </w:lvl>
    <w:lvl w:ilvl="3" w:tplc="FFFFFFFF" w:tentative="1">
      <w:start w:val="1"/>
      <w:numFmt w:val="decimal"/>
      <w:lvlText w:val="%4."/>
      <w:lvlJc w:val="left"/>
      <w:pPr>
        <w:ind w:left="-2814" w:hanging="360"/>
      </w:pPr>
    </w:lvl>
    <w:lvl w:ilvl="4" w:tplc="FFFFFFFF" w:tentative="1">
      <w:start w:val="1"/>
      <w:numFmt w:val="lowerLetter"/>
      <w:lvlText w:val="%5."/>
      <w:lvlJc w:val="left"/>
      <w:pPr>
        <w:ind w:left="-2094" w:hanging="360"/>
      </w:pPr>
    </w:lvl>
    <w:lvl w:ilvl="5" w:tplc="FFFFFFFF" w:tentative="1">
      <w:start w:val="1"/>
      <w:numFmt w:val="lowerRoman"/>
      <w:lvlText w:val="%6."/>
      <w:lvlJc w:val="right"/>
      <w:pPr>
        <w:ind w:left="-1374" w:hanging="180"/>
      </w:pPr>
    </w:lvl>
    <w:lvl w:ilvl="6" w:tplc="FFFFFFFF" w:tentative="1">
      <w:start w:val="1"/>
      <w:numFmt w:val="decimal"/>
      <w:lvlText w:val="%7."/>
      <w:lvlJc w:val="left"/>
      <w:pPr>
        <w:ind w:left="-654" w:hanging="360"/>
      </w:pPr>
    </w:lvl>
    <w:lvl w:ilvl="7" w:tplc="FFFFFFFF" w:tentative="1">
      <w:start w:val="1"/>
      <w:numFmt w:val="lowerLetter"/>
      <w:lvlText w:val="%8."/>
      <w:lvlJc w:val="left"/>
      <w:pPr>
        <w:ind w:left="66" w:hanging="360"/>
      </w:pPr>
    </w:lvl>
    <w:lvl w:ilvl="8" w:tplc="FFFFFFFF" w:tentative="1">
      <w:start w:val="1"/>
      <w:numFmt w:val="lowerRoman"/>
      <w:lvlText w:val="%9."/>
      <w:lvlJc w:val="right"/>
      <w:pPr>
        <w:ind w:left="786" w:hanging="180"/>
      </w:pPr>
    </w:lvl>
  </w:abstractNum>
  <w:abstractNum w:abstractNumId="20" w15:restartNumberingAfterBreak="0">
    <w:nsid w:val="6B450928"/>
    <w:multiLevelType w:val="hybridMultilevel"/>
    <w:tmpl w:val="E46A62C0"/>
    <w:lvl w:ilvl="0" w:tplc="ADC28262">
      <w:start w:val="1"/>
      <w:numFmt w:val="lowerRoman"/>
      <w:lvlText w:val="%1."/>
      <w:lvlJc w:val="right"/>
      <w:pPr>
        <w:ind w:left="720" w:hanging="360"/>
      </w:pPr>
    </w:lvl>
    <w:lvl w:ilvl="1" w:tplc="557A96AC" w:tentative="1">
      <w:start w:val="1"/>
      <w:numFmt w:val="lowerLetter"/>
      <w:lvlText w:val="%2."/>
      <w:lvlJc w:val="left"/>
      <w:pPr>
        <w:ind w:left="1440" w:hanging="360"/>
      </w:pPr>
    </w:lvl>
    <w:lvl w:ilvl="2" w:tplc="A82AE73A" w:tentative="1">
      <w:start w:val="1"/>
      <w:numFmt w:val="lowerRoman"/>
      <w:lvlText w:val="%3."/>
      <w:lvlJc w:val="right"/>
      <w:pPr>
        <w:ind w:left="2160" w:hanging="180"/>
      </w:pPr>
    </w:lvl>
    <w:lvl w:ilvl="3" w:tplc="224E6E94" w:tentative="1">
      <w:start w:val="1"/>
      <w:numFmt w:val="decimal"/>
      <w:lvlText w:val="%4."/>
      <w:lvlJc w:val="left"/>
      <w:pPr>
        <w:ind w:left="2880" w:hanging="360"/>
      </w:pPr>
    </w:lvl>
    <w:lvl w:ilvl="4" w:tplc="9690836A" w:tentative="1">
      <w:start w:val="1"/>
      <w:numFmt w:val="lowerLetter"/>
      <w:lvlText w:val="%5."/>
      <w:lvlJc w:val="left"/>
      <w:pPr>
        <w:ind w:left="3600" w:hanging="360"/>
      </w:pPr>
    </w:lvl>
    <w:lvl w:ilvl="5" w:tplc="F4E0D21E" w:tentative="1">
      <w:start w:val="1"/>
      <w:numFmt w:val="lowerRoman"/>
      <w:lvlText w:val="%6."/>
      <w:lvlJc w:val="right"/>
      <w:pPr>
        <w:ind w:left="4320" w:hanging="180"/>
      </w:pPr>
    </w:lvl>
    <w:lvl w:ilvl="6" w:tplc="5F3ABC68" w:tentative="1">
      <w:start w:val="1"/>
      <w:numFmt w:val="decimal"/>
      <w:lvlText w:val="%7."/>
      <w:lvlJc w:val="left"/>
      <w:pPr>
        <w:ind w:left="5040" w:hanging="360"/>
      </w:pPr>
    </w:lvl>
    <w:lvl w:ilvl="7" w:tplc="5F1E8936" w:tentative="1">
      <w:start w:val="1"/>
      <w:numFmt w:val="lowerLetter"/>
      <w:lvlText w:val="%8."/>
      <w:lvlJc w:val="left"/>
      <w:pPr>
        <w:ind w:left="5760" w:hanging="360"/>
      </w:pPr>
    </w:lvl>
    <w:lvl w:ilvl="8" w:tplc="6BC24EF8" w:tentative="1">
      <w:start w:val="1"/>
      <w:numFmt w:val="lowerRoman"/>
      <w:lvlText w:val="%9."/>
      <w:lvlJc w:val="right"/>
      <w:pPr>
        <w:ind w:left="6480" w:hanging="180"/>
      </w:pPr>
    </w:lvl>
  </w:abstractNum>
  <w:abstractNum w:abstractNumId="21" w15:restartNumberingAfterBreak="0">
    <w:nsid w:val="6E7B295C"/>
    <w:multiLevelType w:val="hybridMultilevel"/>
    <w:tmpl w:val="1B00112E"/>
    <w:lvl w:ilvl="0" w:tplc="1C09000F">
      <w:start w:val="1"/>
      <w:numFmt w:val="decimal"/>
      <w:lvlText w:val="%1."/>
      <w:lvlJc w:val="left"/>
      <w:pPr>
        <w:ind w:left="567"/>
      </w:pPr>
    </w:lvl>
    <w:lvl w:ilvl="1" w:tplc="1C090019" w:tentative="1">
      <w:start w:val="1"/>
      <w:numFmt w:val="lowerLetter"/>
      <w:lvlText w:val="%2."/>
      <w:lvlJc w:val="left"/>
      <w:pPr>
        <w:ind w:left="-4254" w:hanging="360"/>
      </w:pPr>
    </w:lvl>
    <w:lvl w:ilvl="2" w:tplc="1C09001B" w:tentative="1">
      <w:start w:val="1"/>
      <w:numFmt w:val="lowerRoman"/>
      <w:lvlText w:val="%3."/>
      <w:lvlJc w:val="right"/>
      <w:pPr>
        <w:ind w:left="-3534" w:hanging="180"/>
      </w:pPr>
    </w:lvl>
    <w:lvl w:ilvl="3" w:tplc="1C09000F" w:tentative="1">
      <w:start w:val="1"/>
      <w:numFmt w:val="decimal"/>
      <w:lvlText w:val="%4."/>
      <w:lvlJc w:val="left"/>
      <w:pPr>
        <w:ind w:left="-2814" w:hanging="360"/>
      </w:pPr>
    </w:lvl>
    <w:lvl w:ilvl="4" w:tplc="1C090019" w:tentative="1">
      <w:start w:val="1"/>
      <w:numFmt w:val="lowerLetter"/>
      <w:lvlText w:val="%5."/>
      <w:lvlJc w:val="left"/>
      <w:pPr>
        <w:ind w:left="-2094" w:hanging="360"/>
      </w:pPr>
    </w:lvl>
    <w:lvl w:ilvl="5" w:tplc="1C09001B" w:tentative="1">
      <w:start w:val="1"/>
      <w:numFmt w:val="lowerRoman"/>
      <w:lvlText w:val="%6."/>
      <w:lvlJc w:val="right"/>
      <w:pPr>
        <w:ind w:left="-1374" w:hanging="180"/>
      </w:pPr>
    </w:lvl>
    <w:lvl w:ilvl="6" w:tplc="1C09000F" w:tentative="1">
      <w:start w:val="1"/>
      <w:numFmt w:val="decimal"/>
      <w:lvlText w:val="%7."/>
      <w:lvlJc w:val="left"/>
      <w:pPr>
        <w:ind w:left="-654" w:hanging="360"/>
      </w:pPr>
    </w:lvl>
    <w:lvl w:ilvl="7" w:tplc="1C090019" w:tentative="1">
      <w:start w:val="1"/>
      <w:numFmt w:val="lowerLetter"/>
      <w:lvlText w:val="%8."/>
      <w:lvlJc w:val="left"/>
      <w:pPr>
        <w:ind w:left="66" w:hanging="360"/>
      </w:pPr>
    </w:lvl>
    <w:lvl w:ilvl="8" w:tplc="1C09001B" w:tentative="1">
      <w:start w:val="1"/>
      <w:numFmt w:val="lowerRoman"/>
      <w:lvlText w:val="%9."/>
      <w:lvlJc w:val="right"/>
      <w:pPr>
        <w:ind w:left="786" w:hanging="180"/>
      </w:pPr>
    </w:lvl>
  </w:abstractNum>
  <w:abstractNum w:abstractNumId="22" w15:restartNumberingAfterBreak="0">
    <w:nsid w:val="75674703"/>
    <w:multiLevelType w:val="hybridMultilevel"/>
    <w:tmpl w:val="4FD6476C"/>
    <w:lvl w:ilvl="0" w:tplc="16BEBF74">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9160603"/>
    <w:multiLevelType w:val="hybridMultilevel"/>
    <w:tmpl w:val="989AC8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56328552">
    <w:abstractNumId w:val="12"/>
  </w:num>
  <w:num w:numId="2" w16cid:durableId="1530871352">
    <w:abstractNumId w:val="18"/>
  </w:num>
  <w:num w:numId="3" w16cid:durableId="103038474">
    <w:abstractNumId w:val="4"/>
  </w:num>
  <w:num w:numId="4" w16cid:durableId="1495145026">
    <w:abstractNumId w:val="0"/>
  </w:num>
  <w:num w:numId="5" w16cid:durableId="1533299582">
    <w:abstractNumId w:val="10"/>
  </w:num>
  <w:num w:numId="6" w16cid:durableId="2090930777">
    <w:abstractNumId w:val="15"/>
  </w:num>
  <w:num w:numId="7" w16cid:durableId="1746607885">
    <w:abstractNumId w:val="8"/>
  </w:num>
  <w:num w:numId="8" w16cid:durableId="1425616534">
    <w:abstractNumId w:val="20"/>
  </w:num>
  <w:num w:numId="9" w16cid:durableId="1450705896">
    <w:abstractNumId w:val="14"/>
  </w:num>
  <w:num w:numId="10" w16cid:durableId="2075395353">
    <w:abstractNumId w:val="17"/>
  </w:num>
  <w:num w:numId="11" w16cid:durableId="895092122">
    <w:abstractNumId w:val="12"/>
  </w:num>
  <w:num w:numId="12" w16cid:durableId="208690707">
    <w:abstractNumId w:val="11"/>
  </w:num>
  <w:num w:numId="13" w16cid:durableId="1257598102">
    <w:abstractNumId w:val="7"/>
  </w:num>
  <w:num w:numId="14" w16cid:durableId="861895035">
    <w:abstractNumId w:val="10"/>
    <w:lvlOverride w:ilvl="0">
      <w:startOverride w:val="1"/>
    </w:lvlOverride>
  </w:num>
  <w:num w:numId="15" w16cid:durableId="228466274">
    <w:abstractNumId w:val="10"/>
    <w:lvlOverride w:ilvl="0">
      <w:startOverride w:val="1"/>
    </w:lvlOverride>
  </w:num>
  <w:num w:numId="16" w16cid:durableId="1033076186">
    <w:abstractNumId w:val="10"/>
    <w:lvlOverride w:ilvl="0">
      <w:startOverride w:val="1"/>
    </w:lvlOverride>
  </w:num>
  <w:num w:numId="17" w16cid:durableId="1375731945">
    <w:abstractNumId w:val="16"/>
  </w:num>
  <w:num w:numId="18" w16cid:durableId="1921060723">
    <w:abstractNumId w:val="12"/>
  </w:num>
  <w:num w:numId="19" w16cid:durableId="5350007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4777162">
    <w:abstractNumId w:val="10"/>
    <w:lvlOverride w:ilvl="0">
      <w:startOverride w:val="1"/>
    </w:lvlOverride>
  </w:num>
  <w:num w:numId="21" w16cid:durableId="1106194155">
    <w:abstractNumId w:val="23"/>
  </w:num>
  <w:num w:numId="22" w16cid:durableId="10764083">
    <w:abstractNumId w:val="2"/>
  </w:num>
  <w:num w:numId="23" w16cid:durableId="317072169">
    <w:abstractNumId w:val="10"/>
  </w:num>
  <w:num w:numId="24" w16cid:durableId="48123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1777297">
    <w:abstractNumId w:val="5"/>
  </w:num>
  <w:num w:numId="26" w16cid:durableId="624238972">
    <w:abstractNumId w:val="3"/>
  </w:num>
  <w:num w:numId="27" w16cid:durableId="552349234">
    <w:abstractNumId w:val="21"/>
  </w:num>
  <w:num w:numId="28" w16cid:durableId="467939876">
    <w:abstractNumId w:val="6"/>
  </w:num>
  <w:num w:numId="29" w16cid:durableId="1872109134">
    <w:abstractNumId w:val="19"/>
  </w:num>
  <w:num w:numId="30" w16cid:durableId="762454899">
    <w:abstractNumId w:val="13"/>
  </w:num>
  <w:num w:numId="31" w16cid:durableId="771127185">
    <w:abstractNumId w:val="1"/>
  </w:num>
  <w:num w:numId="32" w16cid:durableId="1298992126">
    <w:abstractNumId w:val="22"/>
  </w:num>
  <w:num w:numId="33" w16cid:durableId="35527202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A8"/>
    <w:rsid w:val="0000102B"/>
    <w:rsid w:val="0000133B"/>
    <w:rsid w:val="0000157A"/>
    <w:rsid w:val="000015A3"/>
    <w:rsid w:val="00001802"/>
    <w:rsid w:val="00001ACE"/>
    <w:rsid w:val="00004380"/>
    <w:rsid w:val="00005AA7"/>
    <w:rsid w:val="00006517"/>
    <w:rsid w:val="00006C89"/>
    <w:rsid w:val="00006F6C"/>
    <w:rsid w:val="00007967"/>
    <w:rsid w:val="00010214"/>
    <w:rsid w:val="0001139B"/>
    <w:rsid w:val="0001210E"/>
    <w:rsid w:val="000123F6"/>
    <w:rsid w:val="000126DB"/>
    <w:rsid w:val="00012D47"/>
    <w:rsid w:val="0001315C"/>
    <w:rsid w:val="000134C0"/>
    <w:rsid w:val="00013C5C"/>
    <w:rsid w:val="00014766"/>
    <w:rsid w:val="00014A24"/>
    <w:rsid w:val="000155C3"/>
    <w:rsid w:val="00015BCC"/>
    <w:rsid w:val="000165ED"/>
    <w:rsid w:val="00017CB2"/>
    <w:rsid w:val="00021DA3"/>
    <w:rsid w:val="0002309A"/>
    <w:rsid w:val="0002312E"/>
    <w:rsid w:val="0002365E"/>
    <w:rsid w:val="00024354"/>
    <w:rsid w:val="00025020"/>
    <w:rsid w:val="0002784F"/>
    <w:rsid w:val="00027FC0"/>
    <w:rsid w:val="0003024A"/>
    <w:rsid w:val="000312D3"/>
    <w:rsid w:val="0003136B"/>
    <w:rsid w:val="00031661"/>
    <w:rsid w:val="00032488"/>
    <w:rsid w:val="00033380"/>
    <w:rsid w:val="00033B66"/>
    <w:rsid w:val="00033CBF"/>
    <w:rsid w:val="00033E7E"/>
    <w:rsid w:val="00033ECD"/>
    <w:rsid w:val="00034899"/>
    <w:rsid w:val="00034A04"/>
    <w:rsid w:val="00035096"/>
    <w:rsid w:val="0003609A"/>
    <w:rsid w:val="0003643E"/>
    <w:rsid w:val="00036440"/>
    <w:rsid w:val="000364F7"/>
    <w:rsid w:val="00037C9E"/>
    <w:rsid w:val="00037E13"/>
    <w:rsid w:val="00040019"/>
    <w:rsid w:val="0004021B"/>
    <w:rsid w:val="00040699"/>
    <w:rsid w:val="00040E5F"/>
    <w:rsid w:val="000415CB"/>
    <w:rsid w:val="000427AB"/>
    <w:rsid w:val="00042F90"/>
    <w:rsid w:val="000434D7"/>
    <w:rsid w:val="000438D7"/>
    <w:rsid w:val="00044484"/>
    <w:rsid w:val="000445C9"/>
    <w:rsid w:val="00044749"/>
    <w:rsid w:val="00044D84"/>
    <w:rsid w:val="00044F69"/>
    <w:rsid w:val="0004523B"/>
    <w:rsid w:val="0004583D"/>
    <w:rsid w:val="00046107"/>
    <w:rsid w:val="00046350"/>
    <w:rsid w:val="00046A89"/>
    <w:rsid w:val="00046D5D"/>
    <w:rsid w:val="00046F8A"/>
    <w:rsid w:val="000470AD"/>
    <w:rsid w:val="00047412"/>
    <w:rsid w:val="00047DED"/>
    <w:rsid w:val="00050195"/>
    <w:rsid w:val="000501DD"/>
    <w:rsid w:val="00050924"/>
    <w:rsid w:val="00050AE6"/>
    <w:rsid w:val="00052A69"/>
    <w:rsid w:val="0005304D"/>
    <w:rsid w:val="0005345A"/>
    <w:rsid w:val="0005363A"/>
    <w:rsid w:val="00053C67"/>
    <w:rsid w:val="00053F93"/>
    <w:rsid w:val="00054072"/>
    <w:rsid w:val="000540AE"/>
    <w:rsid w:val="00055F8F"/>
    <w:rsid w:val="00056CCB"/>
    <w:rsid w:val="0005737F"/>
    <w:rsid w:val="0005765E"/>
    <w:rsid w:val="000611E4"/>
    <w:rsid w:val="00061759"/>
    <w:rsid w:val="000618B4"/>
    <w:rsid w:val="00061C98"/>
    <w:rsid w:val="00061F2D"/>
    <w:rsid w:val="000627DE"/>
    <w:rsid w:val="00062A91"/>
    <w:rsid w:val="00062C9B"/>
    <w:rsid w:val="00062D35"/>
    <w:rsid w:val="00063636"/>
    <w:rsid w:val="00063E22"/>
    <w:rsid w:val="00063EEB"/>
    <w:rsid w:val="000643D8"/>
    <w:rsid w:val="0006496D"/>
    <w:rsid w:val="0006578D"/>
    <w:rsid w:val="00065839"/>
    <w:rsid w:val="00065A57"/>
    <w:rsid w:val="00065B01"/>
    <w:rsid w:val="0006605A"/>
    <w:rsid w:val="00066261"/>
    <w:rsid w:val="0006687A"/>
    <w:rsid w:val="00066F4E"/>
    <w:rsid w:val="000677BB"/>
    <w:rsid w:val="0006797F"/>
    <w:rsid w:val="000704A6"/>
    <w:rsid w:val="0007053B"/>
    <w:rsid w:val="0007060E"/>
    <w:rsid w:val="00071351"/>
    <w:rsid w:val="000717FB"/>
    <w:rsid w:val="0007183F"/>
    <w:rsid w:val="000718EC"/>
    <w:rsid w:val="00071C44"/>
    <w:rsid w:val="00072302"/>
    <w:rsid w:val="00072469"/>
    <w:rsid w:val="00072944"/>
    <w:rsid w:val="00073851"/>
    <w:rsid w:val="00073C9E"/>
    <w:rsid w:val="00073DB6"/>
    <w:rsid w:val="000740E3"/>
    <w:rsid w:val="0007426B"/>
    <w:rsid w:val="000744C1"/>
    <w:rsid w:val="00074586"/>
    <w:rsid w:val="00074DD0"/>
    <w:rsid w:val="00075C08"/>
    <w:rsid w:val="0007608A"/>
    <w:rsid w:val="00076E67"/>
    <w:rsid w:val="00077169"/>
    <w:rsid w:val="00077D88"/>
    <w:rsid w:val="00080186"/>
    <w:rsid w:val="0008028D"/>
    <w:rsid w:val="0008050E"/>
    <w:rsid w:val="00080600"/>
    <w:rsid w:val="00080E21"/>
    <w:rsid w:val="0008155F"/>
    <w:rsid w:val="0008535E"/>
    <w:rsid w:val="00085388"/>
    <w:rsid w:val="00085822"/>
    <w:rsid w:val="00085933"/>
    <w:rsid w:val="000869DB"/>
    <w:rsid w:val="00086C63"/>
    <w:rsid w:val="00086D64"/>
    <w:rsid w:val="00086E74"/>
    <w:rsid w:val="00087B4F"/>
    <w:rsid w:val="0009008F"/>
    <w:rsid w:val="00090191"/>
    <w:rsid w:val="000907D5"/>
    <w:rsid w:val="0009112A"/>
    <w:rsid w:val="00091D7D"/>
    <w:rsid w:val="00092264"/>
    <w:rsid w:val="000929D8"/>
    <w:rsid w:val="000929EC"/>
    <w:rsid w:val="00092AD2"/>
    <w:rsid w:val="00092AD5"/>
    <w:rsid w:val="000934AB"/>
    <w:rsid w:val="00093502"/>
    <w:rsid w:val="00093B31"/>
    <w:rsid w:val="0009402D"/>
    <w:rsid w:val="00094073"/>
    <w:rsid w:val="0009479B"/>
    <w:rsid w:val="000947EE"/>
    <w:rsid w:val="00094C78"/>
    <w:rsid w:val="000955C4"/>
    <w:rsid w:val="000958E1"/>
    <w:rsid w:val="00095B83"/>
    <w:rsid w:val="00095CC5"/>
    <w:rsid w:val="000962BC"/>
    <w:rsid w:val="000962FC"/>
    <w:rsid w:val="00096723"/>
    <w:rsid w:val="00096D53"/>
    <w:rsid w:val="00096EE7"/>
    <w:rsid w:val="000972A3"/>
    <w:rsid w:val="000974FC"/>
    <w:rsid w:val="00097969"/>
    <w:rsid w:val="000A013D"/>
    <w:rsid w:val="000A0236"/>
    <w:rsid w:val="000A0604"/>
    <w:rsid w:val="000A0CBA"/>
    <w:rsid w:val="000A0E13"/>
    <w:rsid w:val="000A1113"/>
    <w:rsid w:val="000A12D4"/>
    <w:rsid w:val="000A142B"/>
    <w:rsid w:val="000A1597"/>
    <w:rsid w:val="000A18AB"/>
    <w:rsid w:val="000A1AE5"/>
    <w:rsid w:val="000A1BA9"/>
    <w:rsid w:val="000A2A16"/>
    <w:rsid w:val="000A411F"/>
    <w:rsid w:val="000A4E92"/>
    <w:rsid w:val="000A508C"/>
    <w:rsid w:val="000A5CDD"/>
    <w:rsid w:val="000A673E"/>
    <w:rsid w:val="000A6AF5"/>
    <w:rsid w:val="000A6E34"/>
    <w:rsid w:val="000A6EE3"/>
    <w:rsid w:val="000A7268"/>
    <w:rsid w:val="000A7531"/>
    <w:rsid w:val="000B031A"/>
    <w:rsid w:val="000B057F"/>
    <w:rsid w:val="000B0DCE"/>
    <w:rsid w:val="000B115F"/>
    <w:rsid w:val="000B1403"/>
    <w:rsid w:val="000B18A9"/>
    <w:rsid w:val="000B2561"/>
    <w:rsid w:val="000B2FAE"/>
    <w:rsid w:val="000B30A9"/>
    <w:rsid w:val="000B337A"/>
    <w:rsid w:val="000B3F20"/>
    <w:rsid w:val="000B4455"/>
    <w:rsid w:val="000B4699"/>
    <w:rsid w:val="000B4A56"/>
    <w:rsid w:val="000B4C79"/>
    <w:rsid w:val="000B4D48"/>
    <w:rsid w:val="000B5ADE"/>
    <w:rsid w:val="000B5BA2"/>
    <w:rsid w:val="000B6808"/>
    <w:rsid w:val="000B6940"/>
    <w:rsid w:val="000B73E2"/>
    <w:rsid w:val="000C12D8"/>
    <w:rsid w:val="000C16B8"/>
    <w:rsid w:val="000C19B1"/>
    <w:rsid w:val="000C21B5"/>
    <w:rsid w:val="000C21D5"/>
    <w:rsid w:val="000C25DE"/>
    <w:rsid w:val="000C2781"/>
    <w:rsid w:val="000C38A7"/>
    <w:rsid w:val="000C3DD5"/>
    <w:rsid w:val="000C4234"/>
    <w:rsid w:val="000C4431"/>
    <w:rsid w:val="000C4D0C"/>
    <w:rsid w:val="000C4FE2"/>
    <w:rsid w:val="000C5506"/>
    <w:rsid w:val="000C5DC6"/>
    <w:rsid w:val="000C6244"/>
    <w:rsid w:val="000C6788"/>
    <w:rsid w:val="000C695B"/>
    <w:rsid w:val="000C69B6"/>
    <w:rsid w:val="000C72AC"/>
    <w:rsid w:val="000C771C"/>
    <w:rsid w:val="000C7C54"/>
    <w:rsid w:val="000D04C8"/>
    <w:rsid w:val="000D161F"/>
    <w:rsid w:val="000D1B7A"/>
    <w:rsid w:val="000D2816"/>
    <w:rsid w:val="000D2B76"/>
    <w:rsid w:val="000D2C23"/>
    <w:rsid w:val="000D304C"/>
    <w:rsid w:val="000D3AC0"/>
    <w:rsid w:val="000D3C54"/>
    <w:rsid w:val="000D50F1"/>
    <w:rsid w:val="000D62AF"/>
    <w:rsid w:val="000D77FB"/>
    <w:rsid w:val="000D7ACF"/>
    <w:rsid w:val="000D7CFA"/>
    <w:rsid w:val="000E0EF7"/>
    <w:rsid w:val="000E138D"/>
    <w:rsid w:val="000E144F"/>
    <w:rsid w:val="000E15CD"/>
    <w:rsid w:val="000E1876"/>
    <w:rsid w:val="000E1DEF"/>
    <w:rsid w:val="000E20DF"/>
    <w:rsid w:val="000E2472"/>
    <w:rsid w:val="000E311E"/>
    <w:rsid w:val="000E3197"/>
    <w:rsid w:val="000E31A9"/>
    <w:rsid w:val="000E3537"/>
    <w:rsid w:val="000E3676"/>
    <w:rsid w:val="000E3B5D"/>
    <w:rsid w:val="000E3F3F"/>
    <w:rsid w:val="000E66E5"/>
    <w:rsid w:val="000E6731"/>
    <w:rsid w:val="000E67D3"/>
    <w:rsid w:val="000E6884"/>
    <w:rsid w:val="000E6980"/>
    <w:rsid w:val="000E6D22"/>
    <w:rsid w:val="000E729B"/>
    <w:rsid w:val="000E787D"/>
    <w:rsid w:val="000E7BF8"/>
    <w:rsid w:val="000E7E78"/>
    <w:rsid w:val="000F0AD7"/>
    <w:rsid w:val="000F138D"/>
    <w:rsid w:val="000F1C6B"/>
    <w:rsid w:val="000F2460"/>
    <w:rsid w:val="000F24E5"/>
    <w:rsid w:val="000F2515"/>
    <w:rsid w:val="000F2520"/>
    <w:rsid w:val="000F2D49"/>
    <w:rsid w:val="000F3EB1"/>
    <w:rsid w:val="000F4782"/>
    <w:rsid w:val="000F4E59"/>
    <w:rsid w:val="000F526D"/>
    <w:rsid w:val="000F52D2"/>
    <w:rsid w:val="000F536B"/>
    <w:rsid w:val="000F5BE7"/>
    <w:rsid w:val="000F7568"/>
    <w:rsid w:val="0010050A"/>
    <w:rsid w:val="00100AFD"/>
    <w:rsid w:val="00100EB2"/>
    <w:rsid w:val="00101B83"/>
    <w:rsid w:val="00101C78"/>
    <w:rsid w:val="00102950"/>
    <w:rsid w:val="00102A90"/>
    <w:rsid w:val="00102CBC"/>
    <w:rsid w:val="00102D94"/>
    <w:rsid w:val="0010381C"/>
    <w:rsid w:val="00103FDB"/>
    <w:rsid w:val="0010455C"/>
    <w:rsid w:val="00104709"/>
    <w:rsid w:val="001049D4"/>
    <w:rsid w:val="00104E2A"/>
    <w:rsid w:val="00104F2F"/>
    <w:rsid w:val="001052C2"/>
    <w:rsid w:val="001053A5"/>
    <w:rsid w:val="0010579F"/>
    <w:rsid w:val="00105A33"/>
    <w:rsid w:val="00105A4D"/>
    <w:rsid w:val="00105ECE"/>
    <w:rsid w:val="00106F33"/>
    <w:rsid w:val="0010728C"/>
    <w:rsid w:val="001102A6"/>
    <w:rsid w:val="00110A9C"/>
    <w:rsid w:val="00111378"/>
    <w:rsid w:val="001120EC"/>
    <w:rsid w:val="0011222A"/>
    <w:rsid w:val="001124B1"/>
    <w:rsid w:val="00112884"/>
    <w:rsid w:val="00112D80"/>
    <w:rsid w:val="00113A5D"/>
    <w:rsid w:val="00113ABD"/>
    <w:rsid w:val="00113D94"/>
    <w:rsid w:val="00113F41"/>
    <w:rsid w:val="001140B0"/>
    <w:rsid w:val="00114F77"/>
    <w:rsid w:val="00114FD2"/>
    <w:rsid w:val="001159E8"/>
    <w:rsid w:val="00116928"/>
    <w:rsid w:val="00117583"/>
    <w:rsid w:val="00117E3B"/>
    <w:rsid w:val="0012047C"/>
    <w:rsid w:val="001206AA"/>
    <w:rsid w:val="00120754"/>
    <w:rsid w:val="00120A47"/>
    <w:rsid w:val="00120AF3"/>
    <w:rsid w:val="001215D3"/>
    <w:rsid w:val="001248B2"/>
    <w:rsid w:val="001248C7"/>
    <w:rsid w:val="00124BEC"/>
    <w:rsid w:val="00125F38"/>
    <w:rsid w:val="001267DC"/>
    <w:rsid w:val="00126F6A"/>
    <w:rsid w:val="00130014"/>
    <w:rsid w:val="0013098A"/>
    <w:rsid w:val="00130A47"/>
    <w:rsid w:val="00130EE8"/>
    <w:rsid w:val="00131002"/>
    <w:rsid w:val="001322FC"/>
    <w:rsid w:val="00132C6B"/>
    <w:rsid w:val="001330CA"/>
    <w:rsid w:val="00133362"/>
    <w:rsid w:val="001346BC"/>
    <w:rsid w:val="00134924"/>
    <w:rsid w:val="00134990"/>
    <w:rsid w:val="0013545D"/>
    <w:rsid w:val="00135702"/>
    <w:rsid w:val="00136152"/>
    <w:rsid w:val="0013646F"/>
    <w:rsid w:val="00136C82"/>
    <w:rsid w:val="00137783"/>
    <w:rsid w:val="00141087"/>
    <w:rsid w:val="001411C5"/>
    <w:rsid w:val="00141B25"/>
    <w:rsid w:val="001434CC"/>
    <w:rsid w:val="00144496"/>
    <w:rsid w:val="001444C4"/>
    <w:rsid w:val="00144996"/>
    <w:rsid w:val="0014555F"/>
    <w:rsid w:val="00145A11"/>
    <w:rsid w:val="00145C8F"/>
    <w:rsid w:val="001475AE"/>
    <w:rsid w:val="00147E60"/>
    <w:rsid w:val="0015143C"/>
    <w:rsid w:val="001515E9"/>
    <w:rsid w:val="00151BB9"/>
    <w:rsid w:val="00151DCD"/>
    <w:rsid w:val="00151DD3"/>
    <w:rsid w:val="00152207"/>
    <w:rsid w:val="00153E19"/>
    <w:rsid w:val="00153E21"/>
    <w:rsid w:val="00153E74"/>
    <w:rsid w:val="00154706"/>
    <w:rsid w:val="00154BB9"/>
    <w:rsid w:val="00154FC9"/>
    <w:rsid w:val="00155826"/>
    <w:rsid w:val="00155A35"/>
    <w:rsid w:val="00155B77"/>
    <w:rsid w:val="001562CE"/>
    <w:rsid w:val="00156640"/>
    <w:rsid w:val="00157AB8"/>
    <w:rsid w:val="00157B17"/>
    <w:rsid w:val="00160137"/>
    <w:rsid w:val="00160557"/>
    <w:rsid w:val="001610E0"/>
    <w:rsid w:val="00161CFB"/>
    <w:rsid w:val="00162070"/>
    <w:rsid w:val="001623C3"/>
    <w:rsid w:val="0016272F"/>
    <w:rsid w:val="00162820"/>
    <w:rsid w:val="00162C15"/>
    <w:rsid w:val="001634E5"/>
    <w:rsid w:val="0016391D"/>
    <w:rsid w:val="00163B8F"/>
    <w:rsid w:val="00164055"/>
    <w:rsid w:val="00164209"/>
    <w:rsid w:val="00165D92"/>
    <w:rsid w:val="001663BB"/>
    <w:rsid w:val="001666E5"/>
    <w:rsid w:val="0016775C"/>
    <w:rsid w:val="001701FC"/>
    <w:rsid w:val="0017080F"/>
    <w:rsid w:val="00171CFD"/>
    <w:rsid w:val="0017230A"/>
    <w:rsid w:val="001724D5"/>
    <w:rsid w:val="00172854"/>
    <w:rsid w:val="00173E96"/>
    <w:rsid w:val="001742AB"/>
    <w:rsid w:val="00174812"/>
    <w:rsid w:val="00174ABC"/>
    <w:rsid w:val="00174B7A"/>
    <w:rsid w:val="00175377"/>
    <w:rsid w:val="00175460"/>
    <w:rsid w:val="001757CB"/>
    <w:rsid w:val="00175A71"/>
    <w:rsid w:val="00175D1D"/>
    <w:rsid w:val="00176205"/>
    <w:rsid w:val="00176634"/>
    <w:rsid w:val="00176ABC"/>
    <w:rsid w:val="00176BF7"/>
    <w:rsid w:val="0017735E"/>
    <w:rsid w:val="0017773D"/>
    <w:rsid w:val="00180210"/>
    <w:rsid w:val="001803AF"/>
    <w:rsid w:val="00181D56"/>
    <w:rsid w:val="00181F80"/>
    <w:rsid w:val="00182260"/>
    <w:rsid w:val="00182577"/>
    <w:rsid w:val="00182921"/>
    <w:rsid w:val="0018337A"/>
    <w:rsid w:val="001835B8"/>
    <w:rsid w:val="0018447C"/>
    <w:rsid w:val="0018464B"/>
    <w:rsid w:val="00185699"/>
    <w:rsid w:val="00185DE1"/>
    <w:rsid w:val="00185F00"/>
    <w:rsid w:val="00186133"/>
    <w:rsid w:val="00186C2F"/>
    <w:rsid w:val="001870C0"/>
    <w:rsid w:val="00190239"/>
    <w:rsid w:val="0019072F"/>
    <w:rsid w:val="00190BD8"/>
    <w:rsid w:val="00191183"/>
    <w:rsid w:val="00191724"/>
    <w:rsid w:val="001918C6"/>
    <w:rsid w:val="00192DEA"/>
    <w:rsid w:val="001931F7"/>
    <w:rsid w:val="001932E0"/>
    <w:rsid w:val="001934D8"/>
    <w:rsid w:val="00193994"/>
    <w:rsid w:val="0019418B"/>
    <w:rsid w:val="0019420A"/>
    <w:rsid w:val="0019495A"/>
    <w:rsid w:val="001949CA"/>
    <w:rsid w:val="00194A2A"/>
    <w:rsid w:val="001952CB"/>
    <w:rsid w:val="001956AE"/>
    <w:rsid w:val="00195A15"/>
    <w:rsid w:val="00195A48"/>
    <w:rsid w:val="001961E7"/>
    <w:rsid w:val="00196AB6"/>
    <w:rsid w:val="001A0754"/>
    <w:rsid w:val="001A0C18"/>
    <w:rsid w:val="001A1B95"/>
    <w:rsid w:val="001A2162"/>
    <w:rsid w:val="001A32F0"/>
    <w:rsid w:val="001A331F"/>
    <w:rsid w:val="001A33E4"/>
    <w:rsid w:val="001A342A"/>
    <w:rsid w:val="001A38F3"/>
    <w:rsid w:val="001A3D0C"/>
    <w:rsid w:val="001A44BC"/>
    <w:rsid w:val="001A4BB1"/>
    <w:rsid w:val="001A5048"/>
    <w:rsid w:val="001A50E2"/>
    <w:rsid w:val="001A5DBA"/>
    <w:rsid w:val="001A6476"/>
    <w:rsid w:val="001A779D"/>
    <w:rsid w:val="001A77D4"/>
    <w:rsid w:val="001A7F5B"/>
    <w:rsid w:val="001B0052"/>
    <w:rsid w:val="001B04FE"/>
    <w:rsid w:val="001B0BA9"/>
    <w:rsid w:val="001B12F7"/>
    <w:rsid w:val="001B16AB"/>
    <w:rsid w:val="001B1820"/>
    <w:rsid w:val="001B1C19"/>
    <w:rsid w:val="001B1FD3"/>
    <w:rsid w:val="001B30E9"/>
    <w:rsid w:val="001B3690"/>
    <w:rsid w:val="001B4809"/>
    <w:rsid w:val="001B4945"/>
    <w:rsid w:val="001B4B7F"/>
    <w:rsid w:val="001B4F6F"/>
    <w:rsid w:val="001B5252"/>
    <w:rsid w:val="001B58C4"/>
    <w:rsid w:val="001B608A"/>
    <w:rsid w:val="001B6A7A"/>
    <w:rsid w:val="001B76DA"/>
    <w:rsid w:val="001B77CB"/>
    <w:rsid w:val="001B7A5C"/>
    <w:rsid w:val="001B7A74"/>
    <w:rsid w:val="001B7C6C"/>
    <w:rsid w:val="001B7D35"/>
    <w:rsid w:val="001C0AD7"/>
    <w:rsid w:val="001C12A5"/>
    <w:rsid w:val="001C15B7"/>
    <w:rsid w:val="001C18C2"/>
    <w:rsid w:val="001C1A1F"/>
    <w:rsid w:val="001C1CAF"/>
    <w:rsid w:val="001C1E6E"/>
    <w:rsid w:val="001C1F79"/>
    <w:rsid w:val="001C2C7A"/>
    <w:rsid w:val="001C33A8"/>
    <w:rsid w:val="001C3D58"/>
    <w:rsid w:val="001C3FE8"/>
    <w:rsid w:val="001C40A5"/>
    <w:rsid w:val="001C4728"/>
    <w:rsid w:val="001C47FE"/>
    <w:rsid w:val="001C50D5"/>
    <w:rsid w:val="001C57C0"/>
    <w:rsid w:val="001C597C"/>
    <w:rsid w:val="001C62A3"/>
    <w:rsid w:val="001C7AC8"/>
    <w:rsid w:val="001C7B8A"/>
    <w:rsid w:val="001D01BA"/>
    <w:rsid w:val="001D0388"/>
    <w:rsid w:val="001D05EC"/>
    <w:rsid w:val="001D183B"/>
    <w:rsid w:val="001D1AFF"/>
    <w:rsid w:val="001D2021"/>
    <w:rsid w:val="001D2507"/>
    <w:rsid w:val="001D29FA"/>
    <w:rsid w:val="001D2D8A"/>
    <w:rsid w:val="001D3693"/>
    <w:rsid w:val="001D3982"/>
    <w:rsid w:val="001D3CBD"/>
    <w:rsid w:val="001D3DAF"/>
    <w:rsid w:val="001D4B47"/>
    <w:rsid w:val="001D4B66"/>
    <w:rsid w:val="001D587B"/>
    <w:rsid w:val="001D5D0E"/>
    <w:rsid w:val="001D6335"/>
    <w:rsid w:val="001D720E"/>
    <w:rsid w:val="001D7341"/>
    <w:rsid w:val="001D7F1C"/>
    <w:rsid w:val="001E0A46"/>
    <w:rsid w:val="001E1799"/>
    <w:rsid w:val="001E22A9"/>
    <w:rsid w:val="001E28C7"/>
    <w:rsid w:val="001E2F34"/>
    <w:rsid w:val="001E30A5"/>
    <w:rsid w:val="001E352F"/>
    <w:rsid w:val="001E394D"/>
    <w:rsid w:val="001E39DD"/>
    <w:rsid w:val="001E443A"/>
    <w:rsid w:val="001E446C"/>
    <w:rsid w:val="001E4D7F"/>
    <w:rsid w:val="001E5884"/>
    <w:rsid w:val="001E5A52"/>
    <w:rsid w:val="001E5EC7"/>
    <w:rsid w:val="001E6779"/>
    <w:rsid w:val="001E7089"/>
    <w:rsid w:val="001E7D13"/>
    <w:rsid w:val="001F0FEA"/>
    <w:rsid w:val="001F2329"/>
    <w:rsid w:val="001F2887"/>
    <w:rsid w:val="001F2AFE"/>
    <w:rsid w:val="001F343F"/>
    <w:rsid w:val="001F3E1D"/>
    <w:rsid w:val="001F4327"/>
    <w:rsid w:val="001F46EB"/>
    <w:rsid w:val="001F4A36"/>
    <w:rsid w:val="001F4A3A"/>
    <w:rsid w:val="001F4E74"/>
    <w:rsid w:val="001F57CD"/>
    <w:rsid w:val="001F5BBC"/>
    <w:rsid w:val="001F5C8E"/>
    <w:rsid w:val="001F6189"/>
    <w:rsid w:val="001F6D7D"/>
    <w:rsid w:val="001F7374"/>
    <w:rsid w:val="001F7534"/>
    <w:rsid w:val="001F7661"/>
    <w:rsid w:val="001F775A"/>
    <w:rsid w:val="001F7997"/>
    <w:rsid w:val="001F7D52"/>
    <w:rsid w:val="0020030B"/>
    <w:rsid w:val="00200E03"/>
    <w:rsid w:val="00200E85"/>
    <w:rsid w:val="00200EA7"/>
    <w:rsid w:val="00201C6D"/>
    <w:rsid w:val="00201EFA"/>
    <w:rsid w:val="00202332"/>
    <w:rsid w:val="002023B1"/>
    <w:rsid w:val="0020279E"/>
    <w:rsid w:val="00202C1C"/>
    <w:rsid w:val="00202C7F"/>
    <w:rsid w:val="00202E84"/>
    <w:rsid w:val="00202EE4"/>
    <w:rsid w:val="00203056"/>
    <w:rsid w:val="00203C09"/>
    <w:rsid w:val="00204AAF"/>
    <w:rsid w:val="00204B13"/>
    <w:rsid w:val="00205174"/>
    <w:rsid w:val="00205324"/>
    <w:rsid w:val="00205F18"/>
    <w:rsid w:val="0020649C"/>
    <w:rsid w:val="002076E6"/>
    <w:rsid w:val="00207883"/>
    <w:rsid w:val="00207C31"/>
    <w:rsid w:val="0021081F"/>
    <w:rsid w:val="00210AF5"/>
    <w:rsid w:val="00210C3B"/>
    <w:rsid w:val="00210CBD"/>
    <w:rsid w:val="00210D74"/>
    <w:rsid w:val="0021158F"/>
    <w:rsid w:val="002118FB"/>
    <w:rsid w:val="00211A28"/>
    <w:rsid w:val="00212819"/>
    <w:rsid w:val="00212C56"/>
    <w:rsid w:val="0021331B"/>
    <w:rsid w:val="00213D01"/>
    <w:rsid w:val="00214012"/>
    <w:rsid w:val="00214034"/>
    <w:rsid w:val="002142BB"/>
    <w:rsid w:val="002154B1"/>
    <w:rsid w:val="0021559A"/>
    <w:rsid w:val="00215FA5"/>
    <w:rsid w:val="002160E9"/>
    <w:rsid w:val="002163B0"/>
    <w:rsid w:val="0021652E"/>
    <w:rsid w:val="002166CF"/>
    <w:rsid w:val="00216911"/>
    <w:rsid w:val="00217060"/>
    <w:rsid w:val="00217A0E"/>
    <w:rsid w:val="00220769"/>
    <w:rsid w:val="00220794"/>
    <w:rsid w:val="00220826"/>
    <w:rsid w:val="002209F2"/>
    <w:rsid w:val="00220A78"/>
    <w:rsid w:val="00221257"/>
    <w:rsid w:val="0022193C"/>
    <w:rsid w:val="00221983"/>
    <w:rsid w:val="00221BC5"/>
    <w:rsid w:val="00222B4C"/>
    <w:rsid w:val="002231BB"/>
    <w:rsid w:val="00223758"/>
    <w:rsid w:val="002239BB"/>
    <w:rsid w:val="002240F6"/>
    <w:rsid w:val="002244F3"/>
    <w:rsid w:val="00224D1D"/>
    <w:rsid w:val="0022503A"/>
    <w:rsid w:val="0022526E"/>
    <w:rsid w:val="00225641"/>
    <w:rsid w:val="00225D5F"/>
    <w:rsid w:val="00226848"/>
    <w:rsid w:val="0022759E"/>
    <w:rsid w:val="002276FF"/>
    <w:rsid w:val="00227838"/>
    <w:rsid w:val="00227CED"/>
    <w:rsid w:val="00230540"/>
    <w:rsid w:val="00230C7D"/>
    <w:rsid w:val="00231441"/>
    <w:rsid w:val="0023153A"/>
    <w:rsid w:val="00232AC2"/>
    <w:rsid w:val="00232F4F"/>
    <w:rsid w:val="0023383C"/>
    <w:rsid w:val="00233912"/>
    <w:rsid w:val="00233933"/>
    <w:rsid w:val="00235A4A"/>
    <w:rsid w:val="00235F95"/>
    <w:rsid w:val="00235FB5"/>
    <w:rsid w:val="00236998"/>
    <w:rsid w:val="002376FC"/>
    <w:rsid w:val="002401B9"/>
    <w:rsid w:val="00240CB5"/>
    <w:rsid w:val="00240D97"/>
    <w:rsid w:val="002416A9"/>
    <w:rsid w:val="002418AE"/>
    <w:rsid w:val="002434D3"/>
    <w:rsid w:val="00244F31"/>
    <w:rsid w:val="00244FF3"/>
    <w:rsid w:val="00245476"/>
    <w:rsid w:val="00245838"/>
    <w:rsid w:val="00245876"/>
    <w:rsid w:val="00245A55"/>
    <w:rsid w:val="00245F01"/>
    <w:rsid w:val="0024651F"/>
    <w:rsid w:val="002466C8"/>
    <w:rsid w:val="00246744"/>
    <w:rsid w:val="00246782"/>
    <w:rsid w:val="00246B55"/>
    <w:rsid w:val="0024701A"/>
    <w:rsid w:val="0024726A"/>
    <w:rsid w:val="0024762C"/>
    <w:rsid w:val="00247800"/>
    <w:rsid w:val="00247C89"/>
    <w:rsid w:val="00247CCE"/>
    <w:rsid w:val="00247FDD"/>
    <w:rsid w:val="00250744"/>
    <w:rsid w:val="0025098D"/>
    <w:rsid w:val="00251F52"/>
    <w:rsid w:val="00251FCD"/>
    <w:rsid w:val="00252C0E"/>
    <w:rsid w:val="00252F03"/>
    <w:rsid w:val="00253BC6"/>
    <w:rsid w:val="002547A4"/>
    <w:rsid w:val="00254863"/>
    <w:rsid w:val="00254DB2"/>
    <w:rsid w:val="00255728"/>
    <w:rsid w:val="00255894"/>
    <w:rsid w:val="00255AA0"/>
    <w:rsid w:val="00256237"/>
    <w:rsid w:val="002566D3"/>
    <w:rsid w:val="00256E71"/>
    <w:rsid w:val="0025701B"/>
    <w:rsid w:val="00257075"/>
    <w:rsid w:val="0025718D"/>
    <w:rsid w:val="00257369"/>
    <w:rsid w:val="00257589"/>
    <w:rsid w:val="00257FA9"/>
    <w:rsid w:val="0026026E"/>
    <w:rsid w:val="0026090F"/>
    <w:rsid w:val="0026134D"/>
    <w:rsid w:val="00261F21"/>
    <w:rsid w:val="00262148"/>
    <w:rsid w:val="002631CC"/>
    <w:rsid w:val="00263289"/>
    <w:rsid w:val="00263444"/>
    <w:rsid w:val="00263955"/>
    <w:rsid w:val="00263E38"/>
    <w:rsid w:val="002641BF"/>
    <w:rsid w:val="0026433C"/>
    <w:rsid w:val="0026433F"/>
    <w:rsid w:val="002647EE"/>
    <w:rsid w:val="00265491"/>
    <w:rsid w:val="00265BA4"/>
    <w:rsid w:val="0026607C"/>
    <w:rsid w:val="00266381"/>
    <w:rsid w:val="00266E8D"/>
    <w:rsid w:val="00267751"/>
    <w:rsid w:val="00267A83"/>
    <w:rsid w:val="002707B4"/>
    <w:rsid w:val="00270D56"/>
    <w:rsid w:val="00270F2D"/>
    <w:rsid w:val="00271336"/>
    <w:rsid w:val="00272187"/>
    <w:rsid w:val="00273189"/>
    <w:rsid w:val="00273223"/>
    <w:rsid w:val="0027427F"/>
    <w:rsid w:val="002747B0"/>
    <w:rsid w:val="00274A23"/>
    <w:rsid w:val="00275A0F"/>
    <w:rsid w:val="002760FB"/>
    <w:rsid w:val="00276469"/>
    <w:rsid w:val="002764FE"/>
    <w:rsid w:val="0027663D"/>
    <w:rsid w:val="002774F3"/>
    <w:rsid w:val="002777EF"/>
    <w:rsid w:val="00277846"/>
    <w:rsid w:val="00280BB7"/>
    <w:rsid w:val="00280C2B"/>
    <w:rsid w:val="00280DBE"/>
    <w:rsid w:val="002812B2"/>
    <w:rsid w:val="002816A8"/>
    <w:rsid w:val="0028172B"/>
    <w:rsid w:val="00281D0B"/>
    <w:rsid w:val="00282338"/>
    <w:rsid w:val="002836A5"/>
    <w:rsid w:val="00283D24"/>
    <w:rsid w:val="00283E74"/>
    <w:rsid w:val="00283F8A"/>
    <w:rsid w:val="00284384"/>
    <w:rsid w:val="002846BB"/>
    <w:rsid w:val="00284A95"/>
    <w:rsid w:val="00285184"/>
    <w:rsid w:val="00285CEC"/>
    <w:rsid w:val="00285D1E"/>
    <w:rsid w:val="00285E2C"/>
    <w:rsid w:val="00286274"/>
    <w:rsid w:val="00286786"/>
    <w:rsid w:val="00287404"/>
    <w:rsid w:val="00287F89"/>
    <w:rsid w:val="002906E0"/>
    <w:rsid w:val="0029082C"/>
    <w:rsid w:val="002908D5"/>
    <w:rsid w:val="00290D13"/>
    <w:rsid w:val="002923F7"/>
    <w:rsid w:val="00292482"/>
    <w:rsid w:val="00292655"/>
    <w:rsid w:val="00292BC4"/>
    <w:rsid w:val="002935F9"/>
    <w:rsid w:val="00293657"/>
    <w:rsid w:val="0029398D"/>
    <w:rsid w:val="002939EB"/>
    <w:rsid w:val="00293B0A"/>
    <w:rsid w:val="00293F61"/>
    <w:rsid w:val="00294117"/>
    <w:rsid w:val="002945F6"/>
    <w:rsid w:val="00295399"/>
    <w:rsid w:val="0029600C"/>
    <w:rsid w:val="0029664E"/>
    <w:rsid w:val="00296880"/>
    <w:rsid w:val="00296B5B"/>
    <w:rsid w:val="00296E95"/>
    <w:rsid w:val="00297182"/>
    <w:rsid w:val="00297716"/>
    <w:rsid w:val="00297C90"/>
    <w:rsid w:val="00297EA3"/>
    <w:rsid w:val="002A0894"/>
    <w:rsid w:val="002A0F74"/>
    <w:rsid w:val="002A0F77"/>
    <w:rsid w:val="002A129D"/>
    <w:rsid w:val="002A16F2"/>
    <w:rsid w:val="002A1907"/>
    <w:rsid w:val="002A2596"/>
    <w:rsid w:val="002A3891"/>
    <w:rsid w:val="002A3978"/>
    <w:rsid w:val="002A3AE8"/>
    <w:rsid w:val="002A3BBE"/>
    <w:rsid w:val="002A41DC"/>
    <w:rsid w:val="002A47CB"/>
    <w:rsid w:val="002A4AEB"/>
    <w:rsid w:val="002A5AED"/>
    <w:rsid w:val="002A5B07"/>
    <w:rsid w:val="002A5BBF"/>
    <w:rsid w:val="002A6017"/>
    <w:rsid w:val="002A641A"/>
    <w:rsid w:val="002A686F"/>
    <w:rsid w:val="002A6CE6"/>
    <w:rsid w:val="002A7ABB"/>
    <w:rsid w:val="002B01D9"/>
    <w:rsid w:val="002B094F"/>
    <w:rsid w:val="002B0BE3"/>
    <w:rsid w:val="002B0E7F"/>
    <w:rsid w:val="002B18A7"/>
    <w:rsid w:val="002B21F9"/>
    <w:rsid w:val="002B2BDB"/>
    <w:rsid w:val="002B3488"/>
    <w:rsid w:val="002B37C6"/>
    <w:rsid w:val="002B4319"/>
    <w:rsid w:val="002B4695"/>
    <w:rsid w:val="002B4B52"/>
    <w:rsid w:val="002B4C0A"/>
    <w:rsid w:val="002B520C"/>
    <w:rsid w:val="002B58E2"/>
    <w:rsid w:val="002B593C"/>
    <w:rsid w:val="002B6239"/>
    <w:rsid w:val="002B6B84"/>
    <w:rsid w:val="002B764A"/>
    <w:rsid w:val="002B7820"/>
    <w:rsid w:val="002B7F64"/>
    <w:rsid w:val="002C0355"/>
    <w:rsid w:val="002C0DD6"/>
    <w:rsid w:val="002C0F00"/>
    <w:rsid w:val="002C1FC4"/>
    <w:rsid w:val="002C2389"/>
    <w:rsid w:val="002C23FD"/>
    <w:rsid w:val="002C3591"/>
    <w:rsid w:val="002C3645"/>
    <w:rsid w:val="002C3F25"/>
    <w:rsid w:val="002C4098"/>
    <w:rsid w:val="002C4705"/>
    <w:rsid w:val="002C4B28"/>
    <w:rsid w:val="002C4D4E"/>
    <w:rsid w:val="002C4FFE"/>
    <w:rsid w:val="002C5257"/>
    <w:rsid w:val="002C52EF"/>
    <w:rsid w:val="002C56FB"/>
    <w:rsid w:val="002C588C"/>
    <w:rsid w:val="002C5B53"/>
    <w:rsid w:val="002C61A6"/>
    <w:rsid w:val="002C6FCC"/>
    <w:rsid w:val="002D03A4"/>
    <w:rsid w:val="002D049F"/>
    <w:rsid w:val="002D1155"/>
    <w:rsid w:val="002D175A"/>
    <w:rsid w:val="002D26CA"/>
    <w:rsid w:val="002D2BE9"/>
    <w:rsid w:val="002D3494"/>
    <w:rsid w:val="002D36C9"/>
    <w:rsid w:val="002D378C"/>
    <w:rsid w:val="002D3840"/>
    <w:rsid w:val="002D45D3"/>
    <w:rsid w:val="002D45F2"/>
    <w:rsid w:val="002D4818"/>
    <w:rsid w:val="002D4C72"/>
    <w:rsid w:val="002D4C9A"/>
    <w:rsid w:val="002D5D0A"/>
    <w:rsid w:val="002D6059"/>
    <w:rsid w:val="002D60EC"/>
    <w:rsid w:val="002D65F7"/>
    <w:rsid w:val="002D68A1"/>
    <w:rsid w:val="002D7A6E"/>
    <w:rsid w:val="002E0CA9"/>
    <w:rsid w:val="002E0CAA"/>
    <w:rsid w:val="002E1AC6"/>
    <w:rsid w:val="002E1F66"/>
    <w:rsid w:val="002E2221"/>
    <w:rsid w:val="002E23BF"/>
    <w:rsid w:val="002E2577"/>
    <w:rsid w:val="002E2FF1"/>
    <w:rsid w:val="002E377D"/>
    <w:rsid w:val="002E37A9"/>
    <w:rsid w:val="002E4328"/>
    <w:rsid w:val="002E4590"/>
    <w:rsid w:val="002E4990"/>
    <w:rsid w:val="002E5006"/>
    <w:rsid w:val="002E5294"/>
    <w:rsid w:val="002E6509"/>
    <w:rsid w:val="002E7A93"/>
    <w:rsid w:val="002F0118"/>
    <w:rsid w:val="002F0323"/>
    <w:rsid w:val="002F03C6"/>
    <w:rsid w:val="002F049E"/>
    <w:rsid w:val="002F0B80"/>
    <w:rsid w:val="002F125E"/>
    <w:rsid w:val="002F1DB8"/>
    <w:rsid w:val="002F2033"/>
    <w:rsid w:val="002F248E"/>
    <w:rsid w:val="002F2D23"/>
    <w:rsid w:val="002F2DB8"/>
    <w:rsid w:val="002F2F1E"/>
    <w:rsid w:val="002F2FAF"/>
    <w:rsid w:val="002F38F8"/>
    <w:rsid w:val="002F3DFF"/>
    <w:rsid w:val="002F4487"/>
    <w:rsid w:val="002F48BA"/>
    <w:rsid w:val="002F4EF4"/>
    <w:rsid w:val="002F5522"/>
    <w:rsid w:val="002F552A"/>
    <w:rsid w:val="002F593C"/>
    <w:rsid w:val="002F632D"/>
    <w:rsid w:val="002F6960"/>
    <w:rsid w:val="002F7067"/>
    <w:rsid w:val="002F75D1"/>
    <w:rsid w:val="002F79CC"/>
    <w:rsid w:val="002F7AFF"/>
    <w:rsid w:val="00300490"/>
    <w:rsid w:val="003009B4"/>
    <w:rsid w:val="003009FE"/>
    <w:rsid w:val="00300B16"/>
    <w:rsid w:val="003012C0"/>
    <w:rsid w:val="003020EA"/>
    <w:rsid w:val="0030342D"/>
    <w:rsid w:val="00303CF0"/>
    <w:rsid w:val="0030430B"/>
    <w:rsid w:val="00304411"/>
    <w:rsid w:val="00304485"/>
    <w:rsid w:val="0030460F"/>
    <w:rsid w:val="00304A77"/>
    <w:rsid w:val="00304C2A"/>
    <w:rsid w:val="0030562A"/>
    <w:rsid w:val="003059C1"/>
    <w:rsid w:val="0030653E"/>
    <w:rsid w:val="00307176"/>
    <w:rsid w:val="003078BA"/>
    <w:rsid w:val="003104D7"/>
    <w:rsid w:val="003109C6"/>
    <w:rsid w:val="00310D87"/>
    <w:rsid w:val="00310E21"/>
    <w:rsid w:val="00310E4B"/>
    <w:rsid w:val="00311644"/>
    <w:rsid w:val="00311A64"/>
    <w:rsid w:val="003122DA"/>
    <w:rsid w:val="00312338"/>
    <w:rsid w:val="00312C0B"/>
    <w:rsid w:val="00313445"/>
    <w:rsid w:val="00313F1D"/>
    <w:rsid w:val="0031427C"/>
    <w:rsid w:val="00314375"/>
    <w:rsid w:val="00314420"/>
    <w:rsid w:val="00314E1F"/>
    <w:rsid w:val="0031532F"/>
    <w:rsid w:val="003163C6"/>
    <w:rsid w:val="003165AC"/>
    <w:rsid w:val="00316613"/>
    <w:rsid w:val="0031724A"/>
    <w:rsid w:val="003206FD"/>
    <w:rsid w:val="00320958"/>
    <w:rsid w:val="00320A1D"/>
    <w:rsid w:val="00320FDC"/>
    <w:rsid w:val="00321043"/>
    <w:rsid w:val="00321053"/>
    <w:rsid w:val="00321410"/>
    <w:rsid w:val="00321E97"/>
    <w:rsid w:val="00321FDE"/>
    <w:rsid w:val="00322E49"/>
    <w:rsid w:val="00323F1E"/>
    <w:rsid w:val="00323FA3"/>
    <w:rsid w:val="00324419"/>
    <w:rsid w:val="00324D28"/>
    <w:rsid w:val="00327632"/>
    <w:rsid w:val="00327DF8"/>
    <w:rsid w:val="00327FF4"/>
    <w:rsid w:val="00331361"/>
    <w:rsid w:val="00331496"/>
    <w:rsid w:val="0033209E"/>
    <w:rsid w:val="00332841"/>
    <w:rsid w:val="00332B79"/>
    <w:rsid w:val="00332F24"/>
    <w:rsid w:val="003338E1"/>
    <w:rsid w:val="00333D89"/>
    <w:rsid w:val="00333D8D"/>
    <w:rsid w:val="00333F74"/>
    <w:rsid w:val="003341BC"/>
    <w:rsid w:val="003342FD"/>
    <w:rsid w:val="0033470B"/>
    <w:rsid w:val="00334A8F"/>
    <w:rsid w:val="003353F8"/>
    <w:rsid w:val="00335CE6"/>
    <w:rsid w:val="00335F13"/>
    <w:rsid w:val="00335FA6"/>
    <w:rsid w:val="003360CD"/>
    <w:rsid w:val="00336AB3"/>
    <w:rsid w:val="003370E0"/>
    <w:rsid w:val="0033730E"/>
    <w:rsid w:val="003375B9"/>
    <w:rsid w:val="00337C02"/>
    <w:rsid w:val="00337D8E"/>
    <w:rsid w:val="00337E38"/>
    <w:rsid w:val="003401B4"/>
    <w:rsid w:val="00340437"/>
    <w:rsid w:val="0034052A"/>
    <w:rsid w:val="003407BF"/>
    <w:rsid w:val="00340C0E"/>
    <w:rsid w:val="003415B1"/>
    <w:rsid w:val="003416A6"/>
    <w:rsid w:val="00341701"/>
    <w:rsid w:val="0034185D"/>
    <w:rsid w:val="00341D45"/>
    <w:rsid w:val="00341F78"/>
    <w:rsid w:val="00342537"/>
    <w:rsid w:val="0034287C"/>
    <w:rsid w:val="00342ABE"/>
    <w:rsid w:val="00342C2A"/>
    <w:rsid w:val="00342ED0"/>
    <w:rsid w:val="003440F2"/>
    <w:rsid w:val="00344145"/>
    <w:rsid w:val="003442ED"/>
    <w:rsid w:val="00344823"/>
    <w:rsid w:val="00345023"/>
    <w:rsid w:val="003454B8"/>
    <w:rsid w:val="00345BA2"/>
    <w:rsid w:val="00345DF3"/>
    <w:rsid w:val="00346216"/>
    <w:rsid w:val="003464FC"/>
    <w:rsid w:val="00346AA7"/>
    <w:rsid w:val="00346BD7"/>
    <w:rsid w:val="00346C4F"/>
    <w:rsid w:val="00346C82"/>
    <w:rsid w:val="00346CFE"/>
    <w:rsid w:val="00346DC8"/>
    <w:rsid w:val="00347296"/>
    <w:rsid w:val="00347CE4"/>
    <w:rsid w:val="003523A6"/>
    <w:rsid w:val="003523BA"/>
    <w:rsid w:val="003525F5"/>
    <w:rsid w:val="00352DD0"/>
    <w:rsid w:val="003538A2"/>
    <w:rsid w:val="003546D2"/>
    <w:rsid w:val="00354898"/>
    <w:rsid w:val="00354CA2"/>
    <w:rsid w:val="00354E69"/>
    <w:rsid w:val="0035520A"/>
    <w:rsid w:val="003563F7"/>
    <w:rsid w:val="00356894"/>
    <w:rsid w:val="00357826"/>
    <w:rsid w:val="00357BA6"/>
    <w:rsid w:val="00362105"/>
    <w:rsid w:val="00362127"/>
    <w:rsid w:val="00363291"/>
    <w:rsid w:val="00363677"/>
    <w:rsid w:val="00364432"/>
    <w:rsid w:val="00364EE0"/>
    <w:rsid w:val="0036525F"/>
    <w:rsid w:val="00365EA9"/>
    <w:rsid w:val="0036617C"/>
    <w:rsid w:val="00366DCB"/>
    <w:rsid w:val="00367CD5"/>
    <w:rsid w:val="00367DFC"/>
    <w:rsid w:val="00370D19"/>
    <w:rsid w:val="00370E4F"/>
    <w:rsid w:val="00371484"/>
    <w:rsid w:val="003714E3"/>
    <w:rsid w:val="00371654"/>
    <w:rsid w:val="00371A8B"/>
    <w:rsid w:val="0037233D"/>
    <w:rsid w:val="0037256D"/>
    <w:rsid w:val="0037262B"/>
    <w:rsid w:val="00372835"/>
    <w:rsid w:val="00373452"/>
    <w:rsid w:val="003741D2"/>
    <w:rsid w:val="0037483F"/>
    <w:rsid w:val="00374D37"/>
    <w:rsid w:val="0037605C"/>
    <w:rsid w:val="003761A3"/>
    <w:rsid w:val="003766E1"/>
    <w:rsid w:val="0037699C"/>
    <w:rsid w:val="00376FD8"/>
    <w:rsid w:val="00377A27"/>
    <w:rsid w:val="00377B7A"/>
    <w:rsid w:val="00377D2D"/>
    <w:rsid w:val="00377E6E"/>
    <w:rsid w:val="00380697"/>
    <w:rsid w:val="00380A0E"/>
    <w:rsid w:val="00381B08"/>
    <w:rsid w:val="00381B96"/>
    <w:rsid w:val="00381F5F"/>
    <w:rsid w:val="00382240"/>
    <w:rsid w:val="003828B2"/>
    <w:rsid w:val="00382D9E"/>
    <w:rsid w:val="00382DE4"/>
    <w:rsid w:val="00382DEA"/>
    <w:rsid w:val="00382F13"/>
    <w:rsid w:val="00382FDD"/>
    <w:rsid w:val="003832E1"/>
    <w:rsid w:val="00383A52"/>
    <w:rsid w:val="003841E8"/>
    <w:rsid w:val="00384937"/>
    <w:rsid w:val="00384F02"/>
    <w:rsid w:val="00385E1F"/>
    <w:rsid w:val="0038755D"/>
    <w:rsid w:val="00387A2C"/>
    <w:rsid w:val="003900F9"/>
    <w:rsid w:val="0039060D"/>
    <w:rsid w:val="00390C9B"/>
    <w:rsid w:val="0039123D"/>
    <w:rsid w:val="0039329D"/>
    <w:rsid w:val="00393E0A"/>
    <w:rsid w:val="003947C0"/>
    <w:rsid w:val="00394F09"/>
    <w:rsid w:val="003958AF"/>
    <w:rsid w:val="00396028"/>
    <w:rsid w:val="00396776"/>
    <w:rsid w:val="003968D6"/>
    <w:rsid w:val="00396AD5"/>
    <w:rsid w:val="0039747E"/>
    <w:rsid w:val="00397875"/>
    <w:rsid w:val="00397889"/>
    <w:rsid w:val="00397AE2"/>
    <w:rsid w:val="003A0253"/>
    <w:rsid w:val="003A02A2"/>
    <w:rsid w:val="003A16C9"/>
    <w:rsid w:val="003A21BC"/>
    <w:rsid w:val="003A2324"/>
    <w:rsid w:val="003A2A20"/>
    <w:rsid w:val="003A3339"/>
    <w:rsid w:val="003A339C"/>
    <w:rsid w:val="003A3D9C"/>
    <w:rsid w:val="003A3FDB"/>
    <w:rsid w:val="003A4184"/>
    <w:rsid w:val="003A459B"/>
    <w:rsid w:val="003A48DB"/>
    <w:rsid w:val="003A535C"/>
    <w:rsid w:val="003A5B08"/>
    <w:rsid w:val="003A5B0F"/>
    <w:rsid w:val="003A5D6E"/>
    <w:rsid w:val="003A78A8"/>
    <w:rsid w:val="003A7A54"/>
    <w:rsid w:val="003B04B5"/>
    <w:rsid w:val="003B0500"/>
    <w:rsid w:val="003B05DF"/>
    <w:rsid w:val="003B07E5"/>
    <w:rsid w:val="003B0B7C"/>
    <w:rsid w:val="003B0DC3"/>
    <w:rsid w:val="003B12DC"/>
    <w:rsid w:val="003B1DC3"/>
    <w:rsid w:val="003B2526"/>
    <w:rsid w:val="003B2B10"/>
    <w:rsid w:val="003B35B3"/>
    <w:rsid w:val="003B3C16"/>
    <w:rsid w:val="003B4048"/>
    <w:rsid w:val="003B4BF2"/>
    <w:rsid w:val="003B54D2"/>
    <w:rsid w:val="003B5613"/>
    <w:rsid w:val="003B5C01"/>
    <w:rsid w:val="003B614D"/>
    <w:rsid w:val="003B6419"/>
    <w:rsid w:val="003B66CF"/>
    <w:rsid w:val="003B6798"/>
    <w:rsid w:val="003B67C7"/>
    <w:rsid w:val="003B692A"/>
    <w:rsid w:val="003B6D79"/>
    <w:rsid w:val="003B7199"/>
    <w:rsid w:val="003B7B11"/>
    <w:rsid w:val="003B7B83"/>
    <w:rsid w:val="003C013E"/>
    <w:rsid w:val="003C06A3"/>
    <w:rsid w:val="003C1134"/>
    <w:rsid w:val="003C1E0C"/>
    <w:rsid w:val="003C335A"/>
    <w:rsid w:val="003C34AB"/>
    <w:rsid w:val="003C3569"/>
    <w:rsid w:val="003C403A"/>
    <w:rsid w:val="003C5141"/>
    <w:rsid w:val="003C60B1"/>
    <w:rsid w:val="003C620D"/>
    <w:rsid w:val="003C75A5"/>
    <w:rsid w:val="003C75AA"/>
    <w:rsid w:val="003D05BB"/>
    <w:rsid w:val="003D0ACF"/>
    <w:rsid w:val="003D0BE9"/>
    <w:rsid w:val="003D0CF6"/>
    <w:rsid w:val="003D0F81"/>
    <w:rsid w:val="003D1462"/>
    <w:rsid w:val="003D189D"/>
    <w:rsid w:val="003D1ECD"/>
    <w:rsid w:val="003D2666"/>
    <w:rsid w:val="003D2B2E"/>
    <w:rsid w:val="003D2B43"/>
    <w:rsid w:val="003D4977"/>
    <w:rsid w:val="003D4C62"/>
    <w:rsid w:val="003D6018"/>
    <w:rsid w:val="003D69F2"/>
    <w:rsid w:val="003D6E70"/>
    <w:rsid w:val="003D7E8C"/>
    <w:rsid w:val="003E0BCE"/>
    <w:rsid w:val="003E0E3E"/>
    <w:rsid w:val="003E14EA"/>
    <w:rsid w:val="003E210E"/>
    <w:rsid w:val="003E2355"/>
    <w:rsid w:val="003E2456"/>
    <w:rsid w:val="003E2FDA"/>
    <w:rsid w:val="003E3386"/>
    <w:rsid w:val="003E392A"/>
    <w:rsid w:val="003E39C1"/>
    <w:rsid w:val="003E4058"/>
    <w:rsid w:val="003E41F9"/>
    <w:rsid w:val="003E48DD"/>
    <w:rsid w:val="003E4A43"/>
    <w:rsid w:val="003E5379"/>
    <w:rsid w:val="003E54F3"/>
    <w:rsid w:val="003E55F2"/>
    <w:rsid w:val="003E742B"/>
    <w:rsid w:val="003E772D"/>
    <w:rsid w:val="003E7738"/>
    <w:rsid w:val="003E7C5A"/>
    <w:rsid w:val="003E7CBA"/>
    <w:rsid w:val="003E7F16"/>
    <w:rsid w:val="003F0266"/>
    <w:rsid w:val="003F05BD"/>
    <w:rsid w:val="003F1C95"/>
    <w:rsid w:val="003F2A85"/>
    <w:rsid w:val="003F331B"/>
    <w:rsid w:val="003F39A3"/>
    <w:rsid w:val="003F3E11"/>
    <w:rsid w:val="003F413F"/>
    <w:rsid w:val="003F428A"/>
    <w:rsid w:val="003F4AA0"/>
    <w:rsid w:val="003F4CEE"/>
    <w:rsid w:val="003F4D2D"/>
    <w:rsid w:val="003F5ED6"/>
    <w:rsid w:val="003F60C5"/>
    <w:rsid w:val="003F733B"/>
    <w:rsid w:val="003F786C"/>
    <w:rsid w:val="003F7A35"/>
    <w:rsid w:val="003F7E3B"/>
    <w:rsid w:val="0040058F"/>
    <w:rsid w:val="00400696"/>
    <w:rsid w:val="00401178"/>
    <w:rsid w:val="004013AC"/>
    <w:rsid w:val="004013CD"/>
    <w:rsid w:val="00401C0C"/>
    <w:rsid w:val="00402214"/>
    <w:rsid w:val="004026CC"/>
    <w:rsid w:val="0040272B"/>
    <w:rsid w:val="004036B1"/>
    <w:rsid w:val="00403886"/>
    <w:rsid w:val="004049A8"/>
    <w:rsid w:val="00405A42"/>
    <w:rsid w:val="004060C5"/>
    <w:rsid w:val="0040619A"/>
    <w:rsid w:val="00406358"/>
    <w:rsid w:val="00406927"/>
    <w:rsid w:val="004069BC"/>
    <w:rsid w:val="00406CEF"/>
    <w:rsid w:val="00406D7D"/>
    <w:rsid w:val="00407733"/>
    <w:rsid w:val="00407930"/>
    <w:rsid w:val="004109B7"/>
    <w:rsid w:val="00411449"/>
    <w:rsid w:val="00412019"/>
    <w:rsid w:val="00412224"/>
    <w:rsid w:val="00412265"/>
    <w:rsid w:val="00412528"/>
    <w:rsid w:val="00412706"/>
    <w:rsid w:val="0041291A"/>
    <w:rsid w:val="00413973"/>
    <w:rsid w:val="00413BA4"/>
    <w:rsid w:val="00413E64"/>
    <w:rsid w:val="004141B8"/>
    <w:rsid w:val="004142A8"/>
    <w:rsid w:val="0041443F"/>
    <w:rsid w:val="004144D5"/>
    <w:rsid w:val="00414557"/>
    <w:rsid w:val="00415B36"/>
    <w:rsid w:val="00415EF7"/>
    <w:rsid w:val="004170F9"/>
    <w:rsid w:val="004171D9"/>
    <w:rsid w:val="00417DFF"/>
    <w:rsid w:val="0042040F"/>
    <w:rsid w:val="0042071C"/>
    <w:rsid w:val="00420824"/>
    <w:rsid w:val="00420EAF"/>
    <w:rsid w:val="00421267"/>
    <w:rsid w:val="00422712"/>
    <w:rsid w:val="00423AA1"/>
    <w:rsid w:val="00423EF5"/>
    <w:rsid w:val="0042485C"/>
    <w:rsid w:val="00424890"/>
    <w:rsid w:val="0042489D"/>
    <w:rsid w:val="004249E5"/>
    <w:rsid w:val="00424AEE"/>
    <w:rsid w:val="00424D40"/>
    <w:rsid w:val="00425D79"/>
    <w:rsid w:val="00425E1F"/>
    <w:rsid w:val="0042631F"/>
    <w:rsid w:val="00426CEC"/>
    <w:rsid w:val="00426FB6"/>
    <w:rsid w:val="004270EB"/>
    <w:rsid w:val="00431D5F"/>
    <w:rsid w:val="004322EC"/>
    <w:rsid w:val="00432CAD"/>
    <w:rsid w:val="0043389C"/>
    <w:rsid w:val="00434C98"/>
    <w:rsid w:val="0043500A"/>
    <w:rsid w:val="00435469"/>
    <w:rsid w:val="004356E2"/>
    <w:rsid w:val="00435D95"/>
    <w:rsid w:val="00436143"/>
    <w:rsid w:val="00436C1E"/>
    <w:rsid w:val="00437332"/>
    <w:rsid w:val="00437374"/>
    <w:rsid w:val="0043759F"/>
    <w:rsid w:val="00437D72"/>
    <w:rsid w:val="00440808"/>
    <w:rsid w:val="00440C12"/>
    <w:rsid w:val="00441190"/>
    <w:rsid w:val="00441267"/>
    <w:rsid w:val="00441570"/>
    <w:rsid w:val="00441B66"/>
    <w:rsid w:val="00442495"/>
    <w:rsid w:val="0044270C"/>
    <w:rsid w:val="00442B85"/>
    <w:rsid w:val="00442FA9"/>
    <w:rsid w:val="00443046"/>
    <w:rsid w:val="00443C4D"/>
    <w:rsid w:val="004446BA"/>
    <w:rsid w:val="00445414"/>
    <w:rsid w:val="004458C7"/>
    <w:rsid w:val="00445E04"/>
    <w:rsid w:val="004462A4"/>
    <w:rsid w:val="004468BD"/>
    <w:rsid w:val="0044717C"/>
    <w:rsid w:val="00447196"/>
    <w:rsid w:val="00447ECB"/>
    <w:rsid w:val="00447FD4"/>
    <w:rsid w:val="004500B1"/>
    <w:rsid w:val="00450A7A"/>
    <w:rsid w:val="00451836"/>
    <w:rsid w:val="004519B3"/>
    <w:rsid w:val="004519F6"/>
    <w:rsid w:val="00451B25"/>
    <w:rsid w:val="0045222B"/>
    <w:rsid w:val="00452DF9"/>
    <w:rsid w:val="00453912"/>
    <w:rsid w:val="00453B93"/>
    <w:rsid w:val="00453E37"/>
    <w:rsid w:val="0045409C"/>
    <w:rsid w:val="00454AE2"/>
    <w:rsid w:val="00455303"/>
    <w:rsid w:val="0045540C"/>
    <w:rsid w:val="00455CA4"/>
    <w:rsid w:val="00455D0F"/>
    <w:rsid w:val="00455F24"/>
    <w:rsid w:val="00457271"/>
    <w:rsid w:val="00457275"/>
    <w:rsid w:val="00457CFF"/>
    <w:rsid w:val="00457F50"/>
    <w:rsid w:val="004607BD"/>
    <w:rsid w:val="0046167A"/>
    <w:rsid w:val="004623A8"/>
    <w:rsid w:val="004624FD"/>
    <w:rsid w:val="00462C49"/>
    <w:rsid w:val="00462FE0"/>
    <w:rsid w:val="00463289"/>
    <w:rsid w:val="00463495"/>
    <w:rsid w:val="00463AA3"/>
    <w:rsid w:val="00463E06"/>
    <w:rsid w:val="00463FDF"/>
    <w:rsid w:val="00464742"/>
    <w:rsid w:val="00464C17"/>
    <w:rsid w:val="00464CC8"/>
    <w:rsid w:val="00465402"/>
    <w:rsid w:val="004655AF"/>
    <w:rsid w:val="00465899"/>
    <w:rsid w:val="00466237"/>
    <w:rsid w:val="00466E33"/>
    <w:rsid w:val="00467969"/>
    <w:rsid w:val="00467C23"/>
    <w:rsid w:val="00470869"/>
    <w:rsid w:val="00470B8F"/>
    <w:rsid w:val="00471171"/>
    <w:rsid w:val="004719E0"/>
    <w:rsid w:val="00471F0D"/>
    <w:rsid w:val="00471FA8"/>
    <w:rsid w:val="0047220A"/>
    <w:rsid w:val="00472A0D"/>
    <w:rsid w:val="00472CE8"/>
    <w:rsid w:val="00472E89"/>
    <w:rsid w:val="004735F4"/>
    <w:rsid w:val="00473B9C"/>
    <w:rsid w:val="00473BD0"/>
    <w:rsid w:val="004740DB"/>
    <w:rsid w:val="00474B06"/>
    <w:rsid w:val="00474BB5"/>
    <w:rsid w:val="00475958"/>
    <w:rsid w:val="00476627"/>
    <w:rsid w:val="00476A28"/>
    <w:rsid w:val="00476BAC"/>
    <w:rsid w:val="00476F5C"/>
    <w:rsid w:val="00477DCD"/>
    <w:rsid w:val="004803F4"/>
    <w:rsid w:val="00480BBB"/>
    <w:rsid w:val="00482269"/>
    <w:rsid w:val="00482931"/>
    <w:rsid w:val="00482EF2"/>
    <w:rsid w:val="004834B6"/>
    <w:rsid w:val="00483B98"/>
    <w:rsid w:val="004842BB"/>
    <w:rsid w:val="00484B0B"/>
    <w:rsid w:val="00484B28"/>
    <w:rsid w:val="004864A2"/>
    <w:rsid w:val="00486C25"/>
    <w:rsid w:val="00487225"/>
    <w:rsid w:val="0048723A"/>
    <w:rsid w:val="0048746C"/>
    <w:rsid w:val="004901B8"/>
    <w:rsid w:val="00491325"/>
    <w:rsid w:val="004917B4"/>
    <w:rsid w:val="00491FE2"/>
    <w:rsid w:val="004925DF"/>
    <w:rsid w:val="00492884"/>
    <w:rsid w:val="00492986"/>
    <w:rsid w:val="0049329E"/>
    <w:rsid w:val="004937D6"/>
    <w:rsid w:val="00494357"/>
    <w:rsid w:val="004948E4"/>
    <w:rsid w:val="004949BD"/>
    <w:rsid w:val="00494B47"/>
    <w:rsid w:val="00494D96"/>
    <w:rsid w:val="00494F0A"/>
    <w:rsid w:val="004951F5"/>
    <w:rsid w:val="00495693"/>
    <w:rsid w:val="00495995"/>
    <w:rsid w:val="00495B77"/>
    <w:rsid w:val="00496970"/>
    <w:rsid w:val="00496A6C"/>
    <w:rsid w:val="0049739B"/>
    <w:rsid w:val="00497794"/>
    <w:rsid w:val="0049780C"/>
    <w:rsid w:val="00497FC4"/>
    <w:rsid w:val="004A03EF"/>
    <w:rsid w:val="004A0A4D"/>
    <w:rsid w:val="004A12EF"/>
    <w:rsid w:val="004A2024"/>
    <w:rsid w:val="004A29D2"/>
    <w:rsid w:val="004A320C"/>
    <w:rsid w:val="004A386A"/>
    <w:rsid w:val="004A3D18"/>
    <w:rsid w:val="004A4066"/>
    <w:rsid w:val="004A42B3"/>
    <w:rsid w:val="004A5098"/>
    <w:rsid w:val="004A5349"/>
    <w:rsid w:val="004A5645"/>
    <w:rsid w:val="004A589E"/>
    <w:rsid w:val="004A602F"/>
    <w:rsid w:val="004A7302"/>
    <w:rsid w:val="004A76D0"/>
    <w:rsid w:val="004A7C71"/>
    <w:rsid w:val="004A7F56"/>
    <w:rsid w:val="004B0375"/>
    <w:rsid w:val="004B0B03"/>
    <w:rsid w:val="004B10DD"/>
    <w:rsid w:val="004B137B"/>
    <w:rsid w:val="004B24EB"/>
    <w:rsid w:val="004B2951"/>
    <w:rsid w:val="004B33D3"/>
    <w:rsid w:val="004B3606"/>
    <w:rsid w:val="004B43DA"/>
    <w:rsid w:val="004B4720"/>
    <w:rsid w:val="004B494C"/>
    <w:rsid w:val="004B500F"/>
    <w:rsid w:val="004B65ED"/>
    <w:rsid w:val="004B6F3F"/>
    <w:rsid w:val="004B7126"/>
    <w:rsid w:val="004B7966"/>
    <w:rsid w:val="004C182F"/>
    <w:rsid w:val="004C1B96"/>
    <w:rsid w:val="004C1DAB"/>
    <w:rsid w:val="004C20C9"/>
    <w:rsid w:val="004C2141"/>
    <w:rsid w:val="004C27E4"/>
    <w:rsid w:val="004C2ABD"/>
    <w:rsid w:val="004C2C94"/>
    <w:rsid w:val="004C2FA2"/>
    <w:rsid w:val="004C3126"/>
    <w:rsid w:val="004C3AA3"/>
    <w:rsid w:val="004C3FF0"/>
    <w:rsid w:val="004C5B20"/>
    <w:rsid w:val="004C628F"/>
    <w:rsid w:val="004C6DF0"/>
    <w:rsid w:val="004D01A8"/>
    <w:rsid w:val="004D0213"/>
    <w:rsid w:val="004D0475"/>
    <w:rsid w:val="004D096B"/>
    <w:rsid w:val="004D0C52"/>
    <w:rsid w:val="004D1546"/>
    <w:rsid w:val="004D18B5"/>
    <w:rsid w:val="004D19C9"/>
    <w:rsid w:val="004D2388"/>
    <w:rsid w:val="004D2DD2"/>
    <w:rsid w:val="004D3199"/>
    <w:rsid w:val="004D3333"/>
    <w:rsid w:val="004D3630"/>
    <w:rsid w:val="004D3D27"/>
    <w:rsid w:val="004D4198"/>
    <w:rsid w:val="004D47D2"/>
    <w:rsid w:val="004D4A4C"/>
    <w:rsid w:val="004D537A"/>
    <w:rsid w:val="004D56CF"/>
    <w:rsid w:val="004D6723"/>
    <w:rsid w:val="004D6882"/>
    <w:rsid w:val="004D68EE"/>
    <w:rsid w:val="004D7E67"/>
    <w:rsid w:val="004D7F17"/>
    <w:rsid w:val="004E0675"/>
    <w:rsid w:val="004E08D6"/>
    <w:rsid w:val="004E120F"/>
    <w:rsid w:val="004E1B7E"/>
    <w:rsid w:val="004E1E0B"/>
    <w:rsid w:val="004E205D"/>
    <w:rsid w:val="004E23A5"/>
    <w:rsid w:val="004E2E81"/>
    <w:rsid w:val="004E2FB1"/>
    <w:rsid w:val="004E30D2"/>
    <w:rsid w:val="004E3123"/>
    <w:rsid w:val="004E327C"/>
    <w:rsid w:val="004E3C2F"/>
    <w:rsid w:val="004E4806"/>
    <w:rsid w:val="004E4F0F"/>
    <w:rsid w:val="004E58D6"/>
    <w:rsid w:val="004E5B64"/>
    <w:rsid w:val="004E5C47"/>
    <w:rsid w:val="004E6A7C"/>
    <w:rsid w:val="004E6C58"/>
    <w:rsid w:val="004E6D36"/>
    <w:rsid w:val="004E70B8"/>
    <w:rsid w:val="004E7437"/>
    <w:rsid w:val="004E76C4"/>
    <w:rsid w:val="004E7DC0"/>
    <w:rsid w:val="004F06EE"/>
    <w:rsid w:val="004F0C23"/>
    <w:rsid w:val="004F10D4"/>
    <w:rsid w:val="004F15A6"/>
    <w:rsid w:val="004F17DC"/>
    <w:rsid w:val="004F2289"/>
    <w:rsid w:val="004F290C"/>
    <w:rsid w:val="004F2947"/>
    <w:rsid w:val="004F2FD8"/>
    <w:rsid w:val="004F30D3"/>
    <w:rsid w:val="004F33CF"/>
    <w:rsid w:val="004F3D11"/>
    <w:rsid w:val="004F42B1"/>
    <w:rsid w:val="004F48C7"/>
    <w:rsid w:val="004F4F7E"/>
    <w:rsid w:val="004F546E"/>
    <w:rsid w:val="004F5E54"/>
    <w:rsid w:val="004F677E"/>
    <w:rsid w:val="004F6C7A"/>
    <w:rsid w:val="004F7644"/>
    <w:rsid w:val="004F7C94"/>
    <w:rsid w:val="004F7D47"/>
    <w:rsid w:val="004F7E13"/>
    <w:rsid w:val="004F7F71"/>
    <w:rsid w:val="005002EC"/>
    <w:rsid w:val="005006CB"/>
    <w:rsid w:val="0050070A"/>
    <w:rsid w:val="00500FA2"/>
    <w:rsid w:val="005028E4"/>
    <w:rsid w:val="00502A99"/>
    <w:rsid w:val="00502DCA"/>
    <w:rsid w:val="00502E0C"/>
    <w:rsid w:val="005034C7"/>
    <w:rsid w:val="00503D94"/>
    <w:rsid w:val="00504246"/>
    <w:rsid w:val="0050438E"/>
    <w:rsid w:val="00504511"/>
    <w:rsid w:val="0050466F"/>
    <w:rsid w:val="0050499A"/>
    <w:rsid w:val="0050527F"/>
    <w:rsid w:val="005062FC"/>
    <w:rsid w:val="005065A8"/>
    <w:rsid w:val="00506605"/>
    <w:rsid w:val="00506BF6"/>
    <w:rsid w:val="00506F1C"/>
    <w:rsid w:val="00506F61"/>
    <w:rsid w:val="00507449"/>
    <w:rsid w:val="005110A9"/>
    <w:rsid w:val="005114DA"/>
    <w:rsid w:val="005115B7"/>
    <w:rsid w:val="00511A1F"/>
    <w:rsid w:val="00512831"/>
    <w:rsid w:val="005128DA"/>
    <w:rsid w:val="00512D93"/>
    <w:rsid w:val="00512EB3"/>
    <w:rsid w:val="00513123"/>
    <w:rsid w:val="00513589"/>
    <w:rsid w:val="00513757"/>
    <w:rsid w:val="00513802"/>
    <w:rsid w:val="00513AAC"/>
    <w:rsid w:val="0051462C"/>
    <w:rsid w:val="00514669"/>
    <w:rsid w:val="00514944"/>
    <w:rsid w:val="0051495C"/>
    <w:rsid w:val="00515100"/>
    <w:rsid w:val="005153AE"/>
    <w:rsid w:val="005154AE"/>
    <w:rsid w:val="00516443"/>
    <w:rsid w:val="005164D4"/>
    <w:rsid w:val="00516761"/>
    <w:rsid w:val="005168F9"/>
    <w:rsid w:val="005201CE"/>
    <w:rsid w:val="005206EA"/>
    <w:rsid w:val="00520A1B"/>
    <w:rsid w:val="00520CEF"/>
    <w:rsid w:val="00521474"/>
    <w:rsid w:val="005215FC"/>
    <w:rsid w:val="00522467"/>
    <w:rsid w:val="00522562"/>
    <w:rsid w:val="00522C2E"/>
    <w:rsid w:val="0052373A"/>
    <w:rsid w:val="00524AF4"/>
    <w:rsid w:val="00524BF3"/>
    <w:rsid w:val="00524F7F"/>
    <w:rsid w:val="005256A5"/>
    <w:rsid w:val="00525713"/>
    <w:rsid w:val="0052582B"/>
    <w:rsid w:val="00526080"/>
    <w:rsid w:val="0052640E"/>
    <w:rsid w:val="005272E3"/>
    <w:rsid w:val="00527C5C"/>
    <w:rsid w:val="0053028A"/>
    <w:rsid w:val="00530DFC"/>
    <w:rsid w:val="00531230"/>
    <w:rsid w:val="00531343"/>
    <w:rsid w:val="00531A15"/>
    <w:rsid w:val="00531E24"/>
    <w:rsid w:val="00532E2D"/>
    <w:rsid w:val="005336CF"/>
    <w:rsid w:val="00533AD9"/>
    <w:rsid w:val="00533B03"/>
    <w:rsid w:val="00534228"/>
    <w:rsid w:val="005342F5"/>
    <w:rsid w:val="00534F65"/>
    <w:rsid w:val="005354D6"/>
    <w:rsid w:val="00535522"/>
    <w:rsid w:val="0053561D"/>
    <w:rsid w:val="0053643C"/>
    <w:rsid w:val="00536703"/>
    <w:rsid w:val="00536F94"/>
    <w:rsid w:val="0053732A"/>
    <w:rsid w:val="00537390"/>
    <w:rsid w:val="0053774E"/>
    <w:rsid w:val="005405B5"/>
    <w:rsid w:val="00540ADE"/>
    <w:rsid w:val="00540C26"/>
    <w:rsid w:val="00541054"/>
    <w:rsid w:val="00541171"/>
    <w:rsid w:val="005413D0"/>
    <w:rsid w:val="005416EB"/>
    <w:rsid w:val="00541C18"/>
    <w:rsid w:val="00541C6D"/>
    <w:rsid w:val="00541D1F"/>
    <w:rsid w:val="00542A05"/>
    <w:rsid w:val="00543116"/>
    <w:rsid w:val="005432B4"/>
    <w:rsid w:val="00543B1E"/>
    <w:rsid w:val="00544364"/>
    <w:rsid w:val="0054523E"/>
    <w:rsid w:val="00545392"/>
    <w:rsid w:val="00545873"/>
    <w:rsid w:val="00545C40"/>
    <w:rsid w:val="00545DFC"/>
    <w:rsid w:val="00545F4D"/>
    <w:rsid w:val="005477F1"/>
    <w:rsid w:val="00547939"/>
    <w:rsid w:val="00547BBF"/>
    <w:rsid w:val="00547F5B"/>
    <w:rsid w:val="0055039E"/>
    <w:rsid w:val="0055127B"/>
    <w:rsid w:val="00551626"/>
    <w:rsid w:val="00551D9B"/>
    <w:rsid w:val="00551DD4"/>
    <w:rsid w:val="005522A8"/>
    <w:rsid w:val="00552C6E"/>
    <w:rsid w:val="00552E1D"/>
    <w:rsid w:val="005534D8"/>
    <w:rsid w:val="00553CB5"/>
    <w:rsid w:val="00553E16"/>
    <w:rsid w:val="005542F7"/>
    <w:rsid w:val="00554303"/>
    <w:rsid w:val="00554D79"/>
    <w:rsid w:val="0055515C"/>
    <w:rsid w:val="00555479"/>
    <w:rsid w:val="00555827"/>
    <w:rsid w:val="005559EE"/>
    <w:rsid w:val="00555A08"/>
    <w:rsid w:val="00555C12"/>
    <w:rsid w:val="005561F2"/>
    <w:rsid w:val="00556471"/>
    <w:rsid w:val="005565DB"/>
    <w:rsid w:val="00556A89"/>
    <w:rsid w:val="00556BB1"/>
    <w:rsid w:val="005573C9"/>
    <w:rsid w:val="00557E0D"/>
    <w:rsid w:val="00560063"/>
    <w:rsid w:val="00560916"/>
    <w:rsid w:val="00560F30"/>
    <w:rsid w:val="005617BA"/>
    <w:rsid w:val="005617F7"/>
    <w:rsid w:val="00561A2E"/>
    <w:rsid w:val="005620A3"/>
    <w:rsid w:val="0056224D"/>
    <w:rsid w:val="00562E1D"/>
    <w:rsid w:val="0056334B"/>
    <w:rsid w:val="0056390A"/>
    <w:rsid w:val="0056456D"/>
    <w:rsid w:val="0056464D"/>
    <w:rsid w:val="00564ACF"/>
    <w:rsid w:val="00564E88"/>
    <w:rsid w:val="00564FF0"/>
    <w:rsid w:val="00565286"/>
    <w:rsid w:val="005657E7"/>
    <w:rsid w:val="00565B61"/>
    <w:rsid w:val="00565D2A"/>
    <w:rsid w:val="00565D93"/>
    <w:rsid w:val="00565F9B"/>
    <w:rsid w:val="00566177"/>
    <w:rsid w:val="00566CFE"/>
    <w:rsid w:val="00567227"/>
    <w:rsid w:val="00567472"/>
    <w:rsid w:val="005678A8"/>
    <w:rsid w:val="00567B79"/>
    <w:rsid w:val="00567E77"/>
    <w:rsid w:val="00570F94"/>
    <w:rsid w:val="0057162F"/>
    <w:rsid w:val="00571AF7"/>
    <w:rsid w:val="00571CE0"/>
    <w:rsid w:val="00572205"/>
    <w:rsid w:val="005723C5"/>
    <w:rsid w:val="00573EF6"/>
    <w:rsid w:val="00573F37"/>
    <w:rsid w:val="00574C58"/>
    <w:rsid w:val="00574DE3"/>
    <w:rsid w:val="00574E0B"/>
    <w:rsid w:val="00574F85"/>
    <w:rsid w:val="00575350"/>
    <w:rsid w:val="005757C6"/>
    <w:rsid w:val="00575F93"/>
    <w:rsid w:val="00576585"/>
    <w:rsid w:val="00576B54"/>
    <w:rsid w:val="00577809"/>
    <w:rsid w:val="00577A46"/>
    <w:rsid w:val="00577B28"/>
    <w:rsid w:val="005801A8"/>
    <w:rsid w:val="00580287"/>
    <w:rsid w:val="005809E9"/>
    <w:rsid w:val="00580B34"/>
    <w:rsid w:val="00580F8E"/>
    <w:rsid w:val="00580FCA"/>
    <w:rsid w:val="00581320"/>
    <w:rsid w:val="005815DA"/>
    <w:rsid w:val="00581B77"/>
    <w:rsid w:val="00581F61"/>
    <w:rsid w:val="00582279"/>
    <w:rsid w:val="0058253B"/>
    <w:rsid w:val="00582728"/>
    <w:rsid w:val="00583123"/>
    <w:rsid w:val="0058398C"/>
    <w:rsid w:val="005849CA"/>
    <w:rsid w:val="00584E75"/>
    <w:rsid w:val="0058579A"/>
    <w:rsid w:val="005859D6"/>
    <w:rsid w:val="00585B89"/>
    <w:rsid w:val="00586B83"/>
    <w:rsid w:val="00587C96"/>
    <w:rsid w:val="00590103"/>
    <w:rsid w:val="00590875"/>
    <w:rsid w:val="00590ADD"/>
    <w:rsid w:val="00590AFE"/>
    <w:rsid w:val="00590DBA"/>
    <w:rsid w:val="00590DF9"/>
    <w:rsid w:val="005911EA"/>
    <w:rsid w:val="00591D8D"/>
    <w:rsid w:val="00592050"/>
    <w:rsid w:val="0059233D"/>
    <w:rsid w:val="0059263B"/>
    <w:rsid w:val="00592E63"/>
    <w:rsid w:val="005930BA"/>
    <w:rsid w:val="0059328B"/>
    <w:rsid w:val="0059558C"/>
    <w:rsid w:val="0059698B"/>
    <w:rsid w:val="00596A30"/>
    <w:rsid w:val="005971F2"/>
    <w:rsid w:val="00597440"/>
    <w:rsid w:val="0059757C"/>
    <w:rsid w:val="00597675"/>
    <w:rsid w:val="00597757"/>
    <w:rsid w:val="005979E2"/>
    <w:rsid w:val="00597A28"/>
    <w:rsid w:val="00597CFC"/>
    <w:rsid w:val="005A0A5F"/>
    <w:rsid w:val="005A1090"/>
    <w:rsid w:val="005A11B8"/>
    <w:rsid w:val="005A1222"/>
    <w:rsid w:val="005A182C"/>
    <w:rsid w:val="005A204A"/>
    <w:rsid w:val="005A20DD"/>
    <w:rsid w:val="005A2103"/>
    <w:rsid w:val="005A293A"/>
    <w:rsid w:val="005A308A"/>
    <w:rsid w:val="005A316C"/>
    <w:rsid w:val="005A35D5"/>
    <w:rsid w:val="005A4C09"/>
    <w:rsid w:val="005A4E6F"/>
    <w:rsid w:val="005A5017"/>
    <w:rsid w:val="005A5296"/>
    <w:rsid w:val="005A569B"/>
    <w:rsid w:val="005A5C79"/>
    <w:rsid w:val="005A5DB9"/>
    <w:rsid w:val="005A5DFC"/>
    <w:rsid w:val="005A6134"/>
    <w:rsid w:val="005A6878"/>
    <w:rsid w:val="005A6946"/>
    <w:rsid w:val="005A7037"/>
    <w:rsid w:val="005A735C"/>
    <w:rsid w:val="005A73D8"/>
    <w:rsid w:val="005A7C43"/>
    <w:rsid w:val="005A7D03"/>
    <w:rsid w:val="005B0EDC"/>
    <w:rsid w:val="005B1600"/>
    <w:rsid w:val="005B1AC0"/>
    <w:rsid w:val="005B2626"/>
    <w:rsid w:val="005B2777"/>
    <w:rsid w:val="005B28E9"/>
    <w:rsid w:val="005B2C93"/>
    <w:rsid w:val="005B2DAC"/>
    <w:rsid w:val="005B363F"/>
    <w:rsid w:val="005B3B76"/>
    <w:rsid w:val="005B405E"/>
    <w:rsid w:val="005B4394"/>
    <w:rsid w:val="005B4443"/>
    <w:rsid w:val="005B463D"/>
    <w:rsid w:val="005B468F"/>
    <w:rsid w:val="005B475E"/>
    <w:rsid w:val="005B5286"/>
    <w:rsid w:val="005B5878"/>
    <w:rsid w:val="005B58F2"/>
    <w:rsid w:val="005B5B85"/>
    <w:rsid w:val="005B5B9B"/>
    <w:rsid w:val="005B5C7A"/>
    <w:rsid w:val="005B5F19"/>
    <w:rsid w:val="005B74F1"/>
    <w:rsid w:val="005B78C4"/>
    <w:rsid w:val="005B79C1"/>
    <w:rsid w:val="005B7BC5"/>
    <w:rsid w:val="005B7C0B"/>
    <w:rsid w:val="005B7DEA"/>
    <w:rsid w:val="005C11D7"/>
    <w:rsid w:val="005C127D"/>
    <w:rsid w:val="005C1349"/>
    <w:rsid w:val="005C1EBC"/>
    <w:rsid w:val="005C28BB"/>
    <w:rsid w:val="005C28D2"/>
    <w:rsid w:val="005C2CB5"/>
    <w:rsid w:val="005C3C5D"/>
    <w:rsid w:val="005C44DF"/>
    <w:rsid w:val="005C4E51"/>
    <w:rsid w:val="005C60F0"/>
    <w:rsid w:val="005C618A"/>
    <w:rsid w:val="005C6E5E"/>
    <w:rsid w:val="005C72E5"/>
    <w:rsid w:val="005C7488"/>
    <w:rsid w:val="005C780B"/>
    <w:rsid w:val="005C79EB"/>
    <w:rsid w:val="005C7ED3"/>
    <w:rsid w:val="005D010B"/>
    <w:rsid w:val="005D010D"/>
    <w:rsid w:val="005D12EB"/>
    <w:rsid w:val="005D17AB"/>
    <w:rsid w:val="005D1915"/>
    <w:rsid w:val="005D19AD"/>
    <w:rsid w:val="005D22E6"/>
    <w:rsid w:val="005D271B"/>
    <w:rsid w:val="005D2DFB"/>
    <w:rsid w:val="005D3850"/>
    <w:rsid w:val="005D38B6"/>
    <w:rsid w:val="005D4193"/>
    <w:rsid w:val="005D4590"/>
    <w:rsid w:val="005D4A92"/>
    <w:rsid w:val="005D5492"/>
    <w:rsid w:val="005D57B5"/>
    <w:rsid w:val="005D57C9"/>
    <w:rsid w:val="005D5BC0"/>
    <w:rsid w:val="005D5C98"/>
    <w:rsid w:val="005D6153"/>
    <w:rsid w:val="005D63D6"/>
    <w:rsid w:val="005D6C34"/>
    <w:rsid w:val="005D712F"/>
    <w:rsid w:val="005D743B"/>
    <w:rsid w:val="005D74C8"/>
    <w:rsid w:val="005E0426"/>
    <w:rsid w:val="005E04C0"/>
    <w:rsid w:val="005E09BE"/>
    <w:rsid w:val="005E09E7"/>
    <w:rsid w:val="005E0B02"/>
    <w:rsid w:val="005E0CF8"/>
    <w:rsid w:val="005E11D4"/>
    <w:rsid w:val="005E15EC"/>
    <w:rsid w:val="005E1F70"/>
    <w:rsid w:val="005E2A7F"/>
    <w:rsid w:val="005E2AB2"/>
    <w:rsid w:val="005E2DED"/>
    <w:rsid w:val="005E36E6"/>
    <w:rsid w:val="005E41C4"/>
    <w:rsid w:val="005E48BF"/>
    <w:rsid w:val="005E5B1E"/>
    <w:rsid w:val="005E5CB1"/>
    <w:rsid w:val="005E5D5A"/>
    <w:rsid w:val="005E608F"/>
    <w:rsid w:val="005E6186"/>
    <w:rsid w:val="005E648B"/>
    <w:rsid w:val="005E653B"/>
    <w:rsid w:val="005E67AC"/>
    <w:rsid w:val="005E6AEC"/>
    <w:rsid w:val="005E6BF8"/>
    <w:rsid w:val="005E71E1"/>
    <w:rsid w:val="005E740F"/>
    <w:rsid w:val="005E7527"/>
    <w:rsid w:val="005F1105"/>
    <w:rsid w:val="005F130B"/>
    <w:rsid w:val="005F2D90"/>
    <w:rsid w:val="005F2F40"/>
    <w:rsid w:val="005F4979"/>
    <w:rsid w:val="005F4AC1"/>
    <w:rsid w:val="005F4C9F"/>
    <w:rsid w:val="005F51EF"/>
    <w:rsid w:val="005F54A2"/>
    <w:rsid w:val="005F67E6"/>
    <w:rsid w:val="005F7650"/>
    <w:rsid w:val="005F7872"/>
    <w:rsid w:val="0060009F"/>
    <w:rsid w:val="00600106"/>
    <w:rsid w:val="00600961"/>
    <w:rsid w:val="00600A0C"/>
    <w:rsid w:val="00601B31"/>
    <w:rsid w:val="00601B77"/>
    <w:rsid w:val="0060232F"/>
    <w:rsid w:val="006026F6"/>
    <w:rsid w:val="00602732"/>
    <w:rsid w:val="00602AF7"/>
    <w:rsid w:val="00603190"/>
    <w:rsid w:val="00604304"/>
    <w:rsid w:val="006043CE"/>
    <w:rsid w:val="00605024"/>
    <w:rsid w:val="0060562C"/>
    <w:rsid w:val="00605CD4"/>
    <w:rsid w:val="00605F53"/>
    <w:rsid w:val="006063EC"/>
    <w:rsid w:val="00606A7B"/>
    <w:rsid w:val="00606C7C"/>
    <w:rsid w:val="00606DFC"/>
    <w:rsid w:val="00606F9F"/>
    <w:rsid w:val="00607441"/>
    <w:rsid w:val="006079CA"/>
    <w:rsid w:val="00610388"/>
    <w:rsid w:val="00610572"/>
    <w:rsid w:val="00610581"/>
    <w:rsid w:val="00610E3C"/>
    <w:rsid w:val="00611E1C"/>
    <w:rsid w:val="00611EE7"/>
    <w:rsid w:val="00611EE9"/>
    <w:rsid w:val="00613A58"/>
    <w:rsid w:val="00613F06"/>
    <w:rsid w:val="0061447A"/>
    <w:rsid w:val="006145A5"/>
    <w:rsid w:val="00614973"/>
    <w:rsid w:val="00614B6E"/>
    <w:rsid w:val="00614FF7"/>
    <w:rsid w:val="0061509C"/>
    <w:rsid w:val="00615215"/>
    <w:rsid w:val="006152D7"/>
    <w:rsid w:val="006154AE"/>
    <w:rsid w:val="00616545"/>
    <w:rsid w:val="0061685C"/>
    <w:rsid w:val="00616D4A"/>
    <w:rsid w:val="00616E6B"/>
    <w:rsid w:val="00617D1C"/>
    <w:rsid w:val="00617D5A"/>
    <w:rsid w:val="00620089"/>
    <w:rsid w:val="0062096E"/>
    <w:rsid w:val="00622154"/>
    <w:rsid w:val="00622805"/>
    <w:rsid w:val="00622A64"/>
    <w:rsid w:val="00623033"/>
    <w:rsid w:val="006237BE"/>
    <w:rsid w:val="006250E6"/>
    <w:rsid w:val="006259D8"/>
    <w:rsid w:val="00625B62"/>
    <w:rsid w:val="00625D8B"/>
    <w:rsid w:val="00626B5B"/>
    <w:rsid w:val="00626FCA"/>
    <w:rsid w:val="0062718B"/>
    <w:rsid w:val="00627926"/>
    <w:rsid w:val="00627CDD"/>
    <w:rsid w:val="00627ED1"/>
    <w:rsid w:val="00630201"/>
    <w:rsid w:val="0063047A"/>
    <w:rsid w:val="0063067A"/>
    <w:rsid w:val="00630957"/>
    <w:rsid w:val="00630B63"/>
    <w:rsid w:val="00631015"/>
    <w:rsid w:val="00631474"/>
    <w:rsid w:val="00631FAE"/>
    <w:rsid w:val="00632087"/>
    <w:rsid w:val="00632EEC"/>
    <w:rsid w:val="006332A5"/>
    <w:rsid w:val="006340CC"/>
    <w:rsid w:val="006349EC"/>
    <w:rsid w:val="00634EFC"/>
    <w:rsid w:val="006350C7"/>
    <w:rsid w:val="00636052"/>
    <w:rsid w:val="006368A4"/>
    <w:rsid w:val="00636F13"/>
    <w:rsid w:val="00637631"/>
    <w:rsid w:val="00637E63"/>
    <w:rsid w:val="006402B4"/>
    <w:rsid w:val="00640CC2"/>
    <w:rsid w:val="00640CD1"/>
    <w:rsid w:val="00641CCA"/>
    <w:rsid w:val="00641E79"/>
    <w:rsid w:val="00642372"/>
    <w:rsid w:val="006427D3"/>
    <w:rsid w:val="00642AF0"/>
    <w:rsid w:val="0064301A"/>
    <w:rsid w:val="006438A9"/>
    <w:rsid w:val="0064390F"/>
    <w:rsid w:val="00643EC2"/>
    <w:rsid w:val="006445FD"/>
    <w:rsid w:val="0064483E"/>
    <w:rsid w:val="0064495D"/>
    <w:rsid w:val="00645892"/>
    <w:rsid w:val="006461DD"/>
    <w:rsid w:val="006465D2"/>
    <w:rsid w:val="00646890"/>
    <w:rsid w:val="006468B2"/>
    <w:rsid w:val="00646A58"/>
    <w:rsid w:val="00646C70"/>
    <w:rsid w:val="006472C2"/>
    <w:rsid w:val="006473BF"/>
    <w:rsid w:val="00650329"/>
    <w:rsid w:val="00650448"/>
    <w:rsid w:val="00650727"/>
    <w:rsid w:val="0065077F"/>
    <w:rsid w:val="00651F6D"/>
    <w:rsid w:val="006533A8"/>
    <w:rsid w:val="0065385B"/>
    <w:rsid w:val="00653EC2"/>
    <w:rsid w:val="00654694"/>
    <w:rsid w:val="0065472E"/>
    <w:rsid w:val="006548C6"/>
    <w:rsid w:val="00654BB6"/>
    <w:rsid w:val="00654EAE"/>
    <w:rsid w:val="00655F81"/>
    <w:rsid w:val="00656549"/>
    <w:rsid w:val="0065691C"/>
    <w:rsid w:val="00657D47"/>
    <w:rsid w:val="006603E4"/>
    <w:rsid w:val="00660DC7"/>
    <w:rsid w:val="00661063"/>
    <w:rsid w:val="0066113B"/>
    <w:rsid w:val="0066208B"/>
    <w:rsid w:val="00662156"/>
    <w:rsid w:val="0066262E"/>
    <w:rsid w:val="00662951"/>
    <w:rsid w:val="0066307C"/>
    <w:rsid w:val="00663137"/>
    <w:rsid w:val="00663D81"/>
    <w:rsid w:val="0066485E"/>
    <w:rsid w:val="00664B57"/>
    <w:rsid w:val="0066563B"/>
    <w:rsid w:val="00666378"/>
    <w:rsid w:val="006664F7"/>
    <w:rsid w:val="00666884"/>
    <w:rsid w:val="006668DA"/>
    <w:rsid w:val="00667062"/>
    <w:rsid w:val="00667531"/>
    <w:rsid w:val="00667AFD"/>
    <w:rsid w:val="0067034C"/>
    <w:rsid w:val="006718AA"/>
    <w:rsid w:val="006718B3"/>
    <w:rsid w:val="00671997"/>
    <w:rsid w:val="00672705"/>
    <w:rsid w:val="0067279E"/>
    <w:rsid w:val="00672A0E"/>
    <w:rsid w:val="00672ECA"/>
    <w:rsid w:val="0067355D"/>
    <w:rsid w:val="006736ED"/>
    <w:rsid w:val="00673803"/>
    <w:rsid w:val="006744BD"/>
    <w:rsid w:val="00675208"/>
    <w:rsid w:val="006753CD"/>
    <w:rsid w:val="00675E8E"/>
    <w:rsid w:val="006765E2"/>
    <w:rsid w:val="00676A25"/>
    <w:rsid w:val="006777D9"/>
    <w:rsid w:val="00680342"/>
    <w:rsid w:val="0068099E"/>
    <w:rsid w:val="00680B80"/>
    <w:rsid w:val="00680EAF"/>
    <w:rsid w:val="006820D8"/>
    <w:rsid w:val="00682191"/>
    <w:rsid w:val="00682F1C"/>
    <w:rsid w:val="006844FF"/>
    <w:rsid w:val="006849CF"/>
    <w:rsid w:val="00684E2A"/>
    <w:rsid w:val="006857CD"/>
    <w:rsid w:val="006857DE"/>
    <w:rsid w:val="00685B35"/>
    <w:rsid w:val="00685D22"/>
    <w:rsid w:val="00686664"/>
    <w:rsid w:val="006868D8"/>
    <w:rsid w:val="00686B4D"/>
    <w:rsid w:val="00686DC7"/>
    <w:rsid w:val="00687158"/>
    <w:rsid w:val="00687DD5"/>
    <w:rsid w:val="00690637"/>
    <w:rsid w:val="00690900"/>
    <w:rsid w:val="00690BBF"/>
    <w:rsid w:val="00690C40"/>
    <w:rsid w:val="00690E94"/>
    <w:rsid w:val="00691490"/>
    <w:rsid w:val="006914D2"/>
    <w:rsid w:val="00691D91"/>
    <w:rsid w:val="006923A6"/>
    <w:rsid w:val="006926D6"/>
    <w:rsid w:val="006927AD"/>
    <w:rsid w:val="00693009"/>
    <w:rsid w:val="006930CF"/>
    <w:rsid w:val="00693505"/>
    <w:rsid w:val="0069359E"/>
    <w:rsid w:val="006935E7"/>
    <w:rsid w:val="00693C93"/>
    <w:rsid w:val="00694120"/>
    <w:rsid w:val="0069552A"/>
    <w:rsid w:val="00695548"/>
    <w:rsid w:val="0069568E"/>
    <w:rsid w:val="006956FA"/>
    <w:rsid w:val="00695740"/>
    <w:rsid w:val="00695AE2"/>
    <w:rsid w:val="0069603B"/>
    <w:rsid w:val="0069611F"/>
    <w:rsid w:val="00696841"/>
    <w:rsid w:val="0069723C"/>
    <w:rsid w:val="0069729F"/>
    <w:rsid w:val="00697659"/>
    <w:rsid w:val="006976BE"/>
    <w:rsid w:val="00697DD9"/>
    <w:rsid w:val="006A0027"/>
    <w:rsid w:val="006A017B"/>
    <w:rsid w:val="006A060A"/>
    <w:rsid w:val="006A0828"/>
    <w:rsid w:val="006A138B"/>
    <w:rsid w:val="006A1B25"/>
    <w:rsid w:val="006A1B89"/>
    <w:rsid w:val="006A1E79"/>
    <w:rsid w:val="006A2803"/>
    <w:rsid w:val="006A28DD"/>
    <w:rsid w:val="006A2A23"/>
    <w:rsid w:val="006A3262"/>
    <w:rsid w:val="006A4288"/>
    <w:rsid w:val="006A50A5"/>
    <w:rsid w:val="006A5228"/>
    <w:rsid w:val="006A5625"/>
    <w:rsid w:val="006A5D5E"/>
    <w:rsid w:val="006A6105"/>
    <w:rsid w:val="006A6BA4"/>
    <w:rsid w:val="006A74C5"/>
    <w:rsid w:val="006A7D42"/>
    <w:rsid w:val="006A7DAC"/>
    <w:rsid w:val="006A7F12"/>
    <w:rsid w:val="006A7FEC"/>
    <w:rsid w:val="006B02AB"/>
    <w:rsid w:val="006B179F"/>
    <w:rsid w:val="006B1837"/>
    <w:rsid w:val="006B1898"/>
    <w:rsid w:val="006B1DA6"/>
    <w:rsid w:val="006B1ED1"/>
    <w:rsid w:val="006B1F4B"/>
    <w:rsid w:val="006B2779"/>
    <w:rsid w:val="006B29E7"/>
    <w:rsid w:val="006B2A94"/>
    <w:rsid w:val="006B2CBA"/>
    <w:rsid w:val="006B33A0"/>
    <w:rsid w:val="006B34F0"/>
    <w:rsid w:val="006B34F3"/>
    <w:rsid w:val="006B3727"/>
    <w:rsid w:val="006B3D19"/>
    <w:rsid w:val="006B46DD"/>
    <w:rsid w:val="006B5F74"/>
    <w:rsid w:val="006B63FA"/>
    <w:rsid w:val="006B6608"/>
    <w:rsid w:val="006B6A63"/>
    <w:rsid w:val="006B6A88"/>
    <w:rsid w:val="006B6CFD"/>
    <w:rsid w:val="006B6E04"/>
    <w:rsid w:val="006B7615"/>
    <w:rsid w:val="006B77C3"/>
    <w:rsid w:val="006B7806"/>
    <w:rsid w:val="006C0600"/>
    <w:rsid w:val="006C09F4"/>
    <w:rsid w:val="006C116F"/>
    <w:rsid w:val="006C11F9"/>
    <w:rsid w:val="006C1A18"/>
    <w:rsid w:val="006C2151"/>
    <w:rsid w:val="006C23FA"/>
    <w:rsid w:val="006C25F6"/>
    <w:rsid w:val="006C27BA"/>
    <w:rsid w:val="006C299C"/>
    <w:rsid w:val="006C2AED"/>
    <w:rsid w:val="006C306A"/>
    <w:rsid w:val="006C329D"/>
    <w:rsid w:val="006C3C1C"/>
    <w:rsid w:val="006C46E2"/>
    <w:rsid w:val="006C4814"/>
    <w:rsid w:val="006C4F20"/>
    <w:rsid w:val="006C5CB7"/>
    <w:rsid w:val="006C64D0"/>
    <w:rsid w:val="006C74F3"/>
    <w:rsid w:val="006C7F79"/>
    <w:rsid w:val="006D0FD3"/>
    <w:rsid w:val="006D1565"/>
    <w:rsid w:val="006D170D"/>
    <w:rsid w:val="006D17E8"/>
    <w:rsid w:val="006D1CE7"/>
    <w:rsid w:val="006D1DF2"/>
    <w:rsid w:val="006D1F24"/>
    <w:rsid w:val="006D23FD"/>
    <w:rsid w:val="006D25CF"/>
    <w:rsid w:val="006D2975"/>
    <w:rsid w:val="006D3675"/>
    <w:rsid w:val="006D3B83"/>
    <w:rsid w:val="006D4107"/>
    <w:rsid w:val="006D412A"/>
    <w:rsid w:val="006D4136"/>
    <w:rsid w:val="006D41AC"/>
    <w:rsid w:val="006D46F3"/>
    <w:rsid w:val="006D4EF0"/>
    <w:rsid w:val="006D5F79"/>
    <w:rsid w:val="006D5F9E"/>
    <w:rsid w:val="006D5FFB"/>
    <w:rsid w:val="006D6C3D"/>
    <w:rsid w:val="006D7038"/>
    <w:rsid w:val="006D77FD"/>
    <w:rsid w:val="006E0B53"/>
    <w:rsid w:val="006E0E11"/>
    <w:rsid w:val="006E16AB"/>
    <w:rsid w:val="006E1903"/>
    <w:rsid w:val="006E1907"/>
    <w:rsid w:val="006E19EF"/>
    <w:rsid w:val="006E19F0"/>
    <w:rsid w:val="006E1BFC"/>
    <w:rsid w:val="006E1EAE"/>
    <w:rsid w:val="006E229D"/>
    <w:rsid w:val="006E2CAC"/>
    <w:rsid w:val="006E2FF3"/>
    <w:rsid w:val="006E3EFA"/>
    <w:rsid w:val="006E4070"/>
    <w:rsid w:val="006E51CA"/>
    <w:rsid w:val="006E5805"/>
    <w:rsid w:val="006E64C2"/>
    <w:rsid w:val="006E6611"/>
    <w:rsid w:val="006E7016"/>
    <w:rsid w:val="006E762B"/>
    <w:rsid w:val="006E7807"/>
    <w:rsid w:val="006F0072"/>
    <w:rsid w:val="006F03E7"/>
    <w:rsid w:val="006F0A9C"/>
    <w:rsid w:val="006F0F6B"/>
    <w:rsid w:val="006F10D6"/>
    <w:rsid w:val="006F233E"/>
    <w:rsid w:val="006F24C9"/>
    <w:rsid w:val="006F2613"/>
    <w:rsid w:val="006F2972"/>
    <w:rsid w:val="006F2A16"/>
    <w:rsid w:val="006F3112"/>
    <w:rsid w:val="006F3C84"/>
    <w:rsid w:val="006F40D9"/>
    <w:rsid w:val="006F49A9"/>
    <w:rsid w:val="006F4ED8"/>
    <w:rsid w:val="006F5596"/>
    <w:rsid w:val="006F5BD6"/>
    <w:rsid w:val="006F5C59"/>
    <w:rsid w:val="006F621E"/>
    <w:rsid w:val="006F7583"/>
    <w:rsid w:val="006F75AA"/>
    <w:rsid w:val="006F764F"/>
    <w:rsid w:val="006F7AF9"/>
    <w:rsid w:val="006F7DF1"/>
    <w:rsid w:val="00700121"/>
    <w:rsid w:val="0070053C"/>
    <w:rsid w:val="007014A8"/>
    <w:rsid w:val="007017FA"/>
    <w:rsid w:val="00701B8A"/>
    <w:rsid w:val="00702052"/>
    <w:rsid w:val="0070252C"/>
    <w:rsid w:val="00702B0C"/>
    <w:rsid w:val="00703434"/>
    <w:rsid w:val="0070353E"/>
    <w:rsid w:val="007037E8"/>
    <w:rsid w:val="00704458"/>
    <w:rsid w:val="00704727"/>
    <w:rsid w:val="00704AF8"/>
    <w:rsid w:val="00704E6D"/>
    <w:rsid w:val="0070585B"/>
    <w:rsid w:val="007059B1"/>
    <w:rsid w:val="00706B3B"/>
    <w:rsid w:val="00707114"/>
    <w:rsid w:val="00707659"/>
    <w:rsid w:val="00707688"/>
    <w:rsid w:val="00707A4D"/>
    <w:rsid w:val="00707C55"/>
    <w:rsid w:val="00710576"/>
    <w:rsid w:val="007107D6"/>
    <w:rsid w:val="0071286C"/>
    <w:rsid w:val="007128CA"/>
    <w:rsid w:val="00712DE0"/>
    <w:rsid w:val="007130F8"/>
    <w:rsid w:val="007136AF"/>
    <w:rsid w:val="0071388C"/>
    <w:rsid w:val="0071432A"/>
    <w:rsid w:val="00714511"/>
    <w:rsid w:val="00714923"/>
    <w:rsid w:val="00714F69"/>
    <w:rsid w:val="00715249"/>
    <w:rsid w:val="00715577"/>
    <w:rsid w:val="007155EF"/>
    <w:rsid w:val="007158D4"/>
    <w:rsid w:val="00715C46"/>
    <w:rsid w:val="00715D0B"/>
    <w:rsid w:val="00716F51"/>
    <w:rsid w:val="00717068"/>
    <w:rsid w:val="0071711F"/>
    <w:rsid w:val="00717FC8"/>
    <w:rsid w:val="00720ECE"/>
    <w:rsid w:val="007210AC"/>
    <w:rsid w:val="007212F1"/>
    <w:rsid w:val="007222B1"/>
    <w:rsid w:val="00722882"/>
    <w:rsid w:val="00722A6E"/>
    <w:rsid w:val="00722B7F"/>
    <w:rsid w:val="00722C08"/>
    <w:rsid w:val="00723581"/>
    <w:rsid w:val="007243A0"/>
    <w:rsid w:val="007250CA"/>
    <w:rsid w:val="00725A96"/>
    <w:rsid w:val="00725D27"/>
    <w:rsid w:val="00726A9F"/>
    <w:rsid w:val="00727572"/>
    <w:rsid w:val="00727C17"/>
    <w:rsid w:val="00727F15"/>
    <w:rsid w:val="00730823"/>
    <w:rsid w:val="00730DF2"/>
    <w:rsid w:val="0073106B"/>
    <w:rsid w:val="0073174F"/>
    <w:rsid w:val="0073183F"/>
    <w:rsid w:val="0073235F"/>
    <w:rsid w:val="007325A5"/>
    <w:rsid w:val="00732D84"/>
    <w:rsid w:val="00733434"/>
    <w:rsid w:val="00733AE5"/>
    <w:rsid w:val="00733B53"/>
    <w:rsid w:val="00733DEB"/>
    <w:rsid w:val="00734221"/>
    <w:rsid w:val="007346BC"/>
    <w:rsid w:val="00734ABA"/>
    <w:rsid w:val="00734D19"/>
    <w:rsid w:val="007361E9"/>
    <w:rsid w:val="00736238"/>
    <w:rsid w:val="00736720"/>
    <w:rsid w:val="00736AD5"/>
    <w:rsid w:val="00736E1A"/>
    <w:rsid w:val="0073720D"/>
    <w:rsid w:val="007372CB"/>
    <w:rsid w:val="00737D91"/>
    <w:rsid w:val="0074028E"/>
    <w:rsid w:val="0074099C"/>
    <w:rsid w:val="00740D06"/>
    <w:rsid w:val="00740EFB"/>
    <w:rsid w:val="00740F36"/>
    <w:rsid w:val="00741528"/>
    <w:rsid w:val="00741BC3"/>
    <w:rsid w:val="00741D37"/>
    <w:rsid w:val="00741E29"/>
    <w:rsid w:val="007426A6"/>
    <w:rsid w:val="00742A11"/>
    <w:rsid w:val="00742C54"/>
    <w:rsid w:val="00742F9C"/>
    <w:rsid w:val="007434F0"/>
    <w:rsid w:val="00743F9F"/>
    <w:rsid w:val="007446D2"/>
    <w:rsid w:val="00744927"/>
    <w:rsid w:val="00745CD3"/>
    <w:rsid w:val="00746421"/>
    <w:rsid w:val="00746567"/>
    <w:rsid w:val="007470B0"/>
    <w:rsid w:val="00747BC7"/>
    <w:rsid w:val="00747ED1"/>
    <w:rsid w:val="007502D5"/>
    <w:rsid w:val="007503EA"/>
    <w:rsid w:val="0075070D"/>
    <w:rsid w:val="007513FC"/>
    <w:rsid w:val="00751B9E"/>
    <w:rsid w:val="00751C09"/>
    <w:rsid w:val="00752035"/>
    <w:rsid w:val="0075216E"/>
    <w:rsid w:val="00752222"/>
    <w:rsid w:val="007529A4"/>
    <w:rsid w:val="00752D52"/>
    <w:rsid w:val="00752D92"/>
    <w:rsid w:val="00753D8B"/>
    <w:rsid w:val="00753DD6"/>
    <w:rsid w:val="007540D4"/>
    <w:rsid w:val="007544DC"/>
    <w:rsid w:val="007545F0"/>
    <w:rsid w:val="00755452"/>
    <w:rsid w:val="00755B22"/>
    <w:rsid w:val="00756EAD"/>
    <w:rsid w:val="00757178"/>
    <w:rsid w:val="00757558"/>
    <w:rsid w:val="00760394"/>
    <w:rsid w:val="00760555"/>
    <w:rsid w:val="007606BE"/>
    <w:rsid w:val="007608B5"/>
    <w:rsid w:val="00760DE1"/>
    <w:rsid w:val="00760E64"/>
    <w:rsid w:val="00760F2F"/>
    <w:rsid w:val="00761DA7"/>
    <w:rsid w:val="00761DD0"/>
    <w:rsid w:val="00762499"/>
    <w:rsid w:val="007624E0"/>
    <w:rsid w:val="00762BC2"/>
    <w:rsid w:val="00762C3B"/>
    <w:rsid w:val="00762CC1"/>
    <w:rsid w:val="00763077"/>
    <w:rsid w:val="00763548"/>
    <w:rsid w:val="00763C8D"/>
    <w:rsid w:val="00763F4A"/>
    <w:rsid w:val="0076435E"/>
    <w:rsid w:val="00764E01"/>
    <w:rsid w:val="00765515"/>
    <w:rsid w:val="0076612F"/>
    <w:rsid w:val="00766382"/>
    <w:rsid w:val="00766389"/>
    <w:rsid w:val="007663FF"/>
    <w:rsid w:val="00766D12"/>
    <w:rsid w:val="00767062"/>
    <w:rsid w:val="00767595"/>
    <w:rsid w:val="007679F5"/>
    <w:rsid w:val="00770156"/>
    <w:rsid w:val="00770879"/>
    <w:rsid w:val="00770904"/>
    <w:rsid w:val="00770BD9"/>
    <w:rsid w:val="007713BD"/>
    <w:rsid w:val="00772AC3"/>
    <w:rsid w:val="00772CAF"/>
    <w:rsid w:val="00773689"/>
    <w:rsid w:val="00773D90"/>
    <w:rsid w:val="00773F7B"/>
    <w:rsid w:val="00774453"/>
    <w:rsid w:val="007758DC"/>
    <w:rsid w:val="00775ADB"/>
    <w:rsid w:val="00775B12"/>
    <w:rsid w:val="00776102"/>
    <w:rsid w:val="007771D7"/>
    <w:rsid w:val="00777FFD"/>
    <w:rsid w:val="00780D31"/>
    <w:rsid w:val="00780DA1"/>
    <w:rsid w:val="00780E43"/>
    <w:rsid w:val="00781DAA"/>
    <w:rsid w:val="00781DD1"/>
    <w:rsid w:val="007820C0"/>
    <w:rsid w:val="007824D6"/>
    <w:rsid w:val="007827A2"/>
    <w:rsid w:val="00782933"/>
    <w:rsid w:val="00782FE7"/>
    <w:rsid w:val="00783051"/>
    <w:rsid w:val="00783D69"/>
    <w:rsid w:val="00784CB2"/>
    <w:rsid w:val="00784D01"/>
    <w:rsid w:val="00784FF8"/>
    <w:rsid w:val="0078570F"/>
    <w:rsid w:val="00785996"/>
    <w:rsid w:val="00785CA3"/>
    <w:rsid w:val="0078600A"/>
    <w:rsid w:val="00786238"/>
    <w:rsid w:val="00787340"/>
    <w:rsid w:val="0078781F"/>
    <w:rsid w:val="00787B8A"/>
    <w:rsid w:val="00787C71"/>
    <w:rsid w:val="00787D33"/>
    <w:rsid w:val="00787EBD"/>
    <w:rsid w:val="00787EC1"/>
    <w:rsid w:val="00791DC0"/>
    <w:rsid w:val="00792207"/>
    <w:rsid w:val="00792732"/>
    <w:rsid w:val="007932CC"/>
    <w:rsid w:val="00793336"/>
    <w:rsid w:val="00793A4D"/>
    <w:rsid w:val="00793AD1"/>
    <w:rsid w:val="00793CBE"/>
    <w:rsid w:val="00794BB6"/>
    <w:rsid w:val="00795065"/>
    <w:rsid w:val="00796671"/>
    <w:rsid w:val="00797E6C"/>
    <w:rsid w:val="007A0CF4"/>
    <w:rsid w:val="007A1716"/>
    <w:rsid w:val="007A184C"/>
    <w:rsid w:val="007A1E31"/>
    <w:rsid w:val="007A2744"/>
    <w:rsid w:val="007A2BFD"/>
    <w:rsid w:val="007A2FE2"/>
    <w:rsid w:val="007A308D"/>
    <w:rsid w:val="007A3205"/>
    <w:rsid w:val="007A3614"/>
    <w:rsid w:val="007A39D9"/>
    <w:rsid w:val="007A4365"/>
    <w:rsid w:val="007A5055"/>
    <w:rsid w:val="007A50DE"/>
    <w:rsid w:val="007A534A"/>
    <w:rsid w:val="007A538E"/>
    <w:rsid w:val="007A58AD"/>
    <w:rsid w:val="007A5B24"/>
    <w:rsid w:val="007A5BD4"/>
    <w:rsid w:val="007A5FB9"/>
    <w:rsid w:val="007A671D"/>
    <w:rsid w:val="007A7048"/>
    <w:rsid w:val="007A76B8"/>
    <w:rsid w:val="007A772D"/>
    <w:rsid w:val="007A7AE3"/>
    <w:rsid w:val="007B07C8"/>
    <w:rsid w:val="007B0FB5"/>
    <w:rsid w:val="007B128F"/>
    <w:rsid w:val="007B129B"/>
    <w:rsid w:val="007B1FD8"/>
    <w:rsid w:val="007B1FE9"/>
    <w:rsid w:val="007B2408"/>
    <w:rsid w:val="007B2421"/>
    <w:rsid w:val="007B265D"/>
    <w:rsid w:val="007B2811"/>
    <w:rsid w:val="007B29F6"/>
    <w:rsid w:val="007B2BFD"/>
    <w:rsid w:val="007B35FA"/>
    <w:rsid w:val="007B39BD"/>
    <w:rsid w:val="007B42F1"/>
    <w:rsid w:val="007B46F8"/>
    <w:rsid w:val="007B47F9"/>
    <w:rsid w:val="007B49E9"/>
    <w:rsid w:val="007B4C43"/>
    <w:rsid w:val="007B4E38"/>
    <w:rsid w:val="007B5967"/>
    <w:rsid w:val="007B599D"/>
    <w:rsid w:val="007B5FC7"/>
    <w:rsid w:val="007B6210"/>
    <w:rsid w:val="007B621E"/>
    <w:rsid w:val="007B6CDA"/>
    <w:rsid w:val="007B6D60"/>
    <w:rsid w:val="007C067E"/>
    <w:rsid w:val="007C080F"/>
    <w:rsid w:val="007C0ED4"/>
    <w:rsid w:val="007C1214"/>
    <w:rsid w:val="007C1468"/>
    <w:rsid w:val="007C1AF7"/>
    <w:rsid w:val="007C320E"/>
    <w:rsid w:val="007C3FD6"/>
    <w:rsid w:val="007C41A9"/>
    <w:rsid w:val="007C4384"/>
    <w:rsid w:val="007C49C1"/>
    <w:rsid w:val="007C5197"/>
    <w:rsid w:val="007C5AFA"/>
    <w:rsid w:val="007C5E37"/>
    <w:rsid w:val="007C611E"/>
    <w:rsid w:val="007C63D7"/>
    <w:rsid w:val="007C64EF"/>
    <w:rsid w:val="007C739E"/>
    <w:rsid w:val="007C7974"/>
    <w:rsid w:val="007C7997"/>
    <w:rsid w:val="007C7C7B"/>
    <w:rsid w:val="007D00A6"/>
    <w:rsid w:val="007D02C3"/>
    <w:rsid w:val="007D0C76"/>
    <w:rsid w:val="007D221E"/>
    <w:rsid w:val="007D2DBE"/>
    <w:rsid w:val="007D3115"/>
    <w:rsid w:val="007D3191"/>
    <w:rsid w:val="007D3D94"/>
    <w:rsid w:val="007D3E84"/>
    <w:rsid w:val="007D3F31"/>
    <w:rsid w:val="007D4296"/>
    <w:rsid w:val="007D4DFC"/>
    <w:rsid w:val="007D5885"/>
    <w:rsid w:val="007D5B69"/>
    <w:rsid w:val="007D62D2"/>
    <w:rsid w:val="007D62E6"/>
    <w:rsid w:val="007D6783"/>
    <w:rsid w:val="007D6925"/>
    <w:rsid w:val="007D6D16"/>
    <w:rsid w:val="007D7735"/>
    <w:rsid w:val="007D7BEF"/>
    <w:rsid w:val="007D7E88"/>
    <w:rsid w:val="007D7EFB"/>
    <w:rsid w:val="007E0014"/>
    <w:rsid w:val="007E004B"/>
    <w:rsid w:val="007E01AD"/>
    <w:rsid w:val="007E0300"/>
    <w:rsid w:val="007E0B43"/>
    <w:rsid w:val="007E13C0"/>
    <w:rsid w:val="007E1D1C"/>
    <w:rsid w:val="007E1D4D"/>
    <w:rsid w:val="007E29D9"/>
    <w:rsid w:val="007E2A2F"/>
    <w:rsid w:val="007E2C4E"/>
    <w:rsid w:val="007E3004"/>
    <w:rsid w:val="007E31F8"/>
    <w:rsid w:val="007E32AD"/>
    <w:rsid w:val="007E46C8"/>
    <w:rsid w:val="007E4844"/>
    <w:rsid w:val="007E4AD2"/>
    <w:rsid w:val="007E51C5"/>
    <w:rsid w:val="007E5687"/>
    <w:rsid w:val="007E5B74"/>
    <w:rsid w:val="007E62CE"/>
    <w:rsid w:val="007E63D0"/>
    <w:rsid w:val="007E64AF"/>
    <w:rsid w:val="007E70A6"/>
    <w:rsid w:val="007E71BB"/>
    <w:rsid w:val="007E71F6"/>
    <w:rsid w:val="007E7205"/>
    <w:rsid w:val="007E747A"/>
    <w:rsid w:val="007F0B83"/>
    <w:rsid w:val="007F101F"/>
    <w:rsid w:val="007F15A3"/>
    <w:rsid w:val="007F200A"/>
    <w:rsid w:val="007F227A"/>
    <w:rsid w:val="007F2CE8"/>
    <w:rsid w:val="007F317B"/>
    <w:rsid w:val="007F3CFC"/>
    <w:rsid w:val="007F40B7"/>
    <w:rsid w:val="007F4438"/>
    <w:rsid w:val="007F46A6"/>
    <w:rsid w:val="007F487D"/>
    <w:rsid w:val="007F48F0"/>
    <w:rsid w:val="007F5A12"/>
    <w:rsid w:val="007F5B37"/>
    <w:rsid w:val="007F6950"/>
    <w:rsid w:val="007F6954"/>
    <w:rsid w:val="007F7322"/>
    <w:rsid w:val="008000EB"/>
    <w:rsid w:val="00800126"/>
    <w:rsid w:val="008001E2"/>
    <w:rsid w:val="00800493"/>
    <w:rsid w:val="00801F57"/>
    <w:rsid w:val="00802001"/>
    <w:rsid w:val="008023FA"/>
    <w:rsid w:val="0080272E"/>
    <w:rsid w:val="008038EB"/>
    <w:rsid w:val="0080637B"/>
    <w:rsid w:val="008065F2"/>
    <w:rsid w:val="00806B81"/>
    <w:rsid w:val="00807482"/>
    <w:rsid w:val="008075E1"/>
    <w:rsid w:val="00807F31"/>
    <w:rsid w:val="008104F2"/>
    <w:rsid w:val="0081108E"/>
    <w:rsid w:val="0081141E"/>
    <w:rsid w:val="0081161D"/>
    <w:rsid w:val="00811F27"/>
    <w:rsid w:val="008126C0"/>
    <w:rsid w:val="008127C0"/>
    <w:rsid w:val="00812940"/>
    <w:rsid w:val="008133F3"/>
    <w:rsid w:val="00813469"/>
    <w:rsid w:val="0081354C"/>
    <w:rsid w:val="00813D6F"/>
    <w:rsid w:val="008142A6"/>
    <w:rsid w:val="008142BD"/>
    <w:rsid w:val="00816684"/>
    <w:rsid w:val="0081670D"/>
    <w:rsid w:val="00816B81"/>
    <w:rsid w:val="00816D59"/>
    <w:rsid w:val="00817981"/>
    <w:rsid w:val="00820C16"/>
    <w:rsid w:val="00820FF1"/>
    <w:rsid w:val="00821AAD"/>
    <w:rsid w:val="00822450"/>
    <w:rsid w:val="00822464"/>
    <w:rsid w:val="00822691"/>
    <w:rsid w:val="00822898"/>
    <w:rsid w:val="008231DF"/>
    <w:rsid w:val="008234C1"/>
    <w:rsid w:val="00823CAC"/>
    <w:rsid w:val="00824206"/>
    <w:rsid w:val="00824988"/>
    <w:rsid w:val="00824C0F"/>
    <w:rsid w:val="00825058"/>
    <w:rsid w:val="008251F0"/>
    <w:rsid w:val="008252A7"/>
    <w:rsid w:val="00825456"/>
    <w:rsid w:val="00827574"/>
    <w:rsid w:val="008302E5"/>
    <w:rsid w:val="0083095D"/>
    <w:rsid w:val="0083198D"/>
    <w:rsid w:val="00831D32"/>
    <w:rsid w:val="00831E07"/>
    <w:rsid w:val="008324C0"/>
    <w:rsid w:val="008328CC"/>
    <w:rsid w:val="00834203"/>
    <w:rsid w:val="00834382"/>
    <w:rsid w:val="008352F5"/>
    <w:rsid w:val="008355E9"/>
    <w:rsid w:val="00835804"/>
    <w:rsid w:val="00835EF3"/>
    <w:rsid w:val="00835FD2"/>
    <w:rsid w:val="0083669E"/>
    <w:rsid w:val="00836B91"/>
    <w:rsid w:val="008379B1"/>
    <w:rsid w:val="00837CBE"/>
    <w:rsid w:val="008403A5"/>
    <w:rsid w:val="008406ED"/>
    <w:rsid w:val="00840933"/>
    <w:rsid w:val="00840E75"/>
    <w:rsid w:val="008411E7"/>
    <w:rsid w:val="00841D4E"/>
    <w:rsid w:val="00841FFE"/>
    <w:rsid w:val="00842012"/>
    <w:rsid w:val="00842A34"/>
    <w:rsid w:val="00842F87"/>
    <w:rsid w:val="00843955"/>
    <w:rsid w:val="00843AF8"/>
    <w:rsid w:val="00843C35"/>
    <w:rsid w:val="0084476C"/>
    <w:rsid w:val="00844918"/>
    <w:rsid w:val="00844AF7"/>
    <w:rsid w:val="00844BF0"/>
    <w:rsid w:val="00844F2B"/>
    <w:rsid w:val="00845283"/>
    <w:rsid w:val="008452DE"/>
    <w:rsid w:val="0084549E"/>
    <w:rsid w:val="0084569E"/>
    <w:rsid w:val="0084583E"/>
    <w:rsid w:val="008458B1"/>
    <w:rsid w:val="00845E4D"/>
    <w:rsid w:val="00846141"/>
    <w:rsid w:val="00846ACF"/>
    <w:rsid w:val="00846CCC"/>
    <w:rsid w:val="008470A8"/>
    <w:rsid w:val="0084714F"/>
    <w:rsid w:val="00847273"/>
    <w:rsid w:val="0084771A"/>
    <w:rsid w:val="00847904"/>
    <w:rsid w:val="00850044"/>
    <w:rsid w:val="0085009B"/>
    <w:rsid w:val="00851284"/>
    <w:rsid w:val="00851922"/>
    <w:rsid w:val="0085193A"/>
    <w:rsid w:val="00851CE8"/>
    <w:rsid w:val="00851F67"/>
    <w:rsid w:val="008524B6"/>
    <w:rsid w:val="00852570"/>
    <w:rsid w:val="00852A21"/>
    <w:rsid w:val="00852D68"/>
    <w:rsid w:val="00852E16"/>
    <w:rsid w:val="00853568"/>
    <w:rsid w:val="00853B44"/>
    <w:rsid w:val="00853D44"/>
    <w:rsid w:val="00854013"/>
    <w:rsid w:val="0085413D"/>
    <w:rsid w:val="00854156"/>
    <w:rsid w:val="008546E4"/>
    <w:rsid w:val="00854AC7"/>
    <w:rsid w:val="00854B27"/>
    <w:rsid w:val="0085596D"/>
    <w:rsid w:val="00855C20"/>
    <w:rsid w:val="00856080"/>
    <w:rsid w:val="00856276"/>
    <w:rsid w:val="00856BAC"/>
    <w:rsid w:val="00857D49"/>
    <w:rsid w:val="00857D55"/>
    <w:rsid w:val="0086014C"/>
    <w:rsid w:val="008605E9"/>
    <w:rsid w:val="008615DF"/>
    <w:rsid w:val="00861A82"/>
    <w:rsid w:val="00861E6E"/>
    <w:rsid w:val="008621EA"/>
    <w:rsid w:val="008632AF"/>
    <w:rsid w:val="008640E4"/>
    <w:rsid w:val="0086450C"/>
    <w:rsid w:val="0086460D"/>
    <w:rsid w:val="0086470E"/>
    <w:rsid w:val="00864D90"/>
    <w:rsid w:val="00865BFA"/>
    <w:rsid w:val="00865EF1"/>
    <w:rsid w:val="008662CF"/>
    <w:rsid w:val="00866974"/>
    <w:rsid w:val="00866B4F"/>
    <w:rsid w:val="00866E2B"/>
    <w:rsid w:val="00867B79"/>
    <w:rsid w:val="00867E81"/>
    <w:rsid w:val="0087022F"/>
    <w:rsid w:val="0087064C"/>
    <w:rsid w:val="00870B10"/>
    <w:rsid w:val="00870BBC"/>
    <w:rsid w:val="008717E2"/>
    <w:rsid w:val="008719A6"/>
    <w:rsid w:val="008719E2"/>
    <w:rsid w:val="00871B3E"/>
    <w:rsid w:val="008724E0"/>
    <w:rsid w:val="00872946"/>
    <w:rsid w:val="0087340A"/>
    <w:rsid w:val="008738B4"/>
    <w:rsid w:val="00873AF6"/>
    <w:rsid w:val="00873C22"/>
    <w:rsid w:val="00874A21"/>
    <w:rsid w:val="00874F89"/>
    <w:rsid w:val="008751FF"/>
    <w:rsid w:val="00875877"/>
    <w:rsid w:val="00875AE1"/>
    <w:rsid w:val="00875EF6"/>
    <w:rsid w:val="00876B33"/>
    <w:rsid w:val="008772EC"/>
    <w:rsid w:val="00877434"/>
    <w:rsid w:val="00877727"/>
    <w:rsid w:val="008779A7"/>
    <w:rsid w:val="00880057"/>
    <w:rsid w:val="00880805"/>
    <w:rsid w:val="00880CB9"/>
    <w:rsid w:val="00881530"/>
    <w:rsid w:val="00881C85"/>
    <w:rsid w:val="008841DD"/>
    <w:rsid w:val="008845E0"/>
    <w:rsid w:val="0088461A"/>
    <w:rsid w:val="0088476C"/>
    <w:rsid w:val="008849C9"/>
    <w:rsid w:val="00884DEB"/>
    <w:rsid w:val="008851CF"/>
    <w:rsid w:val="008857FA"/>
    <w:rsid w:val="00887271"/>
    <w:rsid w:val="00891ACD"/>
    <w:rsid w:val="00891C02"/>
    <w:rsid w:val="008929E0"/>
    <w:rsid w:val="00892A0D"/>
    <w:rsid w:val="00892B2C"/>
    <w:rsid w:val="00892D9D"/>
    <w:rsid w:val="0089314D"/>
    <w:rsid w:val="008933A4"/>
    <w:rsid w:val="00894202"/>
    <w:rsid w:val="0089457D"/>
    <w:rsid w:val="00894F68"/>
    <w:rsid w:val="00895288"/>
    <w:rsid w:val="00895657"/>
    <w:rsid w:val="00895BB3"/>
    <w:rsid w:val="00896E36"/>
    <w:rsid w:val="00897C52"/>
    <w:rsid w:val="008A059E"/>
    <w:rsid w:val="008A05C9"/>
    <w:rsid w:val="008A064A"/>
    <w:rsid w:val="008A12FF"/>
    <w:rsid w:val="008A1560"/>
    <w:rsid w:val="008A1670"/>
    <w:rsid w:val="008A2517"/>
    <w:rsid w:val="008A277C"/>
    <w:rsid w:val="008A2C50"/>
    <w:rsid w:val="008A31C9"/>
    <w:rsid w:val="008A38C8"/>
    <w:rsid w:val="008A3924"/>
    <w:rsid w:val="008A4379"/>
    <w:rsid w:val="008A5257"/>
    <w:rsid w:val="008A5C68"/>
    <w:rsid w:val="008A6DCB"/>
    <w:rsid w:val="008A6FB9"/>
    <w:rsid w:val="008A7225"/>
    <w:rsid w:val="008A7234"/>
    <w:rsid w:val="008A7AF9"/>
    <w:rsid w:val="008A7CAF"/>
    <w:rsid w:val="008B000C"/>
    <w:rsid w:val="008B0C2C"/>
    <w:rsid w:val="008B10ED"/>
    <w:rsid w:val="008B1A4F"/>
    <w:rsid w:val="008B1C36"/>
    <w:rsid w:val="008B277F"/>
    <w:rsid w:val="008B2A12"/>
    <w:rsid w:val="008B2BC8"/>
    <w:rsid w:val="008B31D7"/>
    <w:rsid w:val="008B3267"/>
    <w:rsid w:val="008B3D6E"/>
    <w:rsid w:val="008B3EE3"/>
    <w:rsid w:val="008B3F6A"/>
    <w:rsid w:val="008B440B"/>
    <w:rsid w:val="008B57C3"/>
    <w:rsid w:val="008B5AB5"/>
    <w:rsid w:val="008B5AE7"/>
    <w:rsid w:val="008B5FBC"/>
    <w:rsid w:val="008B6713"/>
    <w:rsid w:val="008B6755"/>
    <w:rsid w:val="008B67AC"/>
    <w:rsid w:val="008B685F"/>
    <w:rsid w:val="008B6898"/>
    <w:rsid w:val="008B6A00"/>
    <w:rsid w:val="008B71EA"/>
    <w:rsid w:val="008B79FF"/>
    <w:rsid w:val="008B7A01"/>
    <w:rsid w:val="008C014F"/>
    <w:rsid w:val="008C04F2"/>
    <w:rsid w:val="008C0DB3"/>
    <w:rsid w:val="008C2435"/>
    <w:rsid w:val="008C2570"/>
    <w:rsid w:val="008C312F"/>
    <w:rsid w:val="008C3F18"/>
    <w:rsid w:val="008C44EC"/>
    <w:rsid w:val="008C4BCA"/>
    <w:rsid w:val="008C5663"/>
    <w:rsid w:val="008C58B1"/>
    <w:rsid w:val="008C5D29"/>
    <w:rsid w:val="008C5DBC"/>
    <w:rsid w:val="008C66DB"/>
    <w:rsid w:val="008C68B5"/>
    <w:rsid w:val="008C6F69"/>
    <w:rsid w:val="008C762F"/>
    <w:rsid w:val="008C774E"/>
    <w:rsid w:val="008C7A37"/>
    <w:rsid w:val="008D04CC"/>
    <w:rsid w:val="008D0719"/>
    <w:rsid w:val="008D0E06"/>
    <w:rsid w:val="008D101D"/>
    <w:rsid w:val="008D1DC1"/>
    <w:rsid w:val="008D26DF"/>
    <w:rsid w:val="008D2719"/>
    <w:rsid w:val="008D2AE1"/>
    <w:rsid w:val="008D34B8"/>
    <w:rsid w:val="008D34F2"/>
    <w:rsid w:val="008D4D3A"/>
    <w:rsid w:val="008D4E75"/>
    <w:rsid w:val="008D5BA2"/>
    <w:rsid w:val="008D710D"/>
    <w:rsid w:val="008D7117"/>
    <w:rsid w:val="008D71B9"/>
    <w:rsid w:val="008D753A"/>
    <w:rsid w:val="008E020E"/>
    <w:rsid w:val="008E1850"/>
    <w:rsid w:val="008E1C68"/>
    <w:rsid w:val="008E1FFB"/>
    <w:rsid w:val="008E20EF"/>
    <w:rsid w:val="008E348A"/>
    <w:rsid w:val="008E46F3"/>
    <w:rsid w:val="008E4DAD"/>
    <w:rsid w:val="008E5B12"/>
    <w:rsid w:val="008E5C08"/>
    <w:rsid w:val="008E5CE4"/>
    <w:rsid w:val="008E6566"/>
    <w:rsid w:val="008E65AE"/>
    <w:rsid w:val="008E6F32"/>
    <w:rsid w:val="008E7235"/>
    <w:rsid w:val="008E7450"/>
    <w:rsid w:val="008E7C0F"/>
    <w:rsid w:val="008F06D4"/>
    <w:rsid w:val="008F113A"/>
    <w:rsid w:val="008F19CD"/>
    <w:rsid w:val="008F19FF"/>
    <w:rsid w:val="008F2873"/>
    <w:rsid w:val="008F3EDB"/>
    <w:rsid w:val="008F433A"/>
    <w:rsid w:val="008F48ED"/>
    <w:rsid w:val="008F4C5F"/>
    <w:rsid w:val="008F4F4E"/>
    <w:rsid w:val="008F5700"/>
    <w:rsid w:val="008F5E86"/>
    <w:rsid w:val="008F7810"/>
    <w:rsid w:val="008F7DE8"/>
    <w:rsid w:val="00900592"/>
    <w:rsid w:val="00901022"/>
    <w:rsid w:val="00901A15"/>
    <w:rsid w:val="00901D4D"/>
    <w:rsid w:val="00901DB4"/>
    <w:rsid w:val="00902300"/>
    <w:rsid w:val="0090232F"/>
    <w:rsid w:val="00902CEA"/>
    <w:rsid w:val="0090311C"/>
    <w:rsid w:val="00903BB9"/>
    <w:rsid w:val="00903E0F"/>
    <w:rsid w:val="009041A3"/>
    <w:rsid w:val="009049B9"/>
    <w:rsid w:val="00904F60"/>
    <w:rsid w:val="00905010"/>
    <w:rsid w:val="009052A4"/>
    <w:rsid w:val="0090573A"/>
    <w:rsid w:val="009067C4"/>
    <w:rsid w:val="00906BD2"/>
    <w:rsid w:val="00906C20"/>
    <w:rsid w:val="00906D7F"/>
    <w:rsid w:val="009071A6"/>
    <w:rsid w:val="0091047F"/>
    <w:rsid w:val="0091060B"/>
    <w:rsid w:val="00910717"/>
    <w:rsid w:val="00910AE9"/>
    <w:rsid w:val="00911549"/>
    <w:rsid w:val="00911691"/>
    <w:rsid w:val="0091193F"/>
    <w:rsid w:val="00911C3D"/>
    <w:rsid w:val="00911E6D"/>
    <w:rsid w:val="009129BC"/>
    <w:rsid w:val="00913181"/>
    <w:rsid w:val="00913C09"/>
    <w:rsid w:val="00913E49"/>
    <w:rsid w:val="00913E6B"/>
    <w:rsid w:val="0091421B"/>
    <w:rsid w:val="00914C12"/>
    <w:rsid w:val="00914E19"/>
    <w:rsid w:val="00915061"/>
    <w:rsid w:val="009153E8"/>
    <w:rsid w:val="00915BE8"/>
    <w:rsid w:val="00915C4F"/>
    <w:rsid w:val="00915DB2"/>
    <w:rsid w:val="00915F5B"/>
    <w:rsid w:val="00916204"/>
    <w:rsid w:val="00916B21"/>
    <w:rsid w:val="00917585"/>
    <w:rsid w:val="0092018C"/>
    <w:rsid w:val="009208CB"/>
    <w:rsid w:val="009209B3"/>
    <w:rsid w:val="0092101F"/>
    <w:rsid w:val="00921066"/>
    <w:rsid w:val="0092119C"/>
    <w:rsid w:val="009211AF"/>
    <w:rsid w:val="0092165E"/>
    <w:rsid w:val="00921DD2"/>
    <w:rsid w:val="00922060"/>
    <w:rsid w:val="009220D0"/>
    <w:rsid w:val="009220F6"/>
    <w:rsid w:val="00922ACE"/>
    <w:rsid w:val="0092369D"/>
    <w:rsid w:val="009236EC"/>
    <w:rsid w:val="00924D6C"/>
    <w:rsid w:val="00924DAA"/>
    <w:rsid w:val="00925C1A"/>
    <w:rsid w:val="00925EC4"/>
    <w:rsid w:val="00926641"/>
    <w:rsid w:val="0092735B"/>
    <w:rsid w:val="009274F8"/>
    <w:rsid w:val="00927589"/>
    <w:rsid w:val="009277B6"/>
    <w:rsid w:val="00927F66"/>
    <w:rsid w:val="00931429"/>
    <w:rsid w:val="00931965"/>
    <w:rsid w:val="00931A9B"/>
    <w:rsid w:val="0093230F"/>
    <w:rsid w:val="00932B1F"/>
    <w:rsid w:val="00932B67"/>
    <w:rsid w:val="00932EB8"/>
    <w:rsid w:val="00933055"/>
    <w:rsid w:val="00933CBE"/>
    <w:rsid w:val="00933FA6"/>
    <w:rsid w:val="00934F92"/>
    <w:rsid w:val="00935010"/>
    <w:rsid w:val="0093557D"/>
    <w:rsid w:val="00936624"/>
    <w:rsid w:val="0093693A"/>
    <w:rsid w:val="00936D27"/>
    <w:rsid w:val="00936EBB"/>
    <w:rsid w:val="0093706A"/>
    <w:rsid w:val="00937CD3"/>
    <w:rsid w:val="00940288"/>
    <w:rsid w:val="00940473"/>
    <w:rsid w:val="00940F47"/>
    <w:rsid w:val="00941020"/>
    <w:rsid w:val="009413B5"/>
    <w:rsid w:val="009425BB"/>
    <w:rsid w:val="00942D7A"/>
    <w:rsid w:val="0094351C"/>
    <w:rsid w:val="00943916"/>
    <w:rsid w:val="00944A67"/>
    <w:rsid w:val="00944F20"/>
    <w:rsid w:val="00944FB0"/>
    <w:rsid w:val="00944FE1"/>
    <w:rsid w:val="009450A2"/>
    <w:rsid w:val="009458EE"/>
    <w:rsid w:val="00945F3F"/>
    <w:rsid w:val="0094633F"/>
    <w:rsid w:val="009463BE"/>
    <w:rsid w:val="00947FA4"/>
    <w:rsid w:val="0095013E"/>
    <w:rsid w:val="0095015F"/>
    <w:rsid w:val="009501D3"/>
    <w:rsid w:val="00950E30"/>
    <w:rsid w:val="00951050"/>
    <w:rsid w:val="00951E52"/>
    <w:rsid w:val="009530E8"/>
    <w:rsid w:val="009534D5"/>
    <w:rsid w:val="00954010"/>
    <w:rsid w:val="0095419D"/>
    <w:rsid w:val="009542D9"/>
    <w:rsid w:val="0095477A"/>
    <w:rsid w:val="00954DDA"/>
    <w:rsid w:val="00955AEE"/>
    <w:rsid w:val="00955D41"/>
    <w:rsid w:val="00955FFB"/>
    <w:rsid w:val="0095622F"/>
    <w:rsid w:val="00956AF3"/>
    <w:rsid w:val="00956BB8"/>
    <w:rsid w:val="00956C9F"/>
    <w:rsid w:val="00956DC5"/>
    <w:rsid w:val="0095773C"/>
    <w:rsid w:val="009610A4"/>
    <w:rsid w:val="00961C75"/>
    <w:rsid w:val="00961DD6"/>
    <w:rsid w:val="0096215B"/>
    <w:rsid w:val="00962317"/>
    <w:rsid w:val="00962B86"/>
    <w:rsid w:val="00962BCE"/>
    <w:rsid w:val="00962ED9"/>
    <w:rsid w:val="009633E5"/>
    <w:rsid w:val="009635D5"/>
    <w:rsid w:val="00963760"/>
    <w:rsid w:val="00963AE1"/>
    <w:rsid w:val="00963BE7"/>
    <w:rsid w:val="00963E19"/>
    <w:rsid w:val="00964435"/>
    <w:rsid w:val="00964756"/>
    <w:rsid w:val="009652B8"/>
    <w:rsid w:val="009661A7"/>
    <w:rsid w:val="0096629B"/>
    <w:rsid w:val="009665A0"/>
    <w:rsid w:val="0096689D"/>
    <w:rsid w:val="00966A4B"/>
    <w:rsid w:val="00966B50"/>
    <w:rsid w:val="00967007"/>
    <w:rsid w:val="009678D9"/>
    <w:rsid w:val="00967AE7"/>
    <w:rsid w:val="0097199C"/>
    <w:rsid w:val="00971F36"/>
    <w:rsid w:val="00971FFB"/>
    <w:rsid w:val="00972137"/>
    <w:rsid w:val="00972657"/>
    <w:rsid w:val="009731A8"/>
    <w:rsid w:val="00973371"/>
    <w:rsid w:val="009735F0"/>
    <w:rsid w:val="0097415A"/>
    <w:rsid w:val="00974568"/>
    <w:rsid w:val="00974659"/>
    <w:rsid w:val="00974A63"/>
    <w:rsid w:val="009755A4"/>
    <w:rsid w:val="00975E83"/>
    <w:rsid w:val="00975F8C"/>
    <w:rsid w:val="00976052"/>
    <w:rsid w:val="009760FB"/>
    <w:rsid w:val="00977020"/>
    <w:rsid w:val="009771E2"/>
    <w:rsid w:val="009775F2"/>
    <w:rsid w:val="00977AF3"/>
    <w:rsid w:val="00977C21"/>
    <w:rsid w:val="00977F92"/>
    <w:rsid w:val="00980E23"/>
    <w:rsid w:val="00980F91"/>
    <w:rsid w:val="00981111"/>
    <w:rsid w:val="0098112F"/>
    <w:rsid w:val="009816B3"/>
    <w:rsid w:val="00981D5E"/>
    <w:rsid w:val="009828BD"/>
    <w:rsid w:val="0098290B"/>
    <w:rsid w:val="00983A2D"/>
    <w:rsid w:val="00983EE2"/>
    <w:rsid w:val="009847AA"/>
    <w:rsid w:val="0098517D"/>
    <w:rsid w:val="00985A1D"/>
    <w:rsid w:val="00985A3A"/>
    <w:rsid w:val="00985FDA"/>
    <w:rsid w:val="00986F14"/>
    <w:rsid w:val="0098791B"/>
    <w:rsid w:val="00987B96"/>
    <w:rsid w:val="00987DD9"/>
    <w:rsid w:val="00987FB6"/>
    <w:rsid w:val="00990B69"/>
    <w:rsid w:val="00990DA7"/>
    <w:rsid w:val="00990FB7"/>
    <w:rsid w:val="00991779"/>
    <w:rsid w:val="009927FB"/>
    <w:rsid w:val="00992B15"/>
    <w:rsid w:val="00993134"/>
    <w:rsid w:val="00993159"/>
    <w:rsid w:val="00993301"/>
    <w:rsid w:val="0099390B"/>
    <w:rsid w:val="00993A0F"/>
    <w:rsid w:val="00994EEB"/>
    <w:rsid w:val="009953F5"/>
    <w:rsid w:val="00995657"/>
    <w:rsid w:val="00996075"/>
    <w:rsid w:val="00996696"/>
    <w:rsid w:val="009968C9"/>
    <w:rsid w:val="00996EA3"/>
    <w:rsid w:val="00997577"/>
    <w:rsid w:val="00997683"/>
    <w:rsid w:val="009A0335"/>
    <w:rsid w:val="009A0C35"/>
    <w:rsid w:val="009A130E"/>
    <w:rsid w:val="009A15C9"/>
    <w:rsid w:val="009A214A"/>
    <w:rsid w:val="009A2338"/>
    <w:rsid w:val="009A2784"/>
    <w:rsid w:val="009A291B"/>
    <w:rsid w:val="009A2A65"/>
    <w:rsid w:val="009A2E53"/>
    <w:rsid w:val="009A359C"/>
    <w:rsid w:val="009A365D"/>
    <w:rsid w:val="009A3A6D"/>
    <w:rsid w:val="009A4715"/>
    <w:rsid w:val="009A4850"/>
    <w:rsid w:val="009A4C4C"/>
    <w:rsid w:val="009A5246"/>
    <w:rsid w:val="009A543D"/>
    <w:rsid w:val="009A5442"/>
    <w:rsid w:val="009A5845"/>
    <w:rsid w:val="009A584F"/>
    <w:rsid w:val="009A6038"/>
    <w:rsid w:val="009A60A4"/>
    <w:rsid w:val="009A674A"/>
    <w:rsid w:val="009A68F8"/>
    <w:rsid w:val="009A6B45"/>
    <w:rsid w:val="009A7186"/>
    <w:rsid w:val="009A7202"/>
    <w:rsid w:val="009A729A"/>
    <w:rsid w:val="009A73D0"/>
    <w:rsid w:val="009A7A82"/>
    <w:rsid w:val="009A7C8D"/>
    <w:rsid w:val="009B02BD"/>
    <w:rsid w:val="009B077F"/>
    <w:rsid w:val="009B279F"/>
    <w:rsid w:val="009B2BDF"/>
    <w:rsid w:val="009B3D27"/>
    <w:rsid w:val="009B3EC6"/>
    <w:rsid w:val="009B47E4"/>
    <w:rsid w:val="009B4888"/>
    <w:rsid w:val="009B4A3E"/>
    <w:rsid w:val="009B4AAE"/>
    <w:rsid w:val="009B4BC7"/>
    <w:rsid w:val="009B5185"/>
    <w:rsid w:val="009B5214"/>
    <w:rsid w:val="009B54C9"/>
    <w:rsid w:val="009B5974"/>
    <w:rsid w:val="009B59E9"/>
    <w:rsid w:val="009B5B10"/>
    <w:rsid w:val="009B627B"/>
    <w:rsid w:val="009B710F"/>
    <w:rsid w:val="009B752C"/>
    <w:rsid w:val="009B7638"/>
    <w:rsid w:val="009B7675"/>
    <w:rsid w:val="009B78ED"/>
    <w:rsid w:val="009B7927"/>
    <w:rsid w:val="009B79F4"/>
    <w:rsid w:val="009B7F5C"/>
    <w:rsid w:val="009C03B3"/>
    <w:rsid w:val="009C042E"/>
    <w:rsid w:val="009C0FC9"/>
    <w:rsid w:val="009C10F3"/>
    <w:rsid w:val="009C18A5"/>
    <w:rsid w:val="009C19F4"/>
    <w:rsid w:val="009C22FA"/>
    <w:rsid w:val="009C2BE8"/>
    <w:rsid w:val="009C31C5"/>
    <w:rsid w:val="009C3323"/>
    <w:rsid w:val="009C3711"/>
    <w:rsid w:val="009C3B51"/>
    <w:rsid w:val="009C4B7A"/>
    <w:rsid w:val="009C5BB0"/>
    <w:rsid w:val="009C5F0C"/>
    <w:rsid w:val="009C5FBA"/>
    <w:rsid w:val="009C6D74"/>
    <w:rsid w:val="009C756F"/>
    <w:rsid w:val="009C7E67"/>
    <w:rsid w:val="009D02D9"/>
    <w:rsid w:val="009D17AA"/>
    <w:rsid w:val="009D1EDC"/>
    <w:rsid w:val="009D21A1"/>
    <w:rsid w:val="009D2455"/>
    <w:rsid w:val="009D26BE"/>
    <w:rsid w:val="009D2C04"/>
    <w:rsid w:val="009D303F"/>
    <w:rsid w:val="009D3149"/>
    <w:rsid w:val="009D43ED"/>
    <w:rsid w:val="009D48C9"/>
    <w:rsid w:val="009D513E"/>
    <w:rsid w:val="009D5616"/>
    <w:rsid w:val="009D5895"/>
    <w:rsid w:val="009D58D0"/>
    <w:rsid w:val="009D619C"/>
    <w:rsid w:val="009D67B9"/>
    <w:rsid w:val="009D699E"/>
    <w:rsid w:val="009D703D"/>
    <w:rsid w:val="009D709B"/>
    <w:rsid w:val="009D7A05"/>
    <w:rsid w:val="009D7EDB"/>
    <w:rsid w:val="009E008A"/>
    <w:rsid w:val="009E1401"/>
    <w:rsid w:val="009E1682"/>
    <w:rsid w:val="009E1829"/>
    <w:rsid w:val="009E211C"/>
    <w:rsid w:val="009E25A6"/>
    <w:rsid w:val="009E261B"/>
    <w:rsid w:val="009E3BB8"/>
    <w:rsid w:val="009E416F"/>
    <w:rsid w:val="009E47CE"/>
    <w:rsid w:val="009E4D3A"/>
    <w:rsid w:val="009E4FE4"/>
    <w:rsid w:val="009E51AA"/>
    <w:rsid w:val="009E540C"/>
    <w:rsid w:val="009E59FA"/>
    <w:rsid w:val="009E5DB8"/>
    <w:rsid w:val="009E5ED0"/>
    <w:rsid w:val="009E7885"/>
    <w:rsid w:val="009E7FAB"/>
    <w:rsid w:val="009F0111"/>
    <w:rsid w:val="009F19C0"/>
    <w:rsid w:val="009F1E13"/>
    <w:rsid w:val="009F23E1"/>
    <w:rsid w:val="009F27F8"/>
    <w:rsid w:val="009F3C4B"/>
    <w:rsid w:val="009F4129"/>
    <w:rsid w:val="009F525A"/>
    <w:rsid w:val="009F52CE"/>
    <w:rsid w:val="009F582C"/>
    <w:rsid w:val="009F59DD"/>
    <w:rsid w:val="009F5D0F"/>
    <w:rsid w:val="009F62CF"/>
    <w:rsid w:val="009F6F95"/>
    <w:rsid w:val="00A00B7C"/>
    <w:rsid w:val="00A00DCD"/>
    <w:rsid w:val="00A01BFD"/>
    <w:rsid w:val="00A027C1"/>
    <w:rsid w:val="00A02F35"/>
    <w:rsid w:val="00A03340"/>
    <w:rsid w:val="00A0415F"/>
    <w:rsid w:val="00A04E48"/>
    <w:rsid w:val="00A055B4"/>
    <w:rsid w:val="00A05EF5"/>
    <w:rsid w:val="00A0673E"/>
    <w:rsid w:val="00A0676B"/>
    <w:rsid w:val="00A069AF"/>
    <w:rsid w:val="00A06A79"/>
    <w:rsid w:val="00A06A98"/>
    <w:rsid w:val="00A06D8E"/>
    <w:rsid w:val="00A077DA"/>
    <w:rsid w:val="00A10689"/>
    <w:rsid w:val="00A106DD"/>
    <w:rsid w:val="00A116DA"/>
    <w:rsid w:val="00A1330B"/>
    <w:rsid w:val="00A13E08"/>
    <w:rsid w:val="00A13E59"/>
    <w:rsid w:val="00A142EC"/>
    <w:rsid w:val="00A142FF"/>
    <w:rsid w:val="00A14869"/>
    <w:rsid w:val="00A14ADB"/>
    <w:rsid w:val="00A14D7D"/>
    <w:rsid w:val="00A14F71"/>
    <w:rsid w:val="00A15723"/>
    <w:rsid w:val="00A15AAC"/>
    <w:rsid w:val="00A16088"/>
    <w:rsid w:val="00A1674C"/>
    <w:rsid w:val="00A16752"/>
    <w:rsid w:val="00A17957"/>
    <w:rsid w:val="00A179AB"/>
    <w:rsid w:val="00A17DC9"/>
    <w:rsid w:val="00A17DD2"/>
    <w:rsid w:val="00A20474"/>
    <w:rsid w:val="00A2131C"/>
    <w:rsid w:val="00A216D2"/>
    <w:rsid w:val="00A21948"/>
    <w:rsid w:val="00A21A68"/>
    <w:rsid w:val="00A22104"/>
    <w:rsid w:val="00A226B5"/>
    <w:rsid w:val="00A22B15"/>
    <w:rsid w:val="00A22ED7"/>
    <w:rsid w:val="00A236B5"/>
    <w:rsid w:val="00A23A97"/>
    <w:rsid w:val="00A23D54"/>
    <w:rsid w:val="00A2543C"/>
    <w:rsid w:val="00A25567"/>
    <w:rsid w:val="00A25751"/>
    <w:rsid w:val="00A259D6"/>
    <w:rsid w:val="00A26208"/>
    <w:rsid w:val="00A2688E"/>
    <w:rsid w:val="00A269C3"/>
    <w:rsid w:val="00A26AC8"/>
    <w:rsid w:val="00A26DF2"/>
    <w:rsid w:val="00A27372"/>
    <w:rsid w:val="00A274B7"/>
    <w:rsid w:val="00A278D6"/>
    <w:rsid w:val="00A27A20"/>
    <w:rsid w:val="00A27BE3"/>
    <w:rsid w:val="00A31A70"/>
    <w:rsid w:val="00A31C16"/>
    <w:rsid w:val="00A31D5F"/>
    <w:rsid w:val="00A32EFC"/>
    <w:rsid w:val="00A32F8E"/>
    <w:rsid w:val="00A33A55"/>
    <w:rsid w:val="00A3465E"/>
    <w:rsid w:val="00A34796"/>
    <w:rsid w:val="00A34DF9"/>
    <w:rsid w:val="00A36EE2"/>
    <w:rsid w:val="00A36F1D"/>
    <w:rsid w:val="00A36FC6"/>
    <w:rsid w:val="00A37390"/>
    <w:rsid w:val="00A3745F"/>
    <w:rsid w:val="00A374AF"/>
    <w:rsid w:val="00A37A87"/>
    <w:rsid w:val="00A37B07"/>
    <w:rsid w:val="00A37E2E"/>
    <w:rsid w:val="00A401F9"/>
    <w:rsid w:val="00A4036C"/>
    <w:rsid w:val="00A405A2"/>
    <w:rsid w:val="00A40978"/>
    <w:rsid w:val="00A41EA8"/>
    <w:rsid w:val="00A41F92"/>
    <w:rsid w:val="00A42041"/>
    <w:rsid w:val="00A42B26"/>
    <w:rsid w:val="00A42E23"/>
    <w:rsid w:val="00A42EA9"/>
    <w:rsid w:val="00A45185"/>
    <w:rsid w:val="00A456CC"/>
    <w:rsid w:val="00A4590B"/>
    <w:rsid w:val="00A463E4"/>
    <w:rsid w:val="00A46F21"/>
    <w:rsid w:val="00A47083"/>
    <w:rsid w:val="00A4748F"/>
    <w:rsid w:val="00A476EC"/>
    <w:rsid w:val="00A47F14"/>
    <w:rsid w:val="00A50264"/>
    <w:rsid w:val="00A5197C"/>
    <w:rsid w:val="00A51DE0"/>
    <w:rsid w:val="00A52569"/>
    <w:rsid w:val="00A52764"/>
    <w:rsid w:val="00A52AE0"/>
    <w:rsid w:val="00A52E9D"/>
    <w:rsid w:val="00A554FF"/>
    <w:rsid w:val="00A55995"/>
    <w:rsid w:val="00A56AF1"/>
    <w:rsid w:val="00A5701D"/>
    <w:rsid w:val="00A57106"/>
    <w:rsid w:val="00A60AFA"/>
    <w:rsid w:val="00A61380"/>
    <w:rsid w:val="00A615F8"/>
    <w:rsid w:val="00A616B2"/>
    <w:rsid w:val="00A61849"/>
    <w:rsid w:val="00A61C41"/>
    <w:rsid w:val="00A63A1C"/>
    <w:rsid w:val="00A63D1E"/>
    <w:rsid w:val="00A6458D"/>
    <w:rsid w:val="00A647F9"/>
    <w:rsid w:val="00A64D6B"/>
    <w:rsid w:val="00A668FC"/>
    <w:rsid w:val="00A66C8D"/>
    <w:rsid w:val="00A67A93"/>
    <w:rsid w:val="00A67D62"/>
    <w:rsid w:val="00A67DF6"/>
    <w:rsid w:val="00A7112C"/>
    <w:rsid w:val="00A711C2"/>
    <w:rsid w:val="00A7122E"/>
    <w:rsid w:val="00A7137C"/>
    <w:rsid w:val="00A71670"/>
    <w:rsid w:val="00A71A19"/>
    <w:rsid w:val="00A71BC0"/>
    <w:rsid w:val="00A722C2"/>
    <w:rsid w:val="00A72435"/>
    <w:rsid w:val="00A72FD9"/>
    <w:rsid w:val="00A73613"/>
    <w:rsid w:val="00A736B7"/>
    <w:rsid w:val="00A74CA2"/>
    <w:rsid w:val="00A755B6"/>
    <w:rsid w:val="00A75801"/>
    <w:rsid w:val="00A764B5"/>
    <w:rsid w:val="00A77332"/>
    <w:rsid w:val="00A77AF3"/>
    <w:rsid w:val="00A77BAC"/>
    <w:rsid w:val="00A80287"/>
    <w:rsid w:val="00A80302"/>
    <w:rsid w:val="00A804AA"/>
    <w:rsid w:val="00A8091F"/>
    <w:rsid w:val="00A81552"/>
    <w:rsid w:val="00A81838"/>
    <w:rsid w:val="00A81DEB"/>
    <w:rsid w:val="00A8293E"/>
    <w:rsid w:val="00A83225"/>
    <w:rsid w:val="00A832F4"/>
    <w:rsid w:val="00A83785"/>
    <w:rsid w:val="00A83DCE"/>
    <w:rsid w:val="00A84007"/>
    <w:rsid w:val="00A84717"/>
    <w:rsid w:val="00A84FC8"/>
    <w:rsid w:val="00A857FC"/>
    <w:rsid w:val="00A85A76"/>
    <w:rsid w:val="00A85D2A"/>
    <w:rsid w:val="00A8660B"/>
    <w:rsid w:val="00A8669C"/>
    <w:rsid w:val="00A868BC"/>
    <w:rsid w:val="00A87423"/>
    <w:rsid w:val="00A87AC5"/>
    <w:rsid w:val="00A87F0F"/>
    <w:rsid w:val="00A900BF"/>
    <w:rsid w:val="00A90F90"/>
    <w:rsid w:val="00A910E0"/>
    <w:rsid w:val="00A9110F"/>
    <w:rsid w:val="00A913AE"/>
    <w:rsid w:val="00A91AD0"/>
    <w:rsid w:val="00A91C32"/>
    <w:rsid w:val="00A9324F"/>
    <w:rsid w:val="00A93E12"/>
    <w:rsid w:val="00A95037"/>
    <w:rsid w:val="00A95843"/>
    <w:rsid w:val="00A95C43"/>
    <w:rsid w:val="00A95E7F"/>
    <w:rsid w:val="00A960C9"/>
    <w:rsid w:val="00A9642E"/>
    <w:rsid w:val="00A96F85"/>
    <w:rsid w:val="00A973E4"/>
    <w:rsid w:val="00A97D87"/>
    <w:rsid w:val="00A97ECA"/>
    <w:rsid w:val="00AA09C8"/>
    <w:rsid w:val="00AA0F4D"/>
    <w:rsid w:val="00AA0F8C"/>
    <w:rsid w:val="00AA1979"/>
    <w:rsid w:val="00AA2BE8"/>
    <w:rsid w:val="00AA3003"/>
    <w:rsid w:val="00AA3516"/>
    <w:rsid w:val="00AA3793"/>
    <w:rsid w:val="00AA37B8"/>
    <w:rsid w:val="00AA3CA6"/>
    <w:rsid w:val="00AA4BBF"/>
    <w:rsid w:val="00AA4DA2"/>
    <w:rsid w:val="00AA6A4C"/>
    <w:rsid w:val="00AA6FB3"/>
    <w:rsid w:val="00AA711F"/>
    <w:rsid w:val="00AB0964"/>
    <w:rsid w:val="00AB0C21"/>
    <w:rsid w:val="00AB127B"/>
    <w:rsid w:val="00AB18FB"/>
    <w:rsid w:val="00AB215D"/>
    <w:rsid w:val="00AB25F1"/>
    <w:rsid w:val="00AB2836"/>
    <w:rsid w:val="00AB2C2A"/>
    <w:rsid w:val="00AB2D09"/>
    <w:rsid w:val="00AB3CDA"/>
    <w:rsid w:val="00AB4088"/>
    <w:rsid w:val="00AB419C"/>
    <w:rsid w:val="00AB430A"/>
    <w:rsid w:val="00AB44ED"/>
    <w:rsid w:val="00AB49EA"/>
    <w:rsid w:val="00AB5027"/>
    <w:rsid w:val="00AB530B"/>
    <w:rsid w:val="00AB6F00"/>
    <w:rsid w:val="00AB6FF3"/>
    <w:rsid w:val="00AB74F7"/>
    <w:rsid w:val="00AB757D"/>
    <w:rsid w:val="00AB775F"/>
    <w:rsid w:val="00AB7B94"/>
    <w:rsid w:val="00AB7C39"/>
    <w:rsid w:val="00AC064B"/>
    <w:rsid w:val="00AC11CE"/>
    <w:rsid w:val="00AC1AC1"/>
    <w:rsid w:val="00AC2AD0"/>
    <w:rsid w:val="00AC3773"/>
    <w:rsid w:val="00AC3A37"/>
    <w:rsid w:val="00AC3AB9"/>
    <w:rsid w:val="00AC3ACF"/>
    <w:rsid w:val="00AC45C0"/>
    <w:rsid w:val="00AC544B"/>
    <w:rsid w:val="00AC587D"/>
    <w:rsid w:val="00AC6105"/>
    <w:rsid w:val="00AC6152"/>
    <w:rsid w:val="00AC6282"/>
    <w:rsid w:val="00AC6840"/>
    <w:rsid w:val="00AC6A4E"/>
    <w:rsid w:val="00AC6A5E"/>
    <w:rsid w:val="00AC6A7E"/>
    <w:rsid w:val="00AC7211"/>
    <w:rsid w:val="00AC7A49"/>
    <w:rsid w:val="00AC7D5A"/>
    <w:rsid w:val="00AD0559"/>
    <w:rsid w:val="00AD06E0"/>
    <w:rsid w:val="00AD07BC"/>
    <w:rsid w:val="00AD19A7"/>
    <w:rsid w:val="00AD221D"/>
    <w:rsid w:val="00AD263C"/>
    <w:rsid w:val="00AD2FAF"/>
    <w:rsid w:val="00AD344B"/>
    <w:rsid w:val="00AD3650"/>
    <w:rsid w:val="00AD3D36"/>
    <w:rsid w:val="00AD3E13"/>
    <w:rsid w:val="00AD4206"/>
    <w:rsid w:val="00AD51AA"/>
    <w:rsid w:val="00AD580B"/>
    <w:rsid w:val="00AD5D13"/>
    <w:rsid w:val="00AD62A5"/>
    <w:rsid w:val="00AD6E54"/>
    <w:rsid w:val="00AD70DF"/>
    <w:rsid w:val="00AD7276"/>
    <w:rsid w:val="00AD78E5"/>
    <w:rsid w:val="00AD7B84"/>
    <w:rsid w:val="00AE0B40"/>
    <w:rsid w:val="00AE1A25"/>
    <w:rsid w:val="00AE1C8B"/>
    <w:rsid w:val="00AE1DB3"/>
    <w:rsid w:val="00AE23AD"/>
    <w:rsid w:val="00AE2887"/>
    <w:rsid w:val="00AE3212"/>
    <w:rsid w:val="00AE3546"/>
    <w:rsid w:val="00AE3A4B"/>
    <w:rsid w:val="00AE3FA6"/>
    <w:rsid w:val="00AE433F"/>
    <w:rsid w:val="00AE4779"/>
    <w:rsid w:val="00AE4C7D"/>
    <w:rsid w:val="00AE5501"/>
    <w:rsid w:val="00AE5675"/>
    <w:rsid w:val="00AE570C"/>
    <w:rsid w:val="00AE6341"/>
    <w:rsid w:val="00AE6876"/>
    <w:rsid w:val="00AE7134"/>
    <w:rsid w:val="00AE717F"/>
    <w:rsid w:val="00AE76B5"/>
    <w:rsid w:val="00AE7B4F"/>
    <w:rsid w:val="00AE7E6D"/>
    <w:rsid w:val="00AE7F37"/>
    <w:rsid w:val="00AF062B"/>
    <w:rsid w:val="00AF0AAB"/>
    <w:rsid w:val="00AF1237"/>
    <w:rsid w:val="00AF1769"/>
    <w:rsid w:val="00AF1C8F"/>
    <w:rsid w:val="00AF1E86"/>
    <w:rsid w:val="00AF212B"/>
    <w:rsid w:val="00AF259A"/>
    <w:rsid w:val="00AF2823"/>
    <w:rsid w:val="00AF2A02"/>
    <w:rsid w:val="00AF2CFE"/>
    <w:rsid w:val="00AF38BB"/>
    <w:rsid w:val="00AF43CF"/>
    <w:rsid w:val="00AF4FB0"/>
    <w:rsid w:val="00AF50E1"/>
    <w:rsid w:val="00AF5104"/>
    <w:rsid w:val="00AF550A"/>
    <w:rsid w:val="00AF565F"/>
    <w:rsid w:val="00AF596D"/>
    <w:rsid w:val="00AF67E0"/>
    <w:rsid w:val="00AF68E5"/>
    <w:rsid w:val="00AF71CD"/>
    <w:rsid w:val="00AF7D8E"/>
    <w:rsid w:val="00AF7F32"/>
    <w:rsid w:val="00B009E2"/>
    <w:rsid w:val="00B011E4"/>
    <w:rsid w:val="00B01ABD"/>
    <w:rsid w:val="00B02B23"/>
    <w:rsid w:val="00B03189"/>
    <w:rsid w:val="00B034A0"/>
    <w:rsid w:val="00B03676"/>
    <w:rsid w:val="00B03790"/>
    <w:rsid w:val="00B04110"/>
    <w:rsid w:val="00B04240"/>
    <w:rsid w:val="00B0490B"/>
    <w:rsid w:val="00B058A3"/>
    <w:rsid w:val="00B07DAB"/>
    <w:rsid w:val="00B07E11"/>
    <w:rsid w:val="00B07FE4"/>
    <w:rsid w:val="00B10528"/>
    <w:rsid w:val="00B116AB"/>
    <w:rsid w:val="00B121BD"/>
    <w:rsid w:val="00B123CF"/>
    <w:rsid w:val="00B123D1"/>
    <w:rsid w:val="00B12752"/>
    <w:rsid w:val="00B12F06"/>
    <w:rsid w:val="00B14589"/>
    <w:rsid w:val="00B14AA2"/>
    <w:rsid w:val="00B14AD6"/>
    <w:rsid w:val="00B14EEC"/>
    <w:rsid w:val="00B152C1"/>
    <w:rsid w:val="00B153A5"/>
    <w:rsid w:val="00B1562E"/>
    <w:rsid w:val="00B16801"/>
    <w:rsid w:val="00B16F10"/>
    <w:rsid w:val="00B201F9"/>
    <w:rsid w:val="00B20327"/>
    <w:rsid w:val="00B2081B"/>
    <w:rsid w:val="00B208C2"/>
    <w:rsid w:val="00B20F38"/>
    <w:rsid w:val="00B2234F"/>
    <w:rsid w:val="00B223E8"/>
    <w:rsid w:val="00B22B11"/>
    <w:rsid w:val="00B22CF1"/>
    <w:rsid w:val="00B2384A"/>
    <w:rsid w:val="00B23A5A"/>
    <w:rsid w:val="00B23BCF"/>
    <w:rsid w:val="00B23D01"/>
    <w:rsid w:val="00B2408C"/>
    <w:rsid w:val="00B24129"/>
    <w:rsid w:val="00B2470B"/>
    <w:rsid w:val="00B2491E"/>
    <w:rsid w:val="00B24C0E"/>
    <w:rsid w:val="00B24E29"/>
    <w:rsid w:val="00B254CE"/>
    <w:rsid w:val="00B25DC3"/>
    <w:rsid w:val="00B26400"/>
    <w:rsid w:val="00B2642A"/>
    <w:rsid w:val="00B26971"/>
    <w:rsid w:val="00B26BA1"/>
    <w:rsid w:val="00B26E78"/>
    <w:rsid w:val="00B2796B"/>
    <w:rsid w:val="00B301BB"/>
    <w:rsid w:val="00B30E86"/>
    <w:rsid w:val="00B3179E"/>
    <w:rsid w:val="00B31A08"/>
    <w:rsid w:val="00B31E25"/>
    <w:rsid w:val="00B329A2"/>
    <w:rsid w:val="00B33A51"/>
    <w:rsid w:val="00B33A5D"/>
    <w:rsid w:val="00B33ACE"/>
    <w:rsid w:val="00B34BE2"/>
    <w:rsid w:val="00B35AB9"/>
    <w:rsid w:val="00B35B71"/>
    <w:rsid w:val="00B35CB9"/>
    <w:rsid w:val="00B35E02"/>
    <w:rsid w:val="00B360FC"/>
    <w:rsid w:val="00B368F9"/>
    <w:rsid w:val="00B36E6C"/>
    <w:rsid w:val="00B36F54"/>
    <w:rsid w:val="00B37B24"/>
    <w:rsid w:val="00B37FEA"/>
    <w:rsid w:val="00B404F7"/>
    <w:rsid w:val="00B409F1"/>
    <w:rsid w:val="00B40A0E"/>
    <w:rsid w:val="00B40DC0"/>
    <w:rsid w:val="00B41449"/>
    <w:rsid w:val="00B4233B"/>
    <w:rsid w:val="00B42AAD"/>
    <w:rsid w:val="00B4395A"/>
    <w:rsid w:val="00B43EC2"/>
    <w:rsid w:val="00B44C4A"/>
    <w:rsid w:val="00B44F1F"/>
    <w:rsid w:val="00B45CAF"/>
    <w:rsid w:val="00B464C7"/>
    <w:rsid w:val="00B464FC"/>
    <w:rsid w:val="00B46717"/>
    <w:rsid w:val="00B46A63"/>
    <w:rsid w:val="00B46D41"/>
    <w:rsid w:val="00B47743"/>
    <w:rsid w:val="00B47F9A"/>
    <w:rsid w:val="00B50D5F"/>
    <w:rsid w:val="00B51270"/>
    <w:rsid w:val="00B51373"/>
    <w:rsid w:val="00B51A64"/>
    <w:rsid w:val="00B525FA"/>
    <w:rsid w:val="00B54548"/>
    <w:rsid w:val="00B5457C"/>
    <w:rsid w:val="00B54D38"/>
    <w:rsid w:val="00B559CE"/>
    <w:rsid w:val="00B5627A"/>
    <w:rsid w:val="00B57955"/>
    <w:rsid w:val="00B60251"/>
    <w:rsid w:val="00B60A1C"/>
    <w:rsid w:val="00B60AB4"/>
    <w:rsid w:val="00B6100C"/>
    <w:rsid w:val="00B6108D"/>
    <w:rsid w:val="00B6124D"/>
    <w:rsid w:val="00B6149B"/>
    <w:rsid w:val="00B617A4"/>
    <w:rsid w:val="00B6222B"/>
    <w:rsid w:val="00B625FB"/>
    <w:rsid w:val="00B626DA"/>
    <w:rsid w:val="00B62749"/>
    <w:rsid w:val="00B6289B"/>
    <w:rsid w:val="00B62A10"/>
    <w:rsid w:val="00B62CD7"/>
    <w:rsid w:val="00B635FA"/>
    <w:rsid w:val="00B635FE"/>
    <w:rsid w:val="00B63A41"/>
    <w:rsid w:val="00B63AF9"/>
    <w:rsid w:val="00B63B55"/>
    <w:rsid w:val="00B640C7"/>
    <w:rsid w:val="00B64265"/>
    <w:rsid w:val="00B650C5"/>
    <w:rsid w:val="00B65436"/>
    <w:rsid w:val="00B6674D"/>
    <w:rsid w:val="00B66E99"/>
    <w:rsid w:val="00B6778D"/>
    <w:rsid w:val="00B67B07"/>
    <w:rsid w:val="00B7098C"/>
    <w:rsid w:val="00B70A5B"/>
    <w:rsid w:val="00B70CD6"/>
    <w:rsid w:val="00B7131C"/>
    <w:rsid w:val="00B713AA"/>
    <w:rsid w:val="00B71407"/>
    <w:rsid w:val="00B714B1"/>
    <w:rsid w:val="00B7182B"/>
    <w:rsid w:val="00B71A70"/>
    <w:rsid w:val="00B71CC9"/>
    <w:rsid w:val="00B72321"/>
    <w:rsid w:val="00B72793"/>
    <w:rsid w:val="00B72870"/>
    <w:rsid w:val="00B7319E"/>
    <w:rsid w:val="00B73A39"/>
    <w:rsid w:val="00B74927"/>
    <w:rsid w:val="00B74B1C"/>
    <w:rsid w:val="00B74BE4"/>
    <w:rsid w:val="00B75210"/>
    <w:rsid w:val="00B753D7"/>
    <w:rsid w:val="00B75595"/>
    <w:rsid w:val="00B7582D"/>
    <w:rsid w:val="00B759D9"/>
    <w:rsid w:val="00B75A0C"/>
    <w:rsid w:val="00B75BED"/>
    <w:rsid w:val="00B76093"/>
    <w:rsid w:val="00B76355"/>
    <w:rsid w:val="00B771F7"/>
    <w:rsid w:val="00B77254"/>
    <w:rsid w:val="00B7785E"/>
    <w:rsid w:val="00B7788C"/>
    <w:rsid w:val="00B77E8B"/>
    <w:rsid w:val="00B800ED"/>
    <w:rsid w:val="00B80B27"/>
    <w:rsid w:val="00B814EA"/>
    <w:rsid w:val="00B822F0"/>
    <w:rsid w:val="00B82969"/>
    <w:rsid w:val="00B830C4"/>
    <w:rsid w:val="00B83AE9"/>
    <w:rsid w:val="00B841C5"/>
    <w:rsid w:val="00B8424F"/>
    <w:rsid w:val="00B84A6C"/>
    <w:rsid w:val="00B8524F"/>
    <w:rsid w:val="00B86209"/>
    <w:rsid w:val="00B8660B"/>
    <w:rsid w:val="00B875E1"/>
    <w:rsid w:val="00B87BE0"/>
    <w:rsid w:val="00B9165F"/>
    <w:rsid w:val="00B919AE"/>
    <w:rsid w:val="00B920FC"/>
    <w:rsid w:val="00B92338"/>
    <w:rsid w:val="00B923CA"/>
    <w:rsid w:val="00B92567"/>
    <w:rsid w:val="00B9373F"/>
    <w:rsid w:val="00B93947"/>
    <w:rsid w:val="00B94285"/>
    <w:rsid w:val="00B94CE5"/>
    <w:rsid w:val="00B95377"/>
    <w:rsid w:val="00B9564B"/>
    <w:rsid w:val="00B9598B"/>
    <w:rsid w:val="00B95FE1"/>
    <w:rsid w:val="00B967DC"/>
    <w:rsid w:val="00B96AFA"/>
    <w:rsid w:val="00B97BBA"/>
    <w:rsid w:val="00B97C1B"/>
    <w:rsid w:val="00BA01CE"/>
    <w:rsid w:val="00BA065D"/>
    <w:rsid w:val="00BA09A8"/>
    <w:rsid w:val="00BA1C91"/>
    <w:rsid w:val="00BA2B41"/>
    <w:rsid w:val="00BA4217"/>
    <w:rsid w:val="00BA50E6"/>
    <w:rsid w:val="00BA5D6E"/>
    <w:rsid w:val="00BA620E"/>
    <w:rsid w:val="00BA62C5"/>
    <w:rsid w:val="00BA66F5"/>
    <w:rsid w:val="00BA6706"/>
    <w:rsid w:val="00BA74B7"/>
    <w:rsid w:val="00BA7560"/>
    <w:rsid w:val="00BA7707"/>
    <w:rsid w:val="00BA79F9"/>
    <w:rsid w:val="00BA7BEC"/>
    <w:rsid w:val="00BA7D40"/>
    <w:rsid w:val="00BA7FC0"/>
    <w:rsid w:val="00BB00EC"/>
    <w:rsid w:val="00BB1109"/>
    <w:rsid w:val="00BB163A"/>
    <w:rsid w:val="00BB1749"/>
    <w:rsid w:val="00BB1B56"/>
    <w:rsid w:val="00BB1D58"/>
    <w:rsid w:val="00BB3B40"/>
    <w:rsid w:val="00BB4277"/>
    <w:rsid w:val="00BB4584"/>
    <w:rsid w:val="00BB5149"/>
    <w:rsid w:val="00BB548A"/>
    <w:rsid w:val="00BB56EA"/>
    <w:rsid w:val="00BB5C92"/>
    <w:rsid w:val="00BB5CF0"/>
    <w:rsid w:val="00BB5DF9"/>
    <w:rsid w:val="00BB5FE0"/>
    <w:rsid w:val="00BB6AC1"/>
    <w:rsid w:val="00BB7477"/>
    <w:rsid w:val="00BB75D4"/>
    <w:rsid w:val="00BB7A56"/>
    <w:rsid w:val="00BC004D"/>
    <w:rsid w:val="00BC0348"/>
    <w:rsid w:val="00BC1548"/>
    <w:rsid w:val="00BC224D"/>
    <w:rsid w:val="00BC2298"/>
    <w:rsid w:val="00BC23B2"/>
    <w:rsid w:val="00BC3832"/>
    <w:rsid w:val="00BC3C76"/>
    <w:rsid w:val="00BC499A"/>
    <w:rsid w:val="00BC4D8D"/>
    <w:rsid w:val="00BC50C5"/>
    <w:rsid w:val="00BC51C6"/>
    <w:rsid w:val="00BC57FE"/>
    <w:rsid w:val="00BC5AF7"/>
    <w:rsid w:val="00BC5B6A"/>
    <w:rsid w:val="00BC605B"/>
    <w:rsid w:val="00BC6A65"/>
    <w:rsid w:val="00BC6ABB"/>
    <w:rsid w:val="00BC6D6E"/>
    <w:rsid w:val="00BC7431"/>
    <w:rsid w:val="00BC75AF"/>
    <w:rsid w:val="00BC7747"/>
    <w:rsid w:val="00BC7BB9"/>
    <w:rsid w:val="00BD04A3"/>
    <w:rsid w:val="00BD2918"/>
    <w:rsid w:val="00BD2FCD"/>
    <w:rsid w:val="00BD51C0"/>
    <w:rsid w:val="00BD60A2"/>
    <w:rsid w:val="00BD66A9"/>
    <w:rsid w:val="00BD74B0"/>
    <w:rsid w:val="00BD76CA"/>
    <w:rsid w:val="00BD7997"/>
    <w:rsid w:val="00BD7A80"/>
    <w:rsid w:val="00BE0018"/>
    <w:rsid w:val="00BE0F6E"/>
    <w:rsid w:val="00BE1436"/>
    <w:rsid w:val="00BE1ED1"/>
    <w:rsid w:val="00BE27C7"/>
    <w:rsid w:val="00BE428B"/>
    <w:rsid w:val="00BE4AC1"/>
    <w:rsid w:val="00BE517E"/>
    <w:rsid w:val="00BE5755"/>
    <w:rsid w:val="00BE5F58"/>
    <w:rsid w:val="00BE673B"/>
    <w:rsid w:val="00BE711F"/>
    <w:rsid w:val="00BE7221"/>
    <w:rsid w:val="00BE74E6"/>
    <w:rsid w:val="00BE77B0"/>
    <w:rsid w:val="00BE782A"/>
    <w:rsid w:val="00BF06ED"/>
    <w:rsid w:val="00BF06FD"/>
    <w:rsid w:val="00BF0AEB"/>
    <w:rsid w:val="00BF0CCF"/>
    <w:rsid w:val="00BF136F"/>
    <w:rsid w:val="00BF1A71"/>
    <w:rsid w:val="00BF1F79"/>
    <w:rsid w:val="00BF24BC"/>
    <w:rsid w:val="00BF2553"/>
    <w:rsid w:val="00BF27A1"/>
    <w:rsid w:val="00BF2B40"/>
    <w:rsid w:val="00BF2C22"/>
    <w:rsid w:val="00BF3317"/>
    <w:rsid w:val="00BF3F8D"/>
    <w:rsid w:val="00BF4F9D"/>
    <w:rsid w:val="00BF5C74"/>
    <w:rsid w:val="00BF67BA"/>
    <w:rsid w:val="00BF76BE"/>
    <w:rsid w:val="00BF7DD4"/>
    <w:rsid w:val="00C003CB"/>
    <w:rsid w:val="00C012C4"/>
    <w:rsid w:val="00C01466"/>
    <w:rsid w:val="00C01AEB"/>
    <w:rsid w:val="00C025D2"/>
    <w:rsid w:val="00C029A6"/>
    <w:rsid w:val="00C03806"/>
    <w:rsid w:val="00C03B1C"/>
    <w:rsid w:val="00C04095"/>
    <w:rsid w:val="00C04334"/>
    <w:rsid w:val="00C0447E"/>
    <w:rsid w:val="00C04689"/>
    <w:rsid w:val="00C04902"/>
    <w:rsid w:val="00C05537"/>
    <w:rsid w:val="00C057D1"/>
    <w:rsid w:val="00C067DA"/>
    <w:rsid w:val="00C06DEA"/>
    <w:rsid w:val="00C06EDF"/>
    <w:rsid w:val="00C07012"/>
    <w:rsid w:val="00C1046D"/>
    <w:rsid w:val="00C10633"/>
    <w:rsid w:val="00C110EF"/>
    <w:rsid w:val="00C11BB9"/>
    <w:rsid w:val="00C11D9C"/>
    <w:rsid w:val="00C12030"/>
    <w:rsid w:val="00C120C5"/>
    <w:rsid w:val="00C13222"/>
    <w:rsid w:val="00C14B09"/>
    <w:rsid w:val="00C1565C"/>
    <w:rsid w:val="00C162B8"/>
    <w:rsid w:val="00C1670A"/>
    <w:rsid w:val="00C16B07"/>
    <w:rsid w:val="00C171E5"/>
    <w:rsid w:val="00C1722A"/>
    <w:rsid w:val="00C1769F"/>
    <w:rsid w:val="00C17703"/>
    <w:rsid w:val="00C17ABF"/>
    <w:rsid w:val="00C17AC1"/>
    <w:rsid w:val="00C2001D"/>
    <w:rsid w:val="00C20C83"/>
    <w:rsid w:val="00C214B1"/>
    <w:rsid w:val="00C215DA"/>
    <w:rsid w:val="00C21BD7"/>
    <w:rsid w:val="00C21D9C"/>
    <w:rsid w:val="00C21FC3"/>
    <w:rsid w:val="00C232C0"/>
    <w:rsid w:val="00C235B7"/>
    <w:rsid w:val="00C238C0"/>
    <w:rsid w:val="00C23AF6"/>
    <w:rsid w:val="00C24680"/>
    <w:rsid w:val="00C250C0"/>
    <w:rsid w:val="00C25494"/>
    <w:rsid w:val="00C25CB3"/>
    <w:rsid w:val="00C25FE8"/>
    <w:rsid w:val="00C2609C"/>
    <w:rsid w:val="00C26E41"/>
    <w:rsid w:val="00C27BA6"/>
    <w:rsid w:val="00C30223"/>
    <w:rsid w:val="00C30378"/>
    <w:rsid w:val="00C3070F"/>
    <w:rsid w:val="00C30756"/>
    <w:rsid w:val="00C30825"/>
    <w:rsid w:val="00C30A74"/>
    <w:rsid w:val="00C31A9E"/>
    <w:rsid w:val="00C31EDE"/>
    <w:rsid w:val="00C321F7"/>
    <w:rsid w:val="00C322AF"/>
    <w:rsid w:val="00C33131"/>
    <w:rsid w:val="00C33333"/>
    <w:rsid w:val="00C33346"/>
    <w:rsid w:val="00C3427B"/>
    <w:rsid w:val="00C34A46"/>
    <w:rsid w:val="00C34C0B"/>
    <w:rsid w:val="00C35286"/>
    <w:rsid w:val="00C35D94"/>
    <w:rsid w:val="00C36D8B"/>
    <w:rsid w:val="00C37117"/>
    <w:rsid w:val="00C37370"/>
    <w:rsid w:val="00C378CB"/>
    <w:rsid w:val="00C400A0"/>
    <w:rsid w:val="00C40AE1"/>
    <w:rsid w:val="00C41A82"/>
    <w:rsid w:val="00C42E51"/>
    <w:rsid w:val="00C43A17"/>
    <w:rsid w:val="00C43D1B"/>
    <w:rsid w:val="00C449FD"/>
    <w:rsid w:val="00C45F90"/>
    <w:rsid w:val="00C46225"/>
    <w:rsid w:val="00C463CC"/>
    <w:rsid w:val="00C46672"/>
    <w:rsid w:val="00C478C4"/>
    <w:rsid w:val="00C5077F"/>
    <w:rsid w:val="00C51F1B"/>
    <w:rsid w:val="00C52337"/>
    <w:rsid w:val="00C5248A"/>
    <w:rsid w:val="00C53138"/>
    <w:rsid w:val="00C534B1"/>
    <w:rsid w:val="00C53E92"/>
    <w:rsid w:val="00C54175"/>
    <w:rsid w:val="00C5482E"/>
    <w:rsid w:val="00C550BE"/>
    <w:rsid w:val="00C55D20"/>
    <w:rsid w:val="00C55F69"/>
    <w:rsid w:val="00C5679E"/>
    <w:rsid w:val="00C56B51"/>
    <w:rsid w:val="00C575B6"/>
    <w:rsid w:val="00C57897"/>
    <w:rsid w:val="00C578F2"/>
    <w:rsid w:val="00C60679"/>
    <w:rsid w:val="00C606C4"/>
    <w:rsid w:val="00C60AE9"/>
    <w:rsid w:val="00C61DBA"/>
    <w:rsid w:val="00C61FEC"/>
    <w:rsid w:val="00C629BC"/>
    <w:rsid w:val="00C62C2B"/>
    <w:rsid w:val="00C63273"/>
    <w:rsid w:val="00C635AE"/>
    <w:rsid w:val="00C63810"/>
    <w:rsid w:val="00C63B4D"/>
    <w:rsid w:val="00C652B5"/>
    <w:rsid w:val="00C653A1"/>
    <w:rsid w:val="00C653E1"/>
    <w:rsid w:val="00C65C66"/>
    <w:rsid w:val="00C65D12"/>
    <w:rsid w:val="00C664CF"/>
    <w:rsid w:val="00C66DD9"/>
    <w:rsid w:val="00C66F36"/>
    <w:rsid w:val="00C66F64"/>
    <w:rsid w:val="00C67266"/>
    <w:rsid w:val="00C67517"/>
    <w:rsid w:val="00C677C4"/>
    <w:rsid w:val="00C67F49"/>
    <w:rsid w:val="00C7080D"/>
    <w:rsid w:val="00C716D4"/>
    <w:rsid w:val="00C7181E"/>
    <w:rsid w:val="00C71975"/>
    <w:rsid w:val="00C71F79"/>
    <w:rsid w:val="00C72045"/>
    <w:rsid w:val="00C7309F"/>
    <w:rsid w:val="00C73102"/>
    <w:rsid w:val="00C7329F"/>
    <w:rsid w:val="00C73325"/>
    <w:rsid w:val="00C748ED"/>
    <w:rsid w:val="00C749FD"/>
    <w:rsid w:val="00C74AEE"/>
    <w:rsid w:val="00C7542B"/>
    <w:rsid w:val="00C7579D"/>
    <w:rsid w:val="00C75DCB"/>
    <w:rsid w:val="00C76288"/>
    <w:rsid w:val="00C765AE"/>
    <w:rsid w:val="00C76E5A"/>
    <w:rsid w:val="00C774B0"/>
    <w:rsid w:val="00C77B6A"/>
    <w:rsid w:val="00C77D3C"/>
    <w:rsid w:val="00C800CE"/>
    <w:rsid w:val="00C8055C"/>
    <w:rsid w:val="00C80E21"/>
    <w:rsid w:val="00C81231"/>
    <w:rsid w:val="00C81609"/>
    <w:rsid w:val="00C81ACF"/>
    <w:rsid w:val="00C81AE5"/>
    <w:rsid w:val="00C82E9A"/>
    <w:rsid w:val="00C836ED"/>
    <w:rsid w:val="00C8376D"/>
    <w:rsid w:val="00C83AC8"/>
    <w:rsid w:val="00C84335"/>
    <w:rsid w:val="00C84402"/>
    <w:rsid w:val="00C846B7"/>
    <w:rsid w:val="00C8476E"/>
    <w:rsid w:val="00C853DA"/>
    <w:rsid w:val="00C85E4C"/>
    <w:rsid w:val="00C86239"/>
    <w:rsid w:val="00C8725B"/>
    <w:rsid w:val="00C8742B"/>
    <w:rsid w:val="00C875FC"/>
    <w:rsid w:val="00C877FD"/>
    <w:rsid w:val="00C87B12"/>
    <w:rsid w:val="00C90EDB"/>
    <w:rsid w:val="00C91120"/>
    <w:rsid w:val="00C916B3"/>
    <w:rsid w:val="00C92E5A"/>
    <w:rsid w:val="00C93621"/>
    <w:rsid w:val="00C93978"/>
    <w:rsid w:val="00C93A4B"/>
    <w:rsid w:val="00C9420A"/>
    <w:rsid w:val="00C94281"/>
    <w:rsid w:val="00C942C1"/>
    <w:rsid w:val="00C94A5A"/>
    <w:rsid w:val="00C94B66"/>
    <w:rsid w:val="00C9509F"/>
    <w:rsid w:val="00C954D5"/>
    <w:rsid w:val="00C9594D"/>
    <w:rsid w:val="00C95D64"/>
    <w:rsid w:val="00C9620F"/>
    <w:rsid w:val="00C96B25"/>
    <w:rsid w:val="00C97679"/>
    <w:rsid w:val="00C97934"/>
    <w:rsid w:val="00CA0B5D"/>
    <w:rsid w:val="00CA0B8A"/>
    <w:rsid w:val="00CA1A69"/>
    <w:rsid w:val="00CA29CA"/>
    <w:rsid w:val="00CA375C"/>
    <w:rsid w:val="00CA4172"/>
    <w:rsid w:val="00CA4921"/>
    <w:rsid w:val="00CA4C8E"/>
    <w:rsid w:val="00CA5233"/>
    <w:rsid w:val="00CA52C4"/>
    <w:rsid w:val="00CA584C"/>
    <w:rsid w:val="00CA5E96"/>
    <w:rsid w:val="00CA6299"/>
    <w:rsid w:val="00CA672A"/>
    <w:rsid w:val="00CA67F2"/>
    <w:rsid w:val="00CA6EAE"/>
    <w:rsid w:val="00CA7452"/>
    <w:rsid w:val="00CA76A9"/>
    <w:rsid w:val="00CA7780"/>
    <w:rsid w:val="00CB182A"/>
    <w:rsid w:val="00CB210C"/>
    <w:rsid w:val="00CB2162"/>
    <w:rsid w:val="00CB25CE"/>
    <w:rsid w:val="00CB3731"/>
    <w:rsid w:val="00CB376B"/>
    <w:rsid w:val="00CB3C31"/>
    <w:rsid w:val="00CB3D7F"/>
    <w:rsid w:val="00CB45D8"/>
    <w:rsid w:val="00CB45DF"/>
    <w:rsid w:val="00CB4BA5"/>
    <w:rsid w:val="00CB4DDB"/>
    <w:rsid w:val="00CB501E"/>
    <w:rsid w:val="00CB54A2"/>
    <w:rsid w:val="00CB55EB"/>
    <w:rsid w:val="00CB618F"/>
    <w:rsid w:val="00CB6517"/>
    <w:rsid w:val="00CB6628"/>
    <w:rsid w:val="00CB77B3"/>
    <w:rsid w:val="00CB7D78"/>
    <w:rsid w:val="00CC0897"/>
    <w:rsid w:val="00CC1126"/>
    <w:rsid w:val="00CC1192"/>
    <w:rsid w:val="00CC187E"/>
    <w:rsid w:val="00CC2000"/>
    <w:rsid w:val="00CC22D9"/>
    <w:rsid w:val="00CC283C"/>
    <w:rsid w:val="00CC2D96"/>
    <w:rsid w:val="00CC2E83"/>
    <w:rsid w:val="00CC2EF3"/>
    <w:rsid w:val="00CC30C8"/>
    <w:rsid w:val="00CC3189"/>
    <w:rsid w:val="00CC36B7"/>
    <w:rsid w:val="00CC3DA3"/>
    <w:rsid w:val="00CC3FD1"/>
    <w:rsid w:val="00CC509B"/>
    <w:rsid w:val="00CC5629"/>
    <w:rsid w:val="00CC57A4"/>
    <w:rsid w:val="00CC606F"/>
    <w:rsid w:val="00CC67B8"/>
    <w:rsid w:val="00CC6814"/>
    <w:rsid w:val="00CC7E4D"/>
    <w:rsid w:val="00CC7EFE"/>
    <w:rsid w:val="00CD1032"/>
    <w:rsid w:val="00CD1802"/>
    <w:rsid w:val="00CD1889"/>
    <w:rsid w:val="00CD2266"/>
    <w:rsid w:val="00CD2574"/>
    <w:rsid w:val="00CD270F"/>
    <w:rsid w:val="00CD2A19"/>
    <w:rsid w:val="00CD2C6D"/>
    <w:rsid w:val="00CD3821"/>
    <w:rsid w:val="00CD3973"/>
    <w:rsid w:val="00CD3FDA"/>
    <w:rsid w:val="00CD49E8"/>
    <w:rsid w:val="00CD4CA3"/>
    <w:rsid w:val="00CD5016"/>
    <w:rsid w:val="00CD508D"/>
    <w:rsid w:val="00CD53D0"/>
    <w:rsid w:val="00CD63AA"/>
    <w:rsid w:val="00CD6851"/>
    <w:rsid w:val="00CD77AD"/>
    <w:rsid w:val="00CD79BF"/>
    <w:rsid w:val="00CD7E5E"/>
    <w:rsid w:val="00CD7E7E"/>
    <w:rsid w:val="00CD7F0A"/>
    <w:rsid w:val="00CD7F0C"/>
    <w:rsid w:val="00CE0012"/>
    <w:rsid w:val="00CE0481"/>
    <w:rsid w:val="00CE0537"/>
    <w:rsid w:val="00CE0941"/>
    <w:rsid w:val="00CE0D83"/>
    <w:rsid w:val="00CE15DD"/>
    <w:rsid w:val="00CE165F"/>
    <w:rsid w:val="00CE1CDA"/>
    <w:rsid w:val="00CE2275"/>
    <w:rsid w:val="00CE22F2"/>
    <w:rsid w:val="00CE2996"/>
    <w:rsid w:val="00CE392B"/>
    <w:rsid w:val="00CE3976"/>
    <w:rsid w:val="00CE3A52"/>
    <w:rsid w:val="00CE3E0C"/>
    <w:rsid w:val="00CE4BC1"/>
    <w:rsid w:val="00CE4CD4"/>
    <w:rsid w:val="00CE5410"/>
    <w:rsid w:val="00CE5779"/>
    <w:rsid w:val="00CE5ED3"/>
    <w:rsid w:val="00CE626E"/>
    <w:rsid w:val="00CE6468"/>
    <w:rsid w:val="00CE67B6"/>
    <w:rsid w:val="00CE7BD0"/>
    <w:rsid w:val="00CE7C7E"/>
    <w:rsid w:val="00CF107F"/>
    <w:rsid w:val="00CF123E"/>
    <w:rsid w:val="00CF14FC"/>
    <w:rsid w:val="00CF1D8C"/>
    <w:rsid w:val="00CF1EAB"/>
    <w:rsid w:val="00CF2B40"/>
    <w:rsid w:val="00CF2FC0"/>
    <w:rsid w:val="00CF349D"/>
    <w:rsid w:val="00CF36A9"/>
    <w:rsid w:val="00CF3F1C"/>
    <w:rsid w:val="00CF3F45"/>
    <w:rsid w:val="00CF4ADB"/>
    <w:rsid w:val="00CF526B"/>
    <w:rsid w:val="00CF53FB"/>
    <w:rsid w:val="00CF597C"/>
    <w:rsid w:val="00CF65A0"/>
    <w:rsid w:val="00CF6F57"/>
    <w:rsid w:val="00CF7645"/>
    <w:rsid w:val="00CF76D3"/>
    <w:rsid w:val="00CF79D7"/>
    <w:rsid w:val="00D00325"/>
    <w:rsid w:val="00D006CA"/>
    <w:rsid w:val="00D00804"/>
    <w:rsid w:val="00D00D86"/>
    <w:rsid w:val="00D01143"/>
    <w:rsid w:val="00D015A6"/>
    <w:rsid w:val="00D01BB6"/>
    <w:rsid w:val="00D01CEF"/>
    <w:rsid w:val="00D027FA"/>
    <w:rsid w:val="00D038E6"/>
    <w:rsid w:val="00D04029"/>
    <w:rsid w:val="00D0417D"/>
    <w:rsid w:val="00D04F06"/>
    <w:rsid w:val="00D062F4"/>
    <w:rsid w:val="00D0689E"/>
    <w:rsid w:val="00D06907"/>
    <w:rsid w:val="00D071D8"/>
    <w:rsid w:val="00D07530"/>
    <w:rsid w:val="00D07598"/>
    <w:rsid w:val="00D10083"/>
    <w:rsid w:val="00D1014A"/>
    <w:rsid w:val="00D1137C"/>
    <w:rsid w:val="00D11F33"/>
    <w:rsid w:val="00D120C2"/>
    <w:rsid w:val="00D12749"/>
    <w:rsid w:val="00D12A72"/>
    <w:rsid w:val="00D13204"/>
    <w:rsid w:val="00D13509"/>
    <w:rsid w:val="00D13C13"/>
    <w:rsid w:val="00D14699"/>
    <w:rsid w:val="00D162A8"/>
    <w:rsid w:val="00D16A73"/>
    <w:rsid w:val="00D16F61"/>
    <w:rsid w:val="00D17624"/>
    <w:rsid w:val="00D1788B"/>
    <w:rsid w:val="00D179A2"/>
    <w:rsid w:val="00D20309"/>
    <w:rsid w:val="00D20374"/>
    <w:rsid w:val="00D203DD"/>
    <w:rsid w:val="00D20780"/>
    <w:rsid w:val="00D2094E"/>
    <w:rsid w:val="00D22190"/>
    <w:rsid w:val="00D22D3E"/>
    <w:rsid w:val="00D22FC6"/>
    <w:rsid w:val="00D2380D"/>
    <w:rsid w:val="00D241C3"/>
    <w:rsid w:val="00D2493C"/>
    <w:rsid w:val="00D25364"/>
    <w:rsid w:val="00D256CC"/>
    <w:rsid w:val="00D25B8E"/>
    <w:rsid w:val="00D2660F"/>
    <w:rsid w:val="00D26634"/>
    <w:rsid w:val="00D26981"/>
    <w:rsid w:val="00D26AFD"/>
    <w:rsid w:val="00D2750E"/>
    <w:rsid w:val="00D27545"/>
    <w:rsid w:val="00D27807"/>
    <w:rsid w:val="00D27AF3"/>
    <w:rsid w:val="00D30099"/>
    <w:rsid w:val="00D310C6"/>
    <w:rsid w:val="00D31118"/>
    <w:rsid w:val="00D3140F"/>
    <w:rsid w:val="00D32605"/>
    <w:rsid w:val="00D337D1"/>
    <w:rsid w:val="00D33D77"/>
    <w:rsid w:val="00D33FB4"/>
    <w:rsid w:val="00D343AE"/>
    <w:rsid w:val="00D34F07"/>
    <w:rsid w:val="00D356FF"/>
    <w:rsid w:val="00D3575A"/>
    <w:rsid w:val="00D35F2D"/>
    <w:rsid w:val="00D361F7"/>
    <w:rsid w:val="00D36AF0"/>
    <w:rsid w:val="00D3708B"/>
    <w:rsid w:val="00D377C3"/>
    <w:rsid w:val="00D379D7"/>
    <w:rsid w:val="00D37B68"/>
    <w:rsid w:val="00D37F36"/>
    <w:rsid w:val="00D40DA4"/>
    <w:rsid w:val="00D41319"/>
    <w:rsid w:val="00D41F5D"/>
    <w:rsid w:val="00D42903"/>
    <w:rsid w:val="00D42980"/>
    <w:rsid w:val="00D42E84"/>
    <w:rsid w:val="00D435BF"/>
    <w:rsid w:val="00D438B2"/>
    <w:rsid w:val="00D4420F"/>
    <w:rsid w:val="00D44898"/>
    <w:rsid w:val="00D44E8D"/>
    <w:rsid w:val="00D4536A"/>
    <w:rsid w:val="00D46005"/>
    <w:rsid w:val="00D46044"/>
    <w:rsid w:val="00D46854"/>
    <w:rsid w:val="00D4693D"/>
    <w:rsid w:val="00D46A36"/>
    <w:rsid w:val="00D46FD0"/>
    <w:rsid w:val="00D475BB"/>
    <w:rsid w:val="00D476E5"/>
    <w:rsid w:val="00D477FD"/>
    <w:rsid w:val="00D47EA1"/>
    <w:rsid w:val="00D5064D"/>
    <w:rsid w:val="00D51959"/>
    <w:rsid w:val="00D51ABB"/>
    <w:rsid w:val="00D53080"/>
    <w:rsid w:val="00D5356D"/>
    <w:rsid w:val="00D53620"/>
    <w:rsid w:val="00D539E8"/>
    <w:rsid w:val="00D5412C"/>
    <w:rsid w:val="00D542E9"/>
    <w:rsid w:val="00D543B8"/>
    <w:rsid w:val="00D54D1E"/>
    <w:rsid w:val="00D55258"/>
    <w:rsid w:val="00D55C52"/>
    <w:rsid w:val="00D55E31"/>
    <w:rsid w:val="00D56128"/>
    <w:rsid w:val="00D569D1"/>
    <w:rsid w:val="00D57A7B"/>
    <w:rsid w:val="00D57D85"/>
    <w:rsid w:val="00D60510"/>
    <w:rsid w:val="00D60592"/>
    <w:rsid w:val="00D608D2"/>
    <w:rsid w:val="00D6110D"/>
    <w:rsid w:val="00D611F2"/>
    <w:rsid w:val="00D6170E"/>
    <w:rsid w:val="00D61EB2"/>
    <w:rsid w:val="00D62BCB"/>
    <w:rsid w:val="00D62C44"/>
    <w:rsid w:val="00D6306A"/>
    <w:rsid w:val="00D63221"/>
    <w:rsid w:val="00D63487"/>
    <w:rsid w:val="00D63546"/>
    <w:rsid w:val="00D63C79"/>
    <w:rsid w:val="00D63CC4"/>
    <w:rsid w:val="00D64348"/>
    <w:rsid w:val="00D645B7"/>
    <w:rsid w:val="00D645FF"/>
    <w:rsid w:val="00D64756"/>
    <w:rsid w:val="00D64949"/>
    <w:rsid w:val="00D64ACD"/>
    <w:rsid w:val="00D65317"/>
    <w:rsid w:val="00D65946"/>
    <w:rsid w:val="00D65D0E"/>
    <w:rsid w:val="00D66028"/>
    <w:rsid w:val="00D662EB"/>
    <w:rsid w:val="00D66549"/>
    <w:rsid w:val="00D66DFF"/>
    <w:rsid w:val="00D66E48"/>
    <w:rsid w:val="00D66F10"/>
    <w:rsid w:val="00D6736F"/>
    <w:rsid w:val="00D67874"/>
    <w:rsid w:val="00D70AB9"/>
    <w:rsid w:val="00D70C46"/>
    <w:rsid w:val="00D71321"/>
    <w:rsid w:val="00D71758"/>
    <w:rsid w:val="00D71A48"/>
    <w:rsid w:val="00D71D15"/>
    <w:rsid w:val="00D71E42"/>
    <w:rsid w:val="00D72163"/>
    <w:rsid w:val="00D722C2"/>
    <w:rsid w:val="00D72498"/>
    <w:rsid w:val="00D725BE"/>
    <w:rsid w:val="00D72974"/>
    <w:rsid w:val="00D72EA7"/>
    <w:rsid w:val="00D72EB5"/>
    <w:rsid w:val="00D72FCA"/>
    <w:rsid w:val="00D7304F"/>
    <w:rsid w:val="00D732B0"/>
    <w:rsid w:val="00D73DF1"/>
    <w:rsid w:val="00D74B2D"/>
    <w:rsid w:val="00D750B1"/>
    <w:rsid w:val="00D760AC"/>
    <w:rsid w:val="00D76441"/>
    <w:rsid w:val="00D76E06"/>
    <w:rsid w:val="00D77624"/>
    <w:rsid w:val="00D77C13"/>
    <w:rsid w:val="00D80DC2"/>
    <w:rsid w:val="00D81439"/>
    <w:rsid w:val="00D81E8E"/>
    <w:rsid w:val="00D8279E"/>
    <w:rsid w:val="00D8286A"/>
    <w:rsid w:val="00D82A4B"/>
    <w:rsid w:val="00D83730"/>
    <w:rsid w:val="00D83D08"/>
    <w:rsid w:val="00D84150"/>
    <w:rsid w:val="00D84211"/>
    <w:rsid w:val="00D84935"/>
    <w:rsid w:val="00D84AE4"/>
    <w:rsid w:val="00D850BA"/>
    <w:rsid w:val="00D85297"/>
    <w:rsid w:val="00D857FE"/>
    <w:rsid w:val="00D8595A"/>
    <w:rsid w:val="00D8599F"/>
    <w:rsid w:val="00D861A9"/>
    <w:rsid w:val="00D863A6"/>
    <w:rsid w:val="00D86D28"/>
    <w:rsid w:val="00D8706F"/>
    <w:rsid w:val="00D870E4"/>
    <w:rsid w:val="00D87E6B"/>
    <w:rsid w:val="00D90539"/>
    <w:rsid w:val="00D90672"/>
    <w:rsid w:val="00D90E28"/>
    <w:rsid w:val="00D913BE"/>
    <w:rsid w:val="00D9154D"/>
    <w:rsid w:val="00D92BCB"/>
    <w:rsid w:val="00D93ABC"/>
    <w:rsid w:val="00D93D0E"/>
    <w:rsid w:val="00D94ED8"/>
    <w:rsid w:val="00D95709"/>
    <w:rsid w:val="00D96471"/>
    <w:rsid w:val="00D964A6"/>
    <w:rsid w:val="00D96BF4"/>
    <w:rsid w:val="00D974A5"/>
    <w:rsid w:val="00DA1281"/>
    <w:rsid w:val="00DA1385"/>
    <w:rsid w:val="00DA1CB1"/>
    <w:rsid w:val="00DA3681"/>
    <w:rsid w:val="00DA4D9A"/>
    <w:rsid w:val="00DA5260"/>
    <w:rsid w:val="00DA575C"/>
    <w:rsid w:val="00DA592E"/>
    <w:rsid w:val="00DA5BA5"/>
    <w:rsid w:val="00DA62F9"/>
    <w:rsid w:val="00DA6539"/>
    <w:rsid w:val="00DA6600"/>
    <w:rsid w:val="00DA6854"/>
    <w:rsid w:val="00DB0699"/>
    <w:rsid w:val="00DB06B5"/>
    <w:rsid w:val="00DB0955"/>
    <w:rsid w:val="00DB1469"/>
    <w:rsid w:val="00DB1731"/>
    <w:rsid w:val="00DB3131"/>
    <w:rsid w:val="00DB399B"/>
    <w:rsid w:val="00DB4277"/>
    <w:rsid w:val="00DB4AEA"/>
    <w:rsid w:val="00DB5009"/>
    <w:rsid w:val="00DB5543"/>
    <w:rsid w:val="00DB56AB"/>
    <w:rsid w:val="00DB5889"/>
    <w:rsid w:val="00DB5BCF"/>
    <w:rsid w:val="00DB5CE1"/>
    <w:rsid w:val="00DB5D97"/>
    <w:rsid w:val="00DB5FCB"/>
    <w:rsid w:val="00DB65A1"/>
    <w:rsid w:val="00DB708F"/>
    <w:rsid w:val="00DB7457"/>
    <w:rsid w:val="00DB75BE"/>
    <w:rsid w:val="00DC1738"/>
    <w:rsid w:val="00DC1A3B"/>
    <w:rsid w:val="00DC2280"/>
    <w:rsid w:val="00DC3FD1"/>
    <w:rsid w:val="00DC48AD"/>
    <w:rsid w:val="00DC4CCC"/>
    <w:rsid w:val="00DC4D0C"/>
    <w:rsid w:val="00DC6571"/>
    <w:rsid w:val="00DC6CDF"/>
    <w:rsid w:val="00DC6D47"/>
    <w:rsid w:val="00DC7B6C"/>
    <w:rsid w:val="00DD00C8"/>
    <w:rsid w:val="00DD0268"/>
    <w:rsid w:val="00DD037C"/>
    <w:rsid w:val="00DD124A"/>
    <w:rsid w:val="00DD177B"/>
    <w:rsid w:val="00DD1A35"/>
    <w:rsid w:val="00DD1A83"/>
    <w:rsid w:val="00DD1B34"/>
    <w:rsid w:val="00DD20B9"/>
    <w:rsid w:val="00DD2365"/>
    <w:rsid w:val="00DD2F26"/>
    <w:rsid w:val="00DD2FBC"/>
    <w:rsid w:val="00DD3CB9"/>
    <w:rsid w:val="00DD3D8F"/>
    <w:rsid w:val="00DD3F86"/>
    <w:rsid w:val="00DD405E"/>
    <w:rsid w:val="00DD40F5"/>
    <w:rsid w:val="00DD466B"/>
    <w:rsid w:val="00DD47B9"/>
    <w:rsid w:val="00DD4F9B"/>
    <w:rsid w:val="00DD59A9"/>
    <w:rsid w:val="00DD5BAC"/>
    <w:rsid w:val="00DD6003"/>
    <w:rsid w:val="00DD602C"/>
    <w:rsid w:val="00DD67C6"/>
    <w:rsid w:val="00DD69EE"/>
    <w:rsid w:val="00DD7851"/>
    <w:rsid w:val="00DD7BC7"/>
    <w:rsid w:val="00DE0065"/>
    <w:rsid w:val="00DE009E"/>
    <w:rsid w:val="00DE037E"/>
    <w:rsid w:val="00DE0519"/>
    <w:rsid w:val="00DE06B5"/>
    <w:rsid w:val="00DE129C"/>
    <w:rsid w:val="00DE1340"/>
    <w:rsid w:val="00DE16FD"/>
    <w:rsid w:val="00DE250F"/>
    <w:rsid w:val="00DE27D0"/>
    <w:rsid w:val="00DE2FE3"/>
    <w:rsid w:val="00DE343A"/>
    <w:rsid w:val="00DE34D6"/>
    <w:rsid w:val="00DE46C9"/>
    <w:rsid w:val="00DE47F0"/>
    <w:rsid w:val="00DE4B07"/>
    <w:rsid w:val="00DE4F63"/>
    <w:rsid w:val="00DE5934"/>
    <w:rsid w:val="00DE67E8"/>
    <w:rsid w:val="00DE6E0C"/>
    <w:rsid w:val="00DE7422"/>
    <w:rsid w:val="00DE75EF"/>
    <w:rsid w:val="00DE76D2"/>
    <w:rsid w:val="00DE7F50"/>
    <w:rsid w:val="00DF0369"/>
    <w:rsid w:val="00DF056C"/>
    <w:rsid w:val="00DF1970"/>
    <w:rsid w:val="00DF1D5E"/>
    <w:rsid w:val="00DF2031"/>
    <w:rsid w:val="00DF20B3"/>
    <w:rsid w:val="00DF22C9"/>
    <w:rsid w:val="00DF2E11"/>
    <w:rsid w:val="00DF35D4"/>
    <w:rsid w:val="00DF3766"/>
    <w:rsid w:val="00DF3FC0"/>
    <w:rsid w:val="00DF469A"/>
    <w:rsid w:val="00DF4860"/>
    <w:rsid w:val="00DF4B17"/>
    <w:rsid w:val="00DF4F8E"/>
    <w:rsid w:val="00DF562A"/>
    <w:rsid w:val="00DF56F7"/>
    <w:rsid w:val="00DF65F9"/>
    <w:rsid w:val="00DF6719"/>
    <w:rsid w:val="00DF68AD"/>
    <w:rsid w:val="00DF747A"/>
    <w:rsid w:val="00DF7D9A"/>
    <w:rsid w:val="00E0012D"/>
    <w:rsid w:val="00E00946"/>
    <w:rsid w:val="00E012B0"/>
    <w:rsid w:val="00E019D7"/>
    <w:rsid w:val="00E01F95"/>
    <w:rsid w:val="00E0271C"/>
    <w:rsid w:val="00E02C80"/>
    <w:rsid w:val="00E03118"/>
    <w:rsid w:val="00E03300"/>
    <w:rsid w:val="00E03969"/>
    <w:rsid w:val="00E03FCE"/>
    <w:rsid w:val="00E04707"/>
    <w:rsid w:val="00E04FDC"/>
    <w:rsid w:val="00E0530A"/>
    <w:rsid w:val="00E054AA"/>
    <w:rsid w:val="00E05788"/>
    <w:rsid w:val="00E0619F"/>
    <w:rsid w:val="00E06E33"/>
    <w:rsid w:val="00E07B1D"/>
    <w:rsid w:val="00E10AF5"/>
    <w:rsid w:val="00E10BC0"/>
    <w:rsid w:val="00E10DF1"/>
    <w:rsid w:val="00E1154C"/>
    <w:rsid w:val="00E11656"/>
    <w:rsid w:val="00E11977"/>
    <w:rsid w:val="00E11A76"/>
    <w:rsid w:val="00E11B8D"/>
    <w:rsid w:val="00E12B57"/>
    <w:rsid w:val="00E12D4E"/>
    <w:rsid w:val="00E12FF3"/>
    <w:rsid w:val="00E133D9"/>
    <w:rsid w:val="00E13AB8"/>
    <w:rsid w:val="00E13C04"/>
    <w:rsid w:val="00E14E82"/>
    <w:rsid w:val="00E15009"/>
    <w:rsid w:val="00E16020"/>
    <w:rsid w:val="00E1644A"/>
    <w:rsid w:val="00E165FB"/>
    <w:rsid w:val="00E1730D"/>
    <w:rsid w:val="00E17765"/>
    <w:rsid w:val="00E20895"/>
    <w:rsid w:val="00E20C6B"/>
    <w:rsid w:val="00E20DB3"/>
    <w:rsid w:val="00E20DDB"/>
    <w:rsid w:val="00E2116C"/>
    <w:rsid w:val="00E21822"/>
    <w:rsid w:val="00E21F8C"/>
    <w:rsid w:val="00E22042"/>
    <w:rsid w:val="00E2210E"/>
    <w:rsid w:val="00E2211C"/>
    <w:rsid w:val="00E225D1"/>
    <w:rsid w:val="00E228A2"/>
    <w:rsid w:val="00E230AA"/>
    <w:rsid w:val="00E23195"/>
    <w:rsid w:val="00E231E0"/>
    <w:rsid w:val="00E2353D"/>
    <w:rsid w:val="00E24234"/>
    <w:rsid w:val="00E24E94"/>
    <w:rsid w:val="00E25497"/>
    <w:rsid w:val="00E25586"/>
    <w:rsid w:val="00E256E8"/>
    <w:rsid w:val="00E25BE6"/>
    <w:rsid w:val="00E25E8A"/>
    <w:rsid w:val="00E26153"/>
    <w:rsid w:val="00E26EF2"/>
    <w:rsid w:val="00E301DE"/>
    <w:rsid w:val="00E305C0"/>
    <w:rsid w:val="00E30A29"/>
    <w:rsid w:val="00E31260"/>
    <w:rsid w:val="00E32CA6"/>
    <w:rsid w:val="00E33B23"/>
    <w:rsid w:val="00E34036"/>
    <w:rsid w:val="00E3414B"/>
    <w:rsid w:val="00E34728"/>
    <w:rsid w:val="00E34866"/>
    <w:rsid w:val="00E34D40"/>
    <w:rsid w:val="00E35849"/>
    <w:rsid w:val="00E358A4"/>
    <w:rsid w:val="00E35CFD"/>
    <w:rsid w:val="00E36222"/>
    <w:rsid w:val="00E36DB0"/>
    <w:rsid w:val="00E372E1"/>
    <w:rsid w:val="00E37309"/>
    <w:rsid w:val="00E407A5"/>
    <w:rsid w:val="00E41535"/>
    <w:rsid w:val="00E41923"/>
    <w:rsid w:val="00E41CCB"/>
    <w:rsid w:val="00E42743"/>
    <w:rsid w:val="00E43067"/>
    <w:rsid w:val="00E43666"/>
    <w:rsid w:val="00E438B9"/>
    <w:rsid w:val="00E43A57"/>
    <w:rsid w:val="00E43C20"/>
    <w:rsid w:val="00E4404B"/>
    <w:rsid w:val="00E4447E"/>
    <w:rsid w:val="00E44F80"/>
    <w:rsid w:val="00E451AD"/>
    <w:rsid w:val="00E45C79"/>
    <w:rsid w:val="00E46116"/>
    <w:rsid w:val="00E4692D"/>
    <w:rsid w:val="00E46962"/>
    <w:rsid w:val="00E46B34"/>
    <w:rsid w:val="00E46E66"/>
    <w:rsid w:val="00E47037"/>
    <w:rsid w:val="00E470A0"/>
    <w:rsid w:val="00E472BF"/>
    <w:rsid w:val="00E4757D"/>
    <w:rsid w:val="00E47948"/>
    <w:rsid w:val="00E47B5C"/>
    <w:rsid w:val="00E51833"/>
    <w:rsid w:val="00E51D22"/>
    <w:rsid w:val="00E51E56"/>
    <w:rsid w:val="00E523BF"/>
    <w:rsid w:val="00E52628"/>
    <w:rsid w:val="00E52AE9"/>
    <w:rsid w:val="00E53860"/>
    <w:rsid w:val="00E53F35"/>
    <w:rsid w:val="00E5468C"/>
    <w:rsid w:val="00E55171"/>
    <w:rsid w:val="00E556C4"/>
    <w:rsid w:val="00E558D4"/>
    <w:rsid w:val="00E5643E"/>
    <w:rsid w:val="00E56B63"/>
    <w:rsid w:val="00E56E3E"/>
    <w:rsid w:val="00E6068E"/>
    <w:rsid w:val="00E60AF7"/>
    <w:rsid w:val="00E61F8A"/>
    <w:rsid w:val="00E62E6D"/>
    <w:rsid w:val="00E632EB"/>
    <w:rsid w:val="00E635FC"/>
    <w:rsid w:val="00E63635"/>
    <w:rsid w:val="00E649ED"/>
    <w:rsid w:val="00E64C67"/>
    <w:rsid w:val="00E64FC9"/>
    <w:rsid w:val="00E660AB"/>
    <w:rsid w:val="00E66B6C"/>
    <w:rsid w:val="00E67093"/>
    <w:rsid w:val="00E67669"/>
    <w:rsid w:val="00E6798E"/>
    <w:rsid w:val="00E703A8"/>
    <w:rsid w:val="00E70681"/>
    <w:rsid w:val="00E71551"/>
    <w:rsid w:val="00E71759"/>
    <w:rsid w:val="00E718CF"/>
    <w:rsid w:val="00E71EEA"/>
    <w:rsid w:val="00E7301C"/>
    <w:rsid w:val="00E7341D"/>
    <w:rsid w:val="00E7399F"/>
    <w:rsid w:val="00E74686"/>
    <w:rsid w:val="00E74887"/>
    <w:rsid w:val="00E75FA8"/>
    <w:rsid w:val="00E76F12"/>
    <w:rsid w:val="00E771B2"/>
    <w:rsid w:val="00E77254"/>
    <w:rsid w:val="00E773EC"/>
    <w:rsid w:val="00E779EA"/>
    <w:rsid w:val="00E807D1"/>
    <w:rsid w:val="00E80983"/>
    <w:rsid w:val="00E80F51"/>
    <w:rsid w:val="00E812B0"/>
    <w:rsid w:val="00E81F98"/>
    <w:rsid w:val="00E824A3"/>
    <w:rsid w:val="00E82528"/>
    <w:rsid w:val="00E82DB4"/>
    <w:rsid w:val="00E8321B"/>
    <w:rsid w:val="00E833DC"/>
    <w:rsid w:val="00E843AB"/>
    <w:rsid w:val="00E844B5"/>
    <w:rsid w:val="00E84A16"/>
    <w:rsid w:val="00E84A28"/>
    <w:rsid w:val="00E84A5E"/>
    <w:rsid w:val="00E84FC8"/>
    <w:rsid w:val="00E85789"/>
    <w:rsid w:val="00E85A48"/>
    <w:rsid w:val="00E85C6F"/>
    <w:rsid w:val="00E85CC2"/>
    <w:rsid w:val="00E8620E"/>
    <w:rsid w:val="00E86514"/>
    <w:rsid w:val="00E86853"/>
    <w:rsid w:val="00E86BC5"/>
    <w:rsid w:val="00E87454"/>
    <w:rsid w:val="00E900FE"/>
    <w:rsid w:val="00E90AE9"/>
    <w:rsid w:val="00E90E64"/>
    <w:rsid w:val="00E90F6F"/>
    <w:rsid w:val="00E9154D"/>
    <w:rsid w:val="00E9198F"/>
    <w:rsid w:val="00E91F18"/>
    <w:rsid w:val="00E92182"/>
    <w:rsid w:val="00E928AD"/>
    <w:rsid w:val="00E93129"/>
    <w:rsid w:val="00E93C85"/>
    <w:rsid w:val="00E96830"/>
    <w:rsid w:val="00E96F82"/>
    <w:rsid w:val="00E97B42"/>
    <w:rsid w:val="00E97FCF"/>
    <w:rsid w:val="00EA16A9"/>
    <w:rsid w:val="00EA18FF"/>
    <w:rsid w:val="00EA1E4C"/>
    <w:rsid w:val="00EA2297"/>
    <w:rsid w:val="00EA26D0"/>
    <w:rsid w:val="00EA3724"/>
    <w:rsid w:val="00EA3E7A"/>
    <w:rsid w:val="00EA4899"/>
    <w:rsid w:val="00EA4AAE"/>
    <w:rsid w:val="00EA558A"/>
    <w:rsid w:val="00EA5ACF"/>
    <w:rsid w:val="00EA6539"/>
    <w:rsid w:val="00EA67A5"/>
    <w:rsid w:val="00EA6D83"/>
    <w:rsid w:val="00EA6DA7"/>
    <w:rsid w:val="00EA7305"/>
    <w:rsid w:val="00EA7675"/>
    <w:rsid w:val="00EA7A10"/>
    <w:rsid w:val="00EB0010"/>
    <w:rsid w:val="00EB055F"/>
    <w:rsid w:val="00EB0CAA"/>
    <w:rsid w:val="00EB0E80"/>
    <w:rsid w:val="00EB1B6C"/>
    <w:rsid w:val="00EB2287"/>
    <w:rsid w:val="00EB2435"/>
    <w:rsid w:val="00EB2D53"/>
    <w:rsid w:val="00EB35A1"/>
    <w:rsid w:val="00EB3850"/>
    <w:rsid w:val="00EB3B1A"/>
    <w:rsid w:val="00EB4026"/>
    <w:rsid w:val="00EB4516"/>
    <w:rsid w:val="00EB49FD"/>
    <w:rsid w:val="00EB4B35"/>
    <w:rsid w:val="00EB4E9F"/>
    <w:rsid w:val="00EB54A9"/>
    <w:rsid w:val="00EB57B5"/>
    <w:rsid w:val="00EB5F69"/>
    <w:rsid w:val="00EB61E1"/>
    <w:rsid w:val="00EB6977"/>
    <w:rsid w:val="00EB6A25"/>
    <w:rsid w:val="00EB6D44"/>
    <w:rsid w:val="00EB76BE"/>
    <w:rsid w:val="00EB78E5"/>
    <w:rsid w:val="00EB7AF8"/>
    <w:rsid w:val="00EC02ED"/>
    <w:rsid w:val="00EC0760"/>
    <w:rsid w:val="00EC1AAD"/>
    <w:rsid w:val="00EC1E8E"/>
    <w:rsid w:val="00EC2314"/>
    <w:rsid w:val="00EC239B"/>
    <w:rsid w:val="00EC23E7"/>
    <w:rsid w:val="00EC2457"/>
    <w:rsid w:val="00EC2908"/>
    <w:rsid w:val="00EC3914"/>
    <w:rsid w:val="00EC3D8E"/>
    <w:rsid w:val="00EC431C"/>
    <w:rsid w:val="00EC4A89"/>
    <w:rsid w:val="00EC5434"/>
    <w:rsid w:val="00EC55F7"/>
    <w:rsid w:val="00EC5B12"/>
    <w:rsid w:val="00EC5BD5"/>
    <w:rsid w:val="00EC5DF4"/>
    <w:rsid w:val="00EC66D2"/>
    <w:rsid w:val="00EC6755"/>
    <w:rsid w:val="00EC6C3C"/>
    <w:rsid w:val="00EC704D"/>
    <w:rsid w:val="00EC75CC"/>
    <w:rsid w:val="00EC7BA2"/>
    <w:rsid w:val="00ED01B6"/>
    <w:rsid w:val="00ED1075"/>
    <w:rsid w:val="00ED1B0D"/>
    <w:rsid w:val="00ED2D27"/>
    <w:rsid w:val="00ED3326"/>
    <w:rsid w:val="00ED336F"/>
    <w:rsid w:val="00ED33B4"/>
    <w:rsid w:val="00ED3520"/>
    <w:rsid w:val="00ED3F16"/>
    <w:rsid w:val="00ED4977"/>
    <w:rsid w:val="00ED4EB7"/>
    <w:rsid w:val="00ED54D9"/>
    <w:rsid w:val="00ED62D6"/>
    <w:rsid w:val="00ED6C37"/>
    <w:rsid w:val="00ED6EE6"/>
    <w:rsid w:val="00ED71EA"/>
    <w:rsid w:val="00ED733D"/>
    <w:rsid w:val="00ED7453"/>
    <w:rsid w:val="00ED75C1"/>
    <w:rsid w:val="00ED762A"/>
    <w:rsid w:val="00EE0037"/>
    <w:rsid w:val="00EE0126"/>
    <w:rsid w:val="00EE0595"/>
    <w:rsid w:val="00EE0A04"/>
    <w:rsid w:val="00EE0AA3"/>
    <w:rsid w:val="00EE0ABF"/>
    <w:rsid w:val="00EE0FA6"/>
    <w:rsid w:val="00EE192F"/>
    <w:rsid w:val="00EE1A1C"/>
    <w:rsid w:val="00EE1E6A"/>
    <w:rsid w:val="00EE21D9"/>
    <w:rsid w:val="00EE260B"/>
    <w:rsid w:val="00EE287D"/>
    <w:rsid w:val="00EE3005"/>
    <w:rsid w:val="00EE387D"/>
    <w:rsid w:val="00EE3AD3"/>
    <w:rsid w:val="00EE3CDF"/>
    <w:rsid w:val="00EE43AB"/>
    <w:rsid w:val="00EE5D9B"/>
    <w:rsid w:val="00EE5F14"/>
    <w:rsid w:val="00EE6190"/>
    <w:rsid w:val="00EE6430"/>
    <w:rsid w:val="00EE6AFD"/>
    <w:rsid w:val="00EF0AA0"/>
    <w:rsid w:val="00EF0BBD"/>
    <w:rsid w:val="00EF16E1"/>
    <w:rsid w:val="00EF1FE8"/>
    <w:rsid w:val="00EF25FE"/>
    <w:rsid w:val="00EF306C"/>
    <w:rsid w:val="00EF3986"/>
    <w:rsid w:val="00EF498A"/>
    <w:rsid w:val="00EF58B4"/>
    <w:rsid w:val="00EF5909"/>
    <w:rsid w:val="00EF5A29"/>
    <w:rsid w:val="00EF5F88"/>
    <w:rsid w:val="00EF6735"/>
    <w:rsid w:val="00EF6A38"/>
    <w:rsid w:val="00EF6C29"/>
    <w:rsid w:val="00EF6D3D"/>
    <w:rsid w:val="00EF717E"/>
    <w:rsid w:val="00EF7766"/>
    <w:rsid w:val="00EF7FA6"/>
    <w:rsid w:val="00F00170"/>
    <w:rsid w:val="00F003E5"/>
    <w:rsid w:val="00F007E5"/>
    <w:rsid w:val="00F008F3"/>
    <w:rsid w:val="00F010B8"/>
    <w:rsid w:val="00F0181A"/>
    <w:rsid w:val="00F01DAC"/>
    <w:rsid w:val="00F024D5"/>
    <w:rsid w:val="00F0282D"/>
    <w:rsid w:val="00F029BE"/>
    <w:rsid w:val="00F03457"/>
    <w:rsid w:val="00F04A98"/>
    <w:rsid w:val="00F06B46"/>
    <w:rsid w:val="00F07660"/>
    <w:rsid w:val="00F106CA"/>
    <w:rsid w:val="00F10A48"/>
    <w:rsid w:val="00F11048"/>
    <w:rsid w:val="00F125C1"/>
    <w:rsid w:val="00F1294B"/>
    <w:rsid w:val="00F12A8F"/>
    <w:rsid w:val="00F12BA9"/>
    <w:rsid w:val="00F1307F"/>
    <w:rsid w:val="00F13520"/>
    <w:rsid w:val="00F13709"/>
    <w:rsid w:val="00F14298"/>
    <w:rsid w:val="00F14987"/>
    <w:rsid w:val="00F14AC1"/>
    <w:rsid w:val="00F15592"/>
    <w:rsid w:val="00F156F5"/>
    <w:rsid w:val="00F15925"/>
    <w:rsid w:val="00F159AF"/>
    <w:rsid w:val="00F17D56"/>
    <w:rsid w:val="00F17D5D"/>
    <w:rsid w:val="00F17EDF"/>
    <w:rsid w:val="00F20109"/>
    <w:rsid w:val="00F20C7F"/>
    <w:rsid w:val="00F20E20"/>
    <w:rsid w:val="00F20F45"/>
    <w:rsid w:val="00F22175"/>
    <w:rsid w:val="00F232A0"/>
    <w:rsid w:val="00F23557"/>
    <w:rsid w:val="00F24116"/>
    <w:rsid w:val="00F24213"/>
    <w:rsid w:val="00F242D0"/>
    <w:rsid w:val="00F253F5"/>
    <w:rsid w:val="00F25606"/>
    <w:rsid w:val="00F256C3"/>
    <w:rsid w:val="00F25B1E"/>
    <w:rsid w:val="00F25E9B"/>
    <w:rsid w:val="00F25F99"/>
    <w:rsid w:val="00F2604D"/>
    <w:rsid w:val="00F273C4"/>
    <w:rsid w:val="00F27B97"/>
    <w:rsid w:val="00F27C8B"/>
    <w:rsid w:val="00F27D42"/>
    <w:rsid w:val="00F30570"/>
    <w:rsid w:val="00F30F38"/>
    <w:rsid w:val="00F30F86"/>
    <w:rsid w:val="00F3102D"/>
    <w:rsid w:val="00F32E7D"/>
    <w:rsid w:val="00F334C7"/>
    <w:rsid w:val="00F33A08"/>
    <w:rsid w:val="00F33C9C"/>
    <w:rsid w:val="00F3436A"/>
    <w:rsid w:val="00F3450D"/>
    <w:rsid w:val="00F34786"/>
    <w:rsid w:val="00F34CDA"/>
    <w:rsid w:val="00F34E0D"/>
    <w:rsid w:val="00F34ECE"/>
    <w:rsid w:val="00F352CF"/>
    <w:rsid w:val="00F360ED"/>
    <w:rsid w:val="00F36E9E"/>
    <w:rsid w:val="00F3734A"/>
    <w:rsid w:val="00F37E91"/>
    <w:rsid w:val="00F401A9"/>
    <w:rsid w:val="00F40470"/>
    <w:rsid w:val="00F404EF"/>
    <w:rsid w:val="00F4065D"/>
    <w:rsid w:val="00F40C58"/>
    <w:rsid w:val="00F40C7E"/>
    <w:rsid w:val="00F40F2E"/>
    <w:rsid w:val="00F4213F"/>
    <w:rsid w:val="00F42738"/>
    <w:rsid w:val="00F427E1"/>
    <w:rsid w:val="00F42915"/>
    <w:rsid w:val="00F43164"/>
    <w:rsid w:val="00F43270"/>
    <w:rsid w:val="00F43BF7"/>
    <w:rsid w:val="00F43CFF"/>
    <w:rsid w:val="00F44355"/>
    <w:rsid w:val="00F44670"/>
    <w:rsid w:val="00F44B20"/>
    <w:rsid w:val="00F44B92"/>
    <w:rsid w:val="00F45149"/>
    <w:rsid w:val="00F45548"/>
    <w:rsid w:val="00F456B3"/>
    <w:rsid w:val="00F457F3"/>
    <w:rsid w:val="00F45B22"/>
    <w:rsid w:val="00F46012"/>
    <w:rsid w:val="00F470D6"/>
    <w:rsid w:val="00F4744A"/>
    <w:rsid w:val="00F47F30"/>
    <w:rsid w:val="00F503F7"/>
    <w:rsid w:val="00F50834"/>
    <w:rsid w:val="00F50B36"/>
    <w:rsid w:val="00F51C6B"/>
    <w:rsid w:val="00F52147"/>
    <w:rsid w:val="00F5293E"/>
    <w:rsid w:val="00F53115"/>
    <w:rsid w:val="00F539D9"/>
    <w:rsid w:val="00F54AE5"/>
    <w:rsid w:val="00F54E4C"/>
    <w:rsid w:val="00F55245"/>
    <w:rsid w:val="00F55373"/>
    <w:rsid w:val="00F5538F"/>
    <w:rsid w:val="00F5581E"/>
    <w:rsid w:val="00F55F28"/>
    <w:rsid w:val="00F56092"/>
    <w:rsid w:val="00F5677B"/>
    <w:rsid w:val="00F5699D"/>
    <w:rsid w:val="00F60400"/>
    <w:rsid w:val="00F60470"/>
    <w:rsid w:val="00F60B94"/>
    <w:rsid w:val="00F6184D"/>
    <w:rsid w:val="00F619C1"/>
    <w:rsid w:val="00F61C9E"/>
    <w:rsid w:val="00F6259D"/>
    <w:rsid w:val="00F62EE6"/>
    <w:rsid w:val="00F6326A"/>
    <w:rsid w:val="00F63675"/>
    <w:rsid w:val="00F63B0B"/>
    <w:rsid w:val="00F63B8B"/>
    <w:rsid w:val="00F64024"/>
    <w:rsid w:val="00F645F0"/>
    <w:rsid w:val="00F6580B"/>
    <w:rsid w:val="00F65B2D"/>
    <w:rsid w:val="00F669F7"/>
    <w:rsid w:val="00F67014"/>
    <w:rsid w:val="00F67634"/>
    <w:rsid w:val="00F67713"/>
    <w:rsid w:val="00F6789C"/>
    <w:rsid w:val="00F67A26"/>
    <w:rsid w:val="00F7008A"/>
    <w:rsid w:val="00F70406"/>
    <w:rsid w:val="00F705B9"/>
    <w:rsid w:val="00F70F09"/>
    <w:rsid w:val="00F71391"/>
    <w:rsid w:val="00F719B4"/>
    <w:rsid w:val="00F71D1A"/>
    <w:rsid w:val="00F71DCB"/>
    <w:rsid w:val="00F72469"/>
    <w:rsid w:val="00F7254C"/>
    <w:rsid w:val="00F72DB7"/>
    <w:rsid w:val="00F732F8"/>
    <w:rsid w:val="00F73421"/>
    <w:rsid w:val="00F74BE2"/>
    <w:rsid w:val="00F74F12"/>
    <w:rsid w:val="00F75287"/>
    <w:rsid w:val="00F75590"/>
    <w:rsid w:val="00F755FF"/>
    <w:rsid w:val="00F756E6"/>
    <w:rsid w:val="00F758FC"/>
    <w:rsid w:val="00F75E9D"/>
    <w:rsid w:val="00F76414"/>
    <w:rsid w:val="00F76C91"/>
    <w:rsid w:val="00F770F9"/>
    <w:rsid w:val="00F7766B"/>
    <w:rsid w:val="00F80C16"/>
    <w:rsid w:val="00F81407"/>
    <w:rsid w:val="00F8142B"/>
    <w:rsid w:val="00F814C7"/>
    <w:rsid w:val="00F81E6E"/>
    <w:rsid w:val="00F8240B"/>
    <w:rsid w:val="00F83338"/>
    <w:rsid w:val="00F847C7"/>
    <w:rsid w:val="00F84C00"/>
    <w:rsid w:val="00F84CB2"/>
    <w:rsid w:val="00F84D02"/>
    <w:rsid w:val="00F84FEF"/>
    <w:rsid w:val="00F85E02"/>
    <w:rsid w:val="00F865E1"/>
    <w:rsid w:val="00F86B12"/>
    <w:rsid w:val="00F876CB"/>
    <w:rsid w:val="00F87BF4"/>
    <w:rsid w:val="00F87DA2"/>
    <w:rsid w:val="00F87DDA"/>
    <w:rsid w:val="00F906EB"/>
    <w:rsid w:val="00F90D80"/>
    <w:rsid w:val="00F90F60"/>
    <w:rsid w:val="00F912A1"/>
    <w:rsid w:val="00F91BAE"/>
    <w:rsid w:val="00F91F27"/>
    <w:rsid w:val="00F91F88"/>
    <w:rsid w:val="00F92955"/>
    <w:rsid w:val="00F92F54"/>
    <w:rsid w:val="00F9360B"/>
    <w:rsid w:val="00F93D50"/>
    <w:rsid w:val="00F94A04"/>
    <w:rsid w:val="00F94A50"/>
    <w:rsid w:val="00F95273"/>
    <w:rsid w:val="00F9566E"/>
    <w:rsid w:val="00F95ABD"/>
    <w:rsid w:val="00F95AFD"/>
    <w:rsid w:val="00F95D59"/>
    <w:rsid w:val="00F95E68"/>
    <w:rsid w:val="00F962BD"/>
    <w:rsid w:val="00F96833"/>
    <w:rsid w:val="00F968BA"/>
    <w:rsid w:val="00F96A02"/>
    <w:rsid w:val="00F96CEE"/>
    <w:rsid w:val="00F9748B"/>
    <w:rsid w:val="00F97F2A"/>
    <w:rsid w:val="00FA001B"/>
    <w:rsid w:val="00FA051E"/>
    <w:rsid w:val="00FA0B77"/>
    <w:rsid w:val="00FA0D69"/>
    <w:rsid w:val="00FA1333"/>
    <w:rsid w:val="00FA1C11"/>
    <w:rsid w:val="00FA1C5D"/>
    <w:rsid w:val="00FA1FD7"/>
    <w:rsid w:val="00FA30C7"/>
    <w:rsid w:val="00FA35B6"/>
    <w:rsid w:val="00FA391B"/>
    <w:rsid w:val="00FA4209"/>
    <w:rsid w:val="00FA4993"/>
    <w:rsid w:val="00FA5716"/>
    <w:rsid w:val="00FA57B4"/>
    <w:rsid w:val="00FA6CF5"/>
    <w:rsid w:val="00FA6F5C"/>
    <w:rsid w:val="00FB0F32"/>
    <w:rsid w:val="00FB1394"/>
    <w:rsid w:val="00FB1A9C"/>
    <w:rsid w:val="00FB1AFE"/>
    <w:rsid w:val="00FB1BC2"/>
    <w:rsid w:val="00FB2554"/>
    <w:rsid w:val="00FB2BDB"/>
    <w:rsid w:val="00FB2E20"/>
    <w:rsid w:val="00FB317B"/>
    <w:rsid w:val="00FB3ECD"/>
    <w:rsid w:val="00FB404A"/>
    <w:rsid w:val="00FB4D59"/>
    <w:rsid w:val="00FB4E7C"/>
    <w:rsid w:val="00FB50DE"/>
    <w:rsid w:val="00FB5A4D"/>
    <w:rsid w:val="00FB5B0A"/>
    <w:rsid w:val="00FB6300"/>
    <w:rsid w:val="00FB7367"/>
    <w:rsid w:val="00FB739A"/>
    <w:rsid w:val="00FB752D"/>
    <w:rsid w:val="00FB7B2E"/>
    <w:rsid w:val="00FC03E9"/>
    <w:rsid w:val="00FC0523"/>
    <w:rsid w:val="00FC0A7B"/>
    <w:rsid w:val="00FC0AE3"/>
    <w:rsid w:val="00FC102B"/>
    <w:rsid w:val="00FC111B"/>
    <w:rsid w:val="00FC17A4"/>
    <w:rsid w:val="00FC1C92"/>
    <w:rsid w:val="00FC1D2D"/>
    <w:rsid w:val="00FC1E3B"/>
    <w:rsid w:val="00FC237B"/>
    <w:rsid w:val="00FC2676"/>
    <w:rsid w:val="00FC29B9"/>
    <w:rsid w:val="00FC2AFB"/>
    <w:rsid w:val="00FC2ECA"/>
    <w:rsid w:val="00FC30B4"/>
    <w:rsid w:val="00FC358C"/>
    <w:rsid w:val="00FC37B3"/>
    <w:rsid w:val="00FC3CC2"/>
    <w:rsid w:val="00FC4FBD"/>
    <w:rsid w:val="00FC564B"/>
    <w:rsid w:val="00FC5E51"/>
    <w:rsid w:val="00FC6263"/>
    <w:rsid w:val="00FC62DE"/>
    <w:rsid w:val="00FC6F15"/>
    <w:rsid w:val="00FD0116"/>
    <w:rsid w:val="00FD026F"/>
    <w:rsid w:val="00FD0681"/>
    <w:rsid w:val="00FD0748"/>
    <w:rsid w:val="00FD0C56"/>
    <w:rsid w:val="00FD1360"/>
    <w:rsid w:val="00FD165B"/>
    <w:rsid w:val="00FD193C"/>
    <w:rsid w:val="00FD19A8"/>
    <w:rsid w:val="00FD1A21"/>
    <w:rsid w:val="00FD1E69"/>
    <w:rsid w:val="00FD2F40"/>
    <w:rsid w:val="00FD2FC2"/>
    <w:rsid w:val="00FD3E45"/>
    <w:rsid w:val="00FD4E4A"/>
    <w:rsid w:val="00FD4E76"/>
    <w:rsid w:val="00FD50FF"/>
    <w:rsid w:val="00FD5497"/>
    <w:rsid w:val="00FD5DBA"/>
    <w:rsid w:val="00FD71E2"/>
    <w:rsid w:val="00FD7281"/>
    <w:rsid w:val="00FD74F2"/>
    <w:rsid w:val="00FD7CFC"/>
    <w:rsid w:val="00FE026B"/>
    <w:rsid w:val="00FE0271"/>
    <w:rsid w:val="00FE0CCF"/>
    <w:rsid w:val="00FE1F5F"/>
    <w:rsid w:val="00FE251A"/>
    <w:rsid w:val="00FE262D"/>
    <w:rsid w:val="00FE3481"/>
    <w:rsid w:val="00FE42A0"/>
    <w:rsid w:val="00FE431A"/>
    <w:rsid w:val="00FE4C57"/>
    <w:rsid w:val="00FE4F2C"/>
    <w:rsid w:val="00FE562D"/>
    <w:rsid w:val="00FE664D"/>
    <w:rsid w:val="00FE7799"/>
    <w:rsid w:val="00FF08C2"/>
    <w:rsid w:val="00FF0A82"/>
    <w:rsid w:val="00FF1CDA"/>
    <w:rsid w:val="00FF1F10"/>
    <w:rsid w:val="00FF2361"/>
    <w:rsid w:val="00FF239F"/>
    <w:rsid w:val="00FF25D6"/>
    <w:rsid w:val="00FF28CE"/>
    <w:rsid w:val="00FF2C39"/>
    <w:rsid w:val="00FF2D12"/>
    <w:rsid w:val="00FF30DB"/>
    <w:rsid w:val="00FF3D4C"/>
    <w:rsid w:val="00FF41D9"/>
    <w:rsid w:val="00FF4E72"/>
    <w:rsid w:val="00FF5075"/>
    <w:rsid w:val="00FF6073"/>
    <w:rsid w:val="00FF62F1"/>
    <w:rsid w:val="00FF6467"/>
    <w:rsid w:val="00FF6A2F"/>
    <w:rsid w:val="00FF6D2E"/>
    <w:rsid w:val="00FF73CB"/>
    <w:rsid w:val="00FF7B99"/>
    <w:rsid w:val="52A02AD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1D7E"/>
  <w15:docId w15:val="{BAF57748-2DA1-4568-8B37-ADD929E6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1A8"/>
    <w:pPr>
      <w:spacing w:after="240" w:line="360" w:lineRule="auto"/>
    </w:pPr>
    <w:rPr>
      <w:rFonts w:ascii="Times New Roman" w:hAnsi="Times New Roman"/>
      <w:sz w:val="24"/>
      <w:lang w:val="en-US"/>
    </w:rPr>
  </w:style>
  <w:style w:type="paragraph" w:styleId="Heading1">
    <w:name w:val="heading 1"/>
    <w:aliases w:val="ThesisTitle"/>
    <w:basedOn w:val="1ParaHangingIndent"/>
    <w:next w:val="1Para"/>
    <w:link w:val="Heading1Char"/>
    <w:uiPriority w:val="9"/>
    <w:qFormat/>
    <w:rsid w:val="005801A8"/>
    <w:pPr>
      <w:keepNext/>
      <w:keepLines/>
      <w:pageBreakBefore/>
      <w:numPr>
        <w:numId w:val="1"/>
      </w:numPr>
      <w:spacing w:before="480" w:after="480" w:line="240" w:lineRule="auto"/>
      <w:outlineLvl w:val="0"/>
    </w:pPr>
    <w:rPr>
      <w:rFonts w:eastAsiaTheme="majorEastAsia" w:cstheme="majorBidi"/>
      <w:b/>
      <w:color w:val="000000" w:themeColor="text1"/>
      <w:sz w:val="34"/>
      <w:szCs w:val="32"/>
    </w:rPr>
  </w:style>
  <w:style w:type="paragraph" w:styleId="Heading2">
    <w:name w:val="heading 2"/>
    <w:aliases w:val="ChapterTitle"/>
    <w:basedOn w:val="1ParaFlushLeft"/>
    <w:next w:val="1Para"/>
    <w:link w:val="Heading2Char"/>
    <w:uiPriority w:val="9"/>
    <w:unhideWhenUsed/>
    <w:qFormat/>
    <w:rsid w:val="0021652E"/>
    <w:pPr>
      <w:keepNext/>
      <w:keepLines/>
      <w:numPr>
        <w:ilvl w:val="1"/>
        <w:numId w:val="1"/>
      </w:numPr>
      <w:spacing w:before="360" w:after="360" w:line="240" w:lineRule="auto"/>
      <w:outlineLvl w:val="1"/>
    </w:pPr>
    <w:rPr>
      <w:rFonts w:eastAsiaTheme="majorEastAsia" w:cstheme="majorBidi"/>
      <w:b/>
      <w:color w:val="000000" w:themeColor="text1"/>
      <w:szCs w:val="26"/>
    </w:rPr>
  </w:style>
  <w:style w:type="paragraph" w:styleId="Heading3">
    <w:name w:val="heading 3"/>
    <w:aliases w:val="SectionTitle/A-head"/>
    <w:basedOn w:val="Normal"/>
    <w:next w:val="1Para"/>
    <w:link w:val="Heading3Char"/>
    <w:uiPriority w:val="9"/>
    <w:unhideWhenUsed/>
    <w:qFormat/>
    <w:rsid w:val="00102950"/>
    <w:pPr>
      <w:keepNext/>
      <w:keepLines/>
      <w:numPr>
        <w:ilvl w:val="2"/>
        <w:numId w:val="1"/>
      </w:numPr>
      <w:spacing w:before="360" w:after="360" w:line="240" w:lineRule="auto"/>
      <w:outlineLvl w:val="2"/>
    </w:pPr>
    <w:rPr>
      <w:rFonts w:eastAsiaTheme="majorEastAsia" w:cstheme="majorBidi"/>
      <w:b/>
      <w:color w:val="000000" w:themeColor="text1"/>
      <w:szCs w:val="24"/>
      <w:lang w:val="en-CA"/>
    </w:rPr>
  </w:style>
  <w:style w:type="paragraph" w:styleId="Heading4">
    <w:name w:val="heading 4"/>
    <w:aliases w:val="B-Head"/>
    <w:basedOn w:val="Normal"/>
    <w:next w:val="1Para"/>
    <w:link w:val="Heading4Char"/>
    <w:autoRedefine/>
    <w:uiPriority w:val="9"/>
    <w:unhideWhenUsed/>
    <w:qFormat/>
    <w:rsid w:val="00B60251"/>
    <w:pPr>
      <w:keepNext/>
      <w:keepLines/>
      <w:numPr>
        <w:ilvl w:val="3"/>
        <w:numId w:val="1"/>
      </w:numPr>
      <w:spacing w:before="120" w:after="360" w:line="240" w:lineRule="auto"/>
      <w:outlineLvl w:val="3"/>
    </w:pPr>
    <w:rPr>
      <w:rFonts w:eastAsiaTheme="minorEastAsia" w:cs="Times New Roman"/>
      <w:b/>
      <w:bCs/>
      <w:iCs/>
      <w:szCs w:val="24"/>
    </w:rPr>
  </w:style>
  <w:style w:type="paragraph" w:styleId="Heading5">
    <w:name w:val="heading 5"/>
    <w:basedOn w:val="Normal"/>
    <w:next w:val="1Para"/>
    <w:link w:val="Heading5Char"/>
    <w:uiPriority w:val="4"/>
    <w:unhideWhenUsed/>
    <w:qFormat/>
    <w:rsid w:val="00B60251"/>
    <w:pPr>
      <w:keepNext/>
      <w:keepLines/>
      <w:spacing w:line="240" w:lineRule="auto"/>
      <w:outlineLvl w:val="4"/>
    </w:pPr>
    <w:rPr>
      <w:rFonts w:eastAsiaTheme="majorEastAsia" w:cstheme="majorBidi"/>
      <w:b/>
      <w:i/>
      <w:color w:val="000000" w:themeColor="text1"/>
    </w:rPr>
  </w:style>
  <w:style w:type="paragraph" w:styleId="Heading6">
    <w:name w:val="heading 6"/>
    <w:basedOn w:val="Normal"/>
    <w:next w:val="Normal"/>
    <w:link w:val="Heading6Char"/>
    <w:uiPriority w:val="9"/>
    <w:unhideWhenUsed/>
    <w:qFormat/>
    <w:rsid w:val="005801A8"/>
    <w:pPr>
      <w:keepNext/>
      <w:keepLines/>
      <w:numPr>
        <w:ilvl w:val="5"/>
        <w:numId w:val="1"/>
      </w:numPr>
      <w:spacing w:before="40" w:after="0"/>
      <w:outlineLvl w:val="5"/>
    </w:pPr>
    <w:rPr>
      <w:rFonts w:eastAsiaTheme="majorEastAsia" w:cstheme="majorBidi"/>
      <w:i/>
    </w:rPr>
  </w:style>
  <w:style w:type="paragraph" w:styleId="Heading7">
    <w:name w:val="heading 7"/>
    <w:basedOn w:val="Normal"/>
    <w:next w:val="Normal"/>
    <w:link w:val="Heading7Char"/>
    <w:uiPriority w:val="9"/>
    <w:unhideWhenUsed/>
    <w:qFormat/>
    <w:rsid w:val="005801A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5801A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801A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sisTitle Char"/>
    <w:basedOn w:val="DefaultParagraphFont"/>
    <w:link w:val="Heading1"/>
    <w:uiPriority w:val="9"/>
    <w:rsid w:val="005801A8"/>
    <w:rPr>
      <w:rFonts w:ascii="Times New Roman" w:eastAsiaTheme="majorEastAsia" w:hAnsi="Times New Roman" w:cstheme="majorBidi"/>
      <w:b/>
      <w:color w:val="000000" w:themeColor="text1"/>
      <w:sz w:val="34"/>
      <w:szCs w:val="32"/>
      <w:lang w:val="en-CA"/>
    </w:rPr>
  </w:style>
  <w:style w:type="character" w:customStyle="1" w:styleId="Heading2Char">
    <w:name w:val="Heading 2 Char"/>
    <w:aliases w:val="ChapterTitle Char"/>
    <w:basedOn w:val="DefaultParagraphFont"/>
    <w:link w:val="Heading2"/>
    <w:uiPriority w:val="9"/>
    <w:rsid w:val="0021652E"/>
    <w:rPr>
      <w:rFonts w:ascii="Times New Roman" w:eastAsiaTheme="majorEastAsia" w:hAnsi="Times New Roman" w:cstheme="majorBidi"/>
      <w:b/>
      <w:color w:val="000000" w:themeColor="text1"/>
      <w:sz w:val="24"/>
      <w:szCs w:val="26"/>
      <w:lang w:val="en-CA"/>
    </w:rPr>
  </w:style>
  <w:style w:type="character" w:customStyle="1" w:styleId="Heading3Char">
    <w:name w:val="Heading 3 Char"/>
    <w:aliases w:val="SectionTitle/A-head Char"/>
    <w:basedOn w:val="DefaultParagraphFont"/>
    <w:link w:val="Heading3"/>
    <w:uiPriority w:val="9"/>
    <w:rsid w:val="00102950"/>
    <w:rPr>
      <w:rFonts w:ascii="Times New Roman" w:eastAsiaTheme="majorEastAsia" w:hAnsi="Times New Roman" w:cstheme="majorBidi"/>
      <w:b/>
      <w:color w:val="000000" w:themeColor="text1"/>
      <w:sz w:val="24"/>
      <w:szCs w:val="24"/>
      <w:lang w:val="en-CA"/>
    </w:rPr>
  </w:style>
  <w:style w:type="character" w:customStyle="1" w:styleId="Heading4Char">
    <w:name w:val="Heading 4 Char"/>
    <w:aliases w:val="B-Head Char"/>
    <w:basedOn w:val="DefaultParagraphFont"/>
    <w:link w:val="Heading4"/>
    <w:uiPriority w:val="9"/>
    <w:rsid w:val="00B60251"/>
    <w:rPr>
      <w:rFonts w:ascii="Times New Roman" w:eastAsiaTheme="minorEastAsia" w:hAnsi="Times New Roman" w:cs="Times New Roman"/>
      <w:b/>
      <w:bCs/>
      <w:iCs/>
      <w:sz w:val="24"/>
      <w:szCs w:val="24"/>
      <w:lang w:val="en-US"/>
    </w:rPr>
  </w:style>
  <w:style w:type="character" w:customStyle="1" w:styleId="Heading5Char">
    <w:name w:val="Heading 5 Char"/>
    <w:basedOn w:val="DefaultParagraphFont"/>
    <w:link w:val="Heading5"/>
    <w:uiPriority w:val="4"/>
    <w:rsid w:val="00B60251"/>
    <w:rPr>
      <w:rFonts w:ascii="Times New Roman" w:eastAsiaTheme="majorEastAsia" w:hAnsi="Times New Roman" w:cstheme="majorBidi"/>
      <w:b/>
      <w:i/>
      <w:color w:val="000000" w:themeColor="text1"/>
      <w:sz w:val="24"/>
      <w:lang w:val="en-US"/>
    </w:rPr>
  </w:style>
  <w:style w:type="character" w:customStyle="1" w:styleId="Heading6Char">
    <w:name w:val="Heading 6 Char"/>
    <w:basedOn w:val="DefaultParagraphFont"/>
    <w:link w:val="Heading6"/>
    <w:uiPriority w:val="9"/>
    <w:rsid w:val="005801A8"/>
    <w:rPr>
      <w:rFonts w:ascii="Times New Roman" w:eastAsiaTheme="majorEastAsia" w:hAnsi="Times New Roman" w:cstheme="majorBidi"/>
      <w:i/>
      <w:sz w:val="24"/>
      <w:lang w:val="en-US"/>
    </w:rPr>
  </w:style>
  <w:style w:type="character" w:customStyle="1" w:styleId="Heading7Char">
    <w:name w:val="Heading 7 Char"/>
    <w:basedOn w:val="DefaultParagraphFont"/>
    <w:link w:val="Heading7"/>
    <w:uiPriority w:val="9"/>
    <w:rsid w:val="005801A8"/>
    <w:rPr>
      <w:rFonts w:asciiTheme="majorHAnsi" w:eastAsiaTheme="majorEastAsia" w:hAnsiTheme="majorHAnsi" w:cstheme="majorBidi"/>
      <w:i/>
      <w:iCs/>
      <w:color w:val="1F3763" w:themeColor="accent1" w:themeShade="7F"/>
      <w:sz w:val="24"/>
      <w:lang w:val="en-US"/>
    </w:rPr>
  </w:style>
  <w:style w:type="character" w:customStyle="1" w:styleId="Heading8Char">
    <w:name w:val="Heading 8 Char"/>
    <w:basedOn w:val="DefaultParagraphFont"/>
    <w:link w:val="Heading8"/>
    <w:uiPriority w:val="9"/>
    <w:rsid w:val="005801A8"/>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rsid w:val="005801A8"/>
    <w:rPr>
      <w:rFonts w:asciiTheme="majorHAnsi" w:eastAsiaTheme="majorEastAsia" w:hAnsiTheme="majorHAnsi" w:cstheme="majorBidi"/>
      <w:i/>
      <w:iCs/>
      <w:color w:val="272727" w:themeColor="text1" w:themeTint="D8"/>
      <w:sz w:val="21"/>
      <w:szCs w:val="21"/>
      <w:lang w:val="en-US"/>
    </w:rPr>
  </w:style>
  <w:style w:type="paragraph" w:customStyle="1" w:styleId="1ParaFlushLeft">
    <w:name w:val="1_Para_FlushLeft"/>
    <w:basedOn w:val="Normal"/>
    <w:next w:val="1Para"/>
    <w:qFormat/>
    <w:rsid w:val="005801A8"/>
    <w:pPr>
      <w:spacing w:before="120"/>
    </w:pPr>
    <w:rPr>
      <w:lang w:val="en-CA"/>
    </w:rPr>
  </w:style>
  <w:style w:type="paragraph" w:customStyle="1" w:styleId="1Para">
    <w:name w:val="1_Para"/>
    <w:basedOn w:val="1ParaFlushLeft"/>
    <w:qFormat/>
    <w:rsid w:val="005801A8"/>
    <w:pPr>
      <w:ind w:firstLine="720"/>
    </w:pPr>
  </w:style>
  <w:style w:type="paragraph" w:customStyle="1" w:styleId="1ParaHangingIndent">
    <w:name w:val="1_Para_HangingIndent"/>
    <w:basedOn w:val="1ParaFlushLeft"/>
    <w:next w:val="1Para"/>
    <w:qFormat/>
    <w:rsid w:val="005801A8"/>
    <w:pPr>
      <w:ind w:left="720" w:hanging="720"/>
    </w:pPr>
  </w:style>
  <w:style w:type="paragraph" w:customStyle="1" w:styleId="9TitlePageTitle">
    <w:name w:val="9_TitlePage_Title"/>
    <w:basedOn w:val="Normal"/>
    <w:qFormat/>
    <w:rsid w:val="005801A8"/>
    <w:pPr>
      <w:spacing w:before="840" w:after="0"/>
      <w:jc w:val="center"/>
    </w:pPr>
    <w:rPr>
      <w:b/>
      <w:sz w:val="34"/>
      <w:szCs w:val="34"/>
    </w:rPr>
  </w:style>
  <w:style w:type="character" w:styleId="Emphasis">
    <w:name w:val="Emphasis"/>
    <w:basedOn w:val="DefaultParagraphFont"/>
    <w:uiPriority w:val="20"/>
    <w:qFormat/>
    <w:rsid w:val="005801A8"/>
    <w:rPr>
      <w:i/>
      <w:iCs/>
    </w:rPr>
  </w:style>
  <w:style w:type="paragraph" w:customStyle="1" w:styleId="9TitlePageText">
    <w:name w:val="9_TitlePage_Text"/>
    <w:basedOn w:val="Normal"/>
    <w:next w:val="1Para"/>
    <w:qFormat/>
    <w:rsid w:val="005801A8"/>
    <w:pPr>
      <w:spacing w:before="360" w:after="360"/>
      <w:jc w:val="center"/>
    </w:pPr>
  </w:style>
  <w:style w:type="paragraph" w:customStyle="1" w:styleId="Heading1Preliminary">
    <w:name w:val="Heading 1_Preliminary"/>
    <w:basedOn w:val="Heading2"/>
    <w:next w:val="1Para"/>
    <w:qFormat/>
    <w:rsid w:val="005801A8"/>
    <w:pPr>
      <w:pageBreakBefore/>
      <w:numPr>
        <w:ilvl w:val="0"/>
        <w:numId w:val="0"/>
      </w:numPr>
      <w:spacing w:before="600"/>
    </w:pPr>
  </w:style>
  <w:style w:type="paragraph" w:customStyle="1" w:styleId="Heading1NoNumber">
    <w:name w:val="Heading 1_NoNumber"/>
    <w:basedOn w:val="1ParaFlushLeft"/>
    <w:next w:val="1Para"/>
    <w:qFormat/>
    <w:rsid w:val="005801A8"/>
    <w:pPr>
      <w:pageBreakBefore/>
      <w:spacing w:after="480" w:line="240" w:lineRule="auto"/>
      <w:outlineLvl w:val="0"/>
    </w:pPr>
    <w:rPr>
      <w:b/>
      <w:sz w:val="34"/>
    </w:rPr>
  </w:style>
  <w:style w:type="paragraph" w:customStyle="1" w:styleId="Heading2NoNumber">
    <w:name w:val="Heading 2_NoNumber"/>
    <w:basedOn w:val="Heading2"/>
    <w:next w:val="1Para"/>
    <w:qFormat/>
    <w:rsid w:val="005801A8"/>
    <w:pPr>
      <w:numPr>
        <w:ilvl w:val="0"/>
        <w:numId w:val="0"/>
      </w:numPr>
    </w:pPr>
  </w:style>
  <w:style w:type="paragraph" w:customStyle="1" w:styleId="Heading3NoNumber">
    <w:name w:val="Heading 3_NoNumber"/>
    <w:basedOn w:val="Heading3"/>
    <w:next w:val="1Para"/>
    <w:qFormat/>
    <w:rsid w:val="005801A8"/>
    <w:pPr>
      <w:numPr>
        <w:ilvl w:val="0"/>
        <w:numId w:val="0"/>
      </w:numPr>
    </w:pPr>
  </w:style>
  <w:style w:type="paragraph" w:styleId="TOC2">
    <w:name w:val="toc 2"/>
    <w:basedOn w:val="Normal"/>
    <w:next w:val="Normal"/>
    <w:autoRedefine/>
    <w:uiPriority w:val="39"/>
    <w:unhideWhenUsed/>
    <w:qFormat/>
    <w:rsid w:val="000A6AF5"/>
    <w:pPr>
      <w:tabs>
        <w:tab w:val="left" w:pos="605"/>
        <w:tab w:val="right" w:leader="dot" w:pos="8630"/>
      </w:tabs>
      <w:spacing w:before="40" w:after="0" w:line="240" w:lineRule="auto"/>
    </w:pPr>
    <w:rPr>
      <w:bCs/>
      <w:szCs w:val="20"/>
    </w:rPr>
  </w:style>
  <w:style w:type="paragraph" w:styleId="TOC1">
    <w:name w:val="toc 1"/>
    <w:basedOn w:val="Normal"/>
    <w:next w:val="Normal"/>
    <w:autoRedefine/>
    <w:uiPriority w:val="39"/>
    <w:unhideWhenUsed/>
    <w:qFormat/>
    <w:rsid w:val="00442B85"/>
    <w:pPr>
      <w:tabs>
        <w:tab w:val="right" w:leader="dot" w:pos="8636"/>
      </w:tabs>
      <w:spacing w:before="240" w:after="0" w:line="240" w:lineRule="auto"/>
      <w:ind w:left="605" w:hanging="605"/>
    </w:pPr>
    <w:rPr>
      <w:noProof/>
      <w:sz w:val="20"/>
      <w:szCs w:val="20"/>
    </w:rPr>
  </w:style>
  <w:style w:type="paragraph" w:styleId="TOC3">
    <w:name w:val="toc 3"/>
    <w:basedOn w:val="Normal"/>
    <w:next w:val="Normal"/>
    <w:autoRedefine/>
    <w:uiPriority w:val="39"/>
    <w:unhideWhenUsed/>
    <w:qFormat/>
    <w:rsid w:val="005801A8"/>
    <w:pPr>
      <w:spacing w:before="40" w:after="0" w:line="240" w:lineRule="auto"/>
      <w:ind w:left="216"/>
    </w:pPr>
    <w:rPr>
      <w:szCs w:val="20"/>
    </w:rPr>
  </w:style>
  <w:style w:type="character" w:styleId="Hyperlink">
    <w:name w:val="Hyperlink"/>
    <w:basedOn w:val="DefaultParagraphFont"/>
    <w:uiPriority w:val="99"/>
    <w:unhideWhenUsed/>
    <w:rsid w:val="005801A8"/>
    <w:rPr>
      <w:rFonts w:ascii="Times New Roman" w:hAnsi="Times New Roman"/>
      <w:color w:val="0563C1" w:themeColor="hyperlink"/>
      <w:sz w:val="24"/>
      <w:u w:val="single"/>
    </w:rPr>
  </w:style>
  <w:style w:type="paragraph" w:styleId="Header">
    <w:name w:val="header"/>
    <w:basedOn w:val="Normal"/>
    <w:link w:val="HeaderChar"/>
    <w:uiPriority w:val="99"/>
    <w:unhideWhenUsed/>
    <w:rsid w:val="005801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1A8"/>
    <w:rPr>
      <w:rFonts w:ascii="Times New Roman" w:hAnsi="Times New Roman"/>
      <w:sz w:val="24"/>
      <w:lang w:val="en-US"/>
    </w:rPr>
  </w:style>
  <w:style w:type="paragraph" w:styleId="Footer">
    <w:name w:val="footer"/>
    <w:basedOn w:val="Normal"/>
    <w:link w:val="FooterChar"/>
    <w:uiPriority w:val="99"/>
    <w:unhideWhenUsed/>
    <w:rsid w:val="005801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1A8"/>
    <w:rPr>
      <w:rFonts w:ascii="Times New Roman" w:hAnsi="Times New Roman"/>
      <w:sz w:val="24"/>
      <w:lang w:val="en-US"/>
    </w:rPr>
  </w:style>
  <w:style w:type="paragraph" w:styleId="TOC4">
    <w:name w:val="toc 4"/>
    <w:basedOn w:val="Normal"/>
    <w:next w:val="Normal"/>
    <w:autoRedefine/>
    <w:uiPriority w:val="39"/>
    <w:unhideWhenUsed/>
    <w:rsid w:val="005801A8"/>
    <w:pPr>
      <w:spacing w:before="40" w:after="0" w:line="240" w:lineRule="auto"/>
      <w:ind w:left="446"/>
    </w:pPr>
    <w:rPr>
      <w:szCs w:val="20"/>
    </w:rPr>
  </w:style>
  <w:style w:type="paragraph" w:customStyle="1" w:styleId="3FigureNoCaptionOrNote">
    <w:name w:val="3_Figure_NoCaptionOrNote"/>
    <w:basedOn w:val="Normal"/>
    <w:next w:val="1Para"/>
    <w:qFormat/>
    <w:rsid w:val="005801A8"/>
    <w:pPr>
      <w:spacing w:before="120" w:after="480" w:line="240" w:lineRule="auto"/>
      <w:jc w:val="center"/>
    </w:pPr>
    <w:rPr>
      <w:noProof/>
    </w:rPr>
  </w:style>
  <w:style w:type="paragraph" w:customStyle="1" w:styleId="3CaptionAbove">
    <w:name w:val="3_CaptionAbove"/>
    <w:basedOn w:val="Normal"/>
    <w:qFormat/>
    <w:rsid w:val="005801A8"/>
    <w:pPr>
      <w:keepNext/>
      <w:keepLines/>
      <w:spacing w:before="240" w:after="120" w:line="240" w:lineRule="auto"/>
      <w:ind w:left="1440" w:hanging="1440"/>
    </w:pPr>
    <w:rPr>
      <w:b/>
      <w:noProof/>
    </w:rPr>
  </w:style>
  <w:style w:type="paragraph" w:styleId="TableofFigures">
    <w:name w:val="table of figures"/>
    <w:basedOn w:val="Normal"/>
    <w:next w:val="Normal"/>
    <w:uiPriority w:val="99"/>
    <w:unhideWhenUsed/>
    <w:rsid w:val="005801A8"/>
    <w:pPr>
      <w:spacing w:before="80" w:after="0" w:line="240" w:lineRule="auto"/>
      <w:ind w:left="1440" w:hanging="1440"/>
    </w:pPr>
  </w:style>
  <w:style w:type="paragraph" w:customStyle="1" w:styleId="2BlockQuote">
    <w:name w:val="2_BlockQuote"/>
    <w:basedOn w:val="Normal"/>
    <w:next w:val="1Para"/>
    <w:qFormat/>
    <w:rsid w:val="005801A8"/>
    <w:pPr>
      <w:spacing w:before="40" w:line="240" w:lineRule="auto"/>
      <w:ind w:left="720" w:right="720"/>
      <w:jc w:val="both"/>
    </w:pPr>
  </w:style>
  <w:style w:type="paragraph" w:customStyle="1" w:styleId="3CaptionBelow">
    <w:name w:val="3_CaptionBelow"/>
    <w:basedOn w:val="3CaptionAbove"/>
    <w:next w:val="1Para"/>
    <w:qFormat/>
    <w:rsid w:val="005801A8"/>
    <w:pPr>
      <w:keepNext w:val="0"/>
      <w:spacing w:before="0" w:after="240"/>
    </w:pPr>
  </w:style>
  <w:style w:type="paragraph" w:customStyle="1" w:styleId="3TableData">
    <w:name w:val="3_TableData"/>
    <w:basedOn w:val="Normal"/>
    <w:autoRedefine/>
    <w:qFormat/>
    <w:rsid w:val="00AD6E54"/>
    <w:pPr>
      <w:keepLines/>
      <w:spacing w:after="0" w:line="240" w:lineRule="auto"/>
    </w:pPr>
    <w:rPr>
      <w:sz w:val="16"/>
    </w:rPr>
  </w:style>
  <w:style w:type="paragraph" w:customStyle="1" w:styleId="1ParaNoSpace">
    <w:name w:val="1_Para_NoSpace"/>
    <w:basedOn w:val="1ParaFlushLeft"/>
    <w:next w:val="1Para"/>
    <w:qFormat/>
    <w:rsid w:val="005801A8"/>
    <w:pPr>
      <w:spacing w:after="0" w:line="240" w:lineRule="auto"/>
    </w:pPr>
    <w:rPr>
      <w:rFonts w:eastAsia="Calibri" w:cs="Arial"/>
    </w:rPr>
  </w:style>
  <w:style w:type="paragraph" w:customStyle="1" w:styleId="3TableHead">
    <w:name w:val="3_TableHead"/>
    <w:basedOn w:val="3TableData"/>
    <w:qFormat/>
    <w:rsid w:val="005801A8"/>
    <w:rPr>
      <w:b/>
      <w:sz w:val="24"/>
    </w:rPr>
  </w:style>
  <w:style w:type="paragraph" w:customStyle="1" w:styleId="2ParticipantQuote">
    <w:name w:val="2_ParticipantQuote"/>
    <w:basedOn w:val="2BlockQuote"/>
    <w:qFormat/>
    <w:rsid w:val="005801A8"/>
    <w:rPr>
      <w:rFonts w:ascii="Verdana" w:hAnsi="Verdana"/>
      <w:iCs/>
      <w:color w:val="000000" w:themeColor="text1"/>
      <w:sz w:val="20"/>
    </w:rPr>
  </w:style>
  <w:style w:type="paragraph" w:customStyle="1" w:styleId="2QuestionAnswer">
    <w:name w:val="2_QuestionAnswer"/>
    <w:basedOn w:val="2BlockQuote"/>
    <w:next w:val="1Para"/>
    <w:qFormat/>
    <w:rsid w:val="005801A8"/>
    <w:pPr>
      <w:ind w:left="1584" w:hanging="864"/>
    </w:pPr>
    <w:rPr>
      <w:rFonts w:ascii="Verdana" w:hAnsi="Verdana"/>
      <w:sz w:val="20"/>
    </w:rPr>
  </w:style>
  <w:style w:type="paragraph" w:customStyle="1" w:styleId="3Figure">
    <w:name w:val="3_Figure"/>
    <w:basedOn w:val="3FigureNoCaptionOrNote"/>
    <w:next w:val="3CaptionBelow"/>
    <w:qFormat/>
    <w:rsid w:val="005801A8"/>
    <w:pPr>
      <w:keepNext/>
      <w:keepLines/>
      <w:spacing w:after="120"/>
      <w:jc w:val="left"/>
    </w:pPr>
    <w:rPr>
      <w:i/>
    </w:rPr>
  </w:style>
  <w:style w:type="paragraph" w:customStyle="1" w:styleId="2Epigraph">
    <w:name w:val="2_Epigraph"/>
    <w:basedOn w:val="2BlockQuote"/>
    <w:qFormat/>
    <w:rsid w:val="005801A8"/>
    <w:pPr>
      <w:jc w:val="left"/>
    </w:pPr>
    <w:rPr>
      <w:i/>
    </w:rPr>
  </w:style>
  <w:style w:type="paragraph" w:customStyle="1" w:styleId="2ListManualNumbering">
    <w:name w:val="2_List_ManualNumbering"/>
    <w:basedOn w:val="Normal"/>
    <w:uiPriority w:val="99"/>
    <w:rsid w:val="005801A8"/>
    <w:pPr>
      <w:tabs>
        <w:tab w:val="left" w:pos="1080"/>
        <w:tab w:val="right" w:pos="7920"/>
      </w:tabs>
      <w:spacing w:before="120" w:line="240" w:lineRule="auto"/>
      <w:ind w:left="1080" w:right="720" w:hanging="360"/>
    </w:pPr>
    <w:rPr>
      <w:rFonts w:eastAsia="Calibri" w:cs="Arial"/>
      <w:lang w:val="en-CA"/>
    </w:rPr>
  </w:style>
  <w:style w:type="paragraph" w:customStyle="1" w:styleId="2Bullet">
    <w:name w:val="2_Bullet"/>
    <w:basedOn w:val="Normal"/>
    <w:uiPriority w:val="99"/>
    <w:rsid w:val="005801A8"/>
    <w:pPr>
      <w:numPr>
        <w:numId w:val="2"/>
      </w:numPr>
      <w:tabs>
        <w:tab w:val="left" w:pos="990"/>
        <w:tab w:val="right" w:pos="8640"/>
      </w:tabs>
      <w:spacing w:before="120" w:line="240" w:lineRule="auto"/>
      <w:ind w:left="994" w:hanging="274"/>
    </w:pPr>
    <w:rPr>
      <w:rFonts w:eastAsia="Calibri" w:cs="Arial"/>
      <w:lang w:val="en-CA"/>
    </w:rPr>
  </w:style>
  <w:style w:type="paragraph" w:customStyle="1" w:styleId="2Poem">
    <w:name w:val="2_Poem"/>
    <w:basedOn w:val="Normal"/>
    <w:qFormat/>
    <w:rsid w:val="005801A8"/>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right" w:pos="7920"/>
      </w:tabs>
      <w:spacing w:line="240" w:lineRule="auto"/>
      <w:ind w:left="720"/>
    </w:pPr>
    <w:rPr>
      <w:rFonts w:eastAsia="Calibri" w:cs="Arial"/>
    </w:rPr>
  </w:style>
  <w:style w:type="paragraph" w:customStyle="1" w:styleId="3CaptionBelowwithNote">
    <w:name w:val="3_CaptionBelow_withNote"/>
    <w:basedOn w:val="3CaptionBelow"/>
    <w:next w:val="3FigureNote"/>
    <w:qFormat/>
    <w:rsid w:val="005801A8"/>
    <w:pPr>
      <w:keepNext/>
      <w:spacing w:after="0"/>
    </w:pPr>
  </w:style>
  <w:style w:type="paragraph" w:customStyle="1" w:styleId="3TableDataCentre">
    <w:name w:val="3_TableData_Centre"/>
    <w:basedOn w:val="3TableData"/>
    <w:qFormat/>
    <w:rsid w:val="005801A8"/>
  </w:style>
  <w:style w:type="paragraph" w:customStyle="1" w:styleId="3TableDataRight">
    <w:name w:val="3_TableData_Right"/>
    <w:basedOn w:val="3TableData"/>
    <w:qFormat/>
    <w:rsid w:val="005801A8"/>
    <w:pPr>
      <w:jc w:val="right"/>
    </w:pPr>
  </w:style>
  <w:style w:type="paragraph" w:customStyle="1" w:styleId="3TableHeadCentre">
    <w:name w:val="3_TableHead_Centre"/>
    <w:basedOn w:val="3TableHead"/>
    <w:qFormat/>
    <w:rsid w:val="005801A8"/>
  </w:style>
  <w:style w:type="paragraph" w:customStyle="1" w:styleId="3TableHeadRight">
    <w:name w:val="3_TableHead_Right"/>
    <w:basedOn w:val="3TableHead"/>
    <w:qFormat/>
    <w:rsid w:val="005801A8"/>
    <w:pPr>
      <w:jc w:val="right"/>
    </w:pPr>
  </w:style>
  <w:style w:type="paragraph" w:customStyle="1" w:styleId="3FigureNote">
    <w:name w:val="3_FigureNote"/>
    <w:basedOn w:val="Normal"/>
    <w:next w:val="1Para"/>
    <w:qFormat/>
    <w:rsid w:val="005801A8"/>
    <w:pPr>
      <w:spacing w:after="360" w:line="240" w:lineRule="auto"/>
    </w:pPr>
    <w:rPr>
      <w:sz w:val="20"/>
    </w:rPr>
  </w:style>
  <w:style w:type="paragraph" w:customStyle="1" w:styleId="5Ref">
    <w:name w:val="5_Ref"/>
    <w:basedOn w:val="Normal"/>
    <w:uiPriority w:val="99"/>
    <w:rsid w:val="005801A8"/>
    <w:pPr>
      <w:keepLines/>
      <w:spacing w:before="300" w:after="120" w:line="240" w:lineRule="auto"/>
      <w:ind w:left="720" w:hanging="720"/>
    </w:pPr>
    <w:rPr>
      <w:rFonts w:eastAsia="Calibri" w:cs="Arial"/>
      <w:lang w:val="en-CA"/>
    </w:rPr>
  </w:style>
  <w:style w:type="paragraph" w:customStyle="1" w:styleId="3TableNote">
    <w:name w:val="3_TableNote"/>
    <w:basedOn w:val="Normal"/>
    <w:qFormat/>
    <w:rsid w:val="005801A8"/>
    <w:pPr>
      <w:spacing w:after="360" w:line="240" w:lineRule="auto"/>
    </w:pPr>
    <w:rPr>
      <w:sz w:val="20"/>
    </w:rPr>
  </w:style>
  <w:style w:type="paragraph" w:customStyle="1" w:styleId="5RefAmerAntiqAuthor">
    <w:name w:val="5_Ref_AmerAntiq_Author"/>
    <w:basedOn w:val="Normal"/>
    <w:next w:val="5RefAmerAntiqWork"/>
    <w:qFormat/>
    <w:rsid w:val="005801A8"/>
    <w:pPr>
      <w:keepNext/>
      <w:keepLines/>
      <w:spacing w:before="300" w:line="240" w:lineRule="auto"/>
    </w:pPr>
    <w:rPr>
      <w:rFonts w:eastAsia="Calibri" w:cs="Arial"/>
      <w:lang w:val="en-CA"/>
    </w:rPr>
  </w:style>
  <w:style w:type="paragraph" w:customStyle="1" w:styleId="5RefAmerAntiqWork">
    <w:name w:val="5_Ref_AmerAntiq_Work"/>
    <w:basedOn w:val="5RefAmerAntiqAuthor"/>
    <w:qFormat/>
    <w:rsid w:val="005801A8"/>
    <w:pPr>
      <w:keepNext w:val="0"/>
      <w:tabs>
        <w:tab w:val="left" w:pos="1080"/>
      </w:tabs>
      <w:spacing w:before="0"/>
      <w:ind w:left="720" w:hanging="360"/>
    </w:pPr>
  </w:style>
  <w:style w:type="character" w:styleId="CommentReference">
    <w:name w:val="annotation reference"/>
    <w:basedOn w:val="DefaultParagraphFont"/>
    <w:uiPriority w:val="99"/>
    <w:semiHidden/>
    <w:unhideWhenUsed/>
    <w:rsid w:val="005801A8"/>
    <w:rPr>
      <w:sz w:val="16"/>
      <w:szCs w:val="16"/>
    </w:rPr>
  </w:style>
  <w:style w:type="paragraph" w:styleId="CommentText">
    <w:name w:val="annotation text"/>
    <w:basedOn w:val="Normal"/>
    <w:link w:val="CommentTextChar"/>
    <w:uiPriority w:val="99"/>
    <w:unhideWhenUsed/>
    <w:rsid w:val="005801A8"/>
    <w:pPr>
      <w:spacing w:line="240" w:lineRule="auto"/>
    </w:pPr>
    <w:rPr>
      <w:sz w:val="20"/>
      <w:szCs w:val="20"/>
    </w:rPr>
  </w:style>
  <w:style w:type="character" w:customStyle="1" w:styleId="CommentTextChar">
    <w:name w:val="Comment Text Char"/>
    <w:basedOn w:val="DefaultParagraphFont"/>
    <w:link w:val="CommentText"/>
    <w:uiPriority w:val="99"/>
    <w:rsid w:val="005801A8"/>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801A8"/>
    <w:rPr>
      <w:b/>
      <w:bCs/>
    </w:rPr>
  </w:style>
  <w:style w:type="character" w:customStyle="1" w:styleId="CommentSubjectChar">
    <w:name w:val="Comment Subject Char"/>
    <w:basedOn w:val="CommentTextChar"/>
    <w:link w:val="CommentSubject"/>
    <w:uiPriority w:val="99"/>
    <w:semiHidden/>
    <w:rsid w:val="005801A8"/>
    <w:rPr>
      <w:rFonts w:ascii="Times New Roman" w:hAnsi="Times New Roman"/>
      <w:b/>
      <w:bCs/>
      <w:sz w:val="20"/>
      <w:szCs w:val="20"/>
      <w:lang w:val="en-US"/>
    </w:rPr>
  </w:style>
  <w:style w:type="paragraph" w:styleId="BalloonText">
    <w:name w:val="Balloon Text"/>
    <w:basedOn w:val="Normal"/>
    <w:link w:val="BalloonTextChar"/>
    <w:uiPriority w:val="99"/>
    <w:semiHidden/>
    <w:unhideWhenUsed/>
    <w:rsid w:val="00580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1A8"/>
    <w:rPr>
      <w:rFonts w:ascii="Segoe UI" w:hAnsi="Segoe UI" w:cs="Segoe UI"/>
      <w:sz w:val="18"/>
      <w:szCs w:val="18"/>
      <w:lang w:val="en-US"/>
    </w:rPr>
  </w:style>
  <w:style w:type="table" w:styleId="TableGrid">
    <w:name w:val="Table Grid"/>
    <w:basedOn w:val="TableNormal"/>
    <w:uiPriority w:val="39"/>
    <w:rsid w:val="005801A8"/>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801A8"/>
    <w:pPr>
      <w:spacing w:after="200" w:line="240" w:lineRule="auto"/>
    </w:pPr>
    <w:rPr>
      <w:i/>
      <w:iCs/>
      <w:color w:val="44546A" w:themeColor="text2"/>
      <w:sz w:val="18"/>
      <w:szCs w:val="18"/>
    </w:rPr>
  </w:style>
  <w:style w:type="paragraph" w:customStyle="1" w:styleId="pf0">
    <w:name w:val="pf0"/>
    <w:basedOn w:val="Normal"/>
    <w:rsid w:val="006A017B"/>
    <w:pPr>
      <w:spacing w:before="100" w:beforeAutospacing="1" w:after="100" w:afterAutospacing="1" w:line="240" w:lineRule="auto"/>
    </w:pPr>
    <w:rPr>
      <w:rFonts w:eastAsia="Times New Roman" w:cs="Times New Roman"/>
      <w:szCs w:val="24"/>
      <w:lang w:val="en-ZA" w:eastAsia="en-ZA"/>
    </w:rPr>
  </w:style>
  <w:style w:type="paragraph" w:styleId="ListParagraph">
    <w:name w:val="List Paragraph"/>
    <w:basedOn w:val="Normal"/>
    <w:uiPriority w:val="34"/>
    <w:qFormat/>
    <w:rsid w:val="005801A8"/>
    <w:pPr>
      <w:spacing w:before="100" w:after="100" w:line="240" w:lineRule="auto"/>
      <w:ind w:left="720"/>
      <w:contextualSpacing/>
      <w:jc w:val="both"/>
    </w:pPr>
    <w:rPr>
      <w:rFonts w:ascii="Calibri" w:hAnsi="Calibri"/>
    </w:rPr>
  </w:style>
  <w:style w:type="paragraph" w:customStyle="1" w:styleId="Default">
    <w:name w:val="Default"/>
    <w:rsid w:val="005801A8"/>
    <w:pPr>
      <w:autoSpaceDE w:val="0"/>
      <w:autoSpaceDN w:val="0"/>
      <w:adjustRightInd w:val="0"/>
      <w:spacing w:before="100" w:after="0" w:line="240" w:lineRule="auto"/>
      <w:jc w:val="both"/>
    </w:pPr>
    <w:rPr>
      <w:rFonts w:ascii="Arial" w:hAnsi="Arial" w:cs="Arial"/>
      <w:color w:val="000000"/>
      <w:sz w:val="24"/>
      <w:szCs w:val="24"/>
      <w:lang w:val="en-US"/>
    </w:rPr>
  </w:style>
  <w:style w:type="paragraph" w:styleId="NormalWeb">
    <w:name w:val="Normal (Web)"/>
    <w:basedOn w:val="Normal"/>
    <w:uiPriority w:val="99"/>
    <w:unhideWhenUsed/>
    <w:rsid w:val="005801A8"/>
    <w:pPr>
      <w:spacing w:before="100" w:beforeAutospacing="1" w:after="100" w:afterAutospacing="1" w:line="240" w:lineRule="auto"/>
      <w:jc w:val="both"/>
    </w:pPr>
    <w:rPr>
      <w:rFonts w:eastAsia="Times New Roman" w:cs="Times New Roman"/>
      <w:szCs w:val="24"/>
    </w:rPr>
  </w:style>
  <w:style w:type="character" w:styleId="PlaceholderText">
    <w:name w:val="Placeholder Text"/>
    <w:basedOn w:val="DefaultParagraphFont"/>
    <w:uiPriority w:val="99"/>
    <w:semiHidden/>
    <w:rsid w:val="005801A8"/>
    <w:rPr>
      <w:color w:val="808080"/>
    </w:rPr>
  </w:style>
  <w:style w:type="paragraph" w:styleId="TOCHeading">
    <w:name w:val="TOC Heading"/>
    <w:basedOn w:val="Heading1"/>
    <w:next w:val="Normal"/>
    <w:uiPriority w:val="39"/>
    <w:unhideWhenUsed/>
    <w:qFormat/>
    <w:rsid w:val="005801A8"/>
    <w:pPr>
      <w:pageBreakBefore w:val="0"/>
      <w:numPr>
        <w:numId w:val="0"/>
      </w:numPr>
      <w:spacing w:after="0" w:line="276" w:lineRule="auto"/>
      <w:outlineLvl w:val="9"/>
    </w:pPr>
    <w:rPr>
      <w:rFonts w:ascii="Cambria" w:hAnsi="Cambria"/>
      <w:bCs/>
      <w:color w:val="365F91"/>
      <w:sz w:val="28"/>
      <w:szCs w:val="28"/>
      <w:lang w:val="en-US" w:eastAsia="ja-JP"/>
    </w:rPr>
  </w:style>
  <w:style w:type="character" w:customStyle="1" w:styleId="FollowedHyperlink1">
    <w:name w:val="FollowedHyperlink1"/>
    <w:basedOn w:val="DefaultParagraphFont"/>
    <w:uiPriority w:val="99"/>
    <w:semiHidden/>
    <w:unhideWhenUsed/>
    <w:rsid w:val="005801A8"/>
    <w:rPr>
      <w:color w:val="800080"/>
      <w:u w:val="single"/>
    </w:rPr>
  </w:style>
  <w:style w:type="paragraph" w:styleId="EndnoteText">
    <w:name w:val="endnote text"/>
    <w:basedOn w:val="Normal"/>
    <w:link w:val="EndnoteTextChar"/>
    <w:uiPriority w:val="99"/>
    <w:unhideWhenUsed/>
    <w:rsid w:val="005801A8"/>
    <w:pPr>
      <w:spacing w:before="100" w:after="0" w:line="240" w:lineRule="auto"/>
      <w:jc w:val="both"/>
    </w:pPr>
    <w:rPr>
      <w:rFonts w:ascii="Calibri" w:hAnsi="Calibri"/>
      <w:sz w:val="20"/>
      <w:szCs w:val="20"/>
    </w:rPr>
  </w:style>
  <w:style w:type="character" w:customStyle="1" w:styleId="EndnoteTextChar">
    <w:name w:val="Endnote Text Char"/>
    <w:basedOn w:val="DefaultParagraphFont"/>
    <w:link w:val="EndnoteText"/>
    <w:uiPriority w:val="99"/>
    <w:rsid w:val="005801A8"/>
    <w:rPr>
      <w:rFonts w:ascii="Calibri" w:hAnsi="Calibri"/>
      <w:sz w:val="20"/>
      <w:szCs w:val="20"/>
      <w:lang w:val="en-US"/>
    </w:rPr>
  </w:style>
  <w:style w:type="character" w:styleId="EndnoteReference">
    <w:name w:val="endnote reference"/>
    <w:basedOn w:val="DefaultParagraphFont"/>
    <w:uiPriority w:val="99"/>
    <w:semiHidden/>
    <w:unhideWhenUsed/>
    <w:rsid w:val="005801A8"/>
    <w:rPr>
      <w:vertAlign w:val="superscript"/>
    </w:rPr>
  </w:style>
  <w:style w:type="paragraph" w:styleId="FootnoteText">
    <w:name w:val="footnote text"/>
    <w:basedOn w:val="Normal"/>
    <w:link w:val="FootnoteTextChar"/>
    <w:uiPriority w:val="99"/>
    <w:unhideWhenUsed/>
    <w:rsid w:val="005801A8"/>
    <w:pPr>
      <w:spacing w:before="100" w:after="0" w:line="240" w:lineRule="auto"/>
      <w:jc w:val="both"/>
    </w:pPr>
    <w:rPr>
      <w:sz w:val="20"/>
      <w:szCs w:val="20"/>
    </w:rPr>
  </w:style>
  <w:style w:type="character" w:customStyle="1" w:styleId="FootnoteTextChar">
    <w:name w:val="Footnote Text Char"/>
    <w:basedOn w:val="DefaultParagraphFont"/>
    <w:link w:val="FootnoteText"/>
    <w:uiPriority w:val="99"/>
    <w:rsid w:val="005801A8"/>
    <w:rPr>
      <w:rFonts w:ascii="Times New Roman" w:hAnsi="Times New Roman"/>
      <w:sz w:val="20"/>
      <w:szCs w:val="20"/>
      <w:lang w:val="en-US"/>
    </w:rPr>
  </w:style>
  <w:style w:type="character" w:styleId="FootnoteReference">
    <w:name w:val="footnote reference"/>
    <w:basedOn w:val="DefaultParagraphFont"/>
    <w:uiPriority w:val="99"/>
    <w:semiHidden/>
    <w:unhideWhenUsed/>
    <w:rsid w:val="005801A8"/>
    <w:rPr>
      <w:vertAlign w:val="superscript"/>
    </w:rPr>
  </w:style>
  <w:style w:type="character" w:styleId="Strong">
    <w:name w:val="Strong"/>
    <w:basedOn w:val="DefaultParagraphFont"/>
    <w:uiPriority w:val="22"/>
    <w:qFormat/>
    <w:rsid w:val="005801A8"/>
    <w:rPr>
      <w:b/>
      <w:bCs/>
      <w:sz w:val="24"/>
      <w:szCs w:val="24"/>
      <w:vertAlign w:val="baseline"/>
    </w:rPr>
  </w:style>
  <w:style w:type="character" w:styleId="FollowedHyperlink">
    <w:name w:val="FollowedHyperlink"/>
    <w:basedOn w:val="DefaultParagraphFont"/>
    <w:uiPriority w:val="99"/>
    <w:semiHidden/>
    <w:unhideWhenUsed/>
    <w:rsid w:val="005801A8"/>
    <w:rPr>
      <w:color w:val="954F72" w:themeColor="followedHyperlink"/>
      <w:u w:val="single"/>
    </w:rPr>
  </w:style>
  <w:style w:type="paragraph" w:styleId="BodyText2">
    <w:name w:val="Body Text 2"/>
    <w:basedOn w:val="Normal"/>
    <w:link w:val="BodyText2Char"/>
    <w:uiPriority w:val="99"/>
    <w:unhideWhenUsed/>
    <w:rsid w:val="005801A8"/>
    <w:pPr>
      <w:spacing w:after="120" w:line="480" w:lineRule="auto"/>
    </w:pPr>
  </w:style>
  <w:style w:type="character" w:customStyle="1" w:styleId="BodyText2Char">
    <w:name w:val="Body Text 2 Char"/>
    <w:basedOn w:val="DefaultParagraphFont"/>
    <w:link w:val="BodyText2"/>
    <w:uiPriority w:val="99"/>
    <w:rsid w:val="005801A8"/>
    <w:rPr>
      <w:rFonts w:ascii="Times New Roman" w:hAnsi="Times New Roman"/>
      <w:sz w:val="24"/>
      <w:lang w:val="en-US"/>
    </w:rPr>
  </w:style>
  <w:style w:type="paragraph" w:styleId="TOC5">
    <w:name w:val="toc 5"/>
    <w:basedOn w:val="Normal"/>
    <w:next w:val="Normal"/>
    <w:autoRedefine/>
    <w:uiPriority w:val="39"/>
    <w:unhideWhenUsed/>
    <w:rsid w:val="005801A8"/>
    <w:pPr>
      <w:spacing w:before="40" w:after="0" w:line="240" w:lineRule="auto"/>
      <w:ind w:left="662"/>
    </w:pPr>
    <w:rPr>
      <w:szCs w:val="20"/>
    </w:rPr>
  </w:style>
  <w:style w:type="paragraph" w:styleId="TOC6">
    <w:name w:val="toc 6"/>
    <w:basedOn w:val="Normal"/>
    <w:next w:val="Normal"/>
    <w:autoRedefine/>
    <w:uiPriority w:val="39"/>
    <w:unhideWhenUsed/>
    <w:rsid w:val="005801A8"/>
    <w:pPr>
      <w:spacing w:after="0"/>
      <w:ind w:left="880"/>
    </w:pPr>
    <w:rPr>
      <w:rFonts w:asciiTheme="minorHAnsi" w:hAnsiTheme="minorHAnsi"/>
      <w:sz w:val="20"/>
      <w:szCs w:val="20"/>
    </w:rPr>
  </w:style>
  <w:style w:type="paragraph" w:styleId="TOC7">
    <w:name w:val="toc 7"/>
    <w:basedOn w:val="Normal"/>
    <w:next w:val="Normal"/>
    <w:autoRedefine/>
    <w:uiPriority w:val="39"/>
    <w:unhideWhenUsed/>
    <w:rsid w:val="005801A8"/>
    <w:pPr>
      <w:spacing w:after="0"/>
      <w:ind w:left="1100"/>
    </w:pPr>
    <w:rPr>
      <w:rFonts w:asciiTheme="minorHAnsi" w:hAnsiTheme="minorHAnsi"/>
      <w:sz w:val="20"/>
      <w:szCs w:val="20"/>
    </w:rPr>
  </w:style>
  <w:style w:type="paragraph" w:styleId="TOC8">
    <w:name w:val="toc 8"/>
    <w:basedOn w:val="Normal"/>
    <w:next w:val="Normal"/>
    <w:autoRedefine/>
    <w:uiPriority w:val="39"/>
    <w:unhideWhenUsed/>
    <w:rsid w:val="005801A8"/>
    <w:pPr>
      <w:spacing w:after="0"/>
      <w:ind w:left="1320"/>
    </w:pPr>
    <w:rPr>
      <w:rFonts w:asciiTheme="minorHAnsi" w:hAnsiTheme="minorHAnsi"/>
      <w:sz w:val="20"/>
      <w:szCs w:val="20"/>
    </w:rPr>
  </w:style>
  <w:style w:type="paragraph" w:styleId="TOC9">
    <w:name w:val="toc 9"/>
    <w:basedOn w:val="Normal"/>
    <w:next w:val="Normal"/>
    <w:autoRedefine/>
    <w:uiPriority w:val="39"/>
    <w:unhideWhenUsed/>
    <w:rsid w:val="005801A8"/>
    <w:pPr>
      <w:spacing w:after="0"/>
      <w:ind w:left="1540"/>
    </w:pPr>
    <w:rPr>
      <w:rFonts w:asciiTheme="minorHAnsi" w:hAnsiTheme="minorHAnsi"/>
      <w:sz w:val="20"/>
      <w:szCs w:val="20"/>
    </w:rPr>
  </w:style>
  <w:style w:type="paragraph" w:customStyle="1" w:styleId="Reference">
    <w:name w:val="Reference"/>
    <w:basedOn w:val="BodyText"/>
    <w:rsid w:val="005801A8"/>
    <w:pPr>
      <w:keepNext/>
      <w:tabs>
        <w:tab w:val="right" w:pos="8640"/>
      </w:tabs>
      <w:spacing w:after="0" w:line="480" w:lineRule="auto"/>
      <w:ind w:left="720" w:hanging="720"/>
    </w:pPr>
    <w:rPr>
      <w:rFonts w:eastAsia="Times New Roman" w:cs="Times New Roman"/>
      <w:szCs w:val="24"/>
    </w:rPr>
  </w:style>
  <w:style w:type="paragraph" w:styleId="BodyText">
    <w:name w:val="Body Text"/>
    <w:aliases w:val="Body"/>
    <w:basedOn w:val="Normal"/>
    <w:link w:val="BodyTextChar"/>
    <w:uiPriority w:val="7"/>
    <w:semiHidden/>
    <w:unhideWhenUsed/>
    <w:qFormat/>
    <w:rsid w:val="005801A8"/>
    <w:pPr>
      <w:spacing w:after="120"/>
    </w:pPr>
  </w:style>
  <w:style w:type="character" w:customStyle="1" w:styleId="BodyTextChar">
    <w:name w:val="Body Text Char"/>
    <w:aliases w:val="Body Char"/>
    <w:basedOn w:val="DefaultParagraphFont"/>
    <w:link w:val="BodyText"/>
    <w:uiPriority w:val="7"/>
    <w:semiHidden/>
    <w:rsid w:val="005801A8"/>
    <w:rPr>
      <w:rFonts w:ascii="Times New Roman" w:hAnsi="Times New Roman"/>
      <w:sz w:val="24"/>
      <w:lang w:val="en-US"/>
    </w:rPr>
  </w:style>
  <w:style w:type="paragraph" w:styleId="DocumentMap">
    <w:name w:val="Document Map"/>
    <w:basedOn w:val="Normal"/>
    <w:link w:val="DocumentMapChar"/>
    <w:uiPriority w:val="99"/>
    <w:semiHidden/>
    <w:unhideWhenUsed/>
    <w:rsid w:val="005801A8"/>
    <w:pPr>
      <w:spacing w:after="0" w:line="240" w:lineRule="auto"/>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5801A8"/>
    <w:rPr>
      <w:rFonts w:ascii="Lucida Grande" w:hAnsi="Lucida Grande" w:cs="Lucida Grande"/>
      <w:sz w:val="24"/>
      <w:szCs w:val="24"/>
      <w:lang w:val="en-US"/>
    </w:rPr>
  </w:style>
  <w:style w:type="character" w:customStyle="1" w:styleId="normaltextrun">
    <w:name w:val="normaltextrun"/>
    <w:basedOn w:val="DefaultParagraphFont"/>
    <w:rsid w:val="005801A8"/>
  </w:style>
  <w:style w:type="character" w:customStyle="1" w:styleId="apple-converted-space">
    <w:name w:val="apple-converted-space"/>
    <w:basedOn w:val="DefaultParagraphFont"/>
    <w:rsid w:val="005801A8"/>
  </w:style>
  <w:style w:type="paragraph" w:customStyle="1" w:styleId="C-BodyText">
    <w:name w:val="C-Body Text"/>
    <w:aliases w:val="C-Body"/>
    <w:basedOn w:val="BodyText"/>
    <w:next w:val="Normal"/>
    <w:uiPriority w:val="5"/>
    <w:qFormat/>
    <w:rsid w:val="005801A8"/>
    <w:pPr>
      <w:spacing w:after="0" w:line="240" w:lineRule="auto"/>
    </w:pPr>
    <w:rPr>
      <w:rFonts w:eastAsia="Times New Roman" w:cs="Times New Roman"/>
      <w:szCs w:val="24"/>
      <w:shd w:val="clear" w:color="auto" w:fill="FFFFFF"/>
      <w:lang w:val="en-ZA" w:eastAsia="en-GB"/>
    </w:rPr>
  </w:style>
  <w:style w:type="table" w:customStyle="1" w:styleId="TableGrid2">
    <w:name w:val="Table Grid2"/>
    <w:basedOn w:val="TableNormal"/>
    <w:next w:val="TableGrid"/>
    <w:uiPriority w:val="39"/>
    <w:rsid w:val="00580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ThesisTitle Char1"/>
    <w:basedOn w:val="DefaultParagraphFont"/>
    <w:uiPriority w:val="9"/>
    <w:rsid w:val="005801A8"/>
    <w:rPr>
      <w:rFonts w:asciiTheme="majorHAnsi" w:eastAsiaTheme="majorEastAsia" w:hAnsiTheme="majorHAnsi" w:cstheme="majorBidi"/>
      <w:color w:val="2F5496" w:themeColor="accent1" w:themeShade="BF"/>
      <w:sz w:val="32"/>
      <w:szCs w:val="32"/>
      <w:lang w:val="en-ZA" w:eastAsia="en-GB"/>
    </w:rPr>
  </w:style>
  <w:style w:type="character" w:customStyle="1" w:styleId="Heading2Char1">
    <w:name w:val="Heading 2 Char1"/>
    <w:aliases w:val="ChapterTitle Char1"/>
    <w:basedOn w:val="DefaultParagraphFont"/>
    <w:uiPriority w:val="9"/>
    <w:semiHidden/>
    <w:rsid w:val="005801A8"/>
    <w:rPr>
      <w:rFonts w:asciiTheme="majorHAnsi" w:eastAsiaTheme="majorEastAsia" w:hAnsiTheme="majorHAnsi" w:cstheme="majorBidi"/>
      <w:color w:val="2F5496" w:themeColor="accent1" w:themeShade="BF"/>
      <w:sz w:val="26"/>
      <w:szCs w:val="26"/>
      <w:lang w:val="en-ZA" w:eastAsia="en-GB"/>
    </w:rPr>
  </w:style>
  <w:style w:type="character" w:customStyle="1" w:styleId="Heading3Char1">
    <w:name w:val="Heading 3 Char1"/>
    <w:aliases w:val="SectionTitle/A-head Char1"/>
    <w:basedOn w:val="DefaultParagraphFont"/>
    <w:uiPriority w:val="9"/>
    <w:semiHidden/>
    <w:rsid w:val="005801A8"/>
    <w:rPr>
      <w:rFonts w:asciiTheme="majorHAnsi" w:eastAsiaTheme="majorEastAsia" w:hAnsiTheme="majorHAnsi" w:cstheme="majorBidi"/>
      <w:color w:val="1F3763" w:themeColor="accent1" w:themeShade="7F"/>
      <w:sz w:val="24"/>
      <w:szCs w:val="24"/>
      <w:lang w:val="en-ZA" w:eastAsia="en-GB"/>
    </w:rPr>
  </w:style>
  <w:style w:type="character" w:customStyle="1" w:styleId="Heading4Char1">
    <w:name w:val="Heading 4 Char1"/>
    <w:aliases w:val="B-Head Char1"/>
    <w:basedOn w:val="DefaultParagraphFont"/>
    <w:uiPriority w:val="9"/>
    <w:semiHidden/>
    <w:rsid w:val="005801A8"/>
    <w:rPr>
      <w:rFonts w:asciiTheme="majorHAnsi" w:eastAsiaTheme="majorEastAsia" w:hAnsiTheme="majorHAnsi" w:cstheme="majorBidi"/>
      <w:i/>
      <w:iCs/>
      <w:color w:val="2F5496" w:themeColor="accent1" w:themeShade="BF"/>
      <w:sz w:val="24"/>
      <w:szCs w:val="24"/>
      <w:lang w:val="en-ZA" w:eastAsia="en-GB"/>
    </w:rPr>
  </w:style>
  <w:style w:type="paragraph" w:customStyle="1" w:styleId="msonormal0">
    <w:name w:val="msonormal"/>
    <w:basedOn w:val="Normal"/>
    <w:rsid w:val="005801A8"/>
    <w:pPr>
      <w:spacing w:before="100" w:beforeAutospacing="1" w:after="100" w:afterAutospacing="1" w:line="240" w:lineRule="auto"/>
    </w:pPr>
    <w:rPr>
      <w:rFonts w:eastAsia="Times New Roman" w:cs="Times New Roman"/>
      <w:szCs w:val="24"/>
      <w:lang w:val="en-ZA" w:eastAsia="en-GB"/>
    </w:rPr>
  </w:style>
  <w:style w:type="character" w:customStyle="1" w:styleId="SubtitleChar">
    <w:name w:val="Subtitle Char"/>
    <w:aliases w:val="&quot;Field&amp;Degree&quot; Char"/>
    <w:basedOn w:val="DefaultParagraphFont"/>
    <w:link w:val="Subtitle"/>
    <w:uiPriority w:val="99"/>
    <w:locked/>
    <w:rsid w:val="005801A8"/>
    <w:rPr>
      <w:rFonts w:eastAsiaTheme="minorEastAsia" w:cs="Times New Roman"/>
      <w:lang w:eastAsia="en-GB"/>
    </w:rPr>
  </w:style>
  <w:style w:type="paragraph" w:styleId="Subtitle">
    <w:name w:val="Subtitle"/>
    <w:aliases w:val="&quot;Field&amp;Degree&quot;"/>
    <w:basedOn w:val="Normal"/>
    <w:next w:val="Normal"/>
    <w:link w:val="SubtitleChar"/>
    <w:uiPriority w:val="99"/>
    <w:qFormat/>
    <w:rsid w:val="005801A8"/>
    <w:pPr>
      <w:spacing w:after="1200" w:line="240" w:lineRule="auto"/>
      <w:jc w:val="center"/>
    </w:pPr>
    <w:rPr>
      <w:rFonts w:asciiTheme="minorHAnsi" w:eastAsiaTheme="minorEastAsia" w:hAnsiTheme="minorHAnsi" w:cs="Times New Roman"/>
      <w:sz w:val="22"/>
      <w:lang w:val="en-ZA" w:eastAsia="en-GB"/>
    </w:rPr>
  </w:style>
  <w:style w:type="character" w:customStyle="1" w:styleId="SubtitleChar1">
    <w:name w:val="Subtitle Char1"/>
    <w:aliases w:val="&quot;Field&amp;Degree&quot; Char1"/>
    <w:basedOn w:val="DefaultParagraphFont"/>
    <w:uiPriority w:val="99"/>
    <w:rsid w:val="005801A8"/>
    <w:rPr>
      <w:rFonts w:eastAsiaTheme="minorEastAsia"/>
      <w:color w:val="5A5A5A" w:themeColor="text1" w:themeTint="A5"/>
      <w:spacing w:val="15"/>
      <w:lang w:val="en-US"/>
    </w:rPr>
  </w:style>
  <w:style w:type="paragraph" w:styleId="Revision">
    <w:name w:val="Revision"/>
    <w:uiPriority w:val="99"/>
    <w:semiHidden/>
    <w:rsid w:val="005801A8"/>
    <w:pPr>
      <w:spacing w:after="0" w:line="240" w:lineRule="auto"/>
    </w:pPr>
  </w:style>
  <w:style w:type="paragraph" w:customStyle="1" w:styleId="No-TOC-Heading">
    <w:name w:val="No-TOC-Heading"/>
    <w:uiPriority w:val="6"/>
    <w:rsid w:val="005801A8"/>
    <w:pPr>
      <w:spacing w:before="720" w:after="520" w:line="480" w:lineRule="auto"/>
      <w:jc w:val="center"/>
      <w:outlineLvl w:val="1"/>
    </w:pPr>
    <w:rPr>
      <w:rFonts w:ascii="Times New Roman" w:eastAsiaTheme="majorEastAsia" w:hAnsi="Times New Roman" w:cstheme="majorBidi"/>
      <w:sz w:val="24"/>
      <w:szCs w:val="26"/>
      <w:lang w:val="en-US"/>
    </w:rPr>
  </w:style>
  <w:style w:type="paragraph" w:customStyle="1" w:styleId="Author">
    <w:name w:val="Author"/>
    <w:basedOn w:val="Normal"/>
    <w:uiPriority w:val="9"/>
    <w:qFormat/>
    <w:rsid w:val="005801A8"/>
    <w:pPr>
      <w:spacing w:after="2640" w:line="240" w:lineRule="auto"/>
      <w:jc w:val="center"/>
    </w:pPr>
    <w:rPr>
      <w:rFonts w:eastAsia="Times New Roman" w:cs="Times New Roman"/>
      <w:szCs w:val="24"/>
      <w:lang w:val="en-ZA" w:eastAsia="en-GB"/>
    </w:rPr>
  </w:style>
  <w:style w:type="paragraph" w:customStyle="1" w:styleId="Month-Year">
    <w:name w:val="Month-Year"/>
    <w:basedOn w:val="Normal"/>
    <w:uiPriority w:val="10"/>
    <w:qFormat/>
    <w:rsid w:val="005801A8"/>
    <w:pPr>
      <w:spacing w:after="0" w:line="240" w:lineRule="auto"/>
      <w:jc w:val="center"/>
    </w:pPr>
    <w:rPr>
      <w:rFonts w:eastAsia="Times New Roman" w:cs="Times New Roman"/>
      <w:szCs w:val="24"/>
      <w:lang w:val="en-ZA" w:eastAsia="en-GB"/>
    </w:rPr>
  </w:style>
  <w:style w:type="paragraph" w:customStyle="1" w:styleId="CenteredText">
    <w:name w:val="Centered Text"/>
    <w:aliases w:val="Centered"/>
    <w:basedOn w:val="Normal"/>
    <w:uiPriority w:val="8"/>
    <w:qFormat/>
    <w:rsid w:val="005801A8"/>
    <w:pPr>
      <w:shd w:val="clear" w:color="auto" w:fill="FFFFFF"/>
      <w:spacing w:after="0" w:line="240" w:lineRule="auto"/>
      <w:jc w:val="center"/>
    </w:pPr>
    <w:rPr>
      <w:rFonts w:eastAsia="Times New Roman" w:cs="Arial"/>
      <w:color w:val="000000"/>
      <w:szCs w:val="18"/>
      <w:lang w:val="en-ZA" w:eastAsia="en-GB"/>
    </w:rPr>
  </w:style>
  <w:style w:type="paragraph" w:customStyle="1" w:styleId="BlockQuote">
    <w:name w:val="Block Quote"/>
    <w:aliases w:val="BlockQuo"/>
    <w:uiPriority w:val="11"/>
    <w:qFormat/>
    <w:rsid w:val="005801A8"/>
    <w:pPr>
      <w:shd w:val="clear" w:color="auto" w:fill="FFFFFF"/>
      <w:spacing w:after="240" w:line="240" w:lineRule="auto"/>
      <w:ind w:left="1440"/>
    </w:pPr>
    <w:rPr>
      <w:rFonts w:ascii="Times New Roman" w:hAnsi="Times New Roman" w:cs="Times New Roman"/>
      <w:sz w:val="24"/>
      <w:szCs w:val="24"/>
      <w:lang w:val="en-US"/>
    </w:rPr>
  </w:style>
  <w:style w:type="paragraph" w:customStyle="1" w:styleId="FigureDescription">
    <w:name w:val="Figure Description"/>
    <w:aliases w:val="FigDesc"/>
    <w:basedOn w:val="Normal"/>
    <w:next w:val="Normal"/>
    <w:uiPriority w:val="21"/>
    <w:qFormat/>
    <w:rsid w:val="005801A8"/>
    <w:pPr>
      <w:shd w:val="clear" w:color="auto" w:fill="FFFFFF"/>
      <w:spacing w:after="800" w:line="240" w:lineRule="auto"/>
    </w:pPr>
    <w:rPr>
      <w:rFonts w:eastAsia="Times New Roman" w:cs="Times New Roman"/>
      <w:i/>
      <w:szCs w:val="24"/>
      <w:lang w:val="en-ZA" w:eastAsia="en-GB"/>
    </w:rPr>
  </w:style>
  <w:style w:type="paragraph" w:customStyle="1" w:styleId="FigureTitle">
    <w:name w:val="Figure Title"/>
    <w:aliases w:val="FigTitle"/>
    <w:next w:val="FigureDescription"/>
    <w:uiPriority w:val="20"/>
    <w:qFormat/>
    <w:rsid w:val="005801A8"/>
    <w:pPr>
      <w:shd w:val="clear" w:color="auto" w:fill="FFFFFF"/>
      <w:tabs>
        <w:tab w:val="left" w:pos="990"/>
      </w:tabs>
      <w:spacing w:before="760" w:after="0" w:line="480" w:lineRule="auto"/>
    </w:pPr>
    <w:rPr>
      <w:rFonts w:ascii="Times New Roman" w:hAnsi="Times New Roman" w:cs="Times New Roman"/>
      <w:sz w:val="24"/>
      <w:szCs w:val="24"/>
      <w:lang w:val="en-US"/>
    </w:rPr>
  </w:style>
  <w:style w:type="paragraph" w:customStyle="1" w:styleId="TableTitle">
    <w:name w:val="Table Title"/>
    <w:aliases w:val="TableTitle"/>
    <w:basedOn w:val="Normal"/>
    <w:uiPriority w:val="17"/>
    <w:qFormat/>
    <w:rsid w:val="005801A8"/>
    <w:pPr>
      <w:shd w:val="clear" w:color="auto" w:fill="FFFFFF"/>
      <w:tabs>
        <w:tab w:val="left" w:pos="900"/>
      </w:tabs>
      <w:spacing w:before="480" w:after="120" w:line="240" w:lineRule="auto"/>
    </w:pPr>
    <w:rPr>
      <w:rFonts w:eastAsia="Times New Roman" w:cs="Times New Roman"/>
      <w:szCs w:val="24"/>
      <w:lang w:val="en-ZA" w:eastAsia="en-GB"/>
    </w:rPr>
  </w:style>
  <w:style w:type="paragraph" w:customStyle="1" w:styleId="TableCell">
    <w:name w:val="Table Cell"/>
    <w:aliases w:val="TableCell"/>
    <w:uiPriority w:val="19"/>
    <w:qFormat/>
    <w:rsid w:val="004624FD"/>
    <w:pPr>
      <w:shd w:val="clear" w:color="auto" w:fill="FFFFFF"/>
      <w:spacing w:after="0" w:line="240" w:lineRule="auto"/>
    </w:pPr>
    <w:rPr>
      <w:rFonts w:ascii="Times New Roman" w:hAnsi="Times New Roman" w:cs="Times New Roman"/>
      <w:sz w:val="20"/>
      <w:szCs w:val="24"/>
      <w:lang w:val="en-US"/>
    </w:rPr>
  </w:style>
  <w:style w:type="paragraph" w:customStyle="1" w:styleId="NumberedList">
    <w:name w:val="Numbered List"/>
    <w:aliases w:val="Numbers"/>
    <w:uiPriority w:val="14"/>
    <w:qFormat/>
    <w:rsid w:val="005801A8"/>
    <w:pPr>
      <w:numPr>
        <w:numId w:val="3"/>
      </w:numPr>
      <w:shd w:val="clear" w:color="auto" w:fill="FFFFFF"/>
      <w:spacing w:after="240" w:line="480" w:lineRule="auto"/>
      <w:contextualSpacing/>
    </w:pPr>
    <w:rPr>
      <w:rFonts w:ascii="Times New Roman" w:hAnsi="Times New Roman" w:cs="Times New Roman"/>
      <w:sz w:val="24"/>
      <w:szCs w:val="24"/>
      <w:lang w:val="en-US"/>
    </w:rPr>
  </w:style>
  <w:style w:type="paragraph" w:customStyle="1" w:styleId="BulletedList">
    <w:name w:val="Bulleted List"/>
    <w:aliases w:val="Bullets"/>
    <w:uiPriority w:val="15"/>
    <w:qFormat/>
    <w:rsid w:val="005801A8"/>
    <w:pPr>
      <w:numPr>
        <w:numId w:val="4"/>
      </w:numPr>
      <w:shd w:val="clear" w:color="auto" w:fill="FFFFFF"/>
      <w:spacing w:after="0" w:line="480" w:lineRule="auto"/>
      <w:contextualSpacing/>
    </w:pPr>
    <w:rPr>
      <w:rFonts w:ascii="Times New Roman" w:hAnsi="Times New Roman" w:cs="Times New Roman"/>
      <w:sz w:val="24"/>
      <w:szCs w:val="24"/>
      <w:lang w:val="en-US"/>
    </w:rPr>
  </w:style>
  <w:style w:type="paragraph" w:customStyle="1" w:styleId="BibliographyEntry">
    <w:name w:val="Bibliography Entry"/>
    <w:aliases w:val="BibEntry"/>
    <w:uiPriority w:val="22"/>
    <w:qFormat/>
    <w:rsid w:val="005801A8"/>
    <w:pPr>
      <w:shd w:val="clear" w:color="auto" w:fill="FFFFFF"/>
      <w:spacing w:after="240" w:line="240" w:lineRule="auto"/>
      <w:ind w:left="720" w:hanging="720"/>
    </w:pPr>
    <w:rPr>
      <w:rFonts w:ascii="Times New Roman" w:hAnsi="Times New Roman" w:cs="Times New Roman"/>
      <w:sz w:val="24"/>
      <w:szCs w:val="24"/>
      <w:lang w:val="en-US"/>
    </w:rPr>
  </w:style>
  <w:style w:type="paragraph" w:customStyle="1" w:styleId="Copyright">
    <w:name w:val="Copyright"/>
    <w:basedOn w:val="CenteredText"/>
    <w:uiPriority w:val="23"/>
    <w:qFormat/>
    <w:rsid w:val="005801A8"/>
    <w:pPr>
      <w:spacing w:before="13560"/>
    </w:pPr>
  </w:style>
  <w:style w:type="paragraph" w:customStyle="1" w:styleId="TableDescription">
    <w:name w:val="Table Description"/>
    <w:aliases w:val="TableDesc"/>
    <w:basedOn w:val="FigureDescription"/>
    <w:uiPriority w:val="18"/>
    <w:qFormat/>
    <w:rsid w:val="005801A8"/>
    <w:pPr>
      <w:spacing w:before="120"/>
    </w:pPr>
  </w:style>
  <w:style w:type="paragraph" w:customStyle="1" w:styleId="paragraph">
    <w:name w:val="paragraph"/>
    <w:basedOn w:val="Normal"/>
    <w:rsid w:val="005801A8"/>
    <w:pPr>
      <w:spacing w:before="100" w:beforeAutospacing="1" w:after="100" w:afterAutospacing="1" w:line="240" w:lineRule="auto"/>
    </w:pPr>
    <w:rPr>
      <w:rFonts w:eastAsia="Times New Roman" w:cs="Times New Roman"/>
      <w:szCs w:val="24"/>
      <w:lang w:val="en-ZA" w:eastAsia="en-ZA"/>
    </w:rPr>
  </w:style>
  <w:style w:type="paragraph" w:customStyle="1" w:styleId="p">
    <w:name w:val="p"/>
    <w:basedOn w:val="Normal"/>
    <w:rsid w:val="005801A8"/>
    <w:pPr>
      <w:spacing w:before="100" w:beforeAutospacing="1" w:after="100" w:afterAutospacing="1" w:line="240" w:lineRule="auto"/>
    </w:pPr>
    <w:rPr>
      <w:rFonts w:eastAsia="Times New Roman" w:cs="Times New Roman"/>
      <w:szCs w:val="24"/>
      <w:lang w:val="en-ZA" w:eastAsia="en-ZA"/>
    </w:rPr>
  </w:style>
  <w:style w:type="character" w:customStyle="1" w:styleId="citationref">
    <w:name w:val="citationref"/>
    <w:basedOn w:val="DefaultParagraphFont"/>
    <w:rsid w:val="005801A8"/>
  </w:style>
  <w:style w:type="character" w:customStyle="1" w:styleId="eop">
    <w:name w:val="eop"/>
    <w:basedOn w:val="DefaultParagraphFont"/>
    <w:rsid w:val="005801A8"/>
  </w:style>
  <w:style w:type="character" w:customStyle="1" w:styleId="mathspan">
    <w:name w:val="mathspan"/>
    <w:basedOn w:val="DefaultParagraphFont"/>
    <w:rsid w:val="005801A8"/>
  </w:style>
  <w:style w:type="character" w:customStyle="1" w:styleId="spellingerror">
    <w:name w:val="spellingerror"/>
    <w:basedOn w:val="DefaultParagraphFont"/>
    <w:rsid w:val="005801A8"/>
  </w:style>
  <w:style w:type="character" w:customStyle="1" w:styleId="highlight">
    <w:name w:val="highlight"/>
    <w:basedOn w:val="DefaultParagraphFont"/>
    <w:rsid w:val="005801A8"/>
  </w:style>
  <w:style w:type="character" w:customStyle="1" w:styleId="citation">
    <w:name w:val="citation"/>
    <w:basedOn w:val="DefaultParagraphFont"/>
    <w:rsid w:val="005801A8"/>
  </w:style>
  <w:style w:type="character" w:customStyle="1" w:styleId="A4">
    <w:name w:val="A4"/>
    <w:uiPriority w:val="99"/>
    <w:rsid w:val="005801A8"/>
    <w:rPr>
      <w:rFonts w:ascii="Minion Pro" w:hAnsi="Minion Pro" w:cs="Minion Pro" w:hint="default"/>
      <w:color w:val="000000"/>
      <w:sz w:val="8"/>
      <w:szCs w:val="8"/>
    </w:rPr>
  </w:style>
  <w:style w:type="character" w:customStyle="1" w:styleId="UnresolvedMention1">
    <w:name w:val="Unresolved Mention1"/>
    <w:basedOn w:val="DefaultParagraphFont"/>
    <w:uiPriority w:val="99"/>
    <w:semiHidden/>
    <w:rsid w:val="005801A8"/>
    <w:rPr>
      <w:color w:val="808080"/>
      <w:shd w:val="clear" w:color="auto" w:fill="E6E6E6"/>
    </w:rPr>
  </w:style>
  <w:style w:type="character" w:customStyle="1" w:styleId="scxw5413905">
    <w:name w:val="scxw5413905"/>
    <w:basedOn w:val="DefaultParagraphFont"/>
    <w:rsid w:val="005801A8"/>
  </w:style>
  <w:style w:type="character" w:customStyle="1" w:styleId="contextualspellingandgrammarerror">
    <w:name w:val="contextualspellingandgrammarerror"/>
    <w:basedOn w:val="DefaultParagraphFont"/>
    <w:rsid w:val="005801A8"/>
  </w:style>
  <w:style w:type="character" w:customStyle="1" w:styleId="pagebreaktextspan">
    <w:name w:val="pagebreaktextspan"/>
    <w:basedOn w:val="DefaultParagraphFont"/>
    <w:rsid w:val="005801A8"/>
  </w:style>
  <w:style w:type="character" w:customStyle="1" w:styleId="mi">
    <w:name w:val="mi"/>
    <w:basedOn w:val="DefaultParagraphFont"/>
    <w:rsid w:val="005801A8"/>
  </w:style>
  <w:style w:type="character" w:customStyle="1" w:styleId="mn">
    <w:name w:val="mn"/>
    <w:basedOn w:val="DefaultParagraphFont"/>
    <w:rsid w:val="005801A8"/>
  </w:style>
  <w:style w:type="character" w:customStyle="1" w:styleId="mo">
    <w:name w:val="mo"/>
    <w:basedOn w:val="DefaultParagraphFont"/>
    <w:rsid w:val="005801A8"/>
  </w:style>
  <w:style w:type="paragraph" w:styleId="z-BottomofForm">
    <w:name w:val="HTML Bottom of Form"/>
    <w:basedOn w:val="Normal"/>
    <w:next w:val="Normal"/>
    <w:link w:val="z-BottomofFormChar"/>
    <w:hidden/>
    <w:uiPriority w:val="99"/>
    <w:semiHidden/>
    <w:unhideWhenUsed/>
    <w:rsid w:val="005801A8"/>
    <w:pPr>
      <w:pBdr>
        <w:top w:val="single" w:sz="6" w:space="1" w:color="auto"/>
      </w:pBdr>
      <w:spacing w:after="0" w:line="240" w:lineRule="auto"/>
      <w:jc w:val="center"/>
    </w:pPr>
    <w:rPr>
      <w:rFonts w:ascii="Arial" w:eastAsia="Times New Roman" w:hAnsi="Arial" w:cs="Arial"/>
      <w:vanish/>
      <w:sz w:val="16"/>
      <w:szCs w:val="16"/>
      <w:lang w:val="en-ZA" w:eastAsia="en-GB"/>
    </w:rPr>
  </w:style>
  <w:style w:type="character" w:customStyle="1" w:styleId="z-BottomofFormChar">
    <w:name w:val="z-Bottom of Form Char"/>
    <w:basedOn w:val="DefaultParagraphFont"/>
    <w:link w:val="z-BottomofForm"/>
    <w:uiPriority w:val="99"/>
    <w:semiHidden/>
    <w:rsid w:val="005801A8"/>
    <w:rPr>
      <w:rFonts w:ascii="Arial" w:eastAsia="Times New Roman" w:hAnsi="Arial" w:cs="Arial"/>
      <w:vanish/>
      <w:sz w:val="16"/>
      <w:szCs w:val="16"/>
      <w:lang w:eastAsia="en-GB"/>
    </w:rPr>
  </w:style>
  <w:style w:type="character" w:customStyle="1" w:styleId="balloon">
    <w:name w:val="balloon"/>
    <w:basedOn w:val="DefaultParagraphFont"/>
    <w:rsid w:val="005801A8"/>
  </w:style>
  <w:style w:type="table" w:customStyle="1" w:styleId="TableGrid1">
    <w:name w:val="Table Grid1"/>
    <w:basedOn w:val="TableNormal"/>
    <w:uiPriority w:val="39"/>
    <w:rsid w:val="005801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5801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TableDatapacked">
    <w:name w:val="3_TableData_packed"/>
    <w:basedOn w:val="3TableData"/>
    <w:autoRedefine/>
    <w:qFormat/>
    <w:rsid w:val="00D72163"/>
    <w:pPr>
      <w:framePr w:hSpace="180" w:wrap="around" w:vAnchor="text" w:hAnchor="text" w:y="1"/>
      <w:suppressOverlap/>
    </w:pPr>
    <w:rPr>
      <w:rFonts w:eastAsiaTheme="minorEastAsia"/>
      <w:iCs/>
    </w:rPr>
  </w:style>
  <w:style w:type="character" w:customStyle="1" w:styleId="figuretitletext">
    <w:name w:val="figure__title__text"/>
    <w:basedOn w:val="DefaultParagraphFont"/>
    <w:rsid w:val="005801A8"/>
  </w:style>
  <w:style w:type="character" w:customStyle="1" w:styleId="inline-tabletitle">
    <w:name w:val="inline-table__title"/>
    <w:basedOn w:val="DefaultParagraphFont"/>
    <w:rsid w:val="005801A8"/>
  </w:style>
  <w:style w:type="paragraph" w:styleId="Title">
    <w:name w:val="Title"/>
    <w:basedOn w:val="Normal"/>
    <w:next w:val="Normal"/>
    <w:link w:val="TitleChar"/>
    <w:uiPriority w:val="10"/>
    <w:qFormat/>
    <w:rsid w:val="005801A8"/>
    <w:pPr>
      <w:spacing w:after="0" w:line="240" w:lineRule="auto"/>
      <w:contextualSpacing/>
    </w:pPr>
    <w:rPr>
      <w:rFonts w:asciiTheme="majorHAnsi" w:eastAsiaTheme="majorEastAsia" w:hAnsiTheme="majorHAnsi" w:cstheme="majorBidi"/>
      <w:spacing w:val="-10"/>
      <w:kern w:val="28"/>
      <w:sz w:val="56"/>
      <w:szCs w:val="56"/>
      <w:lang w:val="en-ZA"/>
    </w:rPr>
  </w:style>
  <w:style w:type="character" w:customStyle="1" w:styleId="TitleChar">
    <w:name w:val="Title Char"/>
    <w:basedOn w:val="DefaultParagraphFont"/>
    <w:link w:val="Title"/>
    <w:uiPriority w:val="10"/>
    <w:rsid w:val="005801A8"/>
    <w:rPr>
      <w:rFonts w:asciiTheme="majorHAnsi" w:eastAsiaTheme="majorEastAsia" w:hAnsiTheme="majorHAnsi" w:cstheme="majorBidi"/>
      <w:spacing w:val="-10"/>
      <w:kern w:val="28"/>
      <w:sz w:val="56"/>
      <w:szCs w:val="56"/>
    </w:rPr>
  </w:style>
  <w:style w:type="character" w:customStyle="1" w:styleId="toptext">
    <w:name w:val="top__text"/>
    <w:basedOn w:val="DefaultParagraphFont"/>
    <w:rsid w:val="005801A8"/>
  </w:style>
  <w:style w:type="character" w:customStyle="1" w:styleId="UnresolvedMention2">
    <w:name w:val="Unresolved Mention2"/>
    <w:basedOn w:val="DefaultParagraphFont"/>
    <w:uiPriority w:val="99"/>
    <w:semiHidden/>
    <w:unhideWhenUsed/>
    <w:rsid w:val="005801A8"/>
    <w:rPr>
      <w:color w:val="605E5C"/>
      <w:shd w:val="clear" w:color="auto" w:fill="E1DFDD"/>
    </w:rPr>
  </w:style>
  <w:style w:type="character" w:customStyle="1" w:styleId="A3">
    <w:name w:val="A3"/>
    <w:uiPriority w:val="99"/>
    <w:rsid w:val="005801A8"/>
    <w:rPr>
      <w:rFonts w:cs="Minion Pro"/>
      <w:color w:val="000000"/>
      <w:sz w:val="10"/>
      <w:szCs w:val="10"/>
    </w:rPr>
  </w:style>
  <w:style w:type="character" w:customStyle="1" w:styleId="A1">
    <w:name w:val="A1"/>
    <w:uiPriority w:val="99"/>
    <w:rsid w:val="005801A8"/>
    <w:rPr>
      <w:rFonts w:cs="Minion Pro"/>
      <w:color w:val="000000"/>
      <w:sz w:val="10"/>
      <w:szCs w:val="10"/>
    </w:rPr>
  </w:style>
  <w:style w:type="character" w:customStyle="1" w:styleId="A6">
    <w:name w:val="A6"/>
    <w:uiPriority w:val="99"/>
    <w:rsid w:val="005801A8"/>
    <w:rPr>
      <w:rFonts w:cs="Palatino"/>
      <w:color w:val="000000"/>
      <w:sz w:val="10"/>
      <w:szCs w:val="10"/>
    </w:rPr>
  </w:style>
  <w:style w:type="paragraph" w:customStyle="1" w:styleId="Pa8">
    <w:name w:val="Pa8"/>
    <w:basedOn w:val="Default"/>
    <w:next w:val="Default"/>
    <w:uiPriority w:val="99"/>
    <w:rsid w:val="005801A8"/>
    <w:pPr>
      <w:spacing w:before="0" w:line="181" w:lineRule="atLeast"/>
      <w:jc w:val="left"/>
    </w:pPr>
    <w:rPr>
      <w:rFonts w:ascii="Palatino" w:hAnsi="Palatino" w:cstheme="minorBidi"/>
      <w:color w:val="auto"/>
      <w:lang w:val="en-ZA"/>
    </w:rPr>
  </w:style>
  <w:style w:type="character" w:customStyle="1" w:styleId="A2">
    <w:name w:val="A2"/>
    <w:uiPriority w:val="99"/>
    <w:rsid w:val="005801A8"/>
    <w:rPr>
      <w:rFonts w:ascii="ITC Symbol Std Book" w:hAnsi="ITC Symbol Std Book" w:cs="ITC Symbol Std Book"/>
      <w:color w:val="000000"/>
      <w:sz w:val="14"/>
      <w:szCs w:val="14"/>
    </w:rPr>
  </w:style>
  <w:style w:type="character" w:customStyle="1" w:styleId="A5">
    <w:name w:val="A5"/>
    <w:uiPriority w:val="99"/>
    <w:rsid w:val="005801A8"/>
    <w:rPr>
      <w:rFonts w:cs="ScalaLancetPro"/>
      <w:color w:val="000000"/>
      <w:sz w:val="9"/>
      <w:szCs w:val="9"/>
    </w:rPr>
  </w:style>
  <w:style w:type="paragraph" w:customStyle="1" w:styleId="Pa0">
    <w:name w:val="Pa0"/>
    <w:basedOn w:val="Default"/>
    <w:next w:val="Default"/>
    <w:uiPriority w:val="99"/>
    <w:rsid w:val="005801A8"/>
    <w:pPr>
      <w:spacing w:before="0" w:line="171" w:lineRule="atLeast"/>
      <w:jc w:val="left"/>
    </w:pPr>
    <w:rPr>
      <w:rFonts w:ascii="Minion Pro" w:hAnsi="Minion Pro" w:cstheme="minorBidi"/>
      <w:color w:val="auto"/>
      <w:lang w:val="en-ZA"/>
    </w:rPr>
  </w:style>
  <w:style w:type="paragraph" w:customStyle="1" w:styleId="Pa6">
    <w:name w:val="Pa6"/>
    <w:basedOn w:val="Default"/>
    <w:next w:val="Default"/>
    <w:uiPriority w:val="99"/>
    <w:rsid w:val="005801A8"/>
    <w:pPr>
      <w:spacing w:before="0" w:line="180" w:lineRule="atLeast"/>
      <w:jc w:val="left"/>
    </w:pPr>
    <w:rPr>
      <w:rFonts w:ascii="ScalaLancetPro" w:hAnsi="ScalaLancetPro" w:cstheme="minorBidi"/>
      <w:color w:val="auto"/>
      <w:lang w:val="en-ZA"/>
    </w:rPr>
  </w:style>
  <w:style w:type="paragraph" w:customStyle="1" w:styleId="xmsonormal">
    <w:name w:val="x_msonormal"/>
    <w:basedOn w:val="Normal"/>
    <w:rsid w:val="005801A8"/>
    <w:pPr>
      <w:spacing w:before="100" w:beforeAutospacing="1" w:after="100" w:afterAutospacing="1" w:line="240" w:lineRule="auto"/>
    </w:pPr>
    <w:rPr>
      <w:rFonts w:eastAsia="Times New Roman" w:cs="Times New Roman"/>
      <w:szCs w:val="24"/>
      <w:lang w:val="en-ZA" w:eastAsia="en-ZA"/>
    </w:rPr>
  </w:style>
  <w:style w:type="paragraph" w:styleId="NoSpacing">
    <w:name w:val="No Spacing"/>
    <w:link w:val="NoSpacingChar"/>
    <w:uiPriority w:val="1"/>
    <w:qFormat/>
    <w:rsid w:val="005801A8"/>
    <w:pPr>
      <w:spacing w:after="0" w:line="240" w:lineRule="auto"/>
    </w:pPr>
    <w:rPr>
      <w:rFonts w:ascii="Times New Roman" w:hAnsi="Times New Roman"/>
      <w:sz w:val="24"/>
      <w:lang w:val="en-US"/>
    </w:rPr>
  </w:style>
  <w:style w:type="character" w:customStyle="1" w:styleId="NoSpacingChar">
    <w:name w:val="No Spacing Char"/>
    <w:basedOn w:val="DefaultParagraphFont"/>
    <w:link w:val="NoSpacing"/>
    <w:uiPriority w:val="1"/>
    <w:locked/>
    <w:rsid w:val="005801A8"/>
    <w:rPr>
      <w:rFonts w:ascii="Times New Roman" w:hAnsi="Times New Roman"/>
      <w:sz w:val="24"/>
      <w:lang w:val="en-US"/>
    </w:rPr>
  </w:style>
  <w:style w:type="character" w:customStyle="1" w:styleId="nowrap">
    <w:name w:val="nowrap"/>
    <w:basedOn w:val="DefaultParagraphFont"/>
    <w:rsid w:val="005801A8"/>
  </w:style>
  <w:style w:type="paragraph" w:customStyle="1" w:styleId="xl63">
    <w:name w:val="xl63"/>
    <w:basedOn w:val="Normal"/>
    <w:rsid w:val="005801A8"/>
    <w:pPr>
      <w:spacing w:before="100" w:beforeAutospacing="1" w:after="100" w:afterAutospacing="1" w:line="240" w:lineRule="auto"/>
    </w:pPr>
    <w:rPr>
      <w:rFonts w:eastAsia="Times New Roman" w:cs="Times New Roman"/>
      <w:sz w:val="20"/>
      <w:szCs w:val="20"/>
      <w:lang w:val="en-ZA" w:eastAsia="en-ZA"/>
    </w:rPr>
  </w:style>
  <w:style w:type="paragraph" w:customStyle="1" w:styleId="xl64">
    <w:name w:val="xl64"/>
    <w:basedOn w:val="Normal"/>
    <w:rsid w:val="005801A8"/>
    <w:pPr>
      <w:spacing w:before="100" w:beforeAutospacing="1" w:after="100" w:afterAutospacing="1" w:line="240" w:lineRule="auto"/>
    </w:pPr>
    <w:rPr>
      <w:rFonts w:eastAsia="Times New Roman" w:cs="Times New Roman"/>
      <w:sz w:val="20"/>
      <w:szCs w:val="20"/>
      <w:lang w:val="en-ZA" w:eastAsia="en-ZA"/>
    </w:rPr>
  </w:style>
  <w:style w:type="paragraph" w:customStyle="1" w:styleId="xl65">
    <w:name w:val="xl65"/>
    <w:basedOn w:val="Normal"/>
    <w:rsid w:val="005801A8"/>
    <w:pP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66">
    <w:name w:val="xl66"/>
    <w:basedOn w:val="Normal"/>
    <w:rsid w:val="005801A8"/>
    <w:pPr>
      <w:pBdr>
        <w:top w:val="single" w:sz="8" w:space="0" w:color="auto"/>
        <w:left w:val="single" w:sz="8"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67">
    <w:name w:val="xl67"/>
    <w:basedOn w:val="Normal"/>
    <w:rsid w:val="005801A8"/>
    <w:pPr>
      <w:pBdr>
        <w:top w:val="single" w:sz="8" w:space="0" w:color="auto"/>
        <w:right w:val="single" w:sz="8"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68">
    <w:name w:val="xl68"/>
    <w:basedOn w:val="Normal"/>
    <w:rsid w:val="005801A8"/>
    <w:pP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69">
    <w:name w:val="xl69"/>
    <w:basedOn w:val="Normal"/>
    <w:rsid w:val="005801A8"/>
    <w:pPr>
      <w:pBdr>
        <w:left w:val="single" w:sz="4"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70">
    <w:name w:val="xl70"/>
    <w:basedOn w:val="Normal"/>
    <w:rsid w:val="005801A8"/>
    <w:pPr>
      <w:pBdr>
        <w:right w:val="single" w:sz="4"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71">
    <w:name w:val="xl71"/>
    <w:basedOn w:val="Normal"/>
    <w:rsid w:val="005801A8"/>
    <w:pP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72">
    <w:name w:val="xl72"/>
    <w:basedOn w:val="Normal"/>
    <w:rsid w:val="005801A8"/>
    <w:pPr>
      <w:pBdr>
        <w:left w:val="single" w:sz="8"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73">
    <w:name w:val="xl73"/>
    <w:basedOn w:val="Normal"/>
    <w:rsid w:val="005801A8"/>
    <w:pPr>
      <w:pBdr>
        <w:right w:val="single" w:sz="8"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74">
    <w:name w:val="xl74"/>
    <w:basedOn w:val="Normal"/>
    <w:rsid w:val="005801A8"/>
    <w:pPr>
      <w:spacing w:before="100" w:beforeAutospacing="1" w:after="100" w:afterAutospacing="1" w:line="240" w:lineRule="auto"/>
      <w:jc w:val="center"/>
    </w:pPr>
    <w:rPr>
      <w:rFonts w:eastAsia="Times New Roman" w:cs="Times New Roman"/>
      <w:szCs w:val="24"/>
      <w:lang w:val="en-ZA" w:eastAsia="en-ZA"/>
    </w:rPr>
  </w:style>
  <w:style w:type="paragraph" w:customStyle="1" w:styleId="xl75">
    <w:name w:val="xl75"/>
    <w:basedOn w:val="Normal"/>
    <w:rsid w:val="005801A8"/>
    <w:pPr>
      <w:pBdr>
        <w:left w:val="single" w:sz="4" w:space="0" w:color="auto"/>
      </w:pBdr>
      <w:spacing w:before="100" w:beforeAutospacing="1" w:after="100" w:afterAutospacing="1" w:line="240" w:lineRule="auto"/>
      <w:jc w:val="center"/>
    </w:pPr>
    <w:rPr>
      <w:rFonts w:eastAsia="Times New Roman" w:cs="Times New Roman"/>
      <w:szCs w:val="24"/>
      <w:lang w:val="en-ZA" w:eastAsia="en-ZA"/>
    </w:rPr>
  </w:style>
  <w:style w:type="paragraph" w:customStyle="1" w:styleId="xl76">
    <w:name w:val="xl76"/>
    <w:basedOn w:val="Normal"/>
    <w:rsid w:val="005801A8"/>
    <w:pPr>
      <w:pBdr>
        <w:right w:val="single" w:sz="4" w:space="0" w:color="auto"/>
      </w:pBdr>
      <w:spacing w:before="100" w:beforeAutospacing="1" w:after="100" w:afterAutospacing="1" w:line="240" w:lineRule="auto"/>
      <w:jc w:val="center"/>
    </w:pPr>
    <w:rPr>
      <w:rFonts w:eastAsia="Times New Roman" w:cs="Times New Roman"/>
      <w:szCs w:val="24"/>
      <w:lang w:val="en-ZA" w:eastAsia="en-ZA"/>
    </w:rPr>
  </w:style>
  <w:style w:type="paragraph" w:customStyle="1" w:styleId="xl77">
    <w:name w:val="xl77"/>
    <w:basedOn w:val="Normal"/>
    <w:rsid w:val="005801A8"/>
    <w:pPr>
      <w:pBdr>
        <w:left w:val="single" w:sz="8" w:space="0" w:color="auto"/>
      </w:pBdr>
      <w:spacing w:before="100" w:beforeAutospacing="1" w:after="100" w:afterAutospacing="1" w:line="240" w:lineRule="auto"/>
      <w:jc w:val="center"/>
    </w:pPr>
    <w:rPr>
      <w:rFonts w:eastAsia="Times New Roman" w:cs="Times New Roman"/>
      <w:szCs w:val="24"/>
      <w:lang w:val="en-ZA" w:eastAsia="en-ZA"/>
    </w:rPr>
  </w:style>
  <w:style w:type="paragraph" w:customStyle="1" w:styleId="xl78">
    <w:name w:val="xl78"/>
    <w:basedOn w:val="Normal"/>
    <w:rsid w:val="005801A8"/>
    <w:pPr>
      <w:pBdr>
        <w:right w:val="single" w:sz="8" w:space="0" w:color="auto"/>
      </w:pBdr>
      <w:spacing w:before="100" w:beforeAutospacing="1" w:after="100" w:afterAutospacing="1" w:line="240" w:lineRule="auto"/>
      <w:jc w:val="center"/>
    </w:pPr>
    <w:rPr>
      <w:rFonts w:eastAsia="Times New Roman" w:cs="Times New Roman"/>
      <w:szCs w:val="24"/>
      <w:lang w:val="en-ZA" w:eastAsia="en-ZA"/>
    </w:rPr>
  </w:style>
  <w:style w:type="paragraph" w:customStyle="1" w:styleId="xl79">
    <w:name w:val="xl79"/>
    <w:basedOn w:val="Normal"/>
    <w:rsid w:val="005801A8"/>
    <w:pPr>
      <w:pBdr>
        <w:top w:val="single" w:sz="8" w:space="0" w:color="auto"/>
        <w:left w:val="single" w:sz="4"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80">
    <w:name w:val="xl80"/>
    <w:basedOn w:val="Normal"/>
    <w:rsid w:val="005801A8"/>
    <w:pPr>
      <w:pBdr>
        <w:top w:val="single" w:sz="8" w:space="0" w:color="auto"/>
        <w:right w:val="single" w:sz="4"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81">
    <w:name w:val="xl81"/>
    <w:basedOn w:val="Normal"/>
    <w:rsid w:val="005801A8"/>
    <w:pPr>
      <w:pBdr>
        <w:left w:val="single" w:sz="8" w:space="0" w:color="auto"/>
        <w:bottom w:val="single" w:sz="8"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82">
    <w:name w:val="xl82"/>
    <w:basedOn w:val="Normal"/>
    <w:rsid w:val="005801A8"/>
    <w:pPr>
      <w:pBdr>
        <w:left w:val="single" w:sz="4" w:space="0" w:color="auto"/>
        <w:bottom w:val="single" w:sz="8"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83">
    <w:name w:val="xl83"/>
    <w:basedOn w:val="Normal"/>
    <w:rsid w:val="005801A8"/>
    <w:pPr>
      <w:pBdr>
        <w:bottom w:val="single" w:sz="8" w:space="0" w:color="auto"/>
        <w:right w:val="single" w:sz="4"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84">
    <w:name w:val="xl84"/>
    <w:basedOn w:val="Normal"/>
    <w:rsid w:val="005801A8"/>
    <w:pPr>
      <w:pBdr>
        <w:bottom w:val="single" w:sz="8"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xl85">
    <w:name w:val="xl85"/>
    <w:basedOn w:val="Normal"/>
    <w:rsid w:val="005801A8"/>
    <w:pPr>
      <w:pBdr>
        <w:bottom w:val="single" w:sz="8" w:space="0" w:color="auto"/>
        <w:right w:val="single" w:sz="8" w:space="0" w:color="auto"/>
      </w:pBdr>
      <w:spacing w:before="100" w:beforeAutospacing="1" w:after="100" w:afterAutospacing="1" w:line="240" w:lineRule="auto"/>
      <w:jc w:val="center"/>
    </w:pPr>
    <w:rPr>
      <w:rFonts w:eastAsia="Times New Roman" w:cs="Times New Roman"/>
      <w:sz w:val="20"/>
      <w:szCs w:val="20"/>
      <w:lang w:val="en-ZA" w:eastAsia="en-ZA"/>
    </w:rPr>
  </w:style>
  <w:style w:type="paragraph" w:customStyle="1" w:styleId="EndNoteBibliography">
    <w:name w:val="EndNote Bibliography"/>
    <w:basedOn w:val="Normal"/>
    <w:link w:val="EndNoteBibliographyChar"/>
    <w:rsid w:val="005801A8"/>
    <w:pPr>
      <w:spacing w:after="160" w:line="240" w:lineRule="auto"/>
    </w:pPr>
    <w:rPr>
      <w:rFonts w:ascii="Calibri" w:hAnsi="Calibri" w:cs="Calibri"/>
      <w:noProof/>
    </w:rPr>
  </w:style>
  <w:style w:type="character" w:customStyle="1" w:styleId="EndNoteBibliographyChar">
    <w:name w:val="EndNote Bibliography Char"/>
    <w:basedOn w:val="NoSpacingChar"/>
    <w:link w:val="EndNoteBibliography"/>
    <w:rsid w:val="005801A8"/>
    <w:rPr>
      <w:rFonts w:ascii="Calibri" w:hAnsi="Calibri" w:cs="Calibri"/>
      <w:noProof/>
      <w:sz w:val="24"/>
      <w:lang w:val="en-US"/>
    </w:rPr>
  </w:style>
  <w:style w:type="character" w:customStyle="1" w:styleId="BodyTextChar1">
    <w:name w:val="Body Text Char1"/>
    <w:aliases w:val="Body Char1"/>
    <w:basedOn w:val="DefaultParagraphFont"/>
    <w:uiPriority w:val="7"/>
    <w:semiHidden/>
    <w:rsid w:val="005801A8"/>
    <w:rPr>
      <w:rFonts w:asciiTheme="minorHAnsi" w:hAnsiTheme="minorHAnsi"/>
      <w:sz w:val="22"/>
      <w:lang w:val="en-ZA"/>
    </w:rPr>
  </w:style>
  <w:style w:type="character" w:styleId="UnresolvedMention">
    <w:name w:val="Unresolved Mention"/>
    <w:basedOn w:val="DefaultParagraphFont"/>
    <w:uiPriority w:val="99"/>
    <w:semiHidden/>
    <w:unhideWhenUsed/>
    <w:rsid w:val="005801A8"/>
    <w:rPr>
      <w:color w:val="605E5C"/>
      <w:shd w:val="clear" w:color="auto" w:fill="E1DFDD"/>
    </w:rPr>
  </w:style>
  <w:style w:type="character" w:customStyle="1" w:styleId="UnresolvedMention3">
    <w:name w:val="Unresolved Mention3"/>
    <w:basedOn w:val="DefaultParagraphFont"/>
    <w:uiPriority w:val="99"/>
    <w:semiHidden/>
    <w:unhideWhenUsed/>
    <w:rsid w:val="008841DD"/>
    <w:rPr>
      <w:color w:val="605E5C"/>
      <w:shd w:val="clear" w:color="auto" w:fill="E1DFDD"/>
    </w:rPr>
  </w:style>
  <w:style w:type="character" w:customStyle="1" w:styleId="cf01">
    <w:name w:val="cf01"/>
    <w:basedOn w:val="DefaultParagraphFont"/>
    <w:rsid w:val="006A017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3808">
      <w:bodyDiv w:val="1"/>
      <w:marLeft w:val="0"/>
      <w:marRight w:val="0"/>
      <w:marTop w:val="0"/>
      <w:marBottom w:val="0"/>
      <w:divBdr>
        <w:top w:val="none" w:sz="0" w:space="0" w:color="auto"/>
        <w:left w:val="none" w:sz="0" w:space="0" w:color="auto"/>
        <w:bottom w:val="none" w:sz="0" w:space="0" w:color="auto"/>
        <w:right w:val="none" w:sz="0" w:space="0" w:color="auto"/>
      </w:divBdr>
    </w:div>
    <w:div w:id="58409392">
      <w:bodyDiv w:val="1"/>
      <w:marLeft w:val="0"/>
      <w:marRight w:val="0"/>
      <w:marTop w:val="0"/>
      <w:marBottom w:val="0"/>
      <w:divBdr>
        <w:top w:val="none" w:sz="0" w:space="0" w:color="auto"/>
        <w:left w:val="none" w:sz="0" w:space="0" w:color="auto"/>
        <w:bottom w:val="none" w:sz="0" w:space="0" w:color="auto"/>
        <w:right w:val="none" w:sz="0" w:space="0" w:color="auto"/>
      </w:divBdr>
    </w:div>
    <w:div w:id="78217166">
      <w:bodyDiv w:val="1"/>
      <w:marLeft w:val="0"/>
      <w:marRight w:val="0"/>
      <w:marTop w:val="0"/>
      <w:marBottom w:val="0"/>
      <w:divBdr>
        <w:top w:val="none" w:sz="0" w:space="0" w:color="auto"/>
        <w:left w:val="none" w:sz="0" w:space="0" w:color="auto"/>
        <w:bottom w:val="none" w:sz="0" w:space="0" w:color="auto"/>
        <w:right w:val="none" w:sz="0" w:space="0" w:color="auto"/>
      </w:divBdr>
    </w:div>
    <w:div w:id="83309296">
      <w:bodyDiv w:val="1"/>
      <w:marLeft w:val="0"/>
      <w:marRight w:val="0"/>
      <w:marTop w:val="0"/>
      <w:marBottom w:val="0"/>
      <w:divBdr>
        <w:top w:val="none" w:sz="0" w:space="0" w:color="auto"/>
        <w:left w:val="none" w:sz="0" w:space="0" w:color="auto"/>
        <w:bottom w:val="none" w:sz="0" w:space="0" w:color="auto"/>
        <w:right w:val="none" w:sz="0" w:space="0" w:color="auto"/>
      </w:divBdr>
    </w:div>
    <w:div w:id="174462695">
      <w:bodyDiv w:val="1"/>
      <w:marLeft w:val="0"/>
      <w:marRight w:val="0"/>
      <w:marTop w:val="0"/>
      <w:marBottom w:val="0"/>
      <w:divBdr>
        <w:top w:val="none" w:sz="0" w:space="0" w:color="auto"/>
        <w:left w:val="none" w:sz="0" w:space="0" w:color="auto"/>
        <w:bottom w:val="none" w:sz="0" w:space="0" w:color="auto"/>
        <w:right w:val="none" w:sz="0" w:space="0" w:color="auto"/>
      </w:divBdr>
    </w:div>
    <w:div w:id="200018309">
      <w:bodyDiv w:val="1"/>
      <w:marLeft w:val="0"/>
      <w:marRight w:val="0"/>
      <w:marTop w:val="0"/>
      <w:marBottom w:val="0"/>
      <w:divBdr>
        <w:top w:val="none" w:sz="0" w:space="0" w:color="auto"/>
        <w:left w:val="none" w:sz="0" w:space="0" w:color="auto"/>
        <w:bottom w:val="none" w:sz="0" w:space="0" w:color="auto"/>
        <w:right w:val="none" w:sz="0" w:space="0" w:color="auto"/>
      </w:divBdr>
    </w:div>
    <w:div w:id="284432108">
      <w:bodyDiv w:val="1"/>
      <w:marLeft w:val="0"/>
      <w:marRight w:val="0"/>
      <w:marTop w:val="0"/>
      <w:marBottom w:val="0"/>
      <w:divBdr>
        <w:top w:val="none" w:sz="0" w:space="0" w:color="auto"/>
        <w:left w:val="none" w:sz="0" w:space="0" w:color="auto"/>
        <w:bottom w:val="none" w:sz="0" w:space="0" w:color="auto"/>
        <w:right w:val="none" w:sz="0" w:space="0" w:color="auto"/>
      </w:divBdr>
    </w:div>
    <w:div w:id="336538721">
      <w:bodyDiv w:val="1"/>
      <w:marLeft w:val="0"/>
      <w:marRight w:val="0"/>
      <w:marTop w:val="0"/>
      <w:marBottom w:val="0"/>
      <w:divBdr>
        <w:top w:val="none" w:sz="0" w:space="0" w:color="auto"/>
        <w:left w:val="none" w:sz="0" w:space="0" w:color="auto"/>
        <w:bottom w:val="none" w:sz="0" w:space="0" w:color="auto"/>
        <w:right w:val="none" w:sz="0" w:space="0" w:color="auto"/>
      </w:divBdr>
    </w:div>
    <w:div w:id="436869465">
      <w:bodyDiv w:val="1"/>
      <w:marLeft w:val="0"/>
      <w:marRight w:val="0"/>
      <w:marTop w:val="0"/>
      <w:marBottom w:val="0"/>
      <w:divBdr>
        <w:top w:val="none" w:sz="0" w:space="0" w:color="auto"/>
        <w:left w:val="none" w:sz="0" w:space="0" w:color="auto"/>
        <w:bottom w:val="none" w:sz="0" w:space="0" w:color="auto"/>
        <w:right w:val="none" w:sz="0" w:space="0" w:color="auto"/>
      </w:divBdr>
    </w:div>
    <w:div w:id="448671968">
      <w:bodyDiv w:val="1"/>
      <w:marLeft w:val="0"/>
      <w:marRight w:val="0"/>
      <w:marTop w:val="0"/>
      <w:marBottom w:val="0"/>
      <w:divBdr>
        <w:top w:val="none" w:sz="0" w:space="0" w:color="auto"/>
        <w:left w:val="none" w:sz="0" w:space="0" w:color="auto"/>
        <w:bottom w:val="none" w:sz="0" w:space="0" w:color="auto"/>
        <w:right w:val="none" w:sz="0" w:space="0" w:color="auto"/>
      </w:divBdr>
    </w:div>
    <w:div w:id="456140087">
      <w:bodyDiv w:val="1"/>
      <w:marLeft w:val="0"/>
      <w:marRight w:val="0"/>
      <w:marTop w:val="0"/>
      <w:marBottom w:val="0"/>
      <w:divBdr>
        <w:top w:val="none" w:sz="0" w:space="0" w:color="auto"/>
        <w:left w:val="none" w:sz="0" w:space="0" w:color="auto"/>
        <w:bottom w:val="none" w:sz="0" w:space="0" w:color="auto"/>
        <w:right w:val="none" w:sz="0" w:space="0" w:color="auto"/>
      </w:divBdr>
    </w:div>
    <w:div w:id="481771527">
      <w:bodyDiv w:val="1"/>
      <w:marLeft w:val="0"/>
      <w:marRight w:val="0"/>
      <w:marTop w:val="0"/>
      <w:marBottom w:val="0"/>
      <w:divBdr>
        <w:top w:val="none" w:sz="0" w:space="0" w:color="auto"/>
        <w:left w:val="none" w:sz="0" w:space="0" w:color="auto"/>
        <w:bottom w:val="none" w:sz="0" w:space="0" w:color="auto"/>
        <w:right w:val="none" w:sz="0" w:space="0" w:color="auto"/>
      </w:divBdr>
    </w:div>
    <w:div w:id="555776737">
      <w:bodyDiv w:val="1"/>
      <w:marLeft w:val="0"/>
      <w:marRight w:val="0"/>
      <w:marTop w:val="0"/>
      <w:marBottom w:val="0"/>
      <w:divBdr>
        <w:top w:val="none" w:sz="0" w:space="0" w:color="auto"/>
        <w:left w:val="none" w:sz="0" w:space="0" w:color="auto"/>
        <w:bottom w:val="none" w:sz="0" w:space="0" w:color="auto"/>
        <w:right w:val="none" w:sz="0" w:space="0" w:color="auto"/>
      </w:divBdr>
    </w:div>
    <w:div w:id="599947501">
      <w:bodyDiv w:val="1"/>
      <w:marLeft w:val="0"/>
      <w:marRight w:val="0"/>
      <w:marTop w:val="0"/>
      <w:marBottom w:val="0"/>
      <w:divBdr>
        <w:top w:val="none" w:sz="0" w:space="0" w:color="auto"/>
        <w:left w:val="none" w:sz="0" w:space="0" w:color="auto"/>
        <w:bottom w:val="none" w:sz="0" w:space="0" w:color="auto"/>
        <w:right w:val="none" w:sz="0" w:space="0" w:color="auto"/>
      </w:divBdr>
    </w:div>
    <w:div w:id="643779130">
      <w:bodyDiv w:val="1"/>
      <w:marLeft w:val="0"/>
      <w:marRight w:val="0"/>
      <w:marTop w:val="0"/>
      <w:marBottom w:val="0"/>
      <w:divBdr>
        <w:top w:val="none" w:sz="0" w:space="0" w:color="auto"/>
        <w:left w:val="none" w:sz="0" w:space="0" w:color="auto"/>
        <w:bottom w:val="none" w:sz="0" w:space="0" w:color="auto"/>
        <w:right w:val="none" w:sz="0" w:space="0" w:color="auto"/>
      </w:divBdr>
    </w:div>
    <w:div w:id="654377522">
      <w:bodyDiv w:val="1"/>
      <w:marLeft w:val="0"/>
      <w:marRight w:val="0"/>
      <w:marTop w:val="0"/>
      <w:marBottom w:val="0"/>
      <w:divBdr>
        <w:top w:val="none" w:sz="0" w:space="0" w:color="auto"/>
        <w:left w:val="none" w:sz="0" w:space="0" w:color="auto"/>
        <w:bottom w:val="none" w:sz="0" w:space="0" w:color="auto"/>
        <w:right w:val="none" w:sz="0" w:space="0" w:color="auto"/>
      </w:divBdr>
    </w:div>
    <w:div w:id="772550266">
      <w:bodyDiv w:val="1"/>
      <w:marLeft w:val="0"/>
      <w:marRight w:val="0"/>
      <w:marTop w:val="0"/>
      <w:marBottom w:val="0"/>
      <w:divBdr>
        <w:top w:val="none" w:sz="0" w:space="0" w:color="auto"/>
        <w:left w:val="none" w:sz="0" w:space="0" w:color="auto"/>
        <w:bottom w:val="none" w:sz="0" w:space="0" w:color="auto"/>
        <w:right w:val="none" w:sz="0" w:space="0" w:color="auto"/>
      </w:divBdr>
    </w:div>
    <w:div w:id="775441414">
      <w:bodyDiv w:val="1"/>
      <w:marLeft w:val="0"/>
      <w:marRight w:val="0"/>
      <w:marTop w:val="0"/>
      <w:marBottom w:val="0"/>
      <w:divBdr>
        <w:top w:val="none" w:sz="0" w:space="0" w:color="auto"/>
        <w:left w:val="none" w:sz="0" w:space="0" w:color="auto"/>
        <w:bottom w:val="none" w:sz="0" w:space="0" w:color="auto"/>
        <w:right w:val="none" w:sz="0" w:space="0" w:color="auto"/>
      </w:divBdr>
    </w:div>
    <w:div w:id="854656407">
      <w:bodyDiv w:val="1"/>
      <w:marLeft w:val="0"/>
      <w:marRight w:val="0"/>
      <w:marTop w:val="0"/>
      <w:marBottom w:val="0"/>
      <w:divBdr>
        <w:top w:val="none" w:sz="0" w:space="0" w:color="auto"/>
        <w:left w:val="none" w:sz="0" w:space="0" w:color="auto"/>
        <w:bottom w:val="none" w:sz="0" w:space="0" w:color="auto"/>
        <w:right w:val="none" w:sz="0" w:space="0" w:color="auto"/>
      </w:divBdr>
    </w:div>
    <w:div w:id="904603510">
      <w:bodyDiv w:val="1"/>
      <w:marLeft w:val="0"/>
      <w:marRight w:val="0"/>
      <w:marTop w:val="0"/>
      <w:marBottom w:val="0"/>
      <w:divBdr>
        <w:top w:val="none" w:sz="0" w:space="0" w:color="auto"/>
        <w:left w:val="none" w:sz="0" w:space="0" w:color="auto"/>
        <w:bottom w:val="none" w:sz="0" w:space="0" w:color="auto"/>
        <w:right w:val="none" w:sz="0" w:space="0" w:color="auto"/>
      </w:divBdr>
    </w:div>
    <w:div w:id="932473054">
      <w:bodyDiv w:val="1"/>
      <w:marLeft w:val="0"/>
      <w:marRight w:val="0"/>
      <w:marTop w:val="0"/>
      <w:marBottom w:val="0"/>
      <w:divBdr>
        <w:top w:val="none" w:sz="0" w:space="0" w:color="auto"/>
        <w:left w:val="none" w:sz="0" w:space="0" w:color="auto"/>
        <w:bottom w:val="none" w:sz="0" w:space="0" w:color="auto"/>
        <w:right w:val="none" w:sz="0" w:space="0" w:color="auto"/>
      </w:divBdr>
    </w:div>
    <w:div w:id="950429817">
      <w:bodyDiv w:val="1"/>
      <w:marLeft w:val="0"/>
      <w:marRight w:val="0"/>
      <w:marTop w:val="0"/>
      <w:marBottom w:val="0"/>
      <w:divBdr>
        <w:top w:val="none" w:sz="0" w:space="0" w:color="auto"/>
        <w:left w:val="none" w:sz="0" w:space="0" w:color="auto"/>
        <w:bottom w:val="none" w:sz="0" w:space="0" w:color="auto"/>
        <w:right w:val="none" w:sz="0" w:space="0" w:color="auto"/>
      </w:divBdr>
    </w:div>
    <w:div w:id="952983411">
      <w:bodyDiv w:val="1"/>
      <w:marLeft w:val="0"/>
      <w:marRight w:val="0"/>
      <w:marTop w:val="0"/>
      <w:marBottom w:val="0"/>
      <w:divBdr>
        <w:top w:val="none" w:sz="0" w:space="0" w:color="auto"/>
        <w:left w:val="none" w:sz="0" w:space="0" w:color="auto"/>
        <w:bottom w:val="none" w:sz="0" w:space="0" w:color="auto"/>
        <w:right w:val="none" w:sz="0" w:space="0" w:color="auto"/>
      </w:divBdr>
    </w:div>
    <w:div w:id="1034043453">
      <w:bodyDiv w:val="1"/>
      <w:marLeft w:val="0"/>
      <w:marRight w:val="0"/>
      <w:marTop w:val="0"/>
      <w:marBottom w:val="0"/>
      <w:divBdr>
        <w:top w:val="none" w:sz="0" w:space="0" w:color="auto"/>
        <w:left w:val="none" w:sz="0" w:space="0" w:color="auto"/>
        <w:bottom w:val="none" w:sz="0" w:space="0" w:color="auto"/>
        <w:right w:val="none" w:sz="0" w:space="0" w:color="auto"/>
      </w:divBdr>
    </w:div>
    <w:div w:id="1128819765">
      <w:bodyDiv w:val="1"/>
      <w:marLeft w:val="0"/>
      <w:marRight w:val="0"/>
      <w:marTop w:val="0"/>
      <w:marBottom w:val="0"/>
      <w:divBdr>
        <w:top w:val="none" w:sz="0" w:space="0" w:color="auto"/>
        <w:left w:val="none" w:sz="0" w:space="0" w:color="auto"/>
        <w:bottom w:val="none" w:sz="0" w:space="0" w:color="auto"/>
        <w:right w:val="none" w:sz="0" w:space="0" w:color="auto"/>
      </w:divBdr>
    </w:div>
    <w:div w:id="1158422405">
      <w:bodyDiv w:val="1"/>
      <w:marLeft w:val="0"/>
      <w:marRight w:val="0"/>
      <w:marTop w:val="0"/>
      <w:marBottom w:val="0"/>
      <w:divBdr>
        <w:top w:val="none" w:sz="0" w:space="0" w:color="auto"/>
        <w:left w:val="none" w:sz="0" w:space="0" w:color="auto"/>
        <w:bottom w:val="none" w:sz="0" w:space="0" w:color="auto"/>
        <w:right w:val="none" w:sz="0" w:space="0" w:color="auto"/>
      </w:divBdr>
    </w:div>
    <w:div w:id="1270313131">
      <w:bodyDiv w:val="1"/>
      <w:marLeft w:val="0"/>
      <w:marRight w:val="0"/>
      <w:marTop w:val="0"/>
      <w:marBottom w:val="0"/>
      <w:divBdr>
        <w:top w:val="none" w:sz="0" w:space="0" w:color="auto"/>
        <w:left w:val="none" w:sz="0" w:space="0" w:color="auto"/>
        <w:bottom w:val="none" w:sz="0" w:space="0" w:color="auto"/>
        <w:right w:val="none" w:sz="0" w:space="0" w:color="auto"/>
      </w:divBdr>
    </w:div>
    <w:div w:id="1552770750">
      <w:bodyDiv w:val="1"/>
      <w:marLeft w:val="0"/>
      <w:marRight w:val="0"/>
      <w:marTop w:val="0"/>
      <w:marBottom w:val="0"/>
      <w:divBdr>
        <w:top w:val="none" w:sz="0" w:space="0" w:color="auto"/>
        <w:left w:val="none" w:sz="0" w:space="0" w:color="auto"/>
        <w:bottom w:val="none" w:sz="0" w:space="0" w:color="auto"/>
        <w:right w:val="none" w:sz="0" w:space="0" w:color="auto"/>
      </w:divBdr>
    </w:div>
    <w:div w:id="1553231013">
      <w:bodyDiv w:val="1"/>
      <w:marLeft w:val="0"/>
      <w:marRight w:val="0"/>
      <w:marTop w:val="0"/>
      <w:marBottom w:val="0"/>
      <w:divBdr>
        <w:top w:val="none" w:sz="0" w:space="0" w:color="auto"/>
        <w:left w:val="none" w:sz="0" w:space="0" w:color="auto"/>
        <w:bottom w:val="none" w:sz="0" w:space="0" w:color="auto"/>
        <w:right w:val="none" w:sz="0" w:space="0" w:color="auto"/>
      </w:divBdr>
    </w:div>
    <w:div w:id="1677806665">
      <w:bodyDiv w:val="1"/>
      <w:marLeft w:val="0"/>
      <w:marRight w:val="0"/>
      <w:marTop w:val="0"/>
      <w:marBottom w:val="0"/>
      <w:divBdr>
        <w:top w:val="none" w:sz="0" w:space="0" w:color="auto"/>
        <w:left w:val="none" w:sz="0" w:space="0" w:color="auto"/>
        <w:bottom w:val="none" w:sz="0" w:space="0" w:color="auto"/>
        <w:right w:val="none" w:sz="0" w:space="0" w:color="auto"/>
      </w:divBdr>
    </w:div>
    <w:div w:id="1763985177">
      <w:bodyDiv w:val="1"/>
      <w:marLeft w:val="0"/>
      <w:marRight w:val="0"/>
      <w:marTop w:val="0"/>
      <w:marBottom w:val="0"/>
      <w:divBdr>
        <w:top w:val="none" w:sz="0" w:space="0" w:color="auto"/>
        <w:left w:val="none" w:sz="0" w:space="0" w:color="auto"/>
        <w:bottom w:val="none" w:sz="0" w:space="0" w:color="auto"/>
        <w:right w:val="none" w:sz="0" w:space="0" w:color="auto"/>
      </w:divBdr>
    </w:div>
    <w:div w:id="1792093758">
      <w:bodyDiv w:val="1"/>
      <w:marLeft w:val="0"/>
      <w:marRight w:val="0"/>
      <w:marTop w:val="0"/>
      <w:marBottom w:val="0"/>
      <w:divBdr>
        <w:top w:val="none" w:sz="0" w:space="0" w:color="auto"/>
        <w:left w:val="none" w:sz="0" w:space="0" w:color="auto"/>
        <w:bottom w:val="none" w:sz="0" w:space="0" w:color="auto"/>
        <w:right w:val="none" w:sz="0" w:space="0" w:color="auto"/>
      </w:divBdr>
    </w:div>
    <w:div w:id="1946843971">
      <w:bodyDiv w:val="1"/>
      <w:marLeft w:val="0"/>
      <w:marRight w:val="0"/>
      <w:marTop w:val="0"/>
      <w:marBottom w:val="0"/>
      <w:divBdr>
        <w:top w:val="none" w:sz="0" w:space="0" w:color="auto"/>
        <w:left w:val="none" w:sz="0" w:space="0" w:color="auto"/>
        <w:bottom w:val="none" w:sz="0" w:space="0" w:color="auto"/>
        <w:right w:val="none" w:sz="0" w:space="0" w:color="auto"/>
      </w:divBdr>
    </w:div>
    <w:div w:id="1982727977">
      <w:bodyDiv w:val="1"/>
      <w:marLeft w:val="0"/>
      <w:marRight w:val="0"/>
      <w:marTop w:val="0"/>
      <w:marBottom w:val="0"/>
      <w:divBdr>
        <w:top w:val="none" w:sz="0" w:space="0" w:color="auto"/>
        <w:left w:val="none" w:sz="0" w:space="0" w:color="auto"/>
        <w:bottom w:val="none" w:sz="0" w:space="0" w:color="auto"/>
        <w:right w:val="none" w:sz="0" w:space="0" w:color="auto"/>
      </w:divBdr>
    </w:div>
    <w:div w:id="2128768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strweb.nicd.ac.za/MicroStrategy/asp/Main.aspx?Server=NICDSANDMSTRI01&amp;Project=Surveillance&amp;Port=0&amp;evt=2048001&amp;src=Main.aspx.2048001&amp;documentID=4236FF364F683E2F257DA5AC647F5BA6&amp;currentViewMedia=1&amp;visMode" TargetMode="External"/><Relationship Id="rId18" Type="http://schemas.openxmlformats.org/officeDocument/2006/relationships/chart" Target="charts/chart1.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nesstar.statssa.gov.za:8282/webview/" TargetMode="External"/><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hyperlink" Target="http://nesstar.statssa.gov.za:8282/webview/" TargetMode="External"/><Relationship Id="rId20" Type="http://schemas.openxmlformats.org/officeDocument/2006/relationships/chart" Target="charts/chart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linicaltrials.gov/ct2/show/NCT02735590" TargetMode="External"/><Relationship Id="rId24" Type="http://schemas.openxmlformats.org/officeDocument/2006/relationships/chart" Target="charts/chart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6.xml"/><Relationship Id="rId28" Type="http://schemas.openxmlformats.org/officeDocument/2006/relationships/chart" Target="charts/chart11.xml"/><Relationship Id="rId10" Type="http://schemas.openxmlformats.org/officeDocument/2006/relationships/image" Target="media/image2.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cfe9fb42e54981be/Desktop/Paper%202%20final/SummaryTBoutput15c%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cfe9fb42e54981be/Desktop/Paper%202%20final/SummaryTBoutput15c%20(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cfe9fb42e54981be/Desktop/Paper%202%20final/SummaryTBoutput15c%20(1).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cfe9fb42e54981be/Desktop/Paper%202%20final/SummaryTBoutput15c%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cfe9fb42e54981be/Desktop/Paper%202%20final/SummaryTBoutput15c%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cfe9fb42e54981be/Desktop/Paper%202%20final/SummaryTBoutput15c%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cfe9fb42e54981be/Desktop/Paper%202%20final/SummaryTBoutput15c%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cfe9fb42e54981be/Desktop/Paper%202%20final/SummaryTBoutput15c%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cfe9fb42e54981be/Desktop/Paper%202%20final/SummaryTBoutput15c%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cfe9fb42e54981be/Desktop/Paper%202%20final/SummaryTBoutput15c%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cfe9fb42e54981be/Desktop/Paper%202%20final/SummaryTBoutput15c%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2700" cap="rnd">
              <a:solidFill>
                <a:schemeClr val="tx1"/>
              </a:solidFill>
              <a:round/>
            </a:ln>
            <a:effectLst/>
          </c:spPr>
          <c:marker>
            <c:symbol val="none"/>
          </c:marker>
          <c:cat>
            <c:numRef>
              <c:f>'[SummaryTBoutput15c (1).xlsx]Calibration graphs'!$C$1:$AE$1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(1).xlsx]Calibration graphs'!$C$3:$AE$3</c:f>
              <c:numCache>
                <c:formatCode>General</c:formatCode>
                <c:ptCount val="29"/>
                <c:pt idx="0">
                  <c:v>9959.44</c:v>
                </c:pt>
                <c:pt idx="1">
                  <c:v>11266.1</c:v>
                </c:pt>
                <c:pt idx="2">
                  <c:v>12870.05</c:v>
                </c:pt>
                <c:pt idx="3">
                  <c:v>14911.900000000001</c:v>
                </c:pt>
                <c:pt idx="4">
                  <c:v>17445.25</c:v>
                </c:pt>
                <c:pt idx="5">
                  <c:v>20530.599999999999</c:v>
                </c:pt>
                <c:pt idx="6">
                  <c:v>24198.25</c:v>
                </c:pt>
                <c:pt idx="7">
                  <c:v>28344</c:v>
                </c:pt>
                <c:pt idx="8">
                  <c:v>32898.350000000006</c:v>
                </c:pt>
                <c:pt idx="9">
                  <c:v>37892.050000000003</c:v>
                </c:pt>
                <c:pt idx="10">
                  <c:v>43172</c:v>
                </c:pt>
                <c:pt idx="11">
                  <c:v>48331.649999999994</c:v>
                </c:pt>
                <c:pt idx="12">
                  <c:v>53351.5</c:v>
                </c:pt>
                <c:pt idx="13">
                  <c:v>58089.9</c:v>
                </c:pt>
                <c:pt idx="14">
                  <c:v>61903.100000000006</c:v>
                </c:pt>
                <c:pt idx="15">
                  <c:v>64319.600000000006</c:v>
                </c:pt>
                <c:pt idx="16">
                  <c:v>64582.100000000006</c:v>
                </c:pt>
                <c:pt idx="17">
                  <c:v>62558.95</c:v>
                </c:pt>
                <c:pt idx="18">
                  <c:v>59297.399999999994</c:v>
                </c:pt>
                <c:pt idx="19">
                  <c:v>55843.899999999994</c:v>
                </c:pt>
                <c:pt idx="20">
                  <c:v>52615.899999999994</c:v>
                </c:pt>
                <c:pt idx="21">
                  <c:v>49108.399999999994</c:v>
                </c:pt>
                <c:pt idx="22">
                  <c:v>45208.399999999994</c:v>
                </c:pt>
                <c:pt idx="23">
                  <c:v>42016.649999999994</c:v>
                </c:pt>
                <c:pt idx="24">
                  <c:v>39687.449999999997</c:v>
                </c:pt>
                <c:pt idx="25">
                  <c:v>37451.25</c:v>
                </c:pt>
                <c:pt idx="26">
                  <c:v>35431.149999999994</c:v>
                </c:pt>
                <c:pt idx="27">
                  <c:v>33982.550000000003</c:v>
                </c:pt>
                <c:pt idx="28">
                  <c:v>32910.199999999997</c:v>
                </c:pt>
              </c:numCache>
            </c:numRef>
          </c:val>
          <c:smooth val="1"/>
          <c:extLst>
            <c:ext xmlns:c16="http://schemas.microsoft.com/office/drawing/2014/chart" uri="{C3380CC4-5D6E-409C-BE32-E72D297353CC}">
              <c16:uniqueId val="{00000000-0043-4E38-B6A5-D3F803CCBFD1}"/>
            </c:ext>
          </c:extLst>
        </c:ser>
        <c:ser>
          <c:idx val="1"/>
          <c:order val="1"/>
          <c:spPr>
            <a:ln w="12700" cap="rnd">
              <a:solidFill>
                <a:schemeClr val="tx1"/>
              </a:solidFill>
              <a:prstDash val="dash"/>
              <a:round/>
            </a:ln>
            <a:effectLst/>
          </c:spPr>
          <c:marker>
            <c:symbol val="none"/>
          </c:marker>
          <c:cat>
            <c:numRef>
              <c:f>'[SummaryTBoutput15c (1).xlsx]Calibration graphs'!$C$1:$AE$1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(1).xlsx]Calibration graphs'!$C$4:$AE$4</c:f>
              <c:numCache>
                <c:formatCode>General</c:formatCode>
                <c:ptCount val="29"/>
                <c:pt idx="0">
                  <c:v>9412.51</c:v>
                </c:pt>
                <c:pt idx="1">
                  <c:v>10673.365</c:v>
                </c:pt>
                <c:pt idx="2">
                  <c:v>12215.849999999999</c:v>
                </c:pt>
                <c:pt idx="3">
                  <c:v>14134.15</c:v>
                </c:pt>
                <c:pt idx="4">
                  <c:v>16491.900000000001</c:v>
                </c:pt>
                <c:pt idx="5">
                  <c:v>19406.849999999999</c:v>
                </c:pt>
                <c:pt idx="6">
                  <c:v>22874.75</c:v>
                </c:pt>
                <c:pt idx="7">
                  <c:v>26770.25</c:v>
                </c:pt>
                <c:pt idx="8">
                  <c:v>31022.65</c:v>
                </c:pt>
                <c:pt idx="9">
                  <c:v>35655.35</c:v>
                </c:pt>
                <c:pt idx="10">
                  <c:v>40570.1</c:v>
                </c:pt>
                <c:pt idx="11">
                  <c:v>45387.1</c:v>
                </c:pt>
                <c:pt idx="12">
                  <c:v>50090.6</c:v>
                </c:pt>
                <c:pt idx="13">
                  <c:v>54551.199999999997</c:v>
                </c:pt>
                <c:pt idx="14">
                  <c:v>58159.7</c:v>
                </c:pt>
                <c:pt idx="15">
                  <c:v>60462.65</c:v>
                </c:pt>
                <c:pt idx="16">
                  <c:v>60729.45</c:v>
                </c:pt>
                <c:pt idx="17">
                  <c:v>58822</c:v>
                </c:pt>
                <c:pt idx="18">
                  <c:v>55724.05</c:v>
                </c:pt>
                <c:pt idx="19">
                  <c:v>52428.5</c:v>
                </c:pt>
                <c:pt idx="20">
                  <c:v>49343.3</c:v>
                </c:pt>
                <c:pt idx="21">
                  <c:v>46002.75</c:v>
                </c:pt>
                <c:pt idx="22">
                  <c:v>42340.05</c:v>
                </c:pt>
                <c:pt idx="23">
                  <c:v>39444.449999999997</c:v>
                </c:pt>
                <c:pt idx="24">
                  <c:v>37306.400000000001</c:v>
                </c:pt>
                <c:pt idx="25">
                  <c:v>35062.400000000001</c:v>
                </c:pt>
                <c:pt idx="26">
                  <c:v>32942.25</c:v>
                </c:pt>
                <c:pt idx="27">
                  <c:v>31422.95</c:v>
                </c:pt>
                <c:pt idx="28">
                  <c:v>30335.7</c:v>
                </c:pt>
              </c:numCache>
            </c:numRef>
          </c:val>
          <c:smooth val="0"/>
          <c:extLst>
            <c:ext xmlns:c16="http://schemas.microsoft.com/office/drawing/2014/chart" uri="{C3380CC4-5D6E-409C-BE32-E72D297353CC}">
              <c16:uniqueId val="{00000001-0043-4E38-B6A5-D3F803CCBFD1}"/>
            </c:ext>
          </c:extLst>
        </c:ser>
        <c:ser>
          <c:idx val="2"/>
          <c:order val="2"/>
          <c:spPr>
            <a:ln w="12700" cap="rnd">
              <a:solidFill>
                <a:schemeClr val="tx1"/>
              </a:solidFill>
              <a:prstDash val="dash"/>
              <a:round/>
            </a:ln>
            <a:effectLst/>
          </c:spPr>
          <c:marker>
            <c:symbol val="none"/>
          </c:marker>
          <c:cat>
            <c:numRef>
              <c:f>'[SummaryTBoutput15c (1).xlsx]Calibration graphs'!$C$1:$AE$1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(1).xlsx]Calibration graphs'!$C$5:$AE$5</c:f>
              <c:numCache>
                <c:formatCode>General</c:formatCode>
                <c:ptCount val="29"/>
                <c:pt idx="0">
                  <c:v>10475.455</c:v>
                </c:pt>
                <c:pt idx="1">
                  <c:v>11858.05</c:v>
                </c:pt>
                <c:pt idx="2">
                  <c:v>13573.1</c:v>
                </c:pt>
                <c:pt idx="3">
                  <c:v>15806.1</c:v>
                </c:pt>
                <c:pt idx="4">
                  <c:v>18538.400000000001</c:v>
                </c:pt>
                <c:pt idx="5">
                  <c:v>21824.6</c:v>
                </c:pt>
                <c:pt idx="6">
                  <c:v>25758.3</c:v>
                </c:pt>
                <c:pt idx="7">
                  <c:v>30200.5</c:v>
                </c:pt>
                <c:pt idx="8">
                  <c:v>35097.65</c:v>
                </c:pt>
                <c:pt idx="9">
                  <c:v>40470.550000000003</c:v>
                </c:pt>
                <c:pt idx="10">
                  <c:v>46124.95</c:v>
                </c:pt>
                <c:pt idx="11">
                  <c:v>51604.2</c:v>
                </c:pt>
                <c:pt idx="12">
                  <c:v>56879.15</c:v>
                </c:pt>
                <c:pt idx="13">
                  <c:v>61822.15</c:v>
                </c:pt>
                <c:pt idx="14">
                  <c:v>65767.25</c:v>
                </c:pt>
                <c:pt idx="15">
                  <c:v>68221.100000000006</c:v>
                </c:pt>
                <c:pt idx="16">
                  <c:v>68395.3</c:v>
                </c:pt>
                <c:pt idx="17">
                  <c:v>66161.350000000006</c:v>
                </c:pt>
                <c:pt idx="18">
                  <c:v>62639.45</c:v>
                </c:pt>
                <c:pt idx="19">
                  <c:v>59016.850000000006</c:v>
                </c:pt>
                <c:pt idx="20">
                  <c:v>55712.800000000003</c:v>
                </c:pt>
                <c:pt idx="21">
                  <c:v>52065.45</c:v>
                </c:pt>
                <c:pt idx="22">
                  <c:v>47921.25</c:v>
                </c:pt>
                <c:pt idx="23">
                  <c:v>44545.45</c:v>
                </c:pt>
                <c:pt idx="24">
                  <c:v>42146.85</c:v>
                </c:pt>
                <c:pt idx="25">
                  <c:v>39855.85</c:v>
                </c:pt>
                <c:pt idx="26">
                  <c:v>37828.5</c:v>
                </c:pt>
                <c:pt idx="27">
                  <c:v>36454.65</c:v>
                </c:pt>
                <c:pt idx="28">
                  <c:v>35460.850000000006</c:v>
                </c:pt>
              </c:numCache>
            </c:numRef>
          </c:val>
          <c:smooth val="1"/>
          <c:extLst>
            <c:ext xmlns:c16="http://schemas.microsoft.com/office/drawing/2014/chart" uri="{C3380CC4-5D6E-409C-BE32-E72D297353CC}">
              <c16:uniqueId val="{00000002-0043-4E38-B6A5-D3F803CCBFD1}"/>
            </c:ext>
          </c:extLst>
        </c:ser>
        <c:ser>
          <c:idx val="3"/>
          <c:order val="3"/>
          <c:spPr>
            <a:ln w="28575" cap="rnd">
              <a:noFill/>
              <a:round/>
            </a:ln>
            <a:effectLst/>
          </c:spPr>
          <c:marker>
            <c:symbol val="circle"/>
            <c:size val="5"/>
            <c:spPr>
              <a:solidFill>
                <a:schemeClr val="tx1"/>
              </a:solidFill>
              <a:ln w="9525">
                <a:solidFill>
                  <a:schemeClr val="tx1"/>
                </a:solidFill>
              </a:ln>
              <a:effectLst/>
            </c:spPr>
          </c:marker>
          <c:cat>
            <c:numRef>
              <c:f>'[SummaryTBoutput15c (1).xlsx]Calibration graphs'!$C$1:$AE$1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(1).xlsx]Calibration graphs'!$C$6:$AE$6</c:f>
              <c:numCache>
                <c:formatCode>General</c:formatCode>
                <c:ptCount val="29"/>
                <c:pt idx="7">
                  <c:v>25437.936980250841</c:v>
                </c:pt>
                <c:pt idx="8">
                  <c:v>31662.090707995572</c:v>
                </c:pt>
                <c:pt idx="9">
                  <c:v>36263.899251421208</c:v>
                </c:pt>
                <c:pt idx="10">
                  <c:v>41411.498581820808</c:v>
                </c:pt>
                <c:pt idx="11">
                  <c:v>47358.37203935023</c:v>
                </c:pt>
                <c:pt idx="12">
                  <c:v>53264.437552994401</c:v>
                </c:pt>
                <c:pt idx="13">
                  <c:v>58177.096253183583</c:v>
                </c:pt>
                <c:pt idx="14">
                  <c:v>58738.877001120723</c:v>
                </c:pt>
                <c:pt idx="15">
                  <c:v>62114.149206431357</c:v>
                </c:pt>
                <c:pt idx="16">
                  <c:v>65184.179780055361</c:v>
                </c:pt>
                <c:pt idx="17">
                  <c:v>64560.412757252845</c:v>
                </c:pt>
                <c:pt idx="18">
                  <c:v>64339.16301148264</c:v>
                </c:pt>
                <c:pt idx="19">
                  <c:v>62122.779514601534</c:v>
                </c:pt>
                <c:pt idx="20">
                  <c:v>57401.32475307666</c:v>
                </c:pt>
                <c:pt idx="21">
                  <c:v>51456.737126641776</c:v>
                </c:pt>
                <c:pt idx="22">
                  <c:v>51252.310190535667</c:v>
                </c:pt>
                <c:pt idx="23">
                  <c:v>43510.686600283669</c:v>
                </c:pt>
                <c:pt idx="24">
                  <c:v>41240.016340346083</c:v>
                </c:pt>
                <c:pt idx="25">
                  <c:v>35704.839451821841</c:v>
                </c:pt>
                <c:pt idx="26">
                  <c:v>31773.352872815558</c:v>
                </c:pt>
              </c:numCache>
            </c:numRef>
          </c:val>
          <c:smooth val="0"/>
          <c:extLst>
            <c:ext xmlns:c16="http://schemas.microsoft.com/office/drawing/2014/chart" uri="{C3380CC4-5D6E-409C-BE32-E72D297353CC}">
              <c16:uniqueId val="{00000003-0043-4E38-B6A5-D3F803CCBFD1}"/>
            </c:ext>
          </c:extLst>
        </c:ser>
        <c:dLbls>
          <c:showLegendKey val="0"/>
          <c:showVal val="0"/>
          <c:showCatName val="0"/>
          <c:showSerName val="0"/>
          <c:showPercent val="0"/>
          <c:showBubbleSize val="0"/>
        </c:dLbls>
        <c:smooth val="0"/>
        <c:axId val="570144368"/>
        <c:axId val="570144696"/>
      </c:lineChart>
      <c:catAx>
        <c:axId val="570144368"/>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en-US"/>
          </a:p>
        </c:txPr>
        <c:crossAx val="570144696"/>
        <c:crosses val="autoZero"/>
        <c:auto val="1"/>
        <c:lblAlgn val="ctr"/>
        <c:lblOffset val="100"/>
        <c:noMultiLvlLbl val="0"/>
      </c:catAx>
      <c:valAx>
        <c:axId val="570144696"/>
        <c:scaling>
          <c:orientation val="minMax"/>
        </c:scaling>
        <c:delete val="0"/>
        <c:axPos val="l"/>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570144368"/>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2700" cap="rnd">
              <a:solidFill>
                <a:schemeClr val="tx1"/>
              </a:solidFill>
              <a:round/>
            </a:ln>
            <a:effectLst/>
          </c:spPr>
          <c:marker>
            <c:symbol val="none"/>
          </c:marker>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graphs'!$C$44:$AF$44</c:f>
              <c:numCache>
                <c:formatCode>General</c:formatCode>
                <c:ptCount val="30"/>
                <c:pt idx="0">
                  <c:v>1.09575E-2</c:v>
                </c:pt>
                <c:pt idx="1">
                  <c:v>1.1800700000000001E-2</c:v>
                </c:pt>
                <c:pt idx="2">
                  <c:v>1.2637000000000001E-2</c:v>
                </c:pt>
                <c:pt idx="3">
                  <c:v>1.35237E-2</c:v>
                </c:pt>
                <c:pt idx="4">
                  <c:v>1.4493000000000001E-2</c:v>
                </c:pt>
                <c:pt idx="5">
                  <c:v>1.55566E-2</c:v>
                </c:pt>
                <c:pt idx="6">
                  <c:v>1.67127E-2</c:v>
                </c:pt>
                <c:pt idx="7">
                  <c:v>1.7930100000000001E-2</c:v>
                </c:pt>
                <c:pt idx="8">
                  <c:v>1.92014E-2</c:v>
                </c:pt>
                <c:pt idx="9">
                  <c:v>2.0504100000000001E-2</c:v>
                </c:pt>
                <c:pt idx="10">
                  <c:v>2.1826600000000002E-2</c:v>
                </c:pt>
                <c:pt idx="11">
                  <c:v>2.3081399999999998E-2</c:v>
                </c:pt>
                <c:pt idx="12">
                  <c:v>2.42093E-2</c:v>
                </c:pt>
                <c:pt idx="13">
                  <c:v>2.5162799999999999E-2</c:v>
                </c:pt>
                <c:pt idx="14">
                  <c:v>2.5745799999999999E-2</c:v>
                </c:pt>
                <c:pt idx="15">
                  <c:v>2.5866199999999999E-2</c:v>
                </c:pt>
                <c:pt idx="16">
                  <c:v>2.5315600000000001E-2</c:v>
                </c:pt>
                <c:pt idx="17">
                  <c:v>2.39299E-2</c:v>
                </c:pt>
                <c:pt idx="18">
                  <c:v>2.21382E-2</c:v>
                </c:pt>
                <c:pt idx="19">
                  <c:v>2.0357199999999999E-2</c:v>
                </c:pt>
                <c:pt idx="20">
                  <c:v>1.8839499999999999E-2</c:v>
                </c:pt>
                <c:pt idx="21">
                  <c:v>1.73402E-2</c:v>
                </c:pt>
                <c:pt idx="22">
                  <c:v>1.5768899999999999E-2</c:v>
                </c:pt>
                <c:pt idx="23">
                  <c:v>1.4535299999999999E-2</c:v>
                </c:pt>
                <c:pt idx="24">
                  <c:v>1.3551000000000001E-2</c:v>
                </c:pt>
                <c:pt idx="25">
                  <c:v>1.26271E-2</c:v>
                </c:pt>
                <c:pt idx="26">
                  <c:v>1.1902899999999999E-2</c:v>
                </c:pt>
                <c:pt idx="27">
                  <c:v>1.13902E-2</c:v>
                </c:pt>
                <c:pt idx="28">
                  <c:v>1.09806E-2</c:v>
                </c:pt>
                <c:pt idx="29">
                  <c:v>1.06084E-2</c:v>
                </c:pt>
              </c:numCache>
            </c:numRef>
          </c:val>
          <c:smooth val="1"/>
          <c:extLst>
            <c:ext xmlns:c16="http://schemas.microsoft.com/office/drawing/2014/chart" uri="{C3380CC4-5D6E-409C-BE32-E72D297353CC}">
              <c16:uniqueId val="{00000000-B120-4AAA-ADD9-0B659DA1F7C3}"/>
            </c:ext>
          </c:extLst>
        </c:ser>
        <c:ser>
          <c:idx val="1"/>
          <c:order val="1"/>
          <c:spPr>
            <a:ln w="12700" cap="rnd">
              <a:solidFill>
                <a:schemeClr val="tx1"/>
              </a:solidFill>
              <a:prstDash val="dash"/>
              <a:round/>
            </a:ln>
            <a:effectLst/>
          </c:spPr>
          <c:marker>
            <c:symbol val="none"/>
          </c:marker>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graphs'!$C$45:$AF$45</c:f>
              <c:numCache>
                <c:formatCode>General</c:formatCode>
                <c:ptCount val="30"/>
                <c:pt idx="0">
                  <c:v>1.05048E-2</c:v>
                </c:pt>
                <c:pt idx="1">
                  <c:v>1.12905E-2</c:v>
                </c:pt>
                <c:pt idx="2">
                  <c:v>1.20588E-2</c:v>
                </c:pt>
                <c:pt idx="3">
                  <c:v>1.2891E-2</c:v>
                </c:pt>
                <c:pt idx="4">
                  <c:v>1.38102E-2</c:v>
                </c:pt>
                <c:pt idx="5">
                  <c:v>1.48171E-2</c:v>
                </c:pt>
                <c:pt idx="6">
                  <c:v>1.5919099999999999E-2</c:v>
                </c:pt>
                <c:pt idx="7">
                  <c:v>1.7088900000000001E-2</c:v>
                </c:pt>
                <c:pt idx="8">
                  <c:v>1.8318500000000001E-2</c:v>
                </c:pt>
                <c:pt idx="9">
                  <c:v>1.9585999999999999E-2</c:v>
                </c:pt>
                <c:pt idx="10">
                  <c:v>2.0870799999999998E-2</c:v>
                </c:pt>
                <c:pt idx="11">
                  <c:v>2.2082399999999999E-2</c:v>
                </c:pt>
                <c:pt idx="12">
                  <c:v>2.3176700000000001E-2</c:v>
                </c:pt>
                <c:pt idx="13">
                  <c:v>2.4098000000000001E-2</c:v>
                </c:pt>
                <c:pt idx="14">
                  <c:v>2.4609800000000001E-2</c:v>
                </c:pt>
                <c:pt idx="15">
                  <c:v>2.4732299999999999E-2</c:v>
                </c:pt>
                <c:pt idx="16">
                  <c:v>2.4095599999999998E-2</c:v>
                </c:pt>
                <c:pt idx="17">
                  <c:v>2.2802300000000001E-2</c:v>
                </c:pt>
                <c:pt idx="18">
                  <c:v>2.1023099999999999E-2</c:v>
                </c:pt>
                <c:pt idx="19">
                  <c:v>1.9273499999999999E-2</c:v>
                </c:pt>
                <c:pt idx="20">
                  <c:v>1.78E-2</c:v>
                </c:pt>
                <c:pt idx="21">
                  <c:v>1.63635E-2</c:v>
                </c:pt>
                <c:pt idx="22">
                  <c:v>1.48728E-2</c:v>
                </c:pt>
                <c:pt idx="23">
                  <c:v>1.3706599999999999E-2</c:v>
                </c:pt>
                <c:pt idx="24">
                  <c:v>1.2776600000000001E-2</c:v>
                </c:pt>
                <c:pt idx="25">
                  <c:v>1.1906699999999999E-2</c:v>
                </c:pt>
                <c:pt idx="26">
                  <c:v>1.12266E-2</c:v>
                </c:pt>
                <c:pt idx="27">
                  <c:v>1.0749099999999999E-2</c:v>
                </c:pt>
                <c:pt idx="28">
                  <c:v>1.03423E-2</c:v>
                </c:pt>
                <c:pt idx="29">
                  <c:v>9.9589399999999995E-3</c:v>
                </c:pt>
              </c:numCache>
            </c:numRef>
          </c:val>
          <c:smooth val="1"/>
          <c:extLst>
            <c:ext xmlns:c16="http://schemas.microsoft.com/office/drawing/2014/chart" uri="{C3380CC4-5D6E-409C-BE32-E72D297353CC}">
              <c16:uniqueId val="{00000001-B120-4AAA-ADD9-0B659DA1F7C3}"/>
            </c:ext>
          </c:extLst>
        </c:ser>
        <c:ser>
          <c:idx val="2"/>
          <c:order val="2"/>
          <c:spPr>
            <a:ln w="12700" cap="rnd">
              <a:solidFill>
                <a:schemeClr val="tx1"/>
              </a:solidFill>
              <a:prstDash val="dash"/>
              <a:round/>
            </a:ln>
            <a:effectLst/>
          </c:spPr>
          <c:marker>
            <c:symbol val="none"/>
          </c:marker>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graphs'!$C$46:$AF$46</c:f>
              <c:numCache>
                <c:formatCode>General</c:formatCode>
                <c:ptCount val="30"/>
                <c:pt idx="0">
                  <c:v>1.14387E-2</c:v>
                </c:pt>
                <c:pt idx="1">
                  <c:v>1.23473E-2</c:v>
                </c:pt>
                <c:pt idx="2">
                  <c:v>1.3244499999999999E-2</c:v>
                </c:pt>
                <c:pt idx="3">
                  <c:v>1.4190899999999999E-2</c:v>
                </c:pt>
                <c:pt idx="4">
                  <c:v>1.5219399999999999E-2</c:v>
                </c:pt>
                <c:pt idx="5">
                  <c:v>1.6348000000000001E-2</c:v>
                </c:pt>
                <c:pt idx="6">
                  <c:v>1.7554500000000001E-2</c:v>
                </c:pt>
                <c:pt idx="7">
                  <c:v>1.8825700000000001E-2</c:v>
                </c:pt>
                <c:pt idx="8">
                  <c:v>2.0122399999999999E-2</c:v>
                </c:pt>
                <c:pt idx="9">
                  <c:v>2.1449300000000001E-2</c:v>
                </c:pt>
                <c:pt idx="10">
                  <c:v>2.2736900000000001E-2</c:v>
                </c:pt>
                <c:pt idx="11">
                  <c:v>2.4083899999999998E-2</c:v>
                </c:pt>
                <c:pt idx="12">
                  <c:v>2.52806E-2</c:v>
                </c:pt>
                <c:pt idx="13">
                  <c:v>2.62381E-2</c:v>
                </c:pt>
                <c:pt idx="14">
                  <c:v>2.6798300000000001E-2</c:v>
                </c:pt>
                <c:pt idx="15">
                  <c:v>2.6975900000000001E-2</c:v>
                </c:pt>
                <c:pt idx="16">
                  <c:v>2.65238E-2</c:v>
                </c:pt>
                <c:pt idx="17">
                  <c:v>2.5219100000000001E-2</c:v>
                </c:pt>
                <c:pt idx="18">
                  <c:v>2.3391200000000001E-2</c:v>
                </c:pt>
                <c:pt idx="19">
                  <c:v>2.1600899999999999E-2</c:v>
                </c:pt>
                <c:pt idx="20">
                  <c:v>1.9983999999999998E-2</c:v>
                </c:pt>
                <c:pt idx="21">
                  <c:v>1.8428300000000002E-2</c:v>
                </c:pt>
                <c:pt idx="22">
                  <c:v>1.6781299999999999E-2</c:v>
                </c:pt>
                <c:pt idx="23">
                  <c:v>1.54775E-2</c:v>
                </c:pt>
                <c:pt idx="24">
                  <c:v>1.43932E-2</c:v>
                </c:pt>
                <c:pt idx="25">
                  <c:v>1.3372E-2</c:v>
                </c:pt>
                <c:pt idx="26">
                  <c:v>1.2591E-2</c:v>
                </c:pt>
                <c:pt idx="27">
                  <c:v>1.2082000000000001E-2</c:v>
                </c:pt>
                <c:pt idx="28">
                  <c:v>1.16238E-2</c:v>
                </c:pt>
                <c:pt idx="29">
                  <c:v>1.1204799999999999E-2</c:v>
                </c:pt>
              </c:numCache>
            </c:numRef>
          </c:val>
          <c:smooth val="1"/>
          <c:extLst>
            <c:ext xmlns:c16="http://schemas.microsoft.com/office/drawing/2014/chart" uri="{C3380CC4-5D6E-409C-BE32-E72D297353CC}">
              <c16:uniqueId val="{00000002-B120-4AAA-ADD9-0B659DA1F7C3}"/>
            </c:ext>
          </c:extLst>
        </c:ser>
        <c:ser>
          <c:idx val="3"/>
          <c:order val="3"/>
          <c:spPr>
            <a:ln w="28575" cap="rnd">
              <a:noFill/>
              <a:round/>
            </a:ln>
            <a:effectLst/>
          </c:spPr>
          <c:marker>
            <c:symbol val="circle"/>
            <c:size val="5"/>
            <c:spPr>
              <a:solidFill>
                <a:schemeClr val="tx1"/>
              </a:solidFill>
              <a:ln w="9525">
                <a:solidFill>
                  <a:schemeClr val="tx1"/>
                </a:solidFill>
              </a:ln>
              <a:effectLst/>
            </c:spPr>
          </c:marker>
          <c:errBars>
            <c:errDir val="y"/>
            <c:errBarType val="both"/>
            <c:errValType val="cust"/>
            <c:noEndCap val="0"/>
            <c:plus>
              <c:numRef>
                <c:f>'[SummaryTBoutput15c (1).xlsx]Calibration graphs'!$C$48:$AF$48</c:f>
                <c:numCache>
                  <c:formatCode>General</c:formatCode>
                  <c:ptCount val="30"/>
                  <c:pt idx="28">
                    <c:v>2.5872E-3</c:v>
                  </c:pt>
                </c:numCache>
              </c:numRef>
            </c:plus>
            <c:minus>
              <c:numRef>
                <c:f>'[SummaryTBoutput15c (1).xlsx]Calibration graphs'!$C$48:$AF$48</c:f>
                <c:numCache>
                  <c:formatCode>General</c:formatCode>
                  <c:ptCount val="30"/>
                  <c:pt idx="28">
                    <c:v>2.5872E-3</c:v>
                  </c:pt>
                </c:numCache>
              </c:numRef>
            </c:minus>
            <c:spPr>
              <a:noFill/>
              <a:ln w="9525" cap="flat" cmpd="sng" algn="ctr">
                <a:solidFill>
                  <a:schemeClr val="bg1">
                    <a:lumMod val="50000"/>
                  </a:schemeClr>
                </a:solidFill>
                <a:round/>
              </a:ln>
              <a:effectLst/>
            </c:spPr>
          </c:errBars>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graphs'!$C$47:$AF$47</c:f>
              <c:numCache>
                <c:formatCode>General</c:formatCode>
                <c:ptCount val="30"/>
                <c:pt idx="28">
                  <c:v>1.094E-2</c:v>
                </c:pt>
              </c:numCache>
            </c:numRef>
          </c:val>
          <c:smooth val="0"/>
          <c:extLst>
            <c:ext xmlns:c16="http://schemas.microsoft.com/office/drawing/2014/chart" uri="{C3380CC4-5D6E-409C-BE32-E72D297353CC}">
              <c16:uniqueId val="{00000003-B120-4AAA-ADD9-0B659DA1F7C3}"/>
            </c:ext>
          </c:extLst>
        </c:ser>
        <c:dLbls>
          <c:showLegendKey val="0"/>
          <c:showVal val="0"/>
          <c:showCatName val="0"/>
          <c:showSerName val="0"/>
          <c:showPercent val="0"/>
          <c:showBubbleSize val="0"/>
        </c:dLbls>
        <c:smooth val="0"/>
        <c:axId val="669000312"/>
        <c:axId val="669003592"/>
      </c:lineChart>
      <c:catAx>
        <c:axId val="669000312"/>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en-US"/>
          </a:p>
        </c:txPr>
        <c:crossAx val="669003592"/>
        <c:crosses val="autoZero"/>
        <c:auto val="1"/>
        <c:lblAlgn val="ctr"/>
        <c:lblOffset val="100"/>
        <c:noMultiLvlLbl val="0"/>
      </c:catAx>
      <c:valAx>
        <c:axId val="669003592"/>
        <c:scaling>
          <c:orientation val="minMax"/>
        </c:scaling>
        <c:delete val="0"/>
        <c:axPos val="l"/>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669000312"/>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2700" cap="rnd">
              <a:solidFill>
                <a:schemeClr val="tx1"/>
              </a:solidFill>
              <a:round/>
            </a:ln>
            <a:effectLst/>
          </c:spPr>
          <c:marker>
            <c:symbol val="none"/>
          </c:marker>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graphs'!$C$51:$AF$51</c:f>
              <c:numCache>
                <c:formatCode>General</c:formatCode>
                <c:ptCount val="30"/>
                <c:pt idx="0">
                  <c:v>5.6267399999999999E-3</c:v>
                </c:pt>
                <c:pt idx="1">
                  <c:v>6.0511200000000001E-3</c:v>
                </c:pt>
                <c:pt idx="2">
                  <c:v>6.4819700000000001E-3</c:v>
                </c:pt>
                <c:pt idx="3">
                  <c:v>6.9712400000000001E-3</c:v>
                </c:pt>
                <c:pt idx="4">
                  <c:v>7.5447800000000001E-3</c:v>
                </c:pt>
                <c:pt idx="5">
                  <c:v>8.2184700000000003E-3</c:v>
                </c:pt>
                <c:pt idx="6">
                  <c:v>9.0001100000000004E-3</c:v>
                </c:pt>
                <c:pt idx="7">
                  <c:v>9.8812299999999995E-3</c:v>
                </c:pt>
                <c:pt idx="8">
                  <c:v>1.08521E-2</c:v>
                </c:pt>
                <c:pt idx="9">
                  <c:v>1.1900000000000001E-2</c:v>
                </c:pt>
                <c:pt idx="10">
                  <c:v>1.3014599999999999E-2</c:v>
                </c:pt>
                <c:pt idx="11">
                  <c:v>1.41245E-2</c:v>
                </c:pt>
                <c:pt idx="12">
                  <c:v>1.51725E-2</c:v>
                </c:pt>
                <c:pt idx="13">
                  <c:v>1.6144599999999999E-2</c:v>
                </c:pt>
                <c:pt idx="14">
                  <c:v>1.68746E-2</c:v>
                </c:pt>
                <c:pt idx="15">
                  <c:v>1.7264600000000001E-2</c:v>
                </c:pt>
                <c:pt idx="16">
                  <c:v>1.7122800000000001E-2</c:v>
                </c:pt>
                <c:pt idx="17">
                  <c:v>1.62682E-2</c:v>
                </c:pt>
                <c:pt idx="18">
                  <c:v>1.5019100000000001E-2</c:v>
                </c:pt>
                <c:pt idx="19">
                  <c:v>1.37071E-2</c:v>
                </c:pt>
                <c:pt idx="20">
                  <c:v>1.2564499999999999E-2</c:v>
                </c:pt>
                <c:pt idx="21">
                  <c:v>1.13621E-2</c:v>
                </c:pt>
                <c:pt idx="22">
                  <c:v>1.00176E-2</c:v>
                </c:pt>
                <c:pt idx="23">
                  <c:v>8.9601799999999999E-3</c:v>
                </c:pt>
                <c:pt idx="24">
                  <c:v>8.1553000000000007E-3</c:v>
                </c:pt>
                <c:pt idx="25">
                  <c:v>7.4411800000000004E-3</c:v>
                </c:pt>
                <c:pt idx="26">
                  <c:v>6.8987500000000004E-3</c:v>
                </c:pt>
                <c:pt idx="27">
                  <c:v>6.4929599999999999E-3</c:v>
                </c:pt>
                <c:pt idx="28">
                  <c:v>6.15191E-3</c:v>
                </c:pt>
                <c:pt idx="29">
                  <c:v>5.8408100000000001E-3</c:v>
                </c:pt>
              </c:numCache>
            </c:numRef>
          </c:val>
          <c:smooth val="1"/>
          <c:extLst>
            <c:ext xmlns:c16="http://schemas.microsoft.com/office/drawing/2014/chart" uri="{C3380CC4-5D6E-409C-BE32-E72D297353CC}">
              <c16:uniqueId val="{00000000-3B43-424C-A6CE-A9E737376926}"/>
            </c:ext>
          </c:extLst>
        </c:ser>
        <c:ser>
          <c:idx val="1"/>
          <c:order val="1"/>
          <c:spPr>
            <a:ln w="12700" cap="rnd">
              <a:solidFill>
                <a:schemeClr val="tx1"/>
              </a:solidFill>
              <a:prstDash val="dash"/>
              <a:round/>
            </a:ln>
            <a:effectLst/>
          </c:spPr>
          <c:marker>
            <c:symbol val="none"/>
          </c:marker>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graphs'!$C$52:$AF$52</c:f>
              <c:numCache>
                <c:formatCode>General</c:formatCode>
                <c:ptCount val="30"/>
                <c:pt idx="0">
                  <c:v>5.4524300000000003E-3</c:v>
                </c:pt>
                <c:pt idx="1">
                  <c:v>5.8460700000000001E-3</c:v>
                </c:pt>
                <c:pt idx="2">
                  <c:v>6.2476299999999997E-3</c:v>
                </c:pt>
                <c:pt idx="3">
                  <c:v>6.6948700000000003E-3</c:v>
                </c:pt>
                <c:pt idx="4">
                  <c:v>7.2309100000000001E-3</c:v>
                </c:pt>
                <c:pt idx="5">
                  <c:v>7.8668499999999999E-3</c:v>
                </c:pt>
                <c:pt idx="6">
                  <c:v>8.6126699999999994E-3</c:v>
                </c:pt>
                <c:pt idx="7">
                  <c:v>9.4578000000000006E-3</c:v>
                </c:pt>
                <c:pt idx="8">
                  <c:v>1.03927E-2</c:v>
                </c:pt>
                <c:pt idx="9">
                  <c:v>1.1404900000000001E-2</c:v>
                </c:pt>
                <c:pt idx="10">
                  <c:v>1.24844E-2</c:v>
                </c:pt>
                <c:pt idx="11">
                  <c:v>1.3538700000000001E-2</c:v>
                </c:pt>
                <c:pt idx="12">
                  <c:v>1.4535899999999999E-2</c:v>
                </c:pt>
                <c:pt idx="13">
                  <c:v>1.5416300000000001E-2</c:v>
                </c:pt>
                <c:pt idx="14">
                  <c:v>1.60579E-2</c:v>
                </c:pt>
                <c:pt idx="15">
                  <c:v>1.6367400000000001E-2</c:v>
                </c:pt>
                <c:pt idx="16">
                  <c:v>1.6167600000000001E-2</c:v>
                </c:pt>
                <c:pt idx="17">
                  <c:v>1.5299399999999999E-2</c:v>
                </c:pt>
                <c:pt idx="18">
                  <c:v>1.4075900000000001E-2</c:v>
                </c:pt>
                <c:pt idx="19">
                  <c:v>1.2822800000000001E-2</c:v>
                </c:pt>
                <c:pt idx="20">
                  <c:v>1.17687E-2</c:v>
                </c:pt>
                <c:pt idx="21">
                  <c:v>1.0682799999999999E-2</c:v>
                </c:pt>
                <c:pt idx="22">
                  <c:v>9.4333200000000002E-3</c:v>
                </c:pt>
                <c:pt idx="23">
                  <c:v>8.45775E-3</c:v>
                </c:pt>
                <c:pt idx="24">
                  <c:v>7.7231499999999998E-3</c:v>
                </c:pt>
                <c:pt idx="25">
                  <c:v>7.0866100000000001E-3</c:v>
                </c:pt>
                <c:pt idx="26">
                  <c:v>6.5950899999999996E-3</c:v>
                </c:pt>
                <c:pt idx="27">
                  <c:v>6.2148500000000001E-3</c:v>
                </c:pt>
                <c:pt idx="28">
                  <c:v>5.8679500000000002E-3</c:v>
                </c:pt>
                <c:pt idx="29">
                  <c:v>5.5557100000000002E-3</c:v>
                </c:pt>
              </c:numCache>
            </c:numRef>
          </c:val>
          <c:smooth val="1"/>
          <c:extLst>
            <c:ext xmlns:c16="http://schemas.microsoft.com/office/drawing/2014/chart" uri="{C3380CC4-5D6E-409C-BE32-E72D297353CC}">
              <c16:uniqueId val="{00000001-3B43-424C-A6CE-A9E737376926}"/>
            </c:ext>
          </c:extLst>
        </c:ser>
        <c:ser>
          <c:idx val="2"/>
          <c:order val="2"/>
          <c:spPr>
            <a:ln w="12700" cap="rnd">
              <a:solidFill>
                <a:schemeClr val="tx1"/>
              </a:solidFill>
              <a:prstDash val="dash"/>
              <a:round/>
            </a:ln>
            <a:effectLst/>
          </c:spPr>
          <c:marker>
            <c:symbol val="none"/>
          </c:marker>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graphs'!$C$53:$AF$53</c:f>
              <c:numCache>
                <c:formatCode>General</c:formatCode>
                <c:ptCount val="30"/>
                <c:pt idx="0">
                  <c:v>5.7725399999999996E-3</c:v>
                </c:pt>
                <c:pt idx="1">
                  <c:v>6.2222700000000002E-3</c:v>
                </c:pt>
                <c:pt idx="2">
                  <c:v>6.6883100000000003E-3</c:v>
                </c:pt>
                <c:pt idx="3">
                  <c:v>7.2086099999999998E-3</c:v>
                </c:pt>
                <c:pt idx="4">
                  <c:v>7.8049299999999999E-3</c:v>
                </c:pt>
                <c:pt idx="5">
                  <c:v>8.5162099999999998E-3</c:v>
                </c:pt>
                <c:pt idx="6">
                  <c:v>9.3375300000000001E-3</c:v>
                </c:pt>
                <c:pt idx="7">
                  <c:v>1.0252900000000001E-2</c:v>
                </c:pt>
                <c:pt idx="8">
                  <c:v>1.1279300000000001E-2</c:v>
                </c:pt>
                <c:pt idx="9">
                  <c:v>1.23759E-2</c:v>
                </c:pt>
                <c:pt idx="10">
                  <c:v>1.35321E-2</c:v>
                </c:pt>
                <c:pt idx="11">
                  <c:v>1.47092E-2</c:v>
                </c:pt>
                <c:pt idx="12">
                  <c:v>1.5811700000000001E-2</c:v>
                </c:pt>
                <c:pt idx="13">
                  <c:v>1.6824599999999999E-2</c:v>
                </c:pt>
                <c:pt idx="14">
                  <c:v>1.76645E-2</c:v>
                </c:pt>
                <c:pt idx="15">
                  <c:v>1.8152499999999998E-2</c:v>
                </c:pt>
                <c:pt idx="16">
                  <c:v>1.8150900000000001E-2</c:v>
                </c:pt>
                <c:pt idx="17">
                  <c:v>1.7333299999999999E-2</c:v>
                </c:pt>
                <c:pt idx="18">
                  <c:v>1.6091000000000001E-2</c:v>
                </c:pt>
                <c:pt idx="19">
                  <c:v>1.4740400000000001E-2</c:v>
                </c:pt>
                <c:pt idx="20">
                  <c:v>1.35262E-2</c:v>
                </c:pt>
                <c:pt idx="21">
                  <c:v>1.2214300000000001E-2</c:v>
                </c:pt>
                <c:pt idx="22">
                  <c:v>1.07426E-2</c:v>
                </c:pt>
                <c:pt idx="23">
                  <c:v>9.5731900000000005E-3</c:v>
                </c:pt>
                <c:pt idx="24">
                  <c:v>8.7081699999999995E-3</c:v>
                </c:pt>
                <c:pt idx="25">
                  <c:v>7.9335099999999995E-3</c:v>
                </c:pt>
                <c:pt idx="26">
                  <c:v>7.32426E-3</c:v>
                </c:pt>
                <c:pt idx="27">
                  <c:v>6.8742200000000003E-3</c:v>
                </c:pt>
                <c:pt idx="28">
                  <c:v>6.5038099999999996E-3</c:v>
                </c:pt>
                <c:pt idx="29">
                  <c:v>6.1564300000000001E-3</c:v>
                </c:pt>
              </c:numCache>
            </c:numRef>
          </c:val>
          <c:smooth val="1"/>
          <c:extLst>
            <c:ext xmlns:c16="http://schemas.microsoft.com/office/drawing/2014/chart" uri="{C3380CC4-5D6E-409C-BE32-E72D297353CC}">
              <c16:uniqueId val="{00000002-3B43-424C-A6CE-A9E737376926}"/>
            </c:ext>
          </c:extLst>
        </c:ser>
        <c:ser>
          <c:idx val="3"/>
          <c:order val="3"/>
          <c:spPr>
            <a:ln w="28575" cap="rnd">
              <a:noFill/>
              <a:round/>
            </a:ln>
            <a:effectLst/>
          </c:spPr>
          <c:marker>
            <c:symbol val="circle"/>
            <c:size val="5"/>
            <c:spPr>
              <a:solidFill>
                <a:schemeClr val="tx1"/>
              </a:solidFill>
              <a:ln w="9525">
                <a:solidFill>
                  <a:schemeClr val="tx1"/>
                </a:solidFill>
              </a:ln>
              <a:effectLst/>
            </c:spPr>
          </c:marker>
          <c:errBars>
            <c:errDir val="y"/>
            <c:errBarType val="both"/>
            <c:errValType val="cust"/>
            <c:noEndCap val="0"/>
            <c:plus>
              <c:numRef>
                <c:f>'[SummaryTBoutput15c (1).xlsx]Calibration graphs'!$C$55:$AF$55</c:f>
                <c:numCache>
                  <c:formatCode>General</c:formatCode>
                  <c:ptCount val="30"/>
                  <c:pt idx="28">
                    <c:v>1.8032E-3</c:v>
                  </c:pt>
                </c:numCache>
              </c:numRef>
            </c:plus>
            <c:minus>
              <c:numRef>
                <c:f>'[SummaryTBoutput15c (1).xlsx]Calibration graphs'!$C$55:$AF$55</c:f>
                <c:numCache>
                  <c:formatCode>General</c:formatCode>
                  <c:ptCount val="30"/>
                  <c:pt idx="28">
                    <c:v>1.8032E-3</c:v>
                  </c:pt>
                </c:numCache>
              </c:numRef>
            </c:minus>
            <c:spPr>
              <a:noFill/>
              <a:ln w="9525" cap="flat" cmpd="sng" algn="ctr">
                <a:solidFill>
                  <a:schemeClr val="bg1">
                    <a:lumMod val="50000"/>
                  </a:schemeClr>
                </a:solidFill>
                <a:round/>
              </a:ln>
              <a:effectLst/>
            </c:spPr>
          </c:errBars>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graphs'!$C$54:$AF$54</c:f>
              <c:numCache>
                <c:formatCode>General</c:formatCode>
                <c:ptCount val="30"/>
                <c:pt idx="28">
                  <c:v>6.7499999999999999E-3</c:v>
                </c:pt>
              </c:numCache>
            </c:numRef>
          </c:val>
          <c:smooth val="0"/>
          <c:extLst>
            <c:ext xmlns:c16="http://schemas.microsoft.com/office/drawing/2014/chart" uri="{C3380CC4-5D6E-409C-BE32-E72D297353CC}">
              <c16:uniqueId val="{00000003-3B43-424C-A6CE-A9E737376926}"/>
            </c:ext>
          </c:extLst>
        </c:ser>
        <c:dLbls>
          <c:showLegendKey val="0"/>
          <c:showVal val="0"/>
          <c:showCatName val="0"/>
          <c:showSerName val="0"/>
          <c:showPercent val="0"/>
          <c:showBubbleSize val="0"/>
        </c:dLbls>
        <c:smooth val="0"/>
        <c:axId val="669000312"/>
        <c:axId val="669003592"/>
      </c:lineChart>
      <c:catAx>
        <c:axId val="6690003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en-US"/>
          </a:p>
        </c:txPr>
        <c:crossAx val="669003592"/>
        <c:crosses val="autoZero"/>
        <c:auto val="1"/>
        <c:lblAlgn val="ctr"/>
        <c:lblOffset val="100"/>
        <c:noMultiLvlLbl val="0"/>
      </c:catAx>
      <c:valAx>
        <c:axId val="669003592"/>
        <c:scaling>
          <c:orientation val="minMax"/>
        </c:scaling>
        <c:delete val="0"/>
        <c:axPos val="l"/>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669000312"/>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2700" cap="rnd">
              <a:solidFill>
                <a:schemeClr val="tx1"/>
              </a:solidFill>
              <a:round/>
            </a:ln>
            <a:effectLst/>
          </c:spPr>
          <c:marker>
            <c:symbol val="none"/>
          </c:marker>
          <c:cat>
            <c:numRef>
              <c:f>'[SummaryTBoutput15c (1).xlsx]Calibration graphs'!$C$1:$AE$1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(1).xlsx]Calibration graphs'!$C$9:$AE$9</c:f>
              <c:numCache>
                <c:formatCode>General</c:formatCode>
                <c:ptCount val="29"/>
                <c:pt idx="0">
                  <c:v>5478.47</c:v>
                </c:pt>
                <c:pt idx="1">
                  <c:v>6206.4750000000004</c:v>
                </c:pt>
                <c:pt idx="2">
                  <c:v>7110.5</c:v>
                </c:pt>
                <c:pt idx="3">
                  <c:v>8275.1749999999993</c:v>
                </c:pt>
                <c:pt idx="4">
                  <c:v>9794.8850000000002</c:v>
                </c:pt>
                <c:pt idx="5">
                  <c:v>11761.7</c:v>
                </c:pt>
                <c:pt idx="6">
                  <c:v>14262.55</c:v>
                </c:pt>
                <c:pt idx="7">
                  <c:v>17310.650000000001</c:v>
                </c:pt>
                <c:pt idx="8">
                  <c:v>20923.550000000003</c:v>
                </c:pt>
                <c:pt idx="9">
                  <c:v>25163.7</c:v>
                </c:pt>
                <c:pt idx="10">
                  <c:v>29963.35</c:v>
                </c:pt>
                <c:pt idx="11">
                  <c:v>35030</c:v>
                </c:pt>
                <c:pt idx="12">
                  <c:v>40271.550000000003</c:v>
                </c:pt>
                <c:pt idx="13">
                  <c:v>45522.2</c:v>
                </c:pt>
                <c:pt idx="14">
                  <c:v>50211.45</c:v>
                </c:pt>
                <c:pt idx="15">
                  <c:v>53744.600000000006</c:v>
                </c:pt>
                <c:pt idx="16">
                  <c:v>55122.5</c:v>
                </c:pt>
                <c:pt idx="17">
                  <c:v>53930.75</c:v>
                </c:pt>
                <c:pt idx="18">
                  <c:v>51073.45</c:v>
                </c:pt>
                <c:pt idx="19">
                  <c:v>47666.8</c:v>
                </c:pt>
                <c:pt idx="20">
                  <c:v>44259.1</c:v>
                </c:pt>
                <c:pt idx="21">
                  <c:v>40327.399999999994</c:v>
                </c:pt>
                <c:pt idx="22">
                  <c:v>35688</c:v>
                </c:pt>
                <c:pt idx="23">
                  <c:v>31591.600000000002</c:v>
                </c:pt>
                <c:pt idx="24">
                  <c:v>28639.5</c:v>
                </c:pt>
                <c:pt idx="25">
                  <c:v>26369.8</c:v>
                </c:pt>
                <c:pt idx="26">
                  <c:v>24628.9</c:v>
                </c:pt>
                <c:pt idx="27">
                  <c:v>23348.65</c:v>
                </c:pt>
                <c:pt idx="28">
                  <c:v>22252.45</c:v>
                </c:pt>
              </c:numCache>
            </c:numRef>
          </c:val>
          <c:smooth val="1"/>
          <c:extLst>
            <c:ext xmlns:c16="http://schemas.microsoft.com/office/drawing/2014/chart" uri="{C3380CC4-5D6E-409C-BE32-E72D297353CC}">
              <c16:uniqueId val="{00000000-971A-46F1-BCCD-4AE32154B112}"/>
            </c:ext>
          </c:extLst>
        </c:ser>
        <c:ser>
          <c:idx val="1"/>
          <c:order val="1"/>
          <c:spPr>
            <a:ln w="12700" cap="rnd">
              <a:solidFill>
                <a:schemeClr val="tx1"/>
              </a:solidFill>
              <a:prstDash val="dash"/>
              <a:round/>
            </a:ln>
            <a:effectLst/>
          </c:spPr>
          <c:marker>
            <c:symbol val="none"/>
          </c:marker>
          <c:cat>
            <c:numRef>
              <c:f>'[SummaryTBoutput15c (1).xlsx]Calibration graphs'!$C$1:$AE$1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(1).xlsx]Calibration graphs'!$C$10:$AE$10</c:f>
              <c:numCache>
                <c:formatCode>General</c:formatCode>
                <c:ptCount val="29"/>
                <c:pt idx="0">
                  <c:v>5261.0550000000003</c:v>
                </c:pt>
                <c:pt idx="1">
                  <c:v>5946.15</c:v>
                </c:pt>
                <c:pt idx="2">
                  <c:v>6787.18</c:v>
                </c:pt>
                <c:pt idx="3">
                  <c:v>7875.84</c:v>
                </c:pt>
                <c:pt idx="4">
                  <c:v>9310.2200000000012</c:v>
                </c:pt>
                <c:pt idx="5">
                  <c:v>11173.5</c:v>
                </c:pt>
                <c:pt idx="6">
                  <c:v>13549.2</c:v>
                </c:pt>
                <c:pt idx="7">
                  <c:v>16420.75</c:v>
                </c:pt>
                <c:pt idx="8">
                  <c:v>19793.25</c:v>
                </c:pt>
                <c:pt idx="9">
                  <c:v>23747.1</c:v>
                </c:pt>
                <c:pt idx="10">
                  <c:v>28223.7</c:v>
                </c:pt>
                <c:pt idx="11">
                  <c:v>32956.800000000003</c:v>
                </c:pt>
                <c:pt idx="12">
                  <c:v>37833.600000000006</c:v>
                </c:pt>
                <c:pt idx="13">
                  <c:v>42703.600000000006</c:v>
                </c:pt>
                <c:pt idx="14">
                  <c:v>47048.4</c:v>
                </c:pt>
                <c:pt idx="15">
                  <c:v>50336.25</c:v>
                </c:pt>
                <c:pt idx="16">
                  <c:v>51540.7</c:v>
                </c:pt>
                <c:pt idx="17">
                  <c:v>50233.65</c:v>
                </c:pt>
                <c:pt idx="18">
                  <c:v>47414.35</c:v>
                </c:pt>
                <c:pt idx="19">
                  <c:v>44238</c:v>
                </c:pt>
                <c:pt idx="20">
                  <c:v>41149.699999999997</c:v>
                </c:pt>
                <c:pt idx="21">
                  <c:v>37545.550000000003</c:v>
                </c:pt>
                <c:pt idx="22">
                  <c:v>33298.5</c:v>
                </c:pt>
                <c:pt idx="23">
                  <c:v>29498.25</c:v>
                </c:pt>
                <c:pt idx="24">
                  <c:v>26672.75</c:v>
                </c:pt>
                <c:pt idx="25">
                  <c:v>24479.75</c:v>
                </c:pt>
                <c:pt idx="26">
                  <c:v>22782.2</c:v>
                </c:pt>
                <c:pt idx="27">
                  <c:v>21520.45</c:v>
                </c:pt>
                <c:pt idx="28">
                  <c:v>20442.650000000001</c:v>
                </c:pt>
              </c:numCache>
            </c:numRef>
          </c:val>
          <c:smooth val="1"/>
          <c:extLst>
            <c:ext xmlns:c16="http://schemas.microsoft.com/office/drawing/2014/chart" uri="{C3380CC4-5D6E-409C-BE32-E72D297353CC}">
              <c16:uniqueId val="{00000001-971A-46F1-BCCD-4AE32154B112}"/>
            </c:ext>
          </c:extLst>
        </c:ser>
        <c:ser>
          <c:idx val="2"/>
          <c:order val="2"/>
          <c:spPr>
            <a:ln w="12700" cap="rnd">
              <a:solidFill>
                <a:schemeClr val="tx1"/>
              </a:solidFill>
              <a:prstDash val="dash"/>
              <a:round/>
            </a:ln>
            <a:effectLst/>
          </c:spPr>
          <c:marker>
            <c:symbol val="none"/>
          </c:marker>
          <c:cat>
            <c:numRef>
              <c:f>'[SummaryTBoutput15c (1).xlsx]Calibration graphs'!$C$1:$AE$1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(1).xlsx]Calibration graphs'!$C$11:$AE$11</c:f>
              <c:numCache>
                <c:formatCode>General</c:formatCode>
                <c:ptCount val="29"/>
                <c:pt idx="0">
                  <c:v>5703.2350000000006</c:v>
                </c:pt>
                <c:pt idx="1">
                  <c:v>6467.2449999999999</c:v>
                </c:pt>
                <c:pt idx="2">
                  <c:v>7416.51</c:v>
                </c:pt>
                <c:pt idx="3">
                  <c:v>8639.0499999999993</c:v>
                </c:pt>
                <c:pt idx="4">
                  <c:v>10244.865</c:v>
                </c:pt>
                <c:pt idx="5">
                  <c:v>12356.6</c:v>
                </c:pt>
                <c:pt idx="6">
                  <c:v>15085.45</c:v>
                </c:pt>
                <c:pt idx="7">
                  <c:v>18397.800000000003</c:v>
                </c:pt>
                <c:pt idx="8">
                  <c:v>22310.1</c:v>
                </c:pt>
                <c:pt idx="9">
                  <c:v>26873.8</c:v>
                </c:pt>
                <c:pt idx="10">
                  <c:v>31988.65</c:v>
                </c:pt>
                <c:pt idx="11">
                  <c:v>37372.400000000001</c:v>
                </c:pt>
                <c:pt idx="12">
                  <c:v>42918.850000000006</c:v>
                </c:pt>
                <c:pt idx="13">
                  <c:v>48569.55</c:v>
                </c:pt>
                <c:pt idx="14">
                  <c:v>53716</c:v>
                </c:pt>
                <c:pt idx="15">
                  <c:v>57593.75</c:v>
                </c:pt>
                <c:pt idx="16">
                  <c:v>59008.25</c:v>
                </c:pt>
                <c:pt idx="17">
                  <c:v>57584.9</c:v>
                </c:pt>
                <c:pt idx="18">
                  <c:v>54489.9</c:v>
                </c:pt>
                <c:pt idx="19">
                  <c:v>50927.600000000006</c:v>
                </c:pt>
                <c:pt idx="20">
                  <c:v>47463.850000000006</c:v>
                </c:pt>
                <c:pt idx="21">
                  <c:v>43392.800000000003</c:v>
                </c:pt>
                <c:pt idx="22">
                  <c:v>38379.350000000006</c:v>
                </c:pt>
                <c:pt idx="23">
                  <c:v>33904.550000000003</c:v>
                </c:pt>
                <c:pt idx="24">
                  <c:v>30702.25</c:v>
                </c:pt>
                <c:pt idx="25">
                  <c:v>28280.85</c:v>
                </c:pt>
                <c:pt idx="26">
                  <c:v>26516.6</c:v>
                </c:pt>
                <c:pt idx="27">
                  <c:v>25183.25</c:v>
                </c:pt>
                <c:pt idx="28">
                  <c:v>23943.25</c:v>
                </c:pt>
              </c:numCache>
            </c:numRef>
          </c:val>
          <c:smooth val="1"/>
          <c:extLst>
            <c:ext xmlns:c16="http://schemas.microsoft.com/office/drawing/2014/chart" uri="{C3380CC4-5D6E-409C-BE32-E72D297353CC}">
              <c16:uniqueId val="{00000002-971A-46F1-BCCD-4AE32154B112}"/>
            </c:ext>
          </c:extLst>
        </c:ser>
        <c:ser>
          <c:idx val="3"/>
          <c:order val="3"/>
          <c:spPr>
            <a:ln w="28575" cap="rnd">
              <a:noFill/>
              <a:round/>
            </a:ln>
            <a:effectLst/>
          </c:spPr>
          <c:marker>
            <c:symbol val="circle"/>
            <c:size val="5"/>
            <c:spPr>
              <a:solidFill>
                <a:schemeClr val="tx1"/>
              </a:solidFill>
              <a:ln w="9525">
                <a:solidFill>
                  <a:schemeClr val="tx1"/>
                </a:solidFill>
              </a:ln>
              <a:effectLst/>
            </c:spPr>
          </c:marker>
          <c:cat>
            <c:numRef>
              <c:f>'[SummaryTBoutput15c (1).xlsx]Calibration graphs'!$C$1:$AE$1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(1).xlsx]Calibration graphs'!$C$12:$AE$12</c:f>
              <c:numCache>
                <c:formatCode>General</c:formatCode>
                <c:ptCount val="29"/>
                <c:pt idx="7">
                  <c:v>15103.543170199639</c:v>
                </c:pt>
                <c:pt idx="8">
                  <c:v>19767.842057399459</c:v>
                </c:pt>
                <c:pt idx="9">
                  <c:v>22995.237812052412</c:v>
                </c:pt>
                <c:pt idx="10">
                  <c:v>30366.956382055974</c:v>
                </c:pt>
                <c:pt idx="11">
                  <c:v>36252.82752246016</c:v>
                </c:pt>
                <c:pt idx="12">
                  <c:v>43421.926155481116</c:v>
                </c:pt>
                <c:pt idx="13">
                  <c:v>48198.593718935292</c:v>
                </c:pt>
                <c:pt idx="14">
                  <c:v>50493.394825382617</c:v>
                </c:pt>
                <c:pt idx="15">
                  <c:v>53409.259265656925</c:v>
                </c:pt>
                <c:pt idx="16">
                  <c:v>54806.032238943473</c:v>
                </c:pt>
                <c:pt idx="17">
                  <c:v>54894.367553146418</c:v>
                </c:pt>
                <c:pt idx="18">
                  <c:v>53225.701055994752</c:v>
                </c:pt>
                <c:pt idx="19">
                  <c:v>49964.569319538226</c:v>
                </c:pt>
                <c:pt idx="20">
                  <c:v>45153.338062845491</c:v>
                </c:pt>
                <c:pt idx="21">
                  <c:v>38875.832778149452</c:v>
                </c:pt>
                <c:pt idx="22">
                  <c:v>34563.93170947535</c:v>
                </c:pt>
                <c:pt idx="23">
                  <c:v>31061.991579157122</c:v>
                </c:pt>
                <c:pt idx="24">
                  <c:v>28380.66727438604</c:v>
                </c:pt>
                <c:pt idx="25">
                  <c:v>23152.631803715889</c:v>
                </c:pt>
                <c:pt idx="26">
                  <c:v>20279.341107587454</c:v>
                </c:pt>
              </c:numCache>
            </c:numRef>
          </c:val>
          <c:smooth val="0"/>
          <c:extLst>
            <c:ext xmlns:c16="http://schemas.microsoft.com/office/drawing/2014/chart" uri="{C3380CC4-5D6E-409C-BE32-E72D297353CC}">
              <c16:uniqueId val="{00000003-971A-46F1-BCCD-4AE32154B112}"/>
            </c:ext>
          </c:extLst>
        </c:ser>
        <c:dLbls>
          <c:showLegendKey val="0"/>
          <c:showVal val="0"/>
          <c:showCatName val="0"/>
          <c:showSerName val="0"/>
          <c:showPercent val="0"/>
          <c:showBubbleSize val="0"/>
        </c:dLbls>
        <c:smooth val="0"/>
        <c:axId val="570144368"/>
        <c:axId val="570144696"/>
      </c:lineChart>
      <c:catAx>
        <c:axId val="5701443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0" i="0" u="none" strike="noStrike" kern="1200" baseline="0">
                <a:solidFill>
                  <a:schemeClr val="tx1"/>
                </a:solidFill>
                <a:latin typeface="+mn-lt"/>
                <a:ea typeface="+mn-ea"/>
                <a:cs typeface="+mn-cs"/>
              </a:defRPr>
            </a:pPr>
            <a:endParaRPr lang="en-US"/>
          </a:p>
        </c:txPr>
        <c:crossAx val="570144696"/>
        <c:crosses val="autoZero"/>
        <c:auto val="1"/>
        <c:lblAlgn val="ctr"/>
        <c:lblOffset val="100"/>
        <c:noMultiLvlLbl val="0"/>
      </c:catAx>
      <c:valAx>
        <c:axId val="570144696"/>
        <c:scaling>
          <c:orientation val="minMax"/>
        </c:scaling>
        <c:delete val="0"/>
        <c:axPos val="l"/>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70144368"/>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2700" cap="rnd">
              <a:solidFill>
                <a:schemeClr val="tx1"/>
              </a:solidFill>
              <a:round/>
            </a:ln>
            <a:effectLst/>
          </c:spPr>
          <c:marker>
            <c:symbol val="none"/>
          </c:marker>
          <c:cat>
            <c:numRef>
              <c:f>'Calibration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'Calibration graphs'!$C$68:$AF$68</c:f>
              <c:numCache>
                <c:formatCode>General</c:formatCode>
                <c:ptCount val="30"/>
                <c:pt idx="0">
                  <c:v>1049.45</c:v>
                </c:pt>
                <c:pt idx="1">
                  <c:v>2029.84</c:v>
                </c:pt>
                <c:pt idx="2">
                  <c:v>3646.09</c:v>
                </c:pt>
                <c:pt idx="3">
                  <c:v>6073.96</c:v>
                </c:pt>
                <c:pt idx="4">
                  <c:v>9468.9699999999993</c:v>
                </c:pt>
                <c:pt idx="5">
                  <c:v>13939</c:v>
                </c:pt>
                <c:pt idx="6">
                  <c:v>19561.3</c:v>
                </c:pt>
                <c:pt idx="7">
                  <c:v>26171.1</c:v>
                </c:pt>
                <c:pt idx="8">
                  <c:v>33836.400000000001</c:v>
                </c:pt>
                <c:pt idx="9">
                  <c:v>42527.8</c:v>
                </c:pt>
                <c:pt idx="10">
                  <c:v>51817.599999999999</c:v>
                </c:pt>
                <c:pt idx="11">
                  <c:v>60880.6</c:v>
                </c:pt>
                <c:pt idx="12">
                  <c:v>70322.100000000006</c:v>
                </c:pt>
                <c:pt idx="13">
                  <c:v>79083.3</c:v>
                </c:pt>
                <c:pt idx="14">
                  <c:v>86248.3</c:v>
                </c:pt>
                <c:pt idx="15">
                  <c:v>90893.3</c:v>
                </c:pt>
                <c:pt idx="16">
                  <c:v>90823.8</c:v>
                </c:pt>
                <c:pt idx="17">
                  <c:v>87185.4</c:v>
                </c:pt>
                <c:pt idx="18">
                  <c:v>82008.399999999994</c:v>
                </c:pt>
                <c:pt idx="19">
                  <c:v>76759.8</c:v>
                </c:pt>
                <c:pt idx="20">
                  <c:v>71514.7</c:v>
                </c:pt>
                <c:pt idx="21">
                  <c:v>64214.7</c:v>
                </c:pt>
                <c:pt idx="22">
                  <c:v>56361.5</c:v>
                </c:pt>
                <c:pt idx="23">
                  <c:v>51076.4</c:v>
                </c:pt>
                <c:pt idx="24">
                  <c:v>46869.1</c:v>
                </c:pt>
                <c:pt idx="25">
                  <c:v>42871.199999999997</c:v>
                </c:pt>
                <c:pt idx="26">
                  <c:v>39834.9</c:v>
                </c:pt>
                <c:pt idx="27">
                  <c:v>37503.5</c:v>
                </c:pt>
                <c:pt idx="28">
                  <c:v>35367</c:v>
                </c:pt>
                <c:pt idx="29">
                  <c:v>33364.800000000003</c:v>
                </c:pt>
              </c:numCache>
            </c:numRef>
          </c:val>
          <c:smooth val="1"/>
          <c:extLst>
            <c:ext xmlns:c16="http://schemas.microsoft.com/office/drawing/2014/chart" uri="{C3380CC4-5D6E-409C-BE32-E72D297353CC}">
              <c16:uniqueId val="{00000000-1E5D-4FC0-A097-E90539DA77C0}"/>
            </c:ext>
          </c:extLst>
        </c:ser>
        <c:ser>
          <c:idx val="1"/>
          <c:order val="1"/>
          <c:spPr>
            <a:ln w="12700" cap="rnd">
              <a:solidFill>
                <a:schemeClr val="tx1"/>
              </a:solidFill>
              <a:prstDash val="dash"/>
              <a:round/>
            </a:ln>
            <a:effectLst/>
          </c:spPr>
          <c:marker>
            <c:symbol val="none"/>
          </c:marker>
          <c:cat>
            <c:numRef>
              <c:f>'Calibration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'Calibration graphs'!$C$69:$AF$69</c:f>
              <c:numCache>
                <c:formatCode>General</c:formatCode>
                <c:ptCount val="30"/>
                <c:pt idx="0">
                  <c:v>969.26099999999997</c:v>
                </c:pt>
                <c:pt idx="1">
                  <c:v>1880.99</c:v>
                </c:pt>
                <c:pt idx="2">
                  <c:v>3384.47</c:v>
                </c:pt>
                <c:pt idx="3">
                  <c:v>5640.48</c:v>
                </c:pt>
                <c:pt idx="4">
                  <c:v>8778.27</c:v>
                </c:pt>
                <c:pt idx="5">
                  <c:v>12904.7</c:v>
                </c:pt>
                <c:pt idx="6">
                  <c:v>18105.599999999999</c:v>
                </c:pt>
                <c:pt idx="7">
                  <c:v>24210</c:v>
                </c:pt>
                <c:pt idx="8">
                  <c:v>31294.7</c:v>
                </c:pt>
                <c:pt idx="9">
                  <c:v>39339.199999999997</c:v>
                </c:pt>
                <c:pt idx="10">
                  <c:v>47951.8</c:v>
                </c:pt>
                <c:pt idx="11">
                  <c:v>56364.5</c:v>
                </c:pt>
                <c:pt idx="12">
                  <c:v>65150.400000000001</c:v>
                </c:pt>
                <c:pt idx="13">
                  <c:v>73331.899999999994</c:v>
                </c:pt>
                <c:pt idx="14">
                  <c:v>80048.2</c:v>
                </c:pt>
                <c:pt idx="15">
                  <c:v>84425.4</c:v>
                </c:pt>
                <c:pt idx="16">
                  <c:v>84392.8</c:v>
                </c:pt>
                <c:pt idx="17">
                  <c:v>81006.7</c:v>
                </c:pt>
                <c:pt idx="18">
                  <c:v>76146</c:v>
                </c:pt>
                <c:pt idx="19">
                  <c:v>71191.100000000006</c:v>
                </c:pt>
                <c:pt idx="20">
                  <c:v>66231.600000000006</c:v>
                </c:pt>
                <c:pt idx="21">
                  <c:v>59371.7</c:v>
                </c:pt>
                <c:pt idx="22">
                  <c:v>51995.6</c:v>
                </c:pt>
                <c:pt idx="23">
                  <c:v>47027.5</c:v>
                </c:pt>
                <c:pt idx="24">
                  <c:v>42970.1</c:v>
                </c:pt>
                <c:pt idx="25">
                  <c:v>39150.800000000003</c:v>
                </c:pt>
                <c:pt idx="26">
                  <c:v>36224.300000000003</c:v>
                </c:pt>
                <c:pt idx="27">
                  <c:v>33967</c:v>
                </c:pt>
                <c:pt idx="28">
                  <c:v>31912.1</c:v>
                </c:pt>
                <c:pt idx="29">
                  <c:v>29991.1</c:v>
                </c:pt>
              </c:numCache>
            </c:numRef>
          </c:val>
          <c:smooth val="1"/>
          <c:extLst>
            <c:ext xmlns:c16="http://schemas.microsoft.com/office/drawing/2014/chart" uri="{C3380CC4-5D6E-409C-BE32-E72D297353CC}">
              <c16:uniqueId val="{00000001-1E5D-4FC0-A097-E90539DA77C0}"/>
            </c:ext>
          </c:extLst>
        </c:ser>
        <c:ser>
          <c:idx val="2"/>
          <c:order val="2"/>
          <c:spPr>
            <a:ln w="12700" cap="rnd">
              <a:solidFill>
                <a:schemeClr val="tx1"/>
              </a:solidFill>
              <a:prstDash val="dash"/>
              <a:round/>
            </a:ln>
            <a:effectLst/>
          </c:spPr>
          <c:marker>
            <c:symbol val="none"/>
          </c:marker>
          <c:cat>
            <c:numRef>
              <c:f>'Calibration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'Calibration graphs'!$C$70:$AF$70</c:f>
              <c:numCache>
                <c:formatCode>General</c:formatCode>
                <c:ptCount val="30"/>
                <c:pt idx="0">
                  <c:v>1141.51</c:v>
                </c:pt>
                <c:pt idx="1">
                  <c:v>2208.9899999999998</c:v>
                </c:pt>
                <c:pt idx="2">
                  <c:v>3970.07</c:v>
                </c:pt>
                <c:pt idx="3">
                  <c:v>6617.45</c:v>
                </c:pt>
                <c:pt idx="4">
                  <c:v>10334.5</c:v>
                </c:pt>
                <c:pt idx="5">
                  <c:v>15234.1</c:v>
                </c:pt>
                <c:pt idx="6">
                  <c:v>21362.3</c:v>
                </c:pt>
                <c:pt idx="7">
                  <c:v>28572.7</c:v>
                </c:pt>
                <c:pt idx="8">
                  <c:v>36908.800000000003</c:v>
                </c:pt>
                <c:pt idx="9">
                  <c:v>46319.199999999997</c:v>
                </c:pt>
                <c:pt idx="10">
                  <c:v>56330.2</c:v>
                </c:pt>
                <c:pt idx="11">
                  <c:v>65996.899999999994</c:v>
                </c:pt>
                <c:pt idx="12">
                  <c:v>76007.3</c:v>
                </c:pt>
                <c:pt idx="13">
                  <c:v>85096.3</c:v>
                </c:pt>
                <c:pt idx="14">
                  <c:v>92336.3</c:v>
                </c:pt>
                <c:pt idx="15">
                  <c:v>97199</c:v>
                </c:pt>
                <c:pt idx="16">
                  <c:v>97245</c:v>
                </c:pt>
                <c:pt idx="17">
                  <c:v>93428.800000000003</c:v>
                </c:pt>
                <c:pt idx="18">
                  <c:v>87903.7</c:v>
                </c:pt>
                <c:pt idx="19">
                  <c:v>82435.399999999994</c:v>
                </c:pt>
                <c:pt idx="20">
                  <c:v>76966.100000000006</c:v>
                </c:pt>
                <c:pt idx="21">
                  <c:v>69015.100000000006</c:v>
                </c:pt>
                <c:pt idx="22">
                  <c:v>60550.6</c:v>
                </c:pt>
                <c:pt idx="23">
                  <c:v>54895.7</c:v>
                </c:pt>
                <c:pt idx="24">
                  <c:v>50483.6</c:v>
                </c:pt>
                <c:pt idx="25">
                  <c:v>46283.9</c:v>
                </c:pt>
                <c:pt idx="26">
                  <c:v>43002</c:v>
                </c:pt>
                <c:pt idx="27">
                  <c:v>40692.199999999997</c:v>
                </c:pt>
                <c:pt idx="28">
                  <c:v>38489.300000000003</c:v>
                </c:pt>
                <c:pt idx="29">
                  <c:v>36478.9</c:v>
                </c:pt>
              </c:numCache>
            </c:numRef>
          </c:val>
          <c:smooth val="1"/>
          <c:extLst>
            <c:ext xmlns:c16="http://schemas.microsoft.com/office/drawing/2014/chart" uri="{C3380CC4-5D6E-409C-BE32-E72D297353CC}">
              <c16:uniqueId val="{00000002-1E5D-4FC0-A097-E90539DA77C0}"/>
            </c:ext>
          </c:extLst>
        </c:ser>
        <c:ser>
          <c:idx val="3"/>
          <c:order val="3"/>
          <c:spPr>
            <a:ln w="28575" cap="rnd">
              <a:noFill/>
              <a:round/>
            </a:ln>
            <a:effectLst/>
          </c:spPr>
          <c:marker>
            <c:symbol val="circle"/>
            <c:size val="5"/>
            <c:spPr>
              <a:solidFill>
                <a:schemeClr val="tx1"/>
              </a:solidFill>
              <a:ln w="9525">
                <a:solidFill>
                  <a:schemeClr val="tx1"/>
                </a:solidFill>
              </a:ln>
              <a:effectLst/>
            </c:spPr>
          </c:marker>
          <c:cat>
            <c:numRef>
              <c:f>'Calibration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'Calibration graphs'!$C$71:$AF$71</c:f>
              <c:numCache>
                <c:formatCode>General</c:formatCode>
                <c:ptCount val="30"/>
                <c:pt idx="7">
                  <c:v>22423.898000000001</c:v>
                </c:pt>
                <c:pt idx="8">
                  <c:v>30772.219000000001</c:v>
                </c:pt>
                <c:pt idx="9">
                  <c:v>40506.946000000004</c:v>
                </c:pt>
                <c:pt idx="10">
                  <c:v>51366.94</c:v>
                </c:pt>
                <c:pt idx="11">
                  <c:v>61758.32</c:v>
                </c:pt>
                <c:pt idx="12">
                  <c:v>72597.717000000004</c:v>
                </c:pt>
                <c:pt idx="13">
                  <c:v>83339.46100000001</c:v>
                </c:pt>
                <c:pt idx="14">
                  <c:v>94692.106</c:v>
                </c:pt>
                <c:pt idx="15">
                  <c:v>98092.459999999992</c:v>
                </c:pt>
                <c:pt idx="16">
                  <c:v>92833.345000000001</c:v>
                </c:pt>
                <c:pt idx="17">
                  <c:v>82787.039999999994</c:v>
                </c:pt>
                <c:pt idx="18">
                  <c:v>74244.917999999991</c:v>
                </c:pt>
                <c:pt idx="19">
                  <c:v>67847.463999999993</c:v>
                </c:pt>
                <c:pt idx="20">
                  <c:v>61486.731999999996</c:v>
                </c:pt>
              </c:numCache>
            </c:numRef>
          </c:val>
          <c:smooth val="0"/>
          <c:extLst>
            <c:ext xmlns:c16="http://schemas.microsoft.com/office/drawing/2014/chart" uri="{C3380CC4-5D6E-409C-BE32-E72D297353CC}">
              <c16:uniqueId val="{00000003-1E5D-4FC0-A097-E90539DA77C0}"/>
            </c:ext>
          </c:extLst>
        </c:ser>
        <c:dLbls>
          <c:showLegendKey val="0"/>
          <c:showVal val="0"/>
          <c:showCatName val="0"/>
          <c:showSerName val="0"/>
          <c:showPercent val="0"/>
          <c:showBubbleSize val="0"/>
        </c:dLbls>
        <c:smooth val="0"/>
        <c:axId val="585030832"/>
        <c:axId val="585031816"/>
      </c:lineChart>
      <c:catAx>
        <c:axId val="58503083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en-US"/>
          </a:p>
        </c:txPr>
        <c:crossAx val="585031816"/>
        <c:crosses val="autoZero"/>
        <c:auto val="1"/>
        <c:lblAlgn val="ctr"/>
        <c:lblOffset val="100"/>
        <c:noMultiLvlLbl val="0"/>
      </c:catAx>
      <c:valAx>
        <c:axId val="585031816"/>
        <c:scaling>
          <c:orientation val="minMax"/>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585030832"/>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spPr>
            <a:ln w="12700" cap="rnd">
              <a:solidFill>
                <a:schemeClr val="tx1"/>
              </a:solidFill>
              <a:round/>
            </a:ln>
            <a:effectLst/>
          </c:spPr>
          <c:marker>
            <c:symbol val="none"/>
          </c:marker>
          <c:cat>
            <c:numRef>
              <c:f>'[SummaryTBoutput15c (1).xlsx]Sheet1'!$C$1:$AE$1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(1).xlsx]Sheet1'!$C$16:$AE$16</c:f>
              <c:numCache>
                <c:formatCode>0</c:formatCode>
                <c:ptCount val="29"/>
                <c:pt idx="0">
                  <c:v>30414.767446499998</c:v>
                </c:pt>
                <c:pt idx="1">
                  <c:v>33557.408081999987</c:v>
                </c:pt>
                <c:pt idx="2">
                  <c:v>37381.713921000002</c:v>
                </c:pt>
                <c:pt idx="3">
                  <c:v>42334.802613000014</c:v>
                </c:pt>
                <c:pt idx="4">
                  <c:v>48626.242370000007</c:v>
                </c:pt>
                <c:pt idx="5">
                  <c:v>56303.467497500016</c:v>
                </c:pt>
                <c:pt idx="6">
                  <c:v>65365.779005000004</c:v>
                </c:pt>
                <c:pt idx="7">
                  <c:v>75626.182792499982</c:v>
                </c:pt>
                <c:pt idx="8">
                  <c:v>86746.564292500014</c:v>
                </c:pt>
                <c:pt idx="9">
                  <c:v>98414.88426250004</c:v>
                </c:pt>
                <c:pt idx="10">
                  <c:v>110365.68095000001</c:v>
                </c:pt>
                <c:pt idx="11">
                  <c:v>122149.44894999998</c:v>
                </c:pt>
                <c:pt idx="12">
                  <c:v>134184.68520000001</c:v>
                </c:pt>
                <c:pt idx="13">
                  <c:v>147255.041</c:v>
                </c:pt>
                <c:pt idx="14">
                  <c:v>160404.84219999998</c:v>
                </c:pt>
                <c:pt idx="15">
                  <c:v>173624.89885</c:v>
                </c:pt>
                <c:pt idx="16">
                  <c:v>186709.00374999997</c:v>
                </c:pt>
                <c:pt idx="17">
                  <c:v>196194.23630000002</c:v>
                </c:pt>
                <c:pt idx="18">
                  <c:v>199907.11525000003</c:v>
                </c:pt>
                <c:pt idx="19">
                  <c:v>198594.18325</c:v>
                </c:pt>
                <c:pt idx="20">
                  <c:v>195561.42415000001</c:v>
                </c:pt>
                <c:pt idx="21">
                  <c:v>192635.32105</c:v>
                </c:pt>
                <c:pt idx="22">
                  <c:v>186642.32879999999</c:v>
                </c:pt>
                <c:pt idx="23">
                  <c:v>177835.36624999996</c:v>
                </c:pt>
                <c:pt idx="24">
                  <c:v>169966.67717499999</c:v>
                </c:pt>
                <c:pt idx="25">
                  <c:v>162850.53852499995</c:v>
                </c:pt>
                <c:pt idx="26">
                  <c:v>154882.02947499999</c:v>
                </c:pt>
                <c:pt idx="27">
                  <c:v>147760.95494999998</c:v>
                </c:pt>
                <c:pt idx="28">
                  <c:v>143437.84627500002</c:v>
                </c:pt>
              </c:numCache>
            </c:numRef>
          </c:val>
          <c:smooth val="0"/>
          <c:extLst>
            <c:ext xmlns:c16="http://schemas.microsoft.com/office/drawing/2014/chart" uri="{C3380CC4-5D6E-409C-BE32-E72D297353CC}">
              <c16:uniqueId val="{00000000-F04D-496E-B33F-DCBCF91784E6}"/>
            </c:ext>
          </c:extLst>
        </c:ser>
        <c:ser>
          <c:idx val="1"/>
          <c:order val="1"/>
          <c:spPr>
            <a:ln w="12700" cap="rnd">
              <a:solidFill>
                <a:schemeClr val="tx1"/>
              </a:solidFill>
              <a:prstDash val="dash"/>
              <a:round/>
            </a:ln>
            <a:effectLst/>
          </c:spPr>
          <c:marker>
            <c:symbol val="none"/>
          </c:marker>
          <c:cat>
            <c:numRef>
              <c:f>'[SummaryTBoutput15c (1).xlsx]Sheet1'!$C$1:$AE$1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(1).xlsx]Sheet1'!$C$17:$AE$17</c:f>
              <c:numCache>
                <c:formatCode>0</c:formatCode>
                <c:ptCount val="29"/>
                <c:pt idx="0">
                  <c:v>28881.654530517466</c:v>
                </c:pt>
                <c:pt idx="1">
                  <c:v>31653.182349378993</c:v>
                </c:pt>
                <c:pt idx="2">
                  <c:v>35050.420638556425</c:v>
                </c:pt>
                <c:pt idx="3">
                  <c:v>39466.584231748784</c:v>
                </c:pt>
                <c:pt idx="4">
                  <c:v>45118.772672098698</c:v>
                </c:pt>
                <c:pt idx="5">
                  <c:v>52019.260360379543</c:v>
                </c:pt>
                <c:pt idx="6">
                  <c:v>60242.20422918236</c:v>
                </c:pt>
                <c:pt idx="7">
                  <c:v>69638.434823213189</c:v>
                </c:pt>
                <c:pt idx="8">
                  <c:v>79860.176005854097</c:v>
                </c:pt>
                <c:pt idx="9">
                  <c:v>90652.009702072275</c:v>
                </c:pt>
                <c:pt idx="10">
                  <c:v>101788.32564686598</c:v>
                </c:pt>
                <c:pt idx="11">
                  <c:v>112674.40888490912</c:v>
                </c:pt>
                <c:pt idx="12">
                  <c:v>123734.01866936148</c:v>
                </c:pt>
                <c:pt idx="13">
                  <c:v>136323.19881598782</c:v>
                </c:pt>
                <c:pt idx="14">
                  <c:v>149101.59358050951</c:v>
                </c:pt>
                <c:pt idx="15">
                  <c:v>162427.66561317543</c:v>
                </c:pt>
                <c:pt idx="16">
                  <c:v>176551.69014662117</c:v>
                </c:pt>
                <c:pt idx="17">
                  <c:v>186924.82328052877</c:v>
                </c:pt>
                <c:pt idx="18">
                  <c:v>191640.0776858723</c:v>
                </c:pt>
                <c:pt idx="19">
                  <c:v>191134.71892846521</c:v>
                </c:pt>
                <c:pt idx="20">
                  <c:v>189376.35477076739</c:v>
                </c:pt>
                <c:pt idx="21">
                  <c:v>186684.83741705783</c:v>
                </c:pt>
                <c:pt idx="22">
                  <c:v>180763.17338718424</c:v>
                </c:pt>
                <c:pt idx="23">
                  <c:v>171795.29927350694</c:v>
                </c:pt>
                <c:pt idx="24">
                  <c:v>164398.26957052472</c:v>
                </c:pt>
                <c:pt idx="25">
                  <c:v>156820.02596731042</c:v>
                </c:pt>
                <c:pt idx="26">
                  <c:v>148752.66449821353</c:v>
                </c:pt>
                <c:pt idx="27">
                  <c:v>142095.67234902352</c:v>
                </c:pt>
                <c:pt idx="28">
                  <c:v>137998.21613684899</c:v>
                </c:pt>
              </c:numCache>
            </c:numRef>
          </c:val>
          <c:smooth val="0"/>
          <c:extLst>
            <c:ext xmlns:c16="http://schemas.microsoft.com/office/drawing/2014/chart" uri="{C3380CC4-5D6E-409C-BE32-E72D297353CC}">
              <c16:uniqueId val="{00000001-F04D-496E-B33F-DCBCF91784E6}"/>
            </c:ext>
          </c:extLst>
        </c:ser>
        <c:ser>
          <c:idx val="2"/>
          <c:order val="2"/>
          <c:spPr>
            <a:ln w="12700" cap="rnd">
              <a:solidFill>
                <a:schemeClr val="tx1"/>
              </a:solidFill>
              <a:prstDash val="dash"/>
              <a:round/>
            </a:ln>
            <a:effectLst/>
          </c:spPr>
          <c:marker>
            <c:symbol val="none"/>
          </c:marker>
          <c:cat>
            <c:numRef>
              <c:f>'[SummaryTBoutput15c (1).xlsx]Sheet1'!$C$1:$AE$1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(1).xlsx]Sheet1'!$C$18:$AE$18</c:f>
              <c:numCache>
                <c:formatCode>0</c:formatCode>
                <c:ptCount val="29"/>
                <c:pt idx="0">
                  <c:v>32029.261960987176</c:v>
                </c:pt>
                <c:pt idx="1">
                  <c:v>35576.190246917504</c:v>
                </c:pt>
                <c:pt idx="2">
                  <c:v>39868.067492870978</c:v>
                </c:pt>
                <c:pt idx="3">
                  <c:v>45411.467629365157</c:v>
                </c:pt>
                <c:pt idx="4">
                  <c:v>52406.377811074417</c:v>
                </c:pt>
                <c:pt idx="5">
                  <c:v>60940.513768944926</c:v>
                </c:pt>
                <c:pt idx="6">
                  <c:v>70925.111715297055</c:v>
                </c:pt>
                <c:pt idx="7">
                  <c:v>82128.777567788609</c:v>
                </c:pt>
                <c:pt idx="8">
                  <c:v>94226.769748181177</c:v>
                </c:pt>
                <c:pt idx="9">
                  <c:v>106842.52314132503</c:v>
                </c:pt>
                <c:pt idx="10">
                  <c:v>119665.82075252192</c:v>
                </c:pt>
                <c:pt idx="11">
                  <c:v>132421.26607497121</c:v>
                </c:pt>
                <c:pt idx="12">
                  <c:v>145518.02273824927</c:v>
                </c:pt>
                <c:pt idx="13">
                  <c:v>159063.51441460309</c:v>
                </c:pt>
                <c:pt idx="14">
                  <c:v>172564.97924224916</c:v>
                </c:pt>
                <c:pt idx="15">
                  <c:v>185594.03280759489</c:v>
                </c:pt>
                <c:pt idx="16">
                  <c:v>197450.68456930123</c:v>
                </c:pt>
                <c:pt idx="17">
                  <c:v>205923.3101404238</c:v>
                </c:pt>
                <c:pt idx="18">
                  <c:v>208530.77920935769</c:v>
                </c:pt>
                <c:pt idx="19">
                  <c:v>206344.77002315532</c:v>
                </c:pt>
                <c:pt idx="20">
                  <c:v>201948.49912424065</c:v>
                </c:pt>
                <c:pt idx="21">
                  <c:v>198775.47330282483</c:v>
                </c:pt>
                <c:pt idx="22">
                  <c:v>192712.69831754937</c:v>
                </c:pt>
                <c:pt idx="23">
                  <c:v>184087.7929897391</c:v>
                </c:pt>
                <c:pt idx="24">
                  <c:v>175723.69481369635</c:v>
                </c:pt>
                <c:pt idx="25">
                  <c:v>169112.95438384076</c:v>
                </c:pt>
                <c:pt idx="26">
                  <c:v>161263.95540688184</c:v>
                </c:pt>
                <c:pt idx="27">
                  <c:v>153652.10950343177</c:v>
                </c:pt>
                <c:pt idx="28">
                  <c:v>149091.89640254091</c:v>
                </c:pt>
              </c:numCache>
            </c:numRef>
          </c:val>
          <c:smooth val="0"/>
          <c:extLst>
            <c:ext xmlns:c16="http://schemas.microsoft.com/office/drawing/2014/chart" uri="{C3380CC4-5D6E-409C-BE32-E72D297353CC}">
              <c16:uniqueId val="{00000002-F04D-496E-B33F-DCBCF91784E6}"/>
            </c:ext>
          </c:extLst>
        </c:ser>
        <c:dLbls>
          <c:showLegendKey val="0"/>
          <c:showVal val="0"/>
          <c:showCatName val="0"/>
          <c:showSerName val="0"/>
          <c:showPercent val="0"/>
          <c:showBubbleSize val="0"/>
        </c:dLbls>
        <c:marker val="1"/>
        <c:smooth val="0"/>
        <c:axId val="156399328"/>
        <c:axId val="156405152"/>
      </c:lineChart>
      <c:scatterChart>
        <c:scatterStyle val="lineMarker"/>
        <c:varyColors val="0"/>
        <c:ser>
          <c:idx val="3"/>
          <c:order val="3"/>
          <c:spPr>
            <a:ln w="25400" cap="rnd">
              <a:noFill/>
              <a:round/>
            </a:ln>
            <a:effectLst/>
          </c:spPr>
          <c:marker>
            <c:symbol val="circle"/>
            <c:size val="5"/>
            <c:spPr>
              <a:solidFill>
                <a:schemeClr val="dk1">
                  <a:tint val="98500"/>
                </a:schemeClr>
              </a:solidFill>
              <a:ln w="9525">
                <a:solidFill>
                  <a:schemeClr val="dk1">
                    <a:tint val="98500"/>
                  </a:schemeClr>
                </a:solidFill>
              </a:ln>
              <a:effectLst/>
            </c:spPr>
          </c:marker>
          <c:yVal>
            <c:numRef>
              <c:f>'[SummaryTBoutput15c (1).xlsx]Sheet1'!$C$19:$AE$19</c:f>
              <c:numCache>
                <c:formatCode>General</c:formatCode>
                <c:ptCount val="29"/>
                <c:pt idx="14">
                  <c:v>160285.53092832022</c:v>
                </c:pt>
                <c:pt idx="15">
                  <c:v>174937.64853499224</c:v>
                </c:pt>
                <c:pt idx="16">
                  <c:v>180296.3745278643</c:v>
                </c:pt>
                <c:pt idx="17">
                  <c:v>186816.95156728826</c:v>
                </c:pt>
                <c:pt idx="18">
                  <c:v>198271.00905192029</c:v>
                </c:pt>
                <c:pt idx="19">
                  <c:v>210066.06943728033</c:v>
                </c:pt>
                <c:pt idx="20">
                  <c:v>208787.71723992034</c:v>
                </c:pt>
                <c:pt idx="21">
                  <c:v>206203.7674872003</c:v>
                </c:pt>
                <c:pt idx="22">
                  <c:v>195019.0031210403</c:v>
                </c:pt>
                <c:pt idx="23">
                  <c:v>190587.81809592029</c:v>
                </c:pt>
                <c:pt idx="24">
                  <c:v>188037.65258712028</c:v>
                </c:pt>
                <c:pt idx="25">
                  <c:v>172675.62993240028</c:v>
                </c:pt>
                <c:pt idx="26">
                  <c:v>158470.9900855202</c:v>
                </c:pt>
              </c:numCache>
            </c:numRef>
          </c:yVal>
          <c:smooth val="0"/>
          <c:extLst>
            <c:ext xmlns:c16="http://schemas.microsoft.com/office/drawing/2014/chart" uri="{C3380CC4-5D6E-409C-BE32-E72D297353CC}">
              <c16:uniqueId val="{00000003-F04D-496E-B33F-DCBCF91784E6}"/>
            </c:ext>
          </c:extLst>
        </c:ser>
        <c:dLbls>
          <c:showLegendKey val="0"/>
          <c:showVal val="0"/>
          <c:showCatName val="0"/>
          <c:showSerName val="0"/>
          <c:showPercent val="0"/>
          <c:showBubbleSize val="0"/>
        </c:dLbls>
        <c:axId val="156399328"/>
        <c:axId val="156405152"/>
      </c:scatterChart>
      <c:catAx>
        <c:axId val="15639932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en-US"/>
          </a:p>
        </c:txPr>
        <c:crossAx val="156405152"/>
        <c:crosses val="autoZero"/>
        <c:auto val="1"/>
        <c:lblAlgn val="ctr"/>
        <c:lblOffset val="100"/>
        <c:noMultiLvlLbl val="0"/>
      </c:catAx>
      <c:valAx>
        <c:axId val="156405152"/>
        <c:scaling>
          <c:orientation val="minMax"/>
        </c:scaling>
        <c:delete val="0"/>
        <c:axPos val="l"/>
        <c:numFmt formatCode="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56399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spPr>
            <a:ln w="12700" cap="rnd">
              <a:solidFill>
                <a:schemeClr val="tx1"/>
              </a:solidFill>
              <a:round/>
            </a:ln>
            <a:effectLst/>
          </c:spPr>
          <c:marker>
            <c:symbol val="none"/>
          </c:marker>
          <c:cat>
            <c:numRef>
              <c:f>'[SummaryTBoutput15c (1).xlsx]Sheet1'!$C$1:$AE$1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(1).xlsx]Sheet1'!$C$23:$AE$23</c:f>
              <c:numCache>
                <c:formatCode>0</c:formatCode>
                <c:ptCount val="29"/>
                <c:pt idx="0">
                  <c:v>18382.651938749994</c:v>
                </c:pt>
                <c:pt idx="1">
                  <c:v>20226.044889499994</c:v>
                </c:pt>
                <c:pt idx="2">
                  <c:v>22632.556082250001</c:v>
                </c:pt>
                <c:pt idx="3">
                  <c:v>25848.608260249999</c:v>
                </c:pt>
                <c:pt idx="4">
                  <c:v>30126.540322500001</c:v>
                </c:pt>
                <c:pt idx="5">
                  <c:v>35679.867924999999</c:v>
                </c:pt>
                <c:pt idx="6">
                  <c:v>42639.49043250001</c:v>
                </c:pt>
                <c:pt idx="7">
                  <c:v>51007.560630000014</c:v>
                </c:pt>
                <c:pt idx="8">
                  <c:v>60645.708092500005</c:v>
                </c:pt>
                <c:pt idx="9">
                  <c:v>71377.494950000008</c:v>
                </c:pt>
                <c:pt idx="10">
                  <c:v>83018.322750000007</c:v>
                </c:pt>
                <c:pt idx="11">
                  <c:v>95165.727725000033</c:v>
                </c:pt>
                <c:pt idx="12">
                  <c:v>107972.72042500004</c:v>
                </c:pt>
                <c:pt idx="13">
                  <c:v>121891.18672500002</c:v>
                </c:pt>
                <c:pt idx="14">
                  <c:v>136074.42692500001</c:v>
                </c:pt>
                <c:pt idx="15">
                  <c:v>150292.03057500001</c:v>
                </c:pt>
                <c:pt idx="16">
                  <c:v>163845.00980000006</c:v>
                </c:pt>
                <c:pt idx="17">
                  <c:v>173441.31650000002</c:v>
                </c:pt>
                <c:pt idx="18">
                  <c:v>177229.75717499998</c:v>
                </c:pt>
                <c:pt idx="19">
                  <c:v>175902.18192499995</c:v>
                </c:pt>
                <c:pt idx="20">
                  <c:v>172366.12599999996</c:v>
                </c:pt>
                <c:pt idx="21">
                  <c:v>167777.15024999998</c:v>
                </c:pt>
                <c:pt idx="22">
                  <c:v>158776.69199999998</c:v>
                </c:pt>
                <c:pt idx="23">
                  <c:v>146164.90049999996</c:v>
                </c:pt>
                <c:pt idx="24">
                  <c:v>134762.53724999999</c:v>
                </c:pt>
                <c:pt idx="25">
                  <c:v>125479.89125</c:v>
                </c:pt>
                <c:pt idx="26">
                  <c:v>116920.77700000002</c:v>
                </c:pt>
                <c:pt idx="27">
                  <c:v>109839.16425000002</c:v>
                </c:pt>
                <c:pt idx="28">
                  <c:v>105084.60250000001</c:v>
                </c:pt>
              </c:numCache>
            </c:numRef>
          </c:val>
          <c:smooth val="0"/>
          <c:extLst>
            <c:ext xmlns:c16="http://schemas.microsoft.com/office/drawing/2014/chart" uri="{C3380CC4-5D6E-409C-BE32-E72D297353CC}">
              <c16:uniqueId val="{00000000-4E62-4359-9DBA-C608FFDFDD70}"/>
            </c:ext>
          </c:extLst>
        </c:ser>
        <c:ser>
          <c:idx val="1"/>
          <c:order val="1"/>
          <c:spPr>
            <a:ln w="12700" cap="rnd">
              <a:solidFill>
                <a:schemeClr val="tx1"/>
              </a:solidFill>
              <a:prstDash val="dash"/>
              <a:round/>
            </a:ln>
            <a:effectLst/>
          </c:spPr>
          <c:marker>
            <c:symbol val="none"/>
          </c:marker>
          <c:cat>
            <c:numRef>
              <c:f>'[SummaryTBoutput15c (1).xlsx]Sheet1'!$C$1:$AE$1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(1).xlsx]Sheet1'!$C$24:$AE$24</c:f>
              <c:numCache>
                <c:formatCode>0</c:formatCode>
                <c:ptCount val="29"/>
                <c:pt idx="0">
                  <c:v>17456.040181258086</c:v>
                </c:pt>
                <c:pt idx="1">
                  <c:v>19078.311576676217</c:v>
                </c:pt>
                <c:pt idx="2">
                  <c:v>21221.087200149439</c:v>
                </c:pt>
                <c:pt idx="3">
                  <c:v>24097.34337259832</c:v>
                </c:pt>
                <c:pt idx="4">
                  <c:v>27953.476517163428</c:v>
                </c:pt>
                <c:pt idx="5">
                  <c:v>32964.93842580729</c:v>
                </c:pt>
                <c:pt idx="6">
                  <c:v>39297.273435178467</c:v>
                </c:pt>
                <c:pt idx="7">
                  <c:v>46969.006701943705</c:v>
                </c:pt>
                <c:pt idx="8">
                  <c:v>55831.339970261339</c:v>
                </c:pt>
                <c:pt idx="9">
                  <c:v>65747.304518068078</c:v>
                </c:pt>
                <c:pt idx="10">
                  <c:v>76566.338358043926</c:v>
                </c:pt>
                <c:pt idx="11">
                  <c:v>87783.794439431149</c:v>
                </c:pt>
                <c:pt idx="12">
                  <c:v>99563.512668647687</c:v>
                </c:pt>
                <c:pt idx="13">
                  <c:v>112842.29299714685</c:v>
                </c:pt>
                <c:pt idx="14">
                  <c:v>126485.66977033623</c:v>
                </c:pt>
                <c:pt idx="15">
                  <c:v>140599.55598678949</c:v>
                </c:pt>
                <c:pt idx="16">
                  <c:v>154931.53956845385</c:v>
                </c:pt>
                <c:pt idx="17">
                  <c:v>165246.89026404778</c:v>
                </c:pt>
                <c:pt idx="18">
                  <c:v>169900.52800667021</c:v>
                </c:pt>
                <c:pt idx="19">
                  <c:v>169295.05965849388</c:v>
                </c:pt>
                <c:pt idx="20">
                  <c:v>166914.66003439197</c:v>
                </c:pt>
                <c:pt idx="21">
                  <c:v>162594.53274713209</c:v>
                </c:pt>
                <c:pt idx="22">
                  <c:v>153775.29250931393</c:v>
                </c:pt>
                <c:pt idx="23">
                  <c:v>141200.50108244352</c:v>
                </c:pt>
                <c:pt idx="24">
                  <c:v>130347.47925337487</c:v>
                </c:pt>
                <c:pt idx="25">
                  <c:v>120833.24981562443</c:v>
                </c:pt>
                <c:pt idx="26">
                  <c:v>112293.70620275084</c:v>
                </c:pt>
                <c:pt idx="27">
                  <c:v>105627.8358490575</c:v>
                </c:pt>
                <c:pt idx="28">
                  <c:v>101099.45223694667</c:v>
                </c:pt>
              </c:numCache>
            </c:numRef>
          </c:val>
          <c:smooth val="0"/>
          <c:extLst>
            <c:ext xmlns:c16="http://schemas.microsoft.com/office/drawing/2014/chart" uri="{C3380CC4-5D6E-409C-BE32-E72D297353CC}">
              <c16:uniqueId val="{00000001-4E62-4359-9DBA-C608FFDFDD70}"/>
            </c:ext>
          </c:extLst>
        </c:ser>
        <c:ser>
          <c:idx val="2"/>
          <c:order val="2"/>
          <c:spPr>
            <a:ln w="12700" cap="rnd">
              <a:solidFill>
                <a:schemeClr val="tx1"/>
              </a:solidFill>
              <a:prstDash val="dash"/>
              <a:round/>
            </a:ln>
            <a:effectLst/>
          </c:spPr>
          <c:marker>
            <c:symbol val="none"/>
          </c:marker>
          <c:cat>
            <c:numRef>
              <c:f>'[SummaryTBoutput15c (1).xlsx]Sheet1'!$C$1:$AE$1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(1).xlsx]Sheet1'!$C$25:$AE$25</c:f>
              <c:numCache>
                <c:formatCode>0</c:formatCode>
                <c:ptCount val="29"/>
                <c:pt idx="0">
                  <c:v>19358.450644725446</c:v>
                </c:pt>
                <c:pt idx="1">
                  <c:v>21442.824760876461</c:v>
                </c:pt>
                <c:pt idx="2">
                  <c:v>24137.905376147948</c:v>
                </c:pt>
                <c:pt idx="3">
                  <c:v>27727.145630154191</c:v>
                </c:pt>
                <c:pt idx="4">
                  <c:v>32468.535040568109</c:v>
                </c:pt>
                <c:pt idx="5">
                  <c:v>38618.393843223676</c:v>
                </c:pt>
                <c:pt idx="6">
                  <c:v>46265.961615436005</c:v>
                </c:pt>
                <c:pt idx="7">
                  <c:v>55393.363073089204</c:v>
                </c:pt>
                <c:pt idx="8">
                  <c:v>65875.221909410757</c:v>
                </c:pt>
                <c:pt idx="9">
                  <c:v>77489.819889683611</c:v>
                </c:pt>
                <c:pt idx="10">
                  <c:v>90013.993878017325</c:v>
                </c:pt>
                <c:pt idx="11">
                  <c:v>103168.42409537941</c:v>
                </c:pt>
                <c:pt idx="12">
                  <c:v>117092.17607432137</c:v>
                </c:pt>
                <c:pt idx="13">
                  <c:v>131665.7168744744</c:v>
                </c:pt>
                <c:pt idx="14">
                  <c:v>146390.09855098737</c:v>
                </c:pt>
                <c:pt idx="15">
                  <c:v>160652.67273304221</c:v>
                </c:pt>
                <c:pt idx="16">
                  <c:v>173271.28686087206</c:v>
                </c:pt>
                <c:pt idx="17">
                  <c:v>182042.09604904131</c:v>
                </c:pt>
                <c:pt idx="18">
                  <c:v>184875.1572277415</c:v>
                </c:pt>
                <c:pt idx="19">
                  <c:v>182767.16206835501</c:v>
                </c:pt>
                <c:pt idx="20">
                  <c:v>177995.63792734707</c:v>
                </c:pt>
                <c:pt idx="21">
                  <c:v>173124.96103290762</c:v>
                </c:pt>
                <c:pt idx="22">
                  <c:v>163940.75739401326</c:v>
                </c:pt>
                <c:pt idx="23">
                  <c:v>151303.84081074095</c:v>
                </c:pt>
                <c:pt idx="24">
                  <c:v>139327.13965841749</c:v>
                </c:pt>
                <c:pt idx="25">
                  <c:v>130305.21923507749</c:v>
                </c:pt>
                <c:pt idx="26">
                  <c:v>121738.50660518007</c:v>
                </c:pt>
                <c:pt idx="27">
                  <c:v>114218.39618468459</c:v>
                </c:pt>
                <c:pt idx="28">
                  <c:v>109226.83989129904</c:v>
                </c:pt>
              </c:numCache>
            </c:numRef>
          </c:val>
          <c:smooth val="0"/>
          <c:extLst>
            <c:ext xmlns:c16="http://schemas.microsoft.com/office/drawing/2014/chart" uri="{C3380CC4-5D6E-409C-BE32-E72D297353CC}">
              <c16:uniqueId val="{00000002-4E62-4359-9DBA-C608FFDFDD70}"/>
            </c:ext>
          </c:extLst>
        </c:ser>
        <c:ser>
          <c:idx val="3"/>
          <c:order val="3"/>
          <c:spPr>
            <a:ln w="25400" cap="rnd">
              <a:noFill/>
              <a:round/>
            </a:ln>
            <a:effectLst/>
          </c:spPr>
          <c:marker>
            <c:symbol val="circle"/>
            <c:size val="5"/>
            <c:spPr>
              <a:solidFill>
                <a:schemeClr val="dk1">
                  <a:tint val="98500"/>
                </a:schemeClr>
              </a:solidFill>
              <a:ln w="9525">
                <a:solidFill>
                  <a:schemeClr val="dk1">
                    <a:tint val="98500"/>
                  </a:schemeClr>
                </a:solidFill>
              </a:ln>
              <a:effectLst/>
            </c:spPr>
          </c:marker>
          <c:cat>
            <c:numRef>
              <c:f>'[SummaryTBoutput15c (1).xlsx]Sheet1'!$C$1:$AE$1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(1).xlsx]Sheet1'!$C$26:$AE$26</c:f>
              <c:numCache>
                <c:formatCode>General</c:formatCode>
                <c:ptCount val="29"/>
                <c:pt idx="14">
                  <c:v>120987.26247484819</c:v>
                </c:pt>
                <c:pt idx="15">
                  <c:v>136707.39811512022</c:v>
                </c:pt>
                <c:pt idx="16">
                  <c:v>147385.39882248023</c:v>
                </c:pt>
                <c:pt idx="17">
                  <c:v>155832.54961680021</c:v>
                </c:pt>
                <c:pt idx="18">
                  <c:v>172544.85221400025</c:v>
                </c:pt>
                <c:pt idx="19">
                  <c:v>182397.86348112032</c:v>
                </c:pt>
                <c:pt idx="20">
                  <c:v>182313.94777848027</c:v>
                </c:pt>
                <c:pt idx="21">
                  <c:v>176345.03474784031</c:v>
                </c:pt>
                <c:pt idx="22">
                  <c:v>158491.69655760025</c:v>
                </c:pt>
                <c:pt idx="23">
                  <c:v>146520.08625240024</c:v>
                </c:pt>
                <c:pt idx="24">
                  <c:v>137349.29874960019</c:v>
                </c:pt>
                <c:pt idx="25">
                  <c:v>121601.48182560016</c:v>
                </c:pt>
                <c:pt idx="26">
                  <c:v>106011.68797800016</c:v>
                </c:pt>
              </c:numCache>
            </c:numRef>
          </c:val>
          <c:smooth val="0"/>
          <c:extLst>
            <c:ext xmlns:c16="http://schemas.microsoft.com/office/drawing/2014/chart" uri="{C3380CC4-5D6E-409C-BE32-E72D297353CC}">
              <c16:uniqueId val="{00000003-4E62-4359-9DBA-C608FFDFDD70}"/>
            </c:ext>
          </c:extLst>
        </c:ser>
        <c:dLbls>
          <c:showLegendKey val="0"/>
          <c:showVal val="0"/>
          <c:showCatName val="0"/>
          <c:showSerName val="0"/>
          <c:showPercent val="0"/>
          <c:showBubbleSize val="0"/>
        </c:dLbls>
        <c:smooth val="0"/>
        <c:axId val="338872240"/>
        <c:axId val="338872656"/>
      </c:lineChart>
      <c:catAx>
        <c:axId val="3388722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338872656"/>
        <c:crosses val="autoZero"/>
        <c:auto val="1"/>
        <c:lblAlgn val="ctr"/>
        <c:lblOffset val="100"/>
        <c:noMultiLvlLbl val="0"/>
      </c:catAx>
      <c:valAx>
        <c:axId val="338872656"/>
        <c:scaling>
          <c:orientation val="minMax"/>
        </c:scaling>
        <c:delete val="0"/>
        <c:axPos val="l"/>
        <c:numFmt formatCode="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3388722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Model (adjusted)</c:v>
          </c:tx>
          <c:spPr>
            <a:ln w="12700" cap="rnd">
              <a:solidFill>
                <a:schemeClr val="tx1"/>
              </a:solidFill>
              <a:prstDash val="solid"/>
              <a:round/>
            </a:ln>
            <a:effectLst/>
          </c:spPr>
          <c:marker>
            <c:symbol val="none"/>
          </c:marker>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graphs'!$C$59:$AF$59</c:f>
              <c:numCache>
                <c:formatCode>General</c:formatCode>
                <c:ptCount val="30"/>
                <c:pt idx="0">
                  <c:v>3.1518993528856967E-2</c:v>
                </c:pt>
                <c:pt idx="1">
                  <c:v>3.4329058736646108E-2</c:v>
                </c:pt>
                <c:pt idx="2">
                  <c:v>3.7964449901733685E-2</c:v>
                </c:pt>
                <c:pt idx="3">
                  <c:v>4.232697781363224E-2</c:v>
                </c:pt>
                <c:pt idx="4">
                  <c:v>4.7202786543692019E-2</c:v>
                </c:pt>
                <c:pt idx="5">
                  <c:v>5.2278322436828464E-2</c:v>
                </c:pt>
                <c:pt idx="6">
                  <c:v>5.7376099796310899E-2</c:v>
                </c:pt>
                <c:pt idx="7">
                  <c:v>6.2526212818039703E-2</c:v>
                </c:pt>
                <c:pt idx="8">
                  <c:v>6.7839810736083153E-2</c:v>
                </c:pt>
                <c:pt idx="9">
                  <c:v>7.3566954007366833E-2</c:v>
                </c:pt>
                <c:pt idx="10">
                  <c:v>7.9183420802509091E-2</c:v>
                </c:pt>
                <c:pt idx="11">
                  <c:v>8.3175069714728059E-2</c:v>
                </c:pt>
                <c:pt idx="12">
                  <c:v>8.5436395736182308E-2</c:v>
                </c:pt>
                <c:pt idx="13">
                  <c:v>8.7240689487461984E-2</c:v>
                </c:pt>
                <c:pt idx="14">
                  <c:v>8.8648819246212318E-2</c:v>
                </c:pt>
                <c:pt idx="15">
                  <c:v>8.8547535222173623E-2</c:v>
                </c:pt>
                <c:pt idx="16">
                  <c:v>8.7172916186617364E-2</c:v>
                </c:pt>
                <c:pt idx="17">
                  <c:v>8.5498297793783623E-2</c:v>
                </c:pt>
                <c:pt idx="18">
                  <c:v>8.4063753388835552E-2</c:v>
                </c:pt>
                <c:pt idx="19">
                  <c:v>8.2919137172345322E-2</c:v>
                </c:pt>
                <c:pt idx="20">
                  <c:v>8.110030020042984E-2</c:v>
                </c:pt>
                <c:pt idx="21">
                  <c:v>7.9088521522049468E-2</c:v>
                </c:pt>
                <c:pt idx="22">
                  <c:v>7.7773337660813416E-2</c:v>
                </c:pt>
                <c:pt idx="23">
                  <c:v>7.7163374329734774E-2</c:v>
                </c:pt>
                <c:pt idx="24">
                  <c:v>7.6932709411648301E-2</c:v>
                </c:pt>
                <c:pt idx="25">
                  <c:v>7.6179950245950534E-2</c:v>
                </c:pt>
                <c:pt idx="26">
                  <c:v>7.5161412580417683E-2</c:v>
                </c:pt>
                <c:pt idx="27">
                  <c:v>7.3837777932413001E-2</c:v>
                </c:pt>
                <c:pt idx="28">
                  <c:v>7.2580995107043869E-2</c:v>
                </c:pt>
                <c:pt idx="29">
                  <c:v>7.2084718154418942E-2</c:v>
                </c:pt>
              </c:numCache>
            </c:numRef>
          </c:val>
          <c:smooth val="1"/>
          <c:extLst>
            <c:ext xmlns:c16="http://schemas.microsoft.com/office/drawing/2014/chart" uri="{C3380CC4-5D6E-409C-BE32-E72D297353CC}">
              <c16:uniqueId val="{00000001-F185-4B38-B0EC-9706C7CE9A36}"/>
            </c:ext>
          </c:extLst>
        </c:ser>
        <c:ser>
          <c:idx val="2"/>
          <c:order val="1"/>
          <c:tx>
            <c:v>ETR data</c:v>
          </c:tx>
          <c:spPr>
            <a:ln w="28575" cap="rnd">
              <a:noFill/>
              <a:round/>
            </a:ln>
            <a:effectLst/>
          </c:spPr>
          <c:marker>
            <c:symbol val="circle"/>
            <c:size val="5"/>
            <c:spPr>
              <a:solidFill>
                <a:schemeClr val="tx1"/>
              </a:solidFill>
              <a:ln w="9525">
                <a:solidFill>
                  <a:schemeClr val="tx1"/>
                </a:solidFill>
              </a:ln>
              <a:effectLst/>
            </c:spPr>
          </c:marker>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graphs'!$C$60:$AF$60</c:f>
              <c:numCache>
                <c:formatCode>General</c:formatCode>
                <c:ptCount val="30"/>
                <c:pt idx="14">
                  <c:v>7.9100000000000004E-2</c:v>
                </c:pt>
                <c:pt idx="15">
                  <c:v>8.6900000000000005E-2</c:v>
                </c:pt>
                <c:pt idx="16">
                  <c:v>9.2600000000000002E-2</c:v>
                </c:pt>
                <c:pt idx="17">
                  <c:v>9.74E-2</c:v>
                </c:pt>
                <c:pt idx="18">
                  <c:v>9.8799999999999999E-2</c:v>
                </c:pt>
                <c:pt idx="19">
                  <c:v>9.5600000000000004E-2</c:v>
                </c:pt>
                <c:pt idx="20">
                  <c:v>9.01E-2</c:v>
                </c:pt>
                <c:pt idx="21">
                  <c:v>8.7999999999999995E-2</c:v>
                </c:pt>
                <c:pt idx="22">
                  <c:v>8.5900000000000004E-2</c:v>
                </c:pt>
                <c:pt idx="23">
                  <c:v>7.5200000000000003E-2</c:v>
                </c:pt>
                <c:pt idx="24">
                  <c:v>6.7900000000000002E-2</c:v>
                </c:pt>
                <c:pt idx="25">
                  <c:v>6.8099999999999994E-2</c:v>
                </c:pt>
                <c:pt idx="26">
                  <c:v>6.5000000000000002E-2</c:v>
                </c:pt>
              </c:numCache>
            </c:numRef>
          </c:val>
          <c:smooth val="0"/>
          <c:extLst>
            <c:ext xmlns:c16="http://schemas.microsoft.com/office/drawing/2014/chart" uri="{C3380CC4-5D6E-409C-BE32-E72D297353CC}">
              <c16:uniqueId val="{00000002-F185-4B38-B0EC-9706C7CE9A36}"/>
            </c:ext>
          </c:extLst>
        </c:ser>
        <c:dLbls>
          <c:showLegendKey val="0"/>
          <c:showVal val="0"/>
          <c:showCatName val="0"/>
          <c:showSerName val="0"/>
          <c:showPercent val="0"/>
          <c:showBubbleSize val="0"/>
        </c:dLbls>
        <c:smooth val="0"/>
        <c:axId val="602762224"/>
        <c:axId val="602758944"/>
      </c:lineChart>
      <c:catAx>
        <c:axId val="6027622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0" i="0" u="none" strike="noStrike" kern="1200" baseline="0">
                <a:ln>
                  <a:noFill/>
                </a:ln>
                <a:solidFill>
                  <a:sysClr val="windowText" lastClr="000000"/>
                </a:solidFill>
                <a:latin typeface="+mn-lt"/>
                <a:ea typeface="+mn-ea"/>
                <a:cs typeface="+mn-cs"/>
              </a:defRPr>
            </a:pPr>
            <a:endParaRPr lang="en-US"/>
          </a:p>
        </c:txPr>
        <c:crossAx val="602758944"/>
        <c:crosses val="autoZero"/>
        <c:auto val="1"/>
        <c:lblAlgn val="ctr"/>
        <c:lblOffset val="100"/>
        <c:noMultiLvlLbl val="0"/>
      </c:catAx>
      <c:valAx>
        <c:axId val="602758944"/>
        <c:scaling>
          <c:orientation val="minMax"/>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ln>
                  <a:noFill/>
                </a:ln>
                <a:solidFill>
                  <a:sysClr val="windowText" lastClr="000000"/>
                </a:solidFill>
                <a:latin typeface="+mn-lt"/>
                <a:ea typeface="+mn-ea"/>
                <a:cs typeface="+mn-cs"/>
              </a:defRPr>
            </a:pPr>
            <a:endParaRPr lang="en-US"/>
          </a:p>
        </c:txPr>
        <c:crossAx val="602762224"/>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n>
            <a:noFill/>
          </a:ln>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Model (adjusted)</c:v>
          </c:tx>
          <c:spPr>
            <a:ln w="12700" cap="rnd">
              <a:solidFill>
                <a:schemeClr val="tx1"/>
              </a:solidFill>
              <a:prstDash val="solid"/>
              <a:round/>
            </a:ln>
            <a:effectLst/>
          </c:spPr>
          <c:marker>
            <c:symbol val="none"/>
          </c:marker>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graphs'!$C$64:$AF$64</c:f>
              <c:numCache>
                <c:formatCode>General</c:formatCode>
                <c:ptCount val="30"/>
                <c:pt idx="0">
                  <c:v>2.871506887178342E-2</c:v>
                </c:pt>
                <c:pt idx="1">
                  <c:v>3.118076004127518E-2</c:v>
                </c:pt>
                <c:pt idx="2">
                  <c:v>3.4420106746425594E-2</c:v>
                </c:pt>
                <c:pt idx="3">
                  <c:v>3.8479414515747233E-2</c:v>
                </c:pt>
                <c:pt idx="4">
                  <c:v>4.3202759975737824E-2</c:v>
                </c:pt>
                <c:pt idx="5">
                  <c:v>4.8340087040323165E-2</c:v>
                </c:pt>
                <c:pt idx="6">
                  <c:v>5.3707981201667511E-2</c:v>
                </c:pt>
                <c:pt idx="7">
                  <c:v>5.9263279650143871E-2</c:v>
                </c:pt>
                <c:pt idx="8">
                  <c:v>6.5064913861580309E-2</c:v>
                </c:pt>
                <c:pt idx="9">
                  <c:v>7.129303920320007E-2</c:v>
                </c:pt>
                <c:pt idx="10">
                  <c:v>7.7474160383262075E-2</c:v>
                </c:pt>
                <c:pt idx="11">
                  <c:v>8.2317208151461124E-2</c:v>
                </c:pt>
                <c:pt idx="12">
                  <c:v>8.5683907026016359E-2</c:v>
                </c:pt>
                <c:pt idx="13">
                  <c:v>8.8592363183622735E-2</c:v>
                </c:pt>
                <c:pt idx="14">
                  <c:v>9.1085585060514673E-2</c:v>
                </c:pt>
                <c:pt idx="15">
                  <c:v>9.2059237211877212E-2</c:v>
                </c:pt>
                <c:pt idx="16">
                  <c:v>9.1488661125765175E-2</c:v>
                </c:pt>
                <c:pt idx="17">
                  <c:v>8.9969563969825486E-2</c:v>
                </c:pt>
                <c:pt idx="18">
                  <c:v>8.8037037739030294E-2</c:v>
                </c:pt>
                <c:pt idx="19">
                  <c:v>8.6072743284826031E-2</c:v>
                </c:pt>
                <c:pt idx="20">
                  <c:v>8.3292508720750835E-2</c:v>
                </c:pt>
                <c:pt idx="21">
                  <c:v>8.0407092630603486E-2</c:v>
                </c:pt>
                <c:pt idx="22">
                  <c:v>7.8120646875441374E-2</c:v>
                </c:pt>
                <c:pt idx="23">
                  <c:v>7.6309730428942554E-2</c:v>
                </c:pt>
                <c:pt idx="24">
                  <c:v>7.5151581396064399E-2</c:v>
                </c:pt>
                <c:pt idx="25">
                  <c:v>7.4288545286724558E-2</c:v>
                </c:pt>
                <c:pt idx="26">
                  <c:v>7.3658576540279047E-2</c:v>
                </c:pt>
                <c:pt idx="27">
                  <c:v>7.2486478093834572E-2</c:v>
                </c:pt>
                <c:pt idx="28">
                  <c:v>7.1081329263964044E-2</c:v>
                </c:pt>
                <c:pt idx="29">
                  <c:v>7.026133335127252E-2</c:v>
                </c:pt>
              </c:numCache>
            </c:numRef>
          </c:val>
          <c:smooth val="1"/>
          <c:extLst>
            <c:ext xmlns:c16="http://schemas.microsoft.com/office/drawing/2014/chart" uri="{C3380CC4-5D6E-409C-BE32-E72D297353CC}">
              <c16:uniqueId val="{00000001-392D-43EE-A3CA-7CFED9F0166E}"/>
            </c:ext>
          </c:extLst>
        </c:ser>
        <c:ser>
          <c:idx val="2"/>
          <c:order val="1"/>
          <c:tx>
            <c:v>ETR data</c:v>
          </c:tx>
          <c:spPr>
            <a:ln w="28575" cap="rnd">
              <a:noFill/>
              <a:round/>
            </a:ln>
            <a:effectLst/>
          </c:spPr>
          <c:marker>
            <c:symbol val="circle"/>
            <c:size val="5"/>
            <c:spPr>
              <a:solidFill>
                <a:schemeClr val="tx1"/>
              </a:solidFill>
              <a:ln w="9525">
                <a:solidFill>
                  <a:schemeClr val="tx1"/>
                </a:solidFill>
              </a:ln>
              <a:effectLst/>
            </c:spPr>
          </c:marker>
          <c:cat>
            <c:numRef>
              <c:f>'[SummaryTBoutput15c (1).xlsx]Calibration graphs'!$C$1:$AF$1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'[SummaryTBoutput15c (1).xlsx]Calibration graphs'!$C$65:$AF$65</c:f>
              <c:numCache>
                <c:formatCode>General</c:formatCode>
                <c:ptCount val="30"/>
                <c:pt idx="14">
                  <c:v>8.43E-2</c:v>
                </c:pt>
                <c:pt idx="15">
                  <c:v>9.0800000000000006E-2</c:v>
                </c:pt>
                <c:pt idx="16">
                  <c:v>9.4799999999999995E-2</c:v>
                </c:pt>
                <c:pt idx="17">
                  <c:v>9.7199999999999995E-2</c:v>
                </c:pt>
                <c:pt idx="18">
                  <c:v>9.7299999999999998E-2</c:v>
                </c:pt>
                <c:pt idx="19">
                  <c:v>9.2600000000000002E-2</c:v>
                </c:pt>
                <c:pt idx="20">
                  <c:v>8.6300000000000002E-2</c:v>
                </c:pt>
                <c:pt idx="21">
                  <c:v>7.9899999999999999E-2</c:v>
                </c:pt>
                <c:pt idx="22">
                  <c:v>7.9200000000000007E-2</c:v>
                </c:pt>
                <c:pt idx="23">
                  <c:v>7.1199999999999999E-2</c:v>
                </c:pt>
                <c:pt idx="24">
                  <c:v>6.2300000000000001E-2</c:v>
                </c:pt>
                <c:pt idx="25">
                  <c:v>6.5100000000000005E-2</c:v>
                </c:pt>
                <c:pt idx="26">
                  <c:v>6.3799999999999996E-2</c:v>
                </c:pt>
              </c:numCache>
            </c:numRef>
          </c:val>
          <c:smooth val="0"/>
          <c:extLst>
            <c:ext xmlns:c16="http://schemas.microsoft.com/office/drawing/2014/chart" uri="{C3380CC4-5D6E-409C-BE32-E72D297353CC}">
              <c16:uniqueId val="{00000002-392D-43EE-A3CA-7CFED9F0166E}"/>
            </c:ext>
          </c:extLst>
        </c:ser>
        <c:dLbls>
          <c:showLegendKey val="0"/>
          <c:showVal val="0"/>
          <c:showCatName val="0"/>
          <c:showSerName val="0"/>
          <c:showPercent val="0"/>
          <c:showBubbleSize val="0"/>
        </c:dLbls>
        <c:smooth val="0"/>
        <c:axId val="602762224"/>
        <c:axId val="602758944"/>
      </c:lineChart>
      <c:catAx>
        <c:axId val="6027622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en-US"/>
          </a:p>
        </c:txPr>
        <c:crossAx val="602758944"/>
        <c:crosses val="autoZero"/>
        <c:auto val="1"/>
        <c:lblAlgn val="ctr"/>
        <c:lblOffset val="100"/>
        <c:noMultiLvlLbl val="0"/>
      </c:catAx>
      <c:valAx>
        <c:axId val="602758944"/>
        <c:scaling>
          <c:orientation val="minMax"/>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602762224"/>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2700" cap="rnd">
              <a:solidFill>
                <a:schemeClr val="tx1"/>
              </a:solidFill>
              <a:round/>
            </a:ln>
            <a:effectLst/>
          </c:spPr>
          <c:marker>
            <c:symbol val="none"/>
          </c:marker>
          <c:cat>
            <c:numRef>
              <c:f>'[SummaryTBoutput15c (1).xlsx]Validation graphs'!$H$1:$AJ$1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(1).xlsx]Validation graphs'!$H$67:$AJ$67</c:f>
              <c:numCache>
                <c:formatCode>General</c:formatCode>
                <c:ptCount val="29"/>
                <c:pt idx="0">
                  <c:v>6.3172800000000001E-2</c:v>
                </c:pt>
                <c:pt idx="1">
                  <c:v>0.107337</c:v>
                </c:pt>
                <c:pt idx="2">
                  <c:v>0.165907</c:v>
                </c:pt>
                <c:pt idx="3">
                  <c:v>0.23414299999999999</c:v>
                </c:pt>
                <c:pt idx="4">
                  <c:v>0.30581799999999998</c:v>
                </c:pt>
                <c:pt idx="5">
                  <c:v>0.37515300000000001</c:v>
                </c:pt>
                <c:pt idx="6">
                  <c:v>0.43837599999999999</c:v>
                </c:pt>
                <c:pt idx="7">
                  <c:v>0.492674</c:v>
                </c:pt>
                <c:pt idx="8">
                  <c:v>0.53895300000000002</c:v>
                </c:pt>
                <c:pt idx="9">
                  <c:v>0.57747000000000004</c:v>
                </c:pt>
                <c:pt idx="10">
                  <c:v>0.60863100000000003</c:v>
                </c:pt>
                <c:pt idx="11">
                  <c:v>0.63397599999999998</c:v>
                </c:pt>
                <c:pt idx="12">
                  <c:v>0.65167299999999995</c:v>
                </c:pt>
                <c:pt idx="13">
                  <c:v>0.66356599999999999</c:v>
                </c:pt>
                <c:pt idx="14">
                  <c:v>0.67028699999999997</c:v>
                </c:pt>
                <c:pt idx="15">
                  <c:v>0.66844499999999996</c:v>
                </c:pt>
                <c:pt idx="16">
                  <c:v>0.66084299999999996</c:v>
                </c:pt>
                <c:pt idx="17">
                  <c:v>0.65788000000000002</c:v>
                </c:pt>
                <c:pt idx="18">
                  <c:v>0.65413200000000005</c:v>
                </c:pt>
                <c:pt idx="19">
                  <c:v>0.64934599999999998</c:v>
                </c:pt>
                <c:pt idx="20">
                  <c:v>0.63933499999999999</c:v>
                </c:pt>
                <c:pt idx="21">
                  <c:v>0.64040300000000006</c:v>
                </c:pt>
                <c:pt idx="22">
                  <c:v>0.634795</c:v>
                </c:pt>
                <c:pt idx="23">
                  <c:v>0.63574900000000001</c:v>
                </c:pt>
                <c:pt idx="24">
                  <c:v>0.62772600000000001</c:v>
                </c:pt>
                <c:pt idx="25">
                  <c:v>0.61842299999999994</c:v>
                </c:pt>
                <c:pt idx="26">
                  <c:v>0.60652600000000001</c:v>
                </c:pt>
                <c:pt idx="27">
                  <c:v>0.59218000000000004</c:v>
                </c:pt>
                <c:pt idx="28">
                  <c:v>0.57717200000000002</c:v>
                </c:pt>
              </c:numCache>
            </c:numRef>
          </c:val>
          <c:smooth val="1"/>
          <c:extLst>
            <c:ext xmlns:c16="http://schemas.microsoft.com/office/drawing/2014/chart" uri="{C3380CC4-5D6E-409C-BE32-E72D297353CC}">
              <c16:uniqueId val="{00000000-8A0C-4D87-AC9C-781BFA4AFA9A}"/>
            </c:ext>
          </c:extLst>
        </c:ser>
        <c:ser>
          <c:idx val="1"/>
          <c:order val="1"/>
          <c:spPr>
            <a:ln w="12700" cap="rnd">
              <a:solidFill>
                <a:schemeClr val="tx1"/>
              </a:solidFill>
              <a:prstDash val="dash"/>
              <a:round/>
            </a:ln>
            <a:effectLst/>
          </c:spPr>
          <c:marker>
            <c:symbol val="none"/>
          </c:marker>
          <c:cat>
            <c:numRef>
              <c:f>'[SummaryTBoutput15c (1).xlsx]Validation graphs'!$H$1:$AJ$1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(1).xlsx]Validation graphs'!$H$68:$AJ$68</c:f>
              <c:numCache>
                <c:formatCode>General</c:formatCode>
                <c:ptCount val="29"/>
                <c:pt idx="0">
                  <c:v>6.1246200000000001E-2</c:v>
                </c:pt>
                <c:pt idx="1">
                  <c:v>0.10434599999999999</c:v>
                </c:pt>
                <c:pt idx="2">
                  <c:v>0.16173799999999999</c:v>
                </c:pt>
                <c:pt idx="3">
                  <c:v>0.22891900000000001</c:v>
                </c:pt>
                <c:pt idx="4">
                  <c:v>0.29984899999999998</c:v>
                </c:pt>
                <c:pt idx="5">
                  <c:v>0.36867800000000001</c:v>
                </c:pt>
                <c:pt idx="6">
                  <c:v>0.43160700000000002</c:v>
                </c:pt>
                <c:pt idx="7">
                  <c:v>0.48588999999999999</c:v>
                </c:pt>
                <c:pt idx="8">
                  <c:v>0.53192600000000001</c:v>
                </c:pt>
                <c:pt idx="9">
                  <c:v>0.57044300000000003</c:v>
                </c:pt>
                <c:pt idx="10">
                  <c:v>0.60166600000000003</c:v>
                </c:pt>
                <c:pt idx="11">
                  <c:v>0.62690900000000005</c:v>
                </c:pt>
                <c:pt idx="12">
                  <c:v>0.64474600000000004</c:v>
                </c:pt>
                <c:pt idx="13">
                  <c:v>0.65662699999999996</c:v>
                </c:pt>
                <c:pt idx="14">
                  <c:v>0.66322099999999995</c:v>
                </c:pt>
                <c:pt idx="15">
                  <c:v>0.66115699999999999</c:v>
                </c:pt>
                <c:pt idx="16">
                  <c:v>0.65321399999999996</c:v>
                </c:pt>
                <c:pt idx="17">
                  <c:v>0.65009799999999995</c:v>
                </c:pt>
                <c:pt idx="18">
                  <c:v>0.64622599999999997</c:v>
                </c:pt>
                <c:pt idx="19">
                  <c:v>0.64139999999999997</c:v>
                </c:pt>
                <c:pt idx="20">
                  <c:v>0.63129400000000002</c:v>
                </c:pt>
                <c:pt idx="21">
                  <c:v>0.63264399999999998</c:v>
                </c:pt>
                <c:pt idx="22">
                  <c:v>0.62720900000000002</c:v>
                </c:pt>
                <c:pt idx="23">
                  <c:v>0.62772300000000003</c:v>
                </c:pt>
                <c:pt idx="24">
                  <c:v>0.61931599999999998</c:v>
                </c:pt>
                <c:pt idx="25">
                  <c:v>0.61002599999999996</c:v>
                </c:pt>
                <c:pt idx="26">
                  <c:v>0.59776499999999999</c:v>
                </c:pt>
                <c:pt idx="27">
                  <c:v>0.58276700000000003</c:v>
                </c:pt>
                <c:pt idx="28">
                  <c:v>0.56645100000000004</c:v>
                </c:pt>
              </c:numCache>
            </c:numRef>
          </c:val>
          <c:smooth val="1"/>
          <c:extLst>
            <c:ext xmlns:c16="http://schemas.microsoft.com/office/drawing/2014/chart" uri="{C3380CC4-5D6E-409C-BE32-E72D297353CC}">
              <c16:uniqueId val="{00000001-8A0C-4D87-AC9C-781BFA4AFA9A}"/>
            </c:ext>
          </c:extLst>
        </c:ser>
        <c:ser>
          <c:idx val="2"/>
          <c:order val="2"/>
          <c:spPr>
            <a:ln w="12700" cap="rnd">
              <a:solidFill>
                <a:schemeClr val="tx1"/>
              </a:solidFill>
              <a:prstDash val="dash"/>
              <a:round/>
            </a:ln>
            <a:effectLst/>
          </c:spPr>
          <c:marker>
            <c:symbol val="none"/>
          </c:marker>
          <c:cat>
            <c:numRef>
              <c:f>'[SummaryTBoutput15c (1).xlsx]Validation graphs'!$H$1:$AJ$1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(1).xlsx]Validation graphs'!$H$69:$AJ$69</c:f>
              <c:numCache>
                <c:formatCode>General</c:formatCode>
                <c:ptCount val="29"/>
                <c:pt idx="0">
                  <c:v>6.5099699999999996E-2</c:v>
                </c:pt>
                <c:pt idx="1">
                  <c:v>0.110417</c:v>
                </c:pt>
                <c:pt idx="2">
                  <c:v>0.17038700000000001</c:v>
                </c:pt>
                <c:pt idx="3">
                  <c:v>0.240064</c:v>
                </c:pt>
                <c:pt idx="4">
                  <c:v>0.31301400000000001</c:v>
                </c:pt>
                <c:pt idx="5">
                  <c:v>0.38331999999999999</c:v>
                </c:pt>
                <c:pt idx="6">
                  <c:v>0.44715700000000003</c:v>
                </c:pt>
                <c:pt idx="7">
                  <c:v>0.50170999999999999</c:v>
                </c:pt>
                <c:pt idx="8">
                  <c:v>0.54796500000000004</c:v>
                </c:pt>
                <c:pt idx="9">
                  <c:v>0.58626100000000003</c:v>
                </c:pt>
                <c:pt idx="10">
                  <c:v>0.61679600000000001</c:v>
                </c:pt>
                <c:pt idx="11">
                  <c:v>0.64178299999999999</c:v>
                </c:pt>
                <c:pt idx="12">
                  <c:v>0.658887</c:v>
                </c:pt>
                <c:pt idx="13">
                  <c:v>0.67019700000000004</c:v>
                </c:pt>
                <c:pt idx="14">
                  <c:v>0.67694399999999999</c:v>
                </c:pt>
                <c:pt idx="15">
                  <c:v>0.67548399999999997</c:v>
                </c:pt>
                <c:pt idx="16">
                  <c:v>0.668651</c:v>
                </c:pt>
                <c:pt idx="17">
                  <c:v>0.66580399999999995</c:v>
                </c:pt>
                <c:pt idx="18">
                  <c:v>0.66207400000000005</c:v>
                </c:pt>
                <c:pt idx="19">
                  <c:v>0.65734800000000004</c:v>
                </c:pt>
                <c:pt idx="20">
                  <c:v>0.64736700000000003</c:v>
                </c:pt>
                <c:pt idx="21">
                  <c:v>0.64820999999999995</c:v>
                </c:pt>
                <c:pt idx="22">
                  <c:v>0.64431099999999997</c:v>
                </c:pt>
                <c:pt idx="23">
                  <c:v>0.64607499999999995</c:v>
                </c:pt>
                <c:pt idx="24">
                  <c:v>0.63863400000000003</c:v>
                </c:pt>
                <c:pt idx="25">
                  <c:v>0.63014800000000004</c:v>
                </c:pt>
                <c:pt idx="26">
                  <c:v>0.61851599999999995</c:v>
                </c:pt>
                <c:pt idx="27">
                  <c:v>0.60468200000000005</c:v>
                </c:pt>
                <c:pt idx="28">
                  <c:v>0.59029799999999999</c:v>
                </c:pt>
              </c:numCache>
            </c:numRef>
          </c:val>
          <c:smooth val="1"/>
          <c:extLst>
            <c:ext xmlns:c16="http://schemas.microsoft.com/office/drawing/2014/chart" uri="{C3380CC4-5D6E-409C-BE32-E72D297353CC}">
              <c16:uniqueId val="{00000002-8A0C-4D87-AC9C-781BFA4AFA9A}"/>
            </c:ext>
          </c:extLst>
        </c:ser>
        <c:ser>
          <c:idx val="3"/>
          <c:order val="3"/>
          <c:spPr>
            <a:ln w="28575" cap="rnd">
              <a:noFill/>
              <a:round/>
            </a:ln>
            <a:effectLst/>
          </c:spPr>
          <c:marker>
            <c:symbol val="circle"/>
            <c:size val="5"/>
            <c:spPr>
              <a:solidFill>
                <a:schemeClr val="tx1"/>
              </a:solidFill>
              <a:ln w="9525">
                <a:solidFill>
                  <a:schemeClr val="tx1"/>
                </a:solidFill>
              </a:ln>
              <a:effectLst/>
            </c:spPr>
          </c:marker>
          <c:cat>
            <c:numRef>
              <c:f>'[SummaryTBoutput15c (1).xlsx]Validation graphs'!$H$1:$AJ$1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(1).xlsx]Validation graphs'!$H$70:$AJ$70</c:f>
              <c:numCache>
                <c:formatCode>General</c:formatCode>
                <c:ptCount val="29"/>
                <c:pt idx="19" formatCode="0.0000">
                  <c:v>0.7065357584691111</c:v>
                </c:pt>
                <c:pt idx="20" formatCode="0.0000">
                  <c:v>0.70875673529255412</c:v>
                </c:pt>
                <c:pt idx="21" formatCode="0.0000">
                  <c:v>0.69296551810636331</c:v>
                </c:pt>
                <c:pt idx="22" formatCode="0.0000">
                  <c:v>0.68084844762360597</c:v>
                </c:pt>
                <c:pt idx="23" formatCode="0.0000">
                  <c:v>0.65930661345377939</c:v>
                </c:pt>
                <c:pt idx="24" formatCode="0.0000">
                  <c:v>0.64700973129738781</c:v>
                </c:pt>
                <c:pt idx="25" formatCode="0.0000">
                  <c:v>0.63616144062143209</c:v>
                </c:pt>
                <c:pt idx="26" formatCode="0.0000">
                  <c:v>0.63158631462939674</c:v>
                </c:pt>
              </c:numCache>
            </c:numRef>
          </c:val>
          <c:smooth val="0"/>
          <c:extLst>
            <c:ext xmlns:c16="http://schemas.microsoft.com/office/drawing/2014/chart" uri="{C3380CC4-5D6E-409C-BE32-E72D297353CC}">
              <c16:uniqueId val="{00000003-8A0C-4D87-AC9C-781BFA4AFA9A}"/>
            </c:ext>
          </c:extLst>
        </c:ser>
        <c:dLbls>
          <c:showLegendKey val="0"/>
          <c:showVal val="0"/>
          <c:showCatName val="0"/>
          <c:showSerName val="0"/>
          <c:showPercent val="0"/>
          <c:showBubbleSize val="0"/>
        </c:dLbls>
        <c:smooth val="0"/>
        <c:axId val="810197000"/>
        <c:axId val="810195360"/>
      </c:lineChart>
      <c:catAx>
        <c:axId val="8101970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10195360"/>
        <c:crosses val="autoZero"/>
        <c:auto val="1"/>
        <c:lblAlgn val="ctr"/>
        <c:lblOffset val="100"/>
        <c:noMultiLvlLbl val="0"/>
      </c:catAx>
      <c:valAx>
        <c:axId val="810195360"/>
        <c:scaling>
          <c:orientation val="minMax"/>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10197000"/>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2700" cap="rnd">
              <a:solidFill>
                <a:schemeClr val="tx1"/>
              </a:solidFill>
              <a:round/>
            </a:ln>
            <a:effectLst/>
          </c:spPr>
          <c:marker>
            <c:symbol val="none"/>
          </c:marker>
          <c:cat>
            <c:numRef>
              <c:f>'[SummaryTBoutput15c (1).xlsx]Calibration graphs'!$C$1:$AE$1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(1).xlsx]Calibration graphs'!$C$21:$AE$21</c:f>
              <c:numCache>
                <c:formatCode>0.00E+00</c:formatCode>
                <c:ptCount val="29"/>
                <c:pt idx="0">
                  <c:v>537113</c:v>
                </c:pt>
                <c:pt idx="1">
                  <c:v>553108</c:v>
                </c:pt>
                <c:pt idx="2">
                  <c:v>577685</c:v>
                </c:pt>
                <c:pt idx="3">
                  <c:v>611286</c:v>
                </c:pt>
                <c:pt idx="4">
                  <c:v>653277</c:v>
                </c:pt>
                <c:pt idx="5">
                  <c:v>702987</c:v>
                </c:pt>
                <c:pt idx="6">
                  <c:v>758771</c:v>
                </c:pt>
                <c:pt idx="7">
                  <c:v>820092</c:v>
                </c:pt>
                <c:pt idx="8">
                  <c:v>883207</c:v>
                </c:pt>
                <c:pt idx="9">
                  <c:v>945547</c:v>
                </c:pt>
                <c:pt idx="10">
                  <c:v>1008030</c:v>
                </c:pt>
                <c:pt idx="11">
                  <c:v>1059100</c:v>
                </c:pt>
                <c:pt idx="12">
                  <c:v>1159860</c:v>
                </c:pt>
                <c:pt idx="13">
                  <c:v>1276130</c:v>
                </c:pt>
                <c:pt idx="14">
                  <c:v>1417590</c:v>
                </c:pt>
                <c:pt idx="15">
                  <c:v>1675880</c:v>
                </c:pt>
                <c:pt idx="16">
                  <c:v>1957450</c:v>
                </c:pt>
                <c:pt idx="17">
                  <c:v>2173490</c:v>
                </c:pt>
                <c:pt idx="18">
                  <c:v>2342700</c:v>
                </c:pt>
                <c:pt idx="19">
                  <c:v>2463120</c:v>
                </c:pt>
                <c:pt idx="20">
                  <c:v>2710820</c:v>
                </c:pt>
                <c:pt idx="21">
                  <c:v>2824300</c:v>
                </c:pt>
                <c:pt idx="22">
                  <c:v>2906150</c:v>
                </c:pt>
                <c:pt idx="23">
                  <c:v>2999110</c:v>
                </c:pt>
                <c:pt idx="24">
                  <c:v>3101100</c:v>
                </c:pt>
                <c:pt idx="25">
                  <c:v>3151720</c:v>
                </c:pt>
                <c:pt idx="26">
                  <c:v>3103540</c:v>
                </c:pt>
                <c:pt idx="27">
                  <c:v>3205720</c:v>
                </c:pt>
                <c:pt idx="28">
                  <c:v>3280370</c:v>
                </c:pt>
              </c:numCache>
            </c:numRef>
          </c:val>
          <c:smooth val="1"/>
          <c:extLst>
            <c:ext xmlns:c16="http://schemas.microsoft.com/office/drawing/2014/chart" uri="{C3380CC4-5D6E-409C-BE32-E72D297353CC}">
              <c16:uniqueId val="{00000000-F8A2-44F0-897A-F9E8BD49279A}"/>
            </c:ext>
          </c:extLst>
        </c:ser>
        <c:ser>
          <c:idx val="1"/>
          <c:order val="1"/>
          <c:spPr>
            <a:ln w="28575" cap="rnd">
              <a:noFill/>
              <a:round/>
            </a:ln>
            <a:effectLst/>
          </c:spPr>
          <c:marker>
            <c:symbol val="circle"/>
            <c:size val="5"/>
            <c:spPr>
              <a:solidFill>
                <a:schemeClr val="tx1"/>
              </a:solidFill>
              <a:ln w="9525">
                <a:solidFill>
                  <a:schemeClr val="tx1"/>
                </a:solidFill>
              </a:ln>
              <a:effectLst/>
            </c:spPr>
          </c:marker>
          <c:cat>
            <c:numRef>
              <c:f>'[SummaryTBoutput15c (1).xlsx]Calibration graphs'!$C$1:$AE$1</c:f>
              <c:numCache>
                <c:formatCode>General</c:formatCod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numCache>
            </c:numRef>
          </c:cat>
          <c:val>
            <c:numRef>
              <c:f>'[SummaryTBoutput15c (1).xlsx]Calibration graphs'!$C$24:$AE$24</c:f>
              <c:numCache>
                <c:formatCode>General</c:formatCode>
                <c:ptCount val="29"/>
                <c:pt idx="14">
                  <c:v>1467665.4521664048</c:v>
                </c:pt>
                <c:pt idx="15">
                  <c:v>1749969.054875809</c:v>
                </c:pt>
                <c:pt idx="16">
                  <c:v>1993171.0285376499</c:v>
                </c:pt>
                <c:pt idx="17">
                  <c:v>2333609.4544742517</c:v>
                </c:pt>
                <c:pt idx="18">
                  <c:v>2644646.9740083162</c:v>
                </c:pt>
                <c:pt idx="19">
                  <c:v>2773133.7236483591</c:v>
                </c:pt>
                <c:pt idx="20">
                  <c:v>3091142.1762858503</c:v>
                </c:pt>
                <c:pt idx="21">
                  <c:v>3175856.7665850003</c:v>
                </c:pt>
              </c:numCache>
            </c:numRef>
          </c:val>
          <c:smooth val="0"/>
          <c:extLst>
            <c:ext xmlns:c16="http://schemas.microsoft.com/office/drawing/2014/chart" uri="{C3380CC4-5D6E-409C-BE32-E72D297353CC}">
              <c16:uniqueId val="{00000001-F8A2-44F0-897A-F9E8BD49279A}"/>
            </c:ext>
          </c:extLst>
        </c:ser>
        <c:ser>
          <c:idx val="2"/>
          <c:order val="2"/>
          <c:spPr>
            <a:ln w="12700" cap="rnd">
              <a:solidFill>
                <a:schemeClr val="tx1"/>
              </a:solidFill>
              <a:prstDash val="dash"/>
              <a:round/>
            </a:ln>
            <a:effectLst/>
          </c:spPr>
          <c:marker>
            <c:symbol val="none"/>
          </c:marker>
          <c:val>
            <c:numRef>
              <c:f>'[SummaryTBoutput15c (1).xlsx]Calibration graphs'!$C$22:$AE$22</c:f>
              <c:numCache>
                <c:formatCode>0.00E+00</c:formatCode>
                <c:ptCount val="29"/>
                <c:pt idx="0">
                  <c:v>502632</c:v>
                </c:pt>
                <c:pt idx="1">
                  <c:v>517895</c:v>
                </c:pt>
                <c:pt idx="2">
                  <c:v>541439</c:v>
                </c:pt>
                <c:pt idx="3">
                  <c:v>573811</c:v>
                </c:pt>
                <c:pt idx="4">
                  <c:v>614435</c:v>
                </c:pt>
                <c:pt idx="5">
                  <c:v>661789</c:v>
                </c:pt>
                <c:pt idx="6">
                  <c:v>715195</c:v>
                </c:pt>
                <c:pt idx="7">
                  <c:v>774038</c:v>
                </c:pt>
                <c:pt idx="8">
                  <c:v>834651</c:v>
                </c:pt>
                <c:pt idx="9">
                  <c:v>894691</c:v>
                </c:pt>
                <c:pt idx="10">
                  <c:v>955005</c:v>
                </c:pt>
                <c:pt idx="11">
                  <c:v>1004970</c:v>
                </c:pt>
                <c:pt idx="12">
                  <c:v>1101010</c:v>
                </c:pt>
                <c:pt idx="13">
                  <c:v>1211910</c:v>
                </c:pt>
                <c:pt idx="14">
                  <c:v>1349280</c:v>
                </c:pt>
                <c:pt idx="15">
                  <c:v>1598350</c:v>
                </c:pt>
                <c:pt idx="16">
                  <c:v>1861500</c:v>
                </c:pt>
                <c:pt idx="17">
                  <c:v>2061320</c:v>
                </c:pt>
                <c:pt idx="18">
                  <c:v>2219860</c:v>
                </c:pt>
                <c:pt idx="19">
                  <c:v>2340430</c:v>
                </c:pt>
                <c:pt idx="20">
                  <c:v>2584220</c:v>
                </c:pt>
                <c:pt idx="21">
                  <c:v>2691770</c:v>
                </c:pt>
                <c:pt idx="22">
                  <c:v>2767640</c:v>
                </c:pt>
                <c:pt idx="23">
                  <c:v>2852270</c:v>
                </c:pt>
                <c:pt idx="24">
                  <c:v>2950890</c:v>
                </c:pt>
                <c:pt idx="25">
                  <c:v>2966140</c:v>
                </c:pt>
                <c:pt idx="26">
                  <c:v>2906190</c:v>
                </c:pt>
                <c:pt idx="27">
                  <c:v>2983300</c:v>
                </c:pt>
                <c:pt idx="28">
                  <c:v>3047770</c:v>
                </c:pt>
              </c:numCache>
            </c:numRef>
          </c:val>
          <c:smooth val="1"/>
          <c:extLst>
            <c:ext xmlns:c16="http://schemas.microsoft.com/office/drawing/2014/chart" uri="{C3380CC4-5D6E-409C-BE32-E72D297353CC}">
              <c16:uniqueId val="{00000002-F8A2-44F0-897A-F9E8BD49279A}"/>
            </c:ext>
          </c:extLst>
        </c:ser>
        <c:ser>
          <c:idx val="3"/>
          <c:order val="3"/>
          <c:spPr>
            <a:ln w="12700" cap="rnd">
              <a:solidFill>
                <a:schemeClr val="tx1"/>
              </a:solidFill>
              <a:prstDash val="dash"/>
              <a:round/>
            </a:ln>
            <a:effectLst/>
          </c:spPr>
          <c:marker>
            <c:symbol val="none"/>
          </c:marker>
          <c:val>
            <c:numRef>
              <c:f>'[SummaryTBoutput15c (1).xlsx]Calibration graphs'!$C$23:$AE$23</c:f>
              <c:numCache>
                <c:formatCode>0.00E+00</c:formatCode>
                <c:ptCount val="29"/>
                <c:pt idx="0">
                  <c:v>568318</c:v>
                </c:pt>
                <c:pt idx="1">
                  <c:v>585334</c:v>
                </c:pt>
                <c:pt idx="2">
                  <c:v>611684</c:v>
                </c:pt>
                <c:pt idx="3">
                  <c:v>646873</c:v>
                </c:pt>
                <c:pt idx="4">
                  <c:v>690612</c:v>
                </c:pt>
                <c:pt idx="5">
                  <c:v>742202</c:v>
                </c:pt>
                <c:pt idx="6">
                  <c:v>799942</c:v>
                </c:pt>
                <c:pt idx="7">
                  <c:v>863308</c:v>
                </c:pt>
                <c:pt idx="8">
                  <c:v>928316</c:v>
                </c:pt>
                <c:pt idx="9">
                  <c:v>992330</c:v>
                </c:pt>
                <c:pt idx="10">
                  <c:v>1056830</c:v>
                </c:pt>
                <c:pt idx="11">
                  <c:v>1109700</c:v>
                </c:pt>
                <c:pt idx="12">
                  <c:v>1212040</c:v>
                </c:pt>
                <c:pt idx="13">
                  <c:v>1332870</c:v>
                </c:pt>
                <c:pt idx="14">
                  <c:v>1482200</c:v>
                </c:pt>
                <c:pt idx="15">
                  <c:v>1750170</c:v>
                </c:pt>
                <c:pt idx="16">
                  <c:v>2049400</c:v>
                </c:pt>
                <c:pt idx="17">
                  <c:v>2278570</c:v>
                </c:pt>
                <c:pt idx="18">
                  <c:v>2456700</c:v>
                </c:pt>
                <c:pt idx="19">
                  <c:v>2581880</c:v>
                </c:pt>
                <c:pt idx="20">
                  <c:v>2836920</c:v>
                </c:pt>
                <c:pt idx="21">
                  <c:v>2963560</c:v>
                </c:pt>
                <c:pt idx="22">
                  <c:v>3050080</c:v>
                </c:pt>
                <c:pt idx="23">
                  <c:v>3146490</c:v>
                </c:pt>
                <c:pt idx="24">
                  <c:v>3260410</c:v>
                </c:pt>
                <c:pt idx="25">
                  <c:v>3321490</c:v>
                </c:pt>
                <c:pt idx="26">
                  <c:v>3279080</c:v>
                </c:pt>
                <c:pt idx="27">
                  <c:v>3409510</c:v>
                </c:pt>
                <c:pt idx="28">
                  <c:v>3512750</c:v>
                </c:pt>
              </c:numCache>
            </c:numRef>
          </c:val>
          <c:smooth val="1"/>
          <c:extLst>
            <c:ext xmlns:c16="http://schemas.microsoft.com/office/drawing/2014/chart" uri="{C3380CC4-5D6E-409C-BE32-E72D297353CC}">
              <c16:uniqueId val="{00000003-F8A2-44F0-897A-F9E8BD49279A}"/>
            </c:ext>
          </c:extLst>
        </c:ser>
        <c:dLbls>
          <c:showLegendKey val="0"/>
          <c:showVal val="0"/>
          <c:showCatName val="0"/>
          <c:showSerName val="0"/>
          <c:showPercent val="0"/>
          <c:showBubbleSize val="0"/>
        </c:dLbls>
        <c:smooth val="0"/>
        <c:axId val="724883320"/>
        <c:axId val="724887584"/>
      </c:lineChart>
      <c:catAx>
        <c:axId val="7248833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n-lt"/>
                <a:ea typeface="+mn-ea"/>
                <a:cs typeface="+mn-cs"/>
              </a:defRPr>
            </a:pPr>
            <a:endParaRPr lang="en-US"/>
          </a:p>
        </c:txPr>
        <c:crossAx val="724887584"/>
        <c:crosses val="autoZero"/>
        <c:auto val="1"/>
        <c:lblAlgn val="ctr"/>
        <c:lblOffset val="100"/>
        <c:noMultiLvlLbl val="0"/>
      </c:catAx>
      <c:valAx>
        <c:axId val="724887584"/>
        <c:scaling>
          <c:orientation val="minMax"/>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724883320"/>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90659-31DE-479C-B380-35D2FE425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71</Pages>
  <Words>206890</Words>
  <Characters>1179275</Characters>
  <Application>Microsoft Office Word</Application>
  <DocSecurity>0</DocSecurity>
  <Lines>9827</Lines>
  <Paragraphs>2766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Mmamapudi Kubjane</dc:creator>
  <cp:keywords/>
  <dc:description/>
  <cp:lastModifiedBy>Mmamapudi Kubjane</cp:lastModifiedBy>
  <cp:revision>41</cp:revision>
  <cp:lastPrinted>2022-05-13T05:29:00Z</cp:lastPrinted>
  <dcterms:created xsi:type="dcterms:W3CDTF">2022-07-22T10:28:00Z</dcterms:created>
  <dcterms:modified xsi:type="dcterms:W3CDTF">2022-07-29T06:49:00Z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http://www.zotero.org/styles/international-journal-of-infectious-diseases</vt:lpwstr>
  </property>
  <property fmtid="{D5CDD505-2E9C-101B-9397-08002B2CF9AE}" pid="13" name="Mendeley Recent Style Name 5_1">
    <vt:lpwstr>International Journal of Infectious Diseases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32eb3af5-9209-3a18-bf9e-1eca26aafdfa</vt:lpwstr>
  </property>
  <property fmtid="{D5CDD505-2E9C-101B-9397-08002B2CF9AE}" pid="24" name="Mendeley Citation Style_1">
    <vt:lpwstr>http://www.zotero.org/styles/vancouver</vt:lpwstr>
  </property>
</Properties>
</file>