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Look w:val="04A0" w:firstRow="1" w:lastRow="0" w:firstColumn="1" w:lastColumn="0" w:noHBand="0" w:noVBand="1"/>
      </w:tblPr>
      <w:tblGrid>
        <w:gridCol w:w="5824"/>
        <w:gridCol w:w="736"/>
        <w:gridCol w:w="1020"/>
        <w:gridCol w:w="1140"/>
        <w:gridCol w:w="1486"/>
      </w:tblGrid>
      <w:tr w:rsidR="007E5F13" w:rsidRPr="00381B0A" w14:paraId="288AE547" w14:textId="77777777" w:rsidTr="0058737C">
        <w:trPr>
          <w:trHeight w:val="430"/>
        </w:trPr>
        <w:tc>
          <w:tcPr>
            <w:tcW w:w="5954" w:type="dxa"/>
            <w:tcBorders>
              <w:top w:val="single" w:sz="8" w:space="0" w:color="auto"/>
              <w:left w:val="nil"/>
              <w:bottom w:val="single" w:sz="8" w:space="0" w:color="auto"/>
              <w:right w:val="nil"/>
            </w:tcBorders>
            <w:shd w:val="clear" w:color="auto" w:fill="auto"/>
            <w:hideMark/>
          </w:tcPr>
          <w:p w14:paraId="5EBA0669" w14:textId="77777777" w:rsidR="007E5F13" w:rsidRPr="00381B0A" w:rsidRDefault="007E5F13" w:rsidP="0058737C">
            <w:pPr>
              <w:spacing w:after="0" w:line="240" w:lineRule="auto"/>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val="en-US" w:eastAsia="en-ZA"/>
              </w:rPr>
              <w:t xml:space="preserve">Parameter description </w:t>
            </w:r>
          </w:p>
        </w:tc>
        <w:tc>
          <w:tcPr>
            <w:tcW w:w="606" w:type="dxa"/>
            <w:tcBorders>
              <w:top w:val="single" w:sz="8" w:space="0" w:color="auto"/>
              <w:left w:val="nil"/>
              <w:bottom w:val="single" w:sz="8" w:space="0" w:color="auto"/>
              <w:right w:val="nil"/>
            </w:tcBorders>
            <w:shd w:val="clear" w:color="auto" w:fill="auto"/>
            <w:noWrap/>
            <w:hideMark/>
          </w:tcPr>
          <w:p w14:paraId="2194D8AA"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val="en-US" w:eastAsia="en-ZA"/>
              </w:rPr>
              <w:t>Mean</w:t>
            </w:r>
          </w:p>
        </w:tc>
        <w:tc>
          <w:tcPr>
            <w:tcW w:w="1020" w:type="dxa"/>
            <w:tcBorders>
              <w:top w:val="single" w:sz="8" w:space="0" w:color="auto"/>
              <w:left w:val="nil"/>
              <w:bottom w:val="single" w:sz="8" w:space="0" w:color="auto"/>
              <w:right w:val="nil"/>
            </w:tcBorders>
            <w:shd w:val="clear" w:color="auto" w:fill="auto"/>
            <w:hideMark/>
          </w:tcPr>
          <w:p w14:paraId="6648C886"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val="en-US" w:eastAsia="en-ZA"/>
              </w:rPr>
              <w:t>Standard deviation</w:t>
            </w:r>
          </w:p>
        </w:tc>
        <w:tc>
          <w:tcPr>
            <w:tcW w:w="1140" w:type="dxa"/>
            <w:tcBorders>
              <w:top w:val="single" w:sz="8" w:space="0" w:color="auto"/>
              <w:left w:val="nil"/>
              <w:bottom w:val="single" w:sz="8" w:space="0" w:color="auto"/>
              <w:right w:val="nil"/>
            </w:tcBorders>
            <w:shd w:val="clear" w:color="auto" w:fill="auto"/>
            <w:noWrap/>
            <w:hideMark/>
          </w:tcPr>
          <w:p w14:paraId="1141A38F"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val="en-US" w:eastAsia="en-ZA"/>
              </w:rPr>
              <w:t>Varied / fixed</w:t>
            </w:r>
          </w:p>
        </w:tc>
        <w:tc>
          <w:tcPr>
            <w:tcW w:w="1486" w:type="dxa"/>
            <w:tcBorders>
              <w:top w:val="single" w:sz="8" w:space="0" w:color="auto"/>
              <w:left w:val="nil"/>
              <w:bottom w:val="single" w:sz="8" w:space="0" w:color="auto"/>
              <w:right w:val="nil"/>
            </w:tcBorders>
            <w:shd w:val="clear" w:color="auto" w:fill="auto"/>
            <w:hideMark/>
          </w:tcPr>
          <w:p w14:paraId="1E2C677D"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val="en-US" w:eastAsia="en-ZA"/>
              </w:rPr>
              <w:t>Section described in supplementary</w:t>
            </w:r>
          </w:p>
        </w:tc>
      </w:tr>
      <w:tr w:rsidR="007E5F13" w:rsidRPr="00381B0A" w14:paraId="20F8272C" w14:textId="77777777" w:rsidTr="0058737C">
        <w:trPr>
          <w:trHeight w:val="430"/>
        </w:trPr>
        <w:tc>
          <w:tcPr>
            <w:tcW w:w="5954" w:type="dxa"/>
            <w:tcBorders>
              <w:top w:val="nil"/>
              <w:left w:val="nil"/>
              <w:bottom w:val="single" w:sz="8" w:space="0" w:color="auto"/>
              <w:right w:val="nil"/>
            </w:tcBorders>
            <w:shd w:val="clear" w:color="auto" w:fill="auto"/>
            <w:hideMark/>
          </w:tcPr>
          <w:p w14:paraId="738A977A"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proportion of incident TB cases in HIV-negative adults that were smear-positive</w:t>
            </w:r>
          </w:p>
        </w:tc>
        <w:tc>
          <w:tcPr>
            <w:tcW w:w="606" w:type="dxa"/>
            <w:tcBorders>
              <w:top w:val="nil"/>
              <w:left w:val="nil"/>
              <w:bottom w:val="single" w:sz="8" w:space="0" w:color="auto"/>
              <w:right w:val="nil"/>
            </w:tcBorders>
            <w:shd w:val="clear" w:color="auto" w:fill="auto"/>
            <w:noWrap/>
            <w:hideMark/>
          </w:tcPr>
          <w:p w14:paraId="26E2167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w:t>
            </w:r>
            <w:r w:rsidRPr="00381B0A">
              <w:rPr>
                <w:rFonts w:ascii="Times New Roman" w:hAnsi="Times New Roman" w:cs="Times New Roman"/>
                <w:sz w:val="20"/>
                <w:szCs w:val="20"/>
              </w:rPr>
              <w:t>.</w:t>
            </w:r>
            <w:r w:rsidRPr="00381B0A">
              <w:rPr>
                <w:rFonts w:ascii="Times New Roman" w:eastAsia="Times New Roman" w:hAnsi="Times New Roman" w:cs="Times New Roman"/>
                <w:sz w:val="16"/>
                <w:szCs w:val="16"/>
                <w:lang w:val="en-US" w:eastAsia="en-ZA"/>
              </w:rPr>
              <w:t>51</w:t>
            </w:r>
          </w:p>
        </w:tc>
        <w:tc>
          <w:tcPr>
            <w:tcW w:w="1020" w:type="dxa"/>
            <w:tcBorders>
              <w:top w:val="nil"/>
              <w:left w:val="nil"/>
              <w:bottom w:val="single" w:sz="8" w:space="0" w:color="auto"/>
              <w:right w:val="nil"/>
            </w:tcBorders>
            <w:shd w:val="clear" w:color="auto" w:fill="auto"/>
            <w:noWrap/>
            <w:hideMark/>
          </w:tcPr>
          <w:p w14:paraId="4A8573EE"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7CBD45F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043283D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3</w:t>
            </w:r>
          </w:p>
        </w:tc>
      </w:tr>
      <w:tr w:rsidR="007E5F13" w:rsidRPr="00381B0A" w14:paraId="4448D674" w14:textId="77777777" w:rsidTr="0058737C">
        <w:trPr>
          <w:trHeight w:val="430"/>
        </w:trPr>
        <w:tc>
          <w:tcPr>
            <w:tcW w:w="5954" w:type="dxa"/>
            <w:tcBorders>
              <w:top w:val="nil"/>
              <w:left w:val="nil"/>
              <w:bottom w:val="single" w:sz="8" w:space="0" w:color="auto"/>
              <w:right w:val="nil"/>
            </w:tcBorders>
            <w:shd w:val="clear" w:color="auto" w:fill="auto"/>
            <w:hideMark/>
          </w:tcPr>
          <w:p w14:paraId="6B037D93"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TB transmission probability per contact per day (if an infectious individual was smear-positive)</w:t>
            </w:r>
          </w:p>
        </w:tc>
        <w:tc>
          <w:tcPr>
            <w:tcW w:w="606" w:type="dxa"/>
            <w:tcBorders>
              <w:top w:val="nil"/>
              <w:left w:val="nil"/>
              <w:bottom w:val="single" w:sz="8" w:space="0" w:color="auto"/>
              <w:right w:val="nil"/>
            </w:tcBorders>
            <w:shd w:val="clear" w:color="auto" w:fill="auto"/>
            <w:noWrap/>
            <w:hideMark/>
          </w:tcPr>
          <w:p w14:paraId="7FF5724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0.0025</w:t>
            </w:r>
          </w:p>
        </w:tc>
        <w:tc>
          <w:tcPr>
            <w:tcW w:w="1020" w:type="dxa"/>
            <w:tcBorders>
              <w:top w:val="nil"/>
              <w:left w:val="nil"/>
              <w:bottom w:val="single" w:sz="8" w:space="0" w:color="auto"/>
              <w:right w:val="nil"/>
            </w:tcBorders>
            <w:shd w:val="clear" w:color="auto" w:fill="auto"/>
            <w:noWrap/>
            <w:hideMark/>
          </w:tcPr>
          <w:p w14:paraId="062CF937"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w:t>
            </w:r>
            <w:r w:rsidRPr="00381B0A">
              <w:rPr>
                <w:rFonts w:ascii="Times New Roman" w:eastAsia="Times New Roman" w:hAnsi="Times New Roman" w:cs="Times New Roman"/>
                <w:sz w:val="16"/>
                <w:szCs w:val="16"/>
                <w:lang w:val="en-US" w:eastAsia="en-ZA"/>
              </w:rPr>
              <w:t>0.0025</w:t>
            </w:r>
          </w:p>
        </w:tc>
        <w:tc>
          <w:tcPr>
            <w:tcW w:w="1140" w:type="dxa"/>
            <w:tcBorders>
              <w:top w:val="nil"/>
              <w:left w:val="nil"/>
              <w:bottom w:val="single" w:sz="8" w:space="0" w:color="auto"/>
              <w:right w:val="nil"/>
            </w:tcBorders>
            <w:shd w:val="clear" w:color="auto" w:fill="auto"/>
            <w:noWrap/>
            <w:hideMark/>
          </w:tcPr>
          <w:p w14:paraId="06615F1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608AB4D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4</w:t>
            </w:r>
          </w:p>
        </w:tc>
      </w:tr>
      <w:tr w:rsidR="007E5F13" w:rsidRPr="00381B0A" w14:paraId="15DED3B1" w14:textId="77777777" w:rsidTr="0058737C">
        <w:trPr>
          <w:trHeight w:val="300"/>
        </w:trPr>
        <w:tc>
          <w:tcPr>
            <w:tcW w:w="5954" w:type="dxa"/>
            <w:tcBorders>
              <w:top w:val="nil"/>
              <w:left w:val="nil"/>
              <w:bottom w:val="single" w:sz="8" w:space="0" w:color="auto"/>
              <w:right w:val="nil"/>
            </w:tcBorders>
            <w:shd w:val="clear" w:color="auto" w:fill="auto"/>
            <w:hideMark/>
          </w:tcPr>
          <w:p w14:paraId="3957F004"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annual rate of reactivation in HIV-negative individuals</w:t>
            </w:r>
          </w:p>
        </w:tc>
        <w:tc>
          <w:tcPr>
            <w:tcW w:w="606" w:type="dxa"/>
            <w:tcBorders>
              <w:top w:val="nil"/>
              <w:left w:val="nil"/>
              <w:bottom w:val="single" w:sz="8" w:space="0" w:color="auto"/>
              <w:right w:val="nil"/>
            </w:tcBorders>
            <w:shd w:val="clear" w:color="auto" w:fill="auto"/>
            <w:noWrap/>
            <w:hideMark/>
          </w:tcPr>
          <w:p w14:paraId="7D9F950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0.00148</w:t>
            </w:r>
          </w:p>
        </w:tc>
        <w:tc>
          <w:tcPr>
            <w:tcW w:w="1020" w:type="dxa"/>
            <w:tcBorders>
              <w:top w:val="nil"/>
              <w:left w:val="nil"/>
              <w:bottom w:val="single" w:sz="8" w:space="0" w:color="auto"/>
              <w:right w:val="nil"/>
            </w:tcBorders>
            <w:shd w:val="clear" w:color="auto" w:fill="auto"/>
            <w:noWrap/>
            <w:hideMark/>
          </w:tcPr>
          <w:p w14:paraId="6E261E7D"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w:t>
            </w:r>
          </w:p>
        </w:tc>
        <w:tc>
          <w:tcPr>
            <w:tcW w:w="1140" w:type="dxa"/>
            <w:tcBorders>
              <w:top w:val="nil"/>
              <w:left w:val="nil"/>
              <w:bottom w:val="single" w:sz="8" w:space="0" w:color="auto"/>
              <w:right w:val="nil"/>
            </w:tcBorders>
            <w:shd w:val="clear" w:color="auto" w:fill="auto"/>
            <w:noWrap/>
            <w:hideMark/>
          </w:tcPr>
          <w:p w14:paraId="476C8A8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2A0B7D9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2F99135B" w14:textId="77777777" w:rsidTr="0058737C">
        <w:trPr>
          <w:trHeight w:val="300"/>
        </w:trPr>
        <w:tc>
          <w:tcPr>
            <w:tcW w:w="5954" w:type="dxa"/>
            <w:tcBorders>
              <w:top w:val="nil"/>
              <w:left w:val="nil"/>
              <w:bottom w:val="single" w:sz="8" w:space="0" w:color="auto"/>
              <w:right w:val="nil"/>
            </w:tcBorders>
            <w:shd w:val="clear" w:color="auto" w:fill="auto"/>
            <w:hideMark/>
          </w:tcPr>
          <w:p w14:paraId="206BF71B"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proportion of individuals experiencing fast progression</w:t>
            </w:r>
          </w:p>
        </w:tc>
        <w:tc>
          <w:tcPr>
            <w:tcW w:w="606" w:type="dxa"/>
            <w:tcBorders>
              <w:top w:val="nil"/>
              <w:left w:val="nil"/>
              <w:bottom w:val="single" w:sz="8" w:space="0" w:color="auto"/>
              <w:right w:val="nil"/>
            </w:tcBorders>
            <w:shd w:val="clear" w:color="auto" w:fill="auto"/>
            <w:noWrap/>
            <w:hideMark/>
          </w:tcPr>
          <w:p w14:paraId="68F39D6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0.112</w:t>
            </w:r>
          </w:p>
        </w:tc>
        <w:tc>
          <w:tcPr>
            <w:tcW w:w="1020" w:type="dxa"/>
            <w:tcBorders>
              <w:top w:val="nil"/>
              <w:left w:val="nil"/>
              <w:bottom w:val="single" w:sz="8" w:space="0" w:color="auto"/>
              <w:right w:val="nil"/>
            </w:tcBorders>
            <w:shd w:val="clear" w:color="auto" w:fill="auto"/>
            <w:noWrap/>
            <w:hideMark/>
          </w:tcPr>
          <w:p w14:paraId="64EB378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2EBE73E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5B71961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0F47176C" w14:textId="77777777" w:rsidTr="0058737C">
        <w:trPr>
          <w:trHeight w:val="239"/>
        </w:trPr>
        <w:tc>
          <w:tcPr>
            <w:tcW w:w="5954" w:type="dxa"/>
            <w:tcBorders>
              <w:top w:val="nil"/>
              <w:left w:val="nil"/>
              <w:bottom w:val="single" w:sz="8" w:space="0" w:color="auto"/>
              <w:right w:val="nil"/>
            </w:tcBorders>
            <w:shd w:val="clear" w:color="auto" w:fill="auto"/>
            <w:hideMark/>
          </w:tcPr>
          <w:p w14:paraId="1E8859B6"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xml:space="preserve">Relative rate of TB incidence in previously infected individuals (HIV-negative) </w:t>
            </w:r>
          </w:p>
        </w:tc>
        <w:tc>
          <w:tcPr>
            <w:tcW w:w="606" w:type="dxa"/>
            <w:tcBorders>
              <w:top w:val="nil"/>
              <w:left w:val="nil"/>
              <w:bottom w:val="single" w:sz="8" w:space="0" w:color="auto"/>
              <w:right w:val="nil"/>
            </w:tcBorders>
            <w:shd w:val="clear" w:color="auto" w:fill="auto"/>
            <w:noWrap/>
            <w:hideMark/>
          </w:tcPr>
          <w:p w14:paraId="6FE651D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0.79</w:t>
            </w:r>
          </w:p>
        </w:tc>
        <w:tc>
          <w:tcPr>
            <w:tcW w:w="1020" w:type="dxa"/>
            <w:tcBorders>
              <w:top w:val="nil"/>
              <w:left w:val="nil"/>
              <w:bottom w:val="single" w:sz="8" w:space="0" w:color="auto"/>
              <w:right w:val="nil"/>
            </w:tcBorders>
            <w:shd w:val="clear" w:color="auto" w:fill="auto"/>
            <w:noWrap/>
            <w:hideMark/>
          </w:tcPr>
          <w:p w14:paraId="71DD895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5AEA439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682FDD3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2A00552B" w14:textId="77777777" w:rsidTr="0058737C">
        <w:trPr>
          <w:trHeight w:val="300"/>
        </w:trPr>
        <w:tc>
          <w:tcPr>
            <w:tcW w:w="5954" w:type="dxa"/>
            <w:tcBorders>
              <w:top w:val="nil"/>
              <w:left w:val="nil"/>
              <w:bottom w:val="single" w:sz="8" w:space="0" w:color="auto"/>
              <w:right w:val="nil"/>
            </w:tcBorders>
            <w:shd w:val="clear" w:color="auto" w:fill="auto"/>
            <w:hideMark/>
          </w:tcPr>
          <w:p w14:paraId="355A4ECB"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immunity to TB per 100-cell increase in CD4</w:t>
            </w:r>
          </w:p>
        </w:tc>
        <w:tc>
          <w:tcPr>
            <w:tcW w:w="606" w:type="dxa"/>
            <w:tcBorders>
              <w:top w:val="nil"/>
              <w:left w:val="nil"/>
              <w:bottom w:val="single" w:sz="8" w:space="0" w:color="auto"/>
              <w:right w:val="nil"/>
            </w:tcBorders>
            <w:shd w:val="clear" w:color="auto" w:fill="auto"/>
            <w:noWrap/>
            <w:hideMark/>
          </w:tcPr>
          <w:p w14:paraId="648DA34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1.1</w:t>
            </w:r>
          </w:p>
        </w:tc>
        <w:tc>
          <w:tcPr>
            <w:tcW w:w="1020" w:type="dxa"/>
            <w:tcBorders>
              <w:top w:val="nil"/>
              <w:left w:val="nil"/>
              <w:bottom w:val="single" w:sz="8" w:space="0" w:color="auto"/>
              <w:right w:val="nil"/>
            </w:tcBorders>
            <w:shd w:val="clear" w:color="auto" w:fill="auto"/>
            <w:noWrap/>
            <w:hideMark/>
          </w:tcPr>
          <w:p w14:paraId="28BEADD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36200E6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06D4BA6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5466B6E2" w14:textId="77777777" w:rsidTr="0058737C">
        <w:trPr>
          <w:trHeight w:val="300"/>
        </w:trPr>
        <w:tc>
          <w:tcPr>
            <w:tcW w:w="5954" w:type="dxa"/>
            <w:tcBorders>
              <w:top w:val="nil"/>
              <w:left w:val="nil"/>
              <w:bottom w:val="single" w:sz="8" w:space="0" w:color="auto"/>
              <w:right w:val="nil"/>
            </w:tcBorders>
            <w:shd w:val="clear" w:color="auto" w:fill="auto"/>
            <w:hideMark/>
          </w:tcPr>
          <w:p w14:paraId="69D0123C"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xml:space="preserve">Relative rate </w:t>
            </w:r>
            <w:r w:rsidRPr="00381B0A">
              <w:rPr>
                <w:rFonts w:ascii="Times New Roman" w:eastAsia="Times New Roman" w:hAnsi="Times New Roman" w:cs="Times New Roman"/>
                <w:sz w:val="16"/>
                <w:szCs w:val="16"/>
                <w:lang w:eastAsia="en-ZA"/>
              </w:rPr>
              <w:t>TB incidence per 100-cell increase in CD4</w:t>
            </w:r>
          </w:p>
        </w:tc>
        <w:tc>
          <w:tcPr>
            <w:tcW w:w="606" w:type="dxa"/>
            <w:tcBorders>
              <w:top w:val="nil"/>
              <w:left w:val="nil"/>
              <w:bottom w:val="single" w:sz="8" w:space="0" w:color="auto"/>
              <w:right w:val="nil"/>
            </w:tcBorders>
            <w:shd w:val="clear" w:color="auto" w:fill="auto"/>
            <w:noWrap/>
            <w:hideMark/>
          </w:tcPr>
          <w:p w14:paraId="6E5869C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0.703</w:t>
            </w:r>
          </w:p>
        </w:tc>
        <w:tc>
          <w:tcPr>
            <w:tcW w:w="1020" w:type="dxa"/>
            <w:tcBorders>
              <w:top w:val="nil"/>
              <w:left w:val="nil"/>
              <w:bottom w:val="single" w:sz="8" w:space="0" w:color="auto"/>
              <w:right w:val="nil"/>
            </w:tcBorders>
            <w:shd w:val="clear" w:color="auto" w:fill="auto"/>
            <w:noWrap/>
            <w:hideMark/>
          </w:tcPr>
          <w:p w14:paraId="50DFCDCA"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w:t>
            </w:r>
          </w:p>
        </w:tc>
        <w:tc>
          <w:tcPr>
            <w:tcW w:w="1140" w:type="dxa"/>
            <w:tcBorders>
              <w:top w:val="nil"/>
              <w:left w:val="nil"/>
              <w:bottom w:val="single" w:sz="8" w:space="0" w:color="auto"/>
              <w:right w:val="nil"/>
            </w:tcBorders>
            <w:shd w:val="clear" w:color="auto" w:fill="auto"/>
            <w:noWrap/>
            <w:hideMark/>
          </w:tcPr>
          <w:p w14:paraId="34E6A30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0F0881C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4A92DB29" w14:textId="77777777" w:rsidTr="0058737C">
        <w:trPr>
          <w:trHeight w:val="300"/>
        </w:trPr>
        <w:tc>
          <w:tcPr>
            <w:tcW w:w="5954" w:type="dxa"/>
            <w:tcBorders>
              <w:top w:val="nil"/>
              <w:left w:val="nil"/>
              <w:bottom w:val="single" w:sz="8" w:space="0" w:color="auto"/>
              <w:right w:val="nil"/>
            </w:tcBorders>
            <w:shd w:val="clear" w:color="auto" w:fill="auto"/>
            <w:hideMark/>
          </w:tcPr>
          <w:p w14:paraId="0382D9EA"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Annual recovery rate in smear-positive TB, HIV-negative individuals</w:t>
            </w:r>
          </w:p>
        </w:tc>
        <w:tc>
          <w:tcPr>
            <w:tcW w:w="606" w:type="dxa"/>
            <w:tcBorders>
              <w:top w:val="nil"/>
              <w:left w:val="nil"/>
              <w:bottom w:val="single" w:sz="8" w:space="0" w:color="auto"/>
              <w:right w:val="nil"/>
            </w:tcBorders>
            <w:shd w:val="clear" w:color="auto" w:fill="auto"/>
            <w:noWrap/>
            <w:hideMark/>
          </w:tcPr>
          <w:p w14:paraId="4DEEA95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0.075</w:t>
            </w:r>
          </w:p>
        </w:tc>
        <w:tc>
          <w:tcPr>
            <w:tcW w:w="1020" w:type="dxa"/>
            <w:tcBorders>
              <w:top w:val="nil"/>
              <w:left w:val="nil"/>
              <w:bottom w:val="single" w:sz="8" w:space="0" w:color="auto"/>
              <w:right w:val="nil"/>
            </w:tcBorders>
            <w:shd w:val="clear" w:color="auto" w:fill="auto"/>
            <w:noWrap/>
            <w:hideMark/>
          </w:tcPr>
          <w:p w14:paraId="57E4604D"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w:t>
            </w:r>
          </w:p>
        </w:tc>
        <w:tc>
          <w:tcPr>
            <w:tcW w:w="1140" w:type="dxa"/>
            <w:tcBorders>
              <w:top w:val="nil"/>
              <w:left w:val="nil"/>
              <w:bottom w:val="single" w:sz="8" w:space="0" w:color="auto"/>
              <w:right w:val="nil"/>
            </w:tcBorders>
            <w:shd w:val="clear" w:color="auto" w:fill="auto"/>
            <w:noWrap/>
            <w:hideMark/>
          </w:tcPr>
          <w:p w14:paraId="6F4F4C0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5025860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0EA2F834" w14:textId="77777777" w:rsidTr="0058737C">
        <w:trPr>
          <w:trHeight w:val="300"/>
        </w:trPr>
        <w:tc>
          <w:tcPr>
            <w:tcW w:w="5954" w:type="dxa"/>
            <w:tcBorders>
              <w:top w:val="nil"/>
              <w:left w:val="nil"/>
              <w:bottom w:val="single" w:sz="8" w:space="0" w:color="auto"/>
              <w:right w:val="nil"/>
            </w:tcBorders>
            <w:shd w:val="clear" w:color="auto" w:fill="auto"/>
            <w:hideMark/>
          </w:tcPr>
          <w:p w14:paraId="7EEE84F7"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Annual recovery rate in smear-negative TB, HIV-negative individuals</w:t>
            </w:r>
          </w:p>
        </w:tc>
        <w:tc>
          <w:tcPr>
            <w:tcW w:w="606" w:type="dxa"/>
            <w:tcBorders>
              <w:top w:val="nil"/>
              <w:left w:val="nil"/>
              <w:bottom w:val="single" w:sz="8" w:space="0" w:color="auto"/>
              <w:right w:val="nil"/>
            </w:tcBorders>
            <w:shd w:val="clear" w:color="auto" w:fill="auto"/>
            <w:noWrap/>
            <w:hideMark/>
          </w:tcPr>
          <w:p w14:paraId="1F6FE61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0.224</w:t>
            </w:r>
          </w:p>
        </w:tc>
        <w:tc>
          <w:tcPr>
            <w:tcW w:w="1020" w:type="dxa"/>
            <w:tcBorders>
              <w:top w:val="nil"/>
              <w:left w:val="nil"/>
              <w:bottom w:val="single" w:sz="8" w:space="0" w:color="auto"/>
              <w:right w:val="nil"/>
            </w:tcBorders>
            <w:shd w:val="clear" w:color="auto" w:fill="auto"/>
            <w:noWrap/>
            <w:hideMark/>
          </w:tcPr>
          <w:p w14:paraId="22DB3C5A"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w:t>
            </w:r>
          </w:p>
        </w:tc>
        <w:tc>
          <w:tcPr>
            <w:tcW w:w="1140" w:type="dxa"/>
            <w:tcBorders>
              <w:top w:val="nil"/>
              <w:left w:val="nil"/>
              <w:bottom w:val="single" w:sz="8" w:space="0" w:color="auto"/>
              <w:right w:val="nil"/>
            </w:tcBorders>
            <w:shd w:val="clear" w:color="auto" w:fill="auto"/>
            <w:noWrap/>
            <w:hideMark/>
          </w:tcPr>
          <w:p w14:paraId="4FA7186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5860A4E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4AF4A5B2" w14:textId="77777777" w:rsidTr="0058737C">
        <w:trPr>
          <w:trHeight w:val="300"/>
        </w:trPr>
        <w:tc>
          <w:tcPr>
            <w:tcW w:w="5954" w:type="dxa"/>
            <w:tcBorders>
              <w:top w:val="nil"/>
              <w:left w:val="nil"/>
              <w:bottom w:val="single" w:sz="8" w:space="0" w:color="auto"/>
              <w:right w:val="nil"/>
            </w:tcBorders>
            <w:shd w:val="clear" w:color="auto" w:fill="auto"/>
            <w:hideMark/>
          </w:tcPr>
          <w:p w14:paraId="1D18A4E8"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infectivity: smear-negative compared to smear-positive</w:t>
            </w:r>
          </w:p>
        </w:tc>
        <w:tc>
          <w:tcPr>
            <w:tcW w:w="606" w:type="dxa"/>
            <w:tcBorders>
              <w:top w:val="nil"/>
              <w:left w:val="nil"/>
              <w:bottom w:val="single" w:sz="8" w:space="0" w:color="auto"/>
              <w:right w:val="nil"/>
            </w:tcBorders>
            <w:shd w:val="clear" w:color="auto" w:fill="auto"/>
            <w:noWrap/>
            <w:hideMark/>
          </w:tcPr>
          <w:p w14:paraId="557B0CB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0.206</w:t>
            </w:r>
          </w:p>
        </w:tc>
        <w:tc>
          <w:tcPr>
            <w:tcW w:w="1020" w:type="dxa"/>
            <w:tcBorders>
              <w:top w:val="nil"/>
              <w:left w:val="nil"/>
              <w:bottom w:val="single" w:sz="8" w:space="0" w:color="auto"/>
              <w:right w:val="nil"/>
            </w:tcBorders>
            <w:shd w:val="clear" w:color="auto" w:fill="auto"/>
            <w:noWrap/>
            <w:hideMark/>
          </w:tcPr>
          <w:p w14:paraId="6CA44177"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w:t>
            </w:r>
          </w:p>
        </w:tc>
        <w:tc>
          <w:tcPr>
            <w:tcW w:w="1140" w:type="dxa"/>
            <w:tcBorders>
              <w:top w:val="nil"/>
              <w:left w:val="nil"/>
              <w:bottom w:val="single" w:sz="8" w:space="0" w:color="auto"/>
              <w:right w:val="nil"/>
            </w:tcBorders>
            <w:shd w:val="clear" w:color="auto" w:fill="auto"/>
            <w:noWrap/>
            <w:hideMark/>
          </w:tcPr>
          <w:p w14:paraId="747062C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168A192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7043E2A2" w14:textId="77777777" w:rsidTr="0058737C">
        <w:trPr>
          <w:trHeight w:val="300"/>
        </w:trPr>
        <w:tc>
          <w:tcPr>
            <w:tcW w:w="5954" w:type="dxa"/>
            <w:tcBorders>
              <w:top w:val="nil"/>
              <w:left w:val="nil"/>
              <w:bottom w:val="single" w:sz="8" w:space="0" w:color="auto"/>
              <w:right w:val="nil"/>
            </w:tcBorders>
            <w:shd w:val="clear" w:color="auto" w:fill="auto"/>
            <w:hideMark/>
          </w:tcPr>
          <w:p w14:paraId="2685690B"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Annual Smear-negative TB mortality rate (untreated)</w:t>
            </w:r>
          </w:p>
        </w:tc>
        <w:tc>
          <w:tcPr>
            <w:tcW w:w="606" w:type="dxa"/>
            <w:tcBorders>
              <w:top w:val="nil"/>
              <w:left w:val="nil"/>
              <w:bottom w:val="single" w:sz="8" w:space="0" w:color="auto"/>
              <w:right w:val="nil"/>
            </w:tcBorders>
            <w:shd w:val="clear" w:color="auto" w:fill="auto"/>
            <w:noWrap/>
            <w:hideMark/>
          </w:tcPr>
          <w:p w14:paraId="671B9A7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0.049</w:t>
            </w:r>
          </w:p>
        </w:tc>
        <w:tc>
          <w:tcPr>
            <w:tcW w:w="1020" w:type="dxa"/>
            <w:tcBorders>
              <w:top w:val="nil"/>
              <w:left w:val="nil"/>
              <w:bottom w:val="single" w:sz="8" w:space="0" w:color="auto"/>
              <w:right w:val="nil"/>
            </w:tcBorders>
            <w:shd w:val="clear" w:color="auto" w:fill="auto"/>
            <w:noWrap/>
            <w:hideMark/>
          </w:tcPr>
          <w:p w14:paraId="2902C94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6AEFE1F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0FBD67C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228A8D04" w14:textId="77777777" w:rsidTr="0058737C">
        <w:trPr>
          <w:trHeight w:val="300"/>
        </w:trPr>
        <w:tc>
          <w:tcPr>
            <w:tcW w:w="5954" w:type="dxa"/>
            <w:tcBorders>
              <w:top w:val="nil"/>
              <w:left w:val="nil"/>
              <w:bottom w:val="single" w:sz="8" w:space="0" w:color="auto"/>
              <w:right w:val="nil"/>
            </w:tcBorders>
            <w:shd w:val="clear" w:color="auto" w:fill="auto"/>
            <w:hideMark/>
          </w:tcPr>
          <w:p w14:paraId="775A65C5"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Annual Smear-positive TB mortality rate (untreated)</w:t>
            </w:r>
          </w:p>
        </w:tc>
        <w:tc>
          <w:tcPr>
            <w:tcW w:w="606" w:type="dxa"/>
            <w:tcBorders>
              <w:top w:val="nil"/>
              <w:left w:val="nil"/>
              <w:bottom w:val="single" w:sz="8" w:space="0" w:color="auto"/>
              <w:right w:val="nil"/>
            </w:tcBorders>
            <w:shd w:val="clear" w:color="auto" w:fill="auto"/>
            <w:noWrap/>
            <w:hideMark/>
          </w:tcPr>
          <w:p w14:paraId="61FF3FC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0.196</w:t>
            </w:r>
          </w:p>
        </w:tc>
        <w:tc>
          <w:tcPr>
            <w:tcW w:w="1020" w:type="dxa"/>
            <w:tcBorders>
              <w:top w:val="nil"/>
              <w:left w:val="nil"/>
              <w:bottom w:val="single" w:sz="8" w:space="0" w:color="auto"/>
              <w:right w:val="nil"/>
            </w:tcBorders>
            <w:shd w:val="clear" w:color="auto" w:fill="auto"/>
            <w:noWrap/>
            <w:hideMark/>
          </w:tcPr>
          <w:p w14:paraId="183DE5C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19A5814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7D5E37A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2B3345DB" w14:textId="77777777" w:rsidTr="0058737C">
        <w:trPr>
          <w:trHeight w:val="300"/>
        </w:trPr>
        <w:tc>
          <w:tcPr>
            <w:tcW w:w="5954" w:type="dxa"/>
            <w:tcBorders>
              <w:top w:val="nil"/>
              <w:left w:val="nil"/>
              <w:bottom w:val="single" w:sz="8" w:space="0" w:color="auto"/>
              <w:right w:val="nil"/>
            </w:tcBorders>
            <w:shd w:val="clear" w:color="auto" w:fill="auto"/>
            <w:hideMark/>
          </w:tcPr>
          <w:p w14:paraId="38508987"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Relative rate of TB incidence on ART (controlling for CD4)</w:t>
            </w:r>
          </w:p>
        </w:tc>
        <w:tc>
          <w:tcPr>
            <w:tcW w:w="606" w:type="dxa"/>
            <w:tcBorders>
              <w:top w:val="nil"/>
              <w:left w:val="nil"/>
              <w:bottom w:val="single" w:sz="8" w:space="0" w:color="auto"/>
              <w:right w:val="nil"/>
            </w:tcBorders>
            <w:shd w:val="clear" w:color="auto" w:fill="auto"/>
            <w:noWrap/>
            <w:hideMark/>
          </w:tcPr>
          <w:p w14:paraId="04B8C6E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0.81</w:t>
            </w:r>
          </w:p>
        </w:tc>
        <w:tc>
          <w:tcPr>
            <w:tcW w:w="1020" w:type="dxa"/>
            <w:tcBorders>
              <w:top w:val="nil"/>
              <w:left w:val="nil"/>
              <w:bottom w:val="single" w:sz="8" w:space="0" w:color="auto"/>
              <w:right w:val="nil"/>
            </w:tcBorders>
            <w:shd w:val="clear" w:color="auto" w:fill="auto"/>
            <w:noWrap/>
            <w:hideMark/>
          </w:tcPr>
          <w:p w14:paraId="3FB4457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0.05</w:t>
            </w:r>
          </w:p>
        </w:tc>
        <w:tc>
          <w:tcPr>
            <w:tcW w:w="1140" w:type="dxa"/>
            <w:tcBorders>
              <w:top w:val="nil"/>
              <w:left w:val="nil"/>
              <w:bottom w:val="single" w:sz="8" w:space="0" w:color="auto"/>
              <w:right w:val="nil"/>
            </w:tcBorders>
            <w:shd w:val="clear" w:color="auto" w:fill="auto"/>
            <w:noWrap/>
            <w:hideMark/>
          </w:tcPr>
          <w:p w14:paraId="01DAD2F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42DCC9B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5</w:t>
            </w:r>
          </w:p>
        </w:tc>
      </w:tr>
      <w:tr w:rsidR="007E5F13" w:rsidRPr="00381B0A" w14:paraId="20E927E9" w14:textId="77777777" w:rsidTr="0058737C">
        <w:trPr>
          <w:trHeight w:val="300"/>
        </w:trPr>
        <w:tc>
          <w:tcPr>
            <w:tcW w:w="5954" w:type="dxa"/>
            <w:tcBorders>
              <w:top w:val="nil"/>
              <w:left w:val="nil"/>
              <w:bottom w:val="single" w:sz="8" w:space="0" w:color="auto"/>
              <w:right w:val="nil"/>
            </w:tcBorders>
            <w:shd w:val="clear" w:color="auto" w:fill="auto"/>
            <w:hideMark/>
          </w:tcPr>
          <w:p w14:paraId="690B9AE7"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Prevalence of cough &gt;2 weeks duration in individuals with smear-negative TB</w:t>
            </w:r>
          </w:p>
        </w:tc>
        <w:tc>
          <w:tcPr>
            <w:tcW w:w="606" w:type="dxa"/>
            <w:tcBorders>
              <w:top w:val="nil"/>
              <w:left w:val="nil"/>
              <w:bottom w:val="single" w:sz="8" w:space="0" w:color="auto"/>
              <w:right w:val="nil"/>
            </w:tcBorders>
            <w:shd w:val="clear" w:color="auto" w:fill="auto"/>
            <w:noWrap/>
            <w:hideMark/>
          </w:tcPr>
          <w:p w14:paraId="7D42808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0.198</w:t>
            </w:r>
          </w:p>
        </w:tc>
        <w:tc>
          <w:tcPr>
            <w:tcW w:w="1020" w:type="dxa"/>
            <w:tcBorders>
              <w:top w:val="nil"/>
              <w:left w:val="nil"/>
              <w:bottom w:val="single" w:sz="8" w:space="0" w:color="auto"/>
              <w:right w:val="nil"/>
            </w:tcBorders>
            <w:shd w:val="clear" w:color="auto" w:fill="auto"/>
            <w:noWrap/>
            <w:hideMark/>
          </w:tcPr>
          <w:p w14:paraId="7B49E1D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5C698F1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58A3D9D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4936FBCB" w14:textId="77777777" w:rsidTr="0058737C">
        <w:trPr>
          <w:trHeight w:val="430"/>
        </w:trPr>
        <w:tc>
          <w:tcPr>
            <w:tcW w:w="5954" w:type="dxa"/>
            <w:tcBorders>
              <w:top w:val="nil"/>
              <w:left w:val="nil"/>
              <w:bottom w:val="single" w:sz="8" w:space="0" w:color="auto"/>
              <w:right w:val="nil"/>
            </w:tcBorders>
            <w:shd w:val="clear" w:color="auto" w:fill="auto"/>
            <w:hideMark/>
          </w:tcPr>
          <w:p w14:paraId="2BACD376"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Ratio of symptom prevalence in patients with smear-positive compared to smear-negative TB</w:t>
            </w:r>
          </w:p>
        </w:tc>
        <w:tc>
          <w:tcPr>
            <w:tcW w:w="606" w:type="dxa"/>
            <w:tcBorders>
              <w:top w:val="nil"/>
              <w:left w:val="nil"/>
              <w:bottom w:val="single" w:sz="8" w:space="0" w:color="auto"/>
              <w:right w:val="nil"/>
            </w:tcBorders>
            <w:shd w:val="clear" w:color="auto" w:fill="auto"/>
            <w:noWrap/>
            <w:hideMark/>
          </w:tcPr>
          <w:p w14:paraId="20392A1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3.03</w:t>
            </w:r>
          </w:p>
        </w:tc>
        <w:tc>
          <w:tcPr>
            <w:tcW w:w="1020" w:type="dxa"/>
            <w:tcBorders>
              <w:top w:val="nil"/>
              <w:left w:val="nil"/>
              <w:bottom w:val="single" w:sz="8" w:space="0" w:color="auto"/>
              <w:right w:val="nil"/>
            </w:tcBorders>
            <w:shd w:val="clear" w:color="auto" w:fill="auto"/>
            <w:noWrap/>
            <w:hideMark/>
          </w:tcPr>
          <w:p w14:paraId="4C106E2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2D5D9D3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7B6412E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16CD979E" w14:textId="77777777" w:rsidTr="0058737C">
        <w:trPr>
          <w:trHeight w:val="300"/>
        </w:trPr>
        <w:tc>
          <w:tcPr>
            <w:tcW w:w="5954" w:type="dxa"/>
            <w:tcBorders>
              <w:top w:val="nil"/>
              <w:left w:val="nil"/>
              <w:bottom w:val="single" w:sz="8" w:space="0" w:color="auto"/>
              <w:right w:val="nil"/>
            </w:tcBorders>
            <w:shd w:val="clear" w:color="auto" w:fill="auto"/>
            <w:hideMark/>
          </w:tcPr>
          <w:p w14:paraId="5D667196"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annual rate of health-seeking in males with smear-negative TB</w:t>
            </w:r>
          </w:p>
        </w:tc>
        <w:tc>
          <w:tcPr>
            <w:tcW w:w="606" w:type="dxa"/>
            <w:tcBorders>
              <w:top w:val="nil"/>
              <w:left w:val="nil"/>
              <w:bottom w:val="single" w:sz="8" w:space="0" w:color="auto"/>
              <w:right w:val="nil"/>
            </w:tcBorders>
            <w:shd w:val="clear" w:color="auto" w:fill="auto"/>
            <w:noWrap/>
            <w:hideMark/>
          </w:tcPr>
          <w:p w14:paraId="3E20755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1.07</w:t>
            </w:r>
          </w:p>
        </w:tc>
        <w:tc>
          <w:tcPr>
            <w:tcW w:w="1020" w:type="dxa"/>
            <w:tcBorders>
              <w:top w:val="nil"/>
              <w:left w:val="nil"/>
              <w:bottom w:val="single" w:sz="8" w:space="0" w:color="auto"/>
              <w:right w:val="nil"/>
            </w:tcBorders>
            <w:shd w:val="clear" w:color="auto" w:fill="auto"/>
            <w:noWrap/>
            <w:hideMark/>
          </w:tcPr>
          <w:p w14:paraId="7E42490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4FF82A6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7E80306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15214028" w14:textId="77777777" w:rsidTr="0058737C">
        <w:trPr>
          <w:trHeight w:val="300"/>
        </w:trPr>
        <w:tc>
          <w:tcPr>
            <w:tcW w:w="5954" w:type="dxa"/>
            <w:tcBorders>
              <w:top w:val="nil"/>
              <w:left w:val="nil"/>
              <w:bottom w:val="single" w:sz="8" w:space="0" w:color="auto"/>
              <w:right w:val="nil"/>
            </w:tcBorders>
            <w:shd w:val="clear" w:color="auto" w:fill="auto"/>
            <w:hideMark/>
          </w:tcPr>
          <w:p w14:paraId="683E44DD"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annual rate of health-seeking in males in the general population</w:t>
            </w:r>
          </w:p>
        </w:tc>
        <w:tc>
          <w:tcPr>
            <w:tcW w:w="606" w:type="dxa"/>
            <w:tcBorders>
              <w:top w:val="nil"/>
              <w:left w:val="nil"/>
              <w:bottom w:val="single" w:sz="8" w:space="0" w:color="auto"/>
              <w:right w:val="nil"/>
            </w:tcBorders>
            <w:shd w:val="clear" w:color="auto" w:fill="auto"/>
            <w:noWrap/>
            <w:hideMark/>
          </w:tcPr>
          <w:p w14:paraId="37E4C28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1.0</w:t>
            </w:r>
          </w:p>
        </w:tc>
        <w:tc>
          <w:tcPr>
            <w:tcW w:w="1020" w:type="dxa"/>
            <w:tcBorders>
              <w:top w:val="nil"/>
              <w:left w:val="nil"/>
              <w:bottom w:val="single" w:sz="8" w:space="0" w:color="auto"/>
              <w:right w:val="nil"/>
            </w:tcBorders>
            <w:shd w:val="clear" w:color="auto" w:fill="auto"/>
            <w:noWrap/>
            <w:hideMark/>
          </w:tcPr>
          <w:p w14:paraId="5E0792A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6390FF4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4C9F44D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34C938CD" w14:textId="77777777" w:rsidTr="0058737C">
        <w:trPr>
          <w:trHeight w:val="300"/>
        </w:trPr>
        <w:tc>
          <w:tcPr>
            <w:tcW w:w="5954" w:type="dxa"/>
            <w:tcBorders>
              <w:top w:val="nil"/>
              <w:left w:val="nil"/>
              <w:bottom w:val="single" w:sz="8" w:space="0" w:color="auto"/>
              <w:right w:val="nil"/>
            </w:tcBorders>
            <w:shd w:val="clear" w:color="auto" w:fill="auto"/>
            <w:hideMark/>
          </w:tcPr>
          <w:p w14:paraId="37A6F3A8"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annual rate of health-seeking in males due to TB-like symptoms</w:t>
            </w:r>
          </w:p>
        </w:tc>
        <w:tc>
          <w:tcPr>
            <w:tcW w:w="606" w:type="dxa"/>
            <w:tcBorders>
              <w:top w:val="nil"/>
              <w:left w:val="nil"/>
              <w:bottom w:val="single" w:sz="8" w:space="0" w:color="auto"/>
              <w:right w:val="nil"/>
            </w:tcBorders>
            <w:shd w:val="clear" w:color="auto" w:fill="auto"/>
            <w:noWrap/>
            <w:hideMark/>
          </w:tcPr>
          <w:p w14:paraId="1ADE458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0.196</w:t>
            </w:r>
          </w:p>
        </w:tc>
        <w:tc>
          <w:tcPr>
            <w:tcW w:w="1020" w:type="dxa"/>
            <w:tcBorders>
              <w:top w:val="nil"/>
              <w:left w:val="nil"/>
              <w:bottom w:val="single" w:sz="8" w:space="0" w:color="auto"/>
              <w:right w:val="nil"/>
            </w:tcBorders>
            <w:shd w:val="clear" w:color="auto" w:fill="auto"/>
            <w:noWrap/>
            <w:hideMark/>
          </w:tcPr>
          <w:p w14:paraId="5C1F240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31B66A1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3E11327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0BE050A0" w14:textId="77777777" w:rsidTr="0058737C">
        <w:trPr>
          <w:trHeight w:val="430"/>
        </w:trPr>
        <w:tc>
          <w:tcPr>
            <w:tcW w:w="5954" w:type="dxa"/>
            <w:tcBorders>
              <w:top w:val="nil"/>
              <w:left w:val="nil"/>
              <w:bottom w:val="single" w:sz="8" w:space="0" w:color="auto"/>
              <w:right w:val="nil"/>
            </w:tcBorders>
            <w:shd w:val="clear" w:color="auto" w:fill="auto"/>
            <w:hideMark/>
          </w:tcPr>
          <w:p w14:paraId="2694CDD7"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proportion of active TB cases seeking treatment who are treated empirically before any microbiological test is done</w:t>
            </w:r>
          </w:p>
        </w:tc>
        <w:tc>
          <w:tcPr>
            <w:tcW w:w="606" w:type="dxa"/>
            <w:tcBorders>
              <w:top w:val="nil"/>
              <w:left w:val="nil"/>
              <w:bottom w:val="single" w:sz="8" w:space="0" w:color="auto"/>
              <w:right w:val="nil"/>
            </w:tcBorders>
            <w:shd w:val="clear" w:color="auto" w:fill="auto"/>
            <w:noWrap/>
            <w:hideMark/>
          </w:tcPr>
          <w:p w14:paraId="35A981E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0.271</w:t>
            </w:r>
          </w:p>
        </w:tc>
        <w:tc>
          <w:tcPr>
            <w:tcW w:w="1020" w:type="dxa"/>
            <w:tcBorders>
              <w:top w:val="nil"/>
              <w:left w:val="nil"/>
              <w:bottom w:val="single" w:sz="8" w:space="0" w:color="auto"/>
              <w:right w:val="nil"/>
            </w:tcBorders>
            <w:shd w:val="clear" w:color="auto" w:fill="auto"/>
            <w:noWrap/>
            <w:hideMark/>
          </w:tcPr>
          <w:p w14:paraId="42E8673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68CD421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256E19C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447BEC5A" w14:textId="77777777" w:rsidTr="0058737C">
        <w:trPr>
          <w:trHeight w:val="430"/>
        </w:trPr>
        <w:tc>
          <w:tcPr>
            <w:tcW w:w="5954" w:type="dxa"/>
            <w:tcBorders>
              <w:top w:val="nil"/>
              <w:left w:val="nil"/>
              <w:bottom w:val="single" w:sz="8" w:space="0" w:color="auto"/>
              <w:right w:val="nil"/>
            </w:tcBorders>
            <w:shd w:val="clear" w:color="auto" w:fill="auto"/>
            <w:hideMark/>
          </w:tcPr>
          <w:p w14:paraId="3781AF5D"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xml:space="preserve">The proportion of smear-negative TB cases which ae treated empirically if they initially screened negative on a smear test  </w:t>
            </w:r>
          </w:p>
        </w:tc>
        <w:tc>
          <w:tcPr>
            <w:tcW w:w="606" w:type="dxa"/>
            <w:tcBorders>
              <w:top w:val="nil"/>
              <w:left w:val="nil"/>
              <w:bottom w:val="single" w:sz="8" w:space="0" w:color="auto"/>
              <w:right w:val="nil"/>
            </w:tcBorders>
            <w:shd w:val="clear" w:color="auto" w:fill="auto"/>
            <w:noWrap/>
            <w:hideMark/>
          </w:tcPr>
          <w:p w14:paraId="0531673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0.423</w:t>
            </w:r>
          </w:p>
        </w:tc>
        <w:tc>
          <w:tcPr>
            <w:tcW w:w="1020" w:type="dxa"/>
            <w:tcBorders>
              <w:top w:val="nil"/>
              <w:left w:val="nil"/>
              <w:bottom w:val="single" w:sz="8" w:space="0" w:color="auto"/>
              <w:right w:val="nil"/>
            </w:tcBorders>
            <w:shd w:val="clear" w:color="auto" w:fill="auto"/>
            <w:noWrap/>
            <w:hideMark/>
          </w:tcPr>
          <w:p w14:paraId="5350859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5320B91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2969375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4F162E54" w14:textId="77777777" w:rsidTr="0058737C">
        <w:trPr>
          <w:trHeight w:val="430"/>
        </w:trPr>
        <w:tc>
          <w:tcPr>
            <w:tcW w:w="5954" w:type="dxa"/>
            <w:tcBorders>
              <w:top w:val="nil"/>
              <w:left w:val="nil"/>
              <w:bottom w:val="single" w:sz="8" w:space="0" w:color="auto"/>
              <w:right w:val="nil"/>
            </w:tcBorders>
            <w:shd w:val="clear" w:color="auto" w:fill="auto"/>
            <w:hideMark/>
          </w:tcPr>
          <w:p w14:paraId="61270EF0"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empirical treatment if not seeking treatment because of TB symptoms</w:t>
            </w:r>
          </w:p>
        </w:tc>
        <w:tc>
          <w:tcPr>
            <w:tcW w:w="606" w:type="dxa"/>
            <w:tcBorders>
              <w:top w:val="nil"/>
              <w:left w:val="nil"/>
              <w:bottom w:val="single" w:sz="8" w:space="0" w:color="auto"/>
              <w:right w:val="nil"/>
            </w:tcBorders>
            <w:shd w:val="clear" w:color="auto" w:fill="auto"/>
            <w:noWrap/>
            <w:hideMark/>
          </w:tcPr>
          <w:p w14:paraId="3274E9A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0.031</w:t>
            </w:r>
          </w:p>
        </w:tc>
        <w:tc>
          <w:tcPr>
            <w:tcW w:w="1020" w:type="dxa"/>
            <w:tcBorders>
              <w:top w:val="nil"/>
              <w:left w:val="nil"/>
              <w:bottom w:val="single" w:sz="8" w:space="0" w:color="auto"/>
              <w:right w:val="nil"/>
            </w:tcBorders>
            <w:shd w:val="clear" w:color="auto" w:fill="auto"/>
            <w:noWrap/>
            <w:hideMark/>
          </w:tcPr>
          <w:p w14:paraId="4A3464B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5707968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59272DD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0F149CAB" w14:textId="77777777" w:rsidTr="0058737C">
        <w:trPr>
          <w:trHeight w:val="300"/>
        </w:trPr>
        <w:tc>
          <w:tcPr>
            <w:tcW w:w="5954" w:type="dxa"/>
            <w:tcBorders>
              <w:top w:val="nil"/>
              <w:left w:val="nil"/>
              <w:bottom w:val="single" w:sz="8" w:space="0" w:color="auto"/>
              <w:right w:val="nil"/>
            </w:tcBorders>
            <w:shd w:val="clear" w:color="auto" w:fill="auto"/>
            <w:hideMark/>
          </w:tcPr>
          <w:p w14:paraId="20FC2036"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empirical treatment if symptoms are not due to TB</w:t>
            </w:r>
          </w:p>
        </w:tc>
        <w:tc>
          <w:tcPr>
            <w:tcW w:w="606" w:type="dxa"/>
            <w:tcBorders>
              <w:top w:val="nil"/>
              <w:left w:val="nil"/>
              <w:bottom w:val="single" w:sz="8" w:space="0" w:color="auto"/>
              <w:right w:val="nil"/>
            </w:tcBorders>
            <w:shd w:val="clear" w:color="auto" w:fill="auto"/>
            <w:noWrap/>
            <w:hideMark/>
          </w:tcPr>
          <w:p w14:paraId="036C8D5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0.0014</w:t>
            </w:r>
          </w:p>
        </w:tc>
        <w:tc>
          <w:tcPr>
            <w:tcW w:w="1020" w:type="dxa"/>
            <w:tcBorders>
              <w:top w:val="nil"/>
              <w:left w:val="nil"/>
              <w:bottom w:val="single" w:sz="8" w:space="0" w:color="auto"/>
              <w:right w:val="nil"/>
            </w:tcBorders>
            <w:shd w:val="clear" w:color="auto" w:fill="auto"/>
            <w:noWrap/>
            <w:hideMark/>
          </w:tcPr>
          <w:p w14:paraId="7676EE4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4BA062C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62F93FE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7CCC3D54" w14:textId="77777777" w:rsidTr="0058737C">
        <w:trPr>
          <w:trHeight w:val="300"/>
        </w:trPr>
        <w:tc>
          <w:tcPr>
            <w:tcW w:w="5954" w:type="dxa"/>
            <w:tcBorders>
              <w:top w:val="nil"/>
              <w:left w:val="nil"/>
              <w:bottom w:val="single" w:sz="8" w:space="0" w:color="auto"/>
              <w:right w:val="nil"/>
            </w:tcBorders>
            <w:shd w:val="clear" w:color="auto" w:fill="auto"/>
            <w:hideMark/>
          </w:tcPr>
          <w:p w14:paraId="24CAFE40"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xml:space="preserve">Reduction in empiric treatment after a negative screen due to </w:t>
            </w:r>
            <w:proofErr w:type="spellStart"/>
            <w:r w:rsidRPr="00381B0A">
              <w:rPr>
                <w:rFonts w:ascii="Times New Roman" w:eastAsia="Times New Roman" w:hAnsi="Times New Roman" w:cs="Times New Roman"/>
                <w:sz w:val="16"/>
                <w:szCs w:val="16"/>
                <w:lang w:val="en-US" w:eastAsia="en-ZA"/>
              </w:rPr>
              <w:t>Xpert</w:t>
            </w:r>
            <w:proofErr w:type="spellEnd"/>
            <w:r w:rsidRPr="00381B0A">
              <w:rPr>
                <w:rFonts w:ascii="Times New Roman" w:eastAsia="Times New Roman" w:hAnsi="Times New Roman" w:cs="Times New Roman"/>
                <w:sz w:val="16"/>
                <w:szCs w:val="16"/>
                <w:lang w:val="en-US" w:eastAsia="en-ZA"/>
              </w:rPr>
              <w:t xml:space="preserve"> MTB/RIF</w:t>
            </w:r>
          </w:p>
        </w:tc>
        <w:tc>
          <w:tcPr>
            <w:tcW w:w="606" w:type="dxa"/>
            <w:tcBorders>
              <w:top w:val="nil"/>
              <w:left w:val="nil"/>
              <w:bottom w:val="single" w:sz="8" w:space="0" w:color="auto"/>
              <w:right w:val="nil"/>
            </w:tcBorders>
            <w:shd w:val="clear" w:color="auto" w:fill="auto"/>
            <w:noWrap/>
            <w:hideMark/>
          </w:tcPr>
          <w:p w14:paraId="1A88A49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0.50</w:t>
            </w:r>
          </w:p>
        </w:tc>
        <w:tc>
          <w:tcPr>
            <w:tcW w:w="1020" w:type="dxa"/>
            <w:tcBorders>
              <w:top w:val="nil"/>
              <w:left w:val="nil"/>
              <w:bottom w:val="single" w:sz="8" w:space="0" w:color="auto"/>
              <w:right w:val="nil"/>
            </w:tcBorders>
            <w:shd w:val="clear" w:color="auto" w:fill="auto"/>
            <w:noWrap/>
            <w:hideMark/>
          </w:tcPr>
          <w:p w14:paraId="071EBEF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41911DF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773664F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5F3F2F1F" w14:textId="77777777" w:rsidTr="0058737C">
        <w:trPr>
          <w:trHeight w:val="300"/>
        </w:trPr>
        <w:tc>
          <w:tcPr>
            <w:tcW w:w="5954" w:type="dxa"/>
            <w:tcBorders>
              <w:top w:val="nil"/>
              <w:left w:val="nil"/>
              <w:bottom w:val="single" w:sz="8" w:space="0" w:color="auto"/>
              <w:right w:val="nil"/>
            </w:tcBorders>
            <w:shd w:val="clear" w:color="auto" w:fill="auto"/>
            <w:hideMark/>
          </w:tcPr>
          <w:p w14:paraId="4259CB68"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health-seeking in women, compared to men</w:t>
            </w:r>
          </w:p>
        </w:tc>
        <w:tc>
          <w:tcPr>
            <w:tcW w:w="606" w:type="dxa"/>
            <w:tcBorders>
              <w:top w:val="nil"/>
              <w:left w:val="nil"/>
              <w:bottom w:val="single" w:sz="8" w:space="0" w:color="auto"/>
              <w:right w:val="nil"/>
            </w:tcBorders>
            <w:shd w:val="clear" w:color="auto" w:fill="auto"/>
            <w:noWrap/>
            <w:hideMark/>
          </w:tcPr>
          <w:p w14:paraId="09DD336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1.55</w:t>
            </w:r>
          </w:p>
        </w:tc>
        <w:tc>
          <w:tcPr>
            <w:tcW w:w="1020" w:type="dxa"/>
            <w:tcBorders>
              <w:top w:val="nil"/>
              <w:left w:val="nil"/>
              <w:bottom w:val="single" w:sz="8" w:space="0" w:color="auto"/>
              <w:right w:val="nil"/>
            </w:tcBorders>
            <w:shd w:val="clear" w:color="auto" w:fill="auto"/>
            <w:noWrap/>
            <w:hideMark/>
          </w:tcPr>
          <w:p w14:paraId="060A532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0.17</w:t>
            </w:r>
          </w:p>
        </w:tc>
        <w:tc>
          <w:tcPr>
            <w:tcW w:w="1140" w:type="dxa"/>
            <w:tcBorders>
              <w:top w:val="nil"/>
              <w:left w:val="nil"/>
              <w:bottom w:val="single" w:sz="8" w:space="0" w:color="auto"/>
              <w:right w:val="nil"/>
            </w:tcBorders>
            <w:shd w:val="clear" w:color="auto" w:fill="auto"/>
            <w:noWrap/>
            <w:hideMark/>
          </w:tcPr>
          <w:p w14:paraId="552503B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080C69B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7FDD7750" w14:textId="77777777" w:rsidTr="0058737C">
        <w:trPr>
          <w:trHeight w:val="430"/>
        </w:trPr>
        <w:tc>
          <w:tcPr>
            <w:tcW w:w="5954" w:type="dxa"/>
            <w:tcBorders>
              <w:top w:val="nil"/>
              <w:left w:val="nil"/>
              <w:bottom w:val="single" w:sz="8" w:space="0" w:color="auto"/>
              <w:right w:val="nil"/>
            </w:tcBorders>
            <w:shd w:val="clear" w:color="auto" w:fill="auto"/>
            <w:hideMark/>
          </w:tcPr>
          <w:p w14:paraId="15FF9C38"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health-seeking in HIV-positive compared to HIV-negative individuals</w:t>
            </w:r>
          </w:p>
        </w:tc>
        <w:tc>
          <w:tcPr>
            <w:tcW w:w="606" w:type="dxa"/>
            <w:tcBorders>
              <w:top w:val="nil"/>
              <w:left w:val="nil"/>
              <w:bottom w:val="single" w:sz="8" w:space="0" w:color="auto"/>
              <w:right w:val="nil"/>
            </w:tcBorders>
            <w:shd w:val="clear" w:color="auto" w:fill="auto"/>
            <w:noWrap/>
            <w:hideMark/>
          </w:tcPr>
          <w:p w14:paraId="0A18CFA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4.27</w:t>
            </w:r>
          </w:p>
        </w:tc>
        <w:tc>
          <w:tcPr>
            <w:tcW w:w="1020" w:type="dxa"/>
            <w:tcBorders>
              <w:top w:val="nil"/>
              <w:left w:val="nil"/>
              <w:bottom w:val="single" w:sz="8" w:space="0" w:color="auto"/>
              <w:right w:val="nil"/>
            </w:tcBorders>
            <w:shd w:val="clear" w:color="auto" w:fill="auto"/>
            <w:noWrap/>
            <w:hideMark/>
          </w:tcPr>
          <w:p w14:paraId="74E34C8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4EFBB17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28D49ED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6C09B582" w14:textId="77777777" w:rsidTr="0058737C">
        <w:trPr>
          <w:trHeight w:val="470"/>
        </w:trPr>
        <w:tc>
          <w:tcPr>
            <w:tcW w:w="5954" w:type="dxa"/>
            <w:tcBorders>
              <w:top w:val="nil"/>
              <w:left w:val="nil"/>
              <w:bottom w:val="single" w:sz="8" w:space="0" w:color="auto"/>
              <w:right w:val="nil"/>
            </w:tcBorders>
            <w:shd w:val="clear" w:color="auto" w:fill="auto"/>
            <w:hideMark/>
          </w:tcPr>
          <w:p w14:paraId="6E372B86"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screening in TB patients seeking treatment for TB symptoms, compared to those seeking treatment for other conditions: initial</w:t>
            </w:r>
            <w:r w:rsidRPr="00381B0A">
              <w:rPr>
                <w:rFonts w:ascii="Times New Roman" w:hAnsi="Times New Roman" w:cs="Times New Roman"/>
                <w:sz w:val="16"/>
                <w:szCs w:val="16"/>
                <w:vertAlign w:val="superscript"/>
              </w:rPr>
              <w:t>§</w:t>
            </w:r>
          </w:p>
        </w:tc>
        <w:tc>
          <w:tcPr>
            <w:tcW w:w="606" w:type="dxa"/>
            <w:tcBorders>
              <w:top w:val="nil"/>
              <w:left w:val="nil"/>
              <w:bottom w:val="single" w:sz="8" w:space="0" w:color="auto"/>
              <w:right w:val="nil"/>
            </w:tcBorders>
            <w:shd w:val="clear" w:color="auto" w:fill="auto"/>
            <w:noWrap/>
            <w:hideMark/>
          </w:tcPr>
          <w:p w14:paraId="558DB06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11.10</w:t>
            </w:r>
          </w:p>
        </w:tc>
        <w:tc>
          <w:tcPr>
            <w:tcW w:w="1020" w:type="dxa"/>
            <w:tcBorders>
              <w:top w:val="nil"/>
              <w:left w:val="nil"/>
              <w:bottom w:val="single" w:sz="8" w:space="0" w:color="auto"/>
              <w:right w:val="nil"/>
            </w:tcBorders>
            <w:shd w:val="clear" w:color="auto" w:fill="auto"/>
            <w:noWrap/>
            <w:hideMark/>
          </w:tcPr>
          <w:p w14:paraId="37B67CC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6EDE7C3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68504F9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72A9D59E" w14:textId="77777777" w:rsidTr="0058737C">
        <w:trPr>
          <w:trHeight w:val="300"/>
        </w:trPr>
        <w:tc>
          <w:tcPr>
            <w:tcW w:w="5954" w:type="dxa"/>
            <w:tcBorders>
              <w:top w:val="nil"/>
              <w:left w:val="nil"/>
              <w:bottom w:val="single" w:sz="8" w:space="0" w:color="auto"/>
              <w:right w:val="nil"/>
            </w:tcBorders>
            <w:shd w:val="clear" w:color="auto" w:fill="auto"/>
            <w:hideMark/>
          </w:tcPr>
          <w:p w14:paraId="4B8526C6"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screening in TB patients seeking treatment for TB symptoms, compared to those seeking treatment for other conditions: final</w:t>
            </w:r>
            <w:r w:rsidRPr="00381B0A">
              <w:rPr>
                <w:rFonts w:ascii="Times New Roman" w:hAnsi="Times New Roman" w:cs="Times New Roman"/>
                <w:sz w:val="16"/>
                <w:szCs w:val="16"/>
                <w:vertAlign w:val="superscript"/>
              </w:rPr>
              <w:t>§</w:t>
            </w:r>
            <w:r w:rsidRPr="00381B0A">
              <w:rPr>
                <w:rFonts w:ascii="Times New Roman" w:eastAsia="Times New Roman" w:hAnsi="Times New Roman" w:cs="Times New Roman"/>
                <w:sz w:val="16"/>
                <w:szCs w:val="16"/>
                <w:lang w:val="en-US" w:eastAsia="en-ZA"/>
              </w:rPr>
              <w:t xml:space="preserve"> </w:t>
            </w:r>
          </w:p>
        </w:tc>
        <w:tc>
          <w:tcPr>
            <w:tcW w:w="606" w:type="dxa"/>
            <w:tcBorders>
              <w:top w:val="nil"/>
              <w:left w:val="nil"/>
              <w:bottom w:val="single" w:sz="8" w:space="0" w:color="auto"/>
              <w:right w:val="nil"/>
            </w:tcBorders>
            <w:shd w:val="clear" w:color="auto" w:fill="auto"/>
            <w:noWrap/>
            <w:hideMark/>
          </w:tcPr>
          <w:p w14:paraId="4E2D5F2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3.84</w:t>
            </w:r>
          </w:p>
        </w:tc>
        <w:tc>
          <w:tcPr>
            <w:tcW w:w="1020" w:type="dxa"/>
            <w:tcBorders>
              <w:top w:val="nil"/>
              <w:left w:val="nil"/>
              <w:bottom w:val="single" w:sz="8" w:space="0" w:color="auto"/>
              <w:right w:val="nil"/>
            </w:tcBorders>
            <w:shd w:val="clear" w:color="auto" w:fill="auto"/>
            <w:noWrap/>
            <w:hideMark/>
          </w:tcPr>
          <w:p w14:paraId="3DA86A9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010DA2E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0330654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6</w:t>
            </w:r>
          </w:p>
        </w:tc>
      </w:tr>
      <w:tr w:rsidR="007E5F13" w:rsidRPr="00381B0A" w14:paraId="4DDFE9AF" w14:textId="77777777" w:rsidTr="0058737C">
        <w:trPr>
          <w:trHeight w:val="300"/>
        </w:trPr>
        <w:tc>
          <w:tcPr>
            <w:tcW w:w="5954" w:type="dxa"/>
            <w:tcBorders>
              <w:top w:val="nil"/>
              <w:left w:val="nil"/>
              <w:bottom w:val="single" w:sz="8" w:space="0" w:color="auto"/>
              <w:right w:val="nil"/>
            </w:tcBorders>
            <w:shd w:val="clear" w:color="auto" w:fill="auto"/>
            <w:hideMark/>
          </w:tcPr>
          <w:p w14:paraId="7874F3A9"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Probability of cure if a patient dropped out before completing TB treatment</w:t>
            </w:r>
          </w:p>
        </w:tc>
        <w:tc>
          <w:tcPr>
            <w:tcW w:w="606" w:type="dxa"/>
            <w:tcBorders>
              <w:top w:val="nil"/>
              <w:left w:val="nil"/>
              <w:bottom w:val="single" w:sz="8" w:space="0" w:color="auto"/>
              <w:right w:val="nil"/>
            </w:tcBorders>
            <w:shd w:val="clear" w:color="auto" w:fill="auto"/>
            <w:noWrap/>
            <w:hideMark/>
          </w:tcPr>
          <w:p w14:paraId="39B4833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0.65</w:t>
            </w:r>
          </w:p>
        </w:tc>
        <w:tc>
          <w:tcPr>
            <w:tcW w:w="1020" w:type="dxa"/>
            <w:tcBorders>
              <w:top w:val="nil"/>
              <w:left w:val="nil"/>
              <w:bottom w:val="single" w:sz="8" w:space="0" w:color="auto"/>
              <w:right w:val="nil"/>
            </w:tcBorders>
            <w:shd w:val="clear" w:color="auto" w:fill="auto"/>
            <w:noWrap/>
            <w:hideMark/>
          </w:tcPr>
          <w:p w14:paraId="5D1AD9A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6A1DB5F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10DB733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7</w:t>
            </w:r>
          </w:p>
        </w:tc>
      </w:tr>
      <w:tr w:rsidR="007E5F13" w:rsidRPr="00381B0A" w14:paraId="7D954139" w14:textId="77777777" w:rsidTr="0058737C">
        <w:trPr>
          <w:trHeight w:val="300"/>
        </w:trPr>
        <w:tc>
          <w:tcPr>
            <w:tcW w:w="5954" w:type="dxa"/>
            <w:tcBorders>
              <w:top w:val="nil"/>
              <w:left w:val="nil"/>
              <w:bottom w:val="single" w:sz="8" w:space="0" w:color="auto"/>
              <w:right w:val="nil"/>
            </w:tcBorders>
            <w:shd w:val="clear" w:color="auto" w:fill="auto"/>
            <w:hideMark/>
          </w:tcPr>
          <w:p w14:paraId="2214BD36"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Increase in TB mortality rate per 10-year increase in age</w:t>
            </w:r>
          </w:p>
        </w:tc>
        <w:tc>
          <w:tcPr>
            <w:tcW w:w="606" w:type="dxa"/>
            <w:tcBorders>
              <w:top w:val="nil"/>
              <w:left w:val="nil"/>
              <w:bottom w:val="single" w:sz="8" w:space="0" w:color="auto"/>
              <w:right w:val="nil"/>
            </w:tcBorders>
            <w:shd w:val="clear" w:color="auto" w:fill="auto"/>
            <w:noWrap/>
            <w:hideMark/>
          </w:tcPr>
          <w:p w14:paraId="10AB83E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1.4</w:t>
            </w:r>
          </w:p>
        </w:tc>
        <w:tc>
          <w:tcPr>
            <w:tcW w:w="1020" w:type="dxa"/>
            <w:tcBorders>
              <w:top w:val="nil"/>
              <w:left w:val="nil"/>
              <w:bottom w:val="single" w:sz="8" w:space="0" w:color="auto"/>
              <w:right w:val="nil"/>
            </w:tcBorders>
            <w:shd w:val="clear" w:color="auto" w:fill="auto"/>
            <w:noWrap/>
            <w:hideMark/>
          </w:tcPr>
          <w:p w14:paraId="1EF0131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0.1</w:t>
            </w:r>
          </w:p>
        </w:tc>
        <w:tc>
          <w:tcPr>
            <w:tcW w:w="1140" w:type="dxa"/>
            <w:tcBorders>
              <w:top w:val="nil"/>
              <w:left w:val="nil"/>
              <w:bottom w:val="single" w:sz="8" w:space="0" w:color="auto"/>
              <w:right w:val="nil"/>
            </w:tcBorders>
            <w:shd w:val="clear" w:color="auto" w:fill="auto"/>
            <w:noWrap/>
            <w:hideMark/>
          </w:tcPr>
          <w:p w14:paraId="7B19B2A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23E75AD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7</w:t>
            </w:r>
          </w:p>
        </w:tc>
      </w:tr>
      <w:tr w:rsidR="007E5F13" w:rsidRPr="00381B0A" w14:paraId="3C9E4FA7" w14:textId="77777777" w:rsidTr="0058737C">
        <w:trPr>
          <w:trHeight w:val="300"/>
        </w:trPr>
        <w:tc>
          <w:tcPr>
            <w:tcW w:w="5954" w:type="dxa"/>
            <w:tcBorders>
              <w:top w:val="nil"/>
              <w:left w:val="nil"/>
              <w:bottom w:val="single" w:sz="8" w:space="0" w:color="auto"/>
              <w:right w:val="nil"/>
            </w:tcBorders>
            <w:shd w:val="clear" w:color="auto" w:fill="auto"/>
            <w:hideMark/>
          </w:tcPr>
          <w:p w14:paraId="61F4145A"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annual mortality rate in HIV-negative individuals receiving TB treatment</w:t>
            </w:r>
            <w:r w:rsidRPr="00381B0A">
              <w:rPr>
                <w:rFonts w:ascii="Times New Roman" w:hAnsi="Times New Roman" w:cs="Times New Roman"/>
                <w:sz w:val="16"/>
                <w:szCs w:val="16"/>
              </w:rPr>
              <w:t>⁋</w:t>
            </w:r>
          </w:p>
        </w:tc>
        <w:tc>
          <w:tcPr>
            <w:tcW w:w="606" w:type="dxa"/>
            <w:tcBorders>
              <w:top w:val="nil"/>
              <w:left w:val="nil"/>
              <w:bottom w:val="single" w:sz="8" w:space="0" w:color="auto"/>
              <w:right w:val="nil"/>
            </w:tcBorders>
            <w:shd w:val="clear" w:color="auto" w:fill="auto"/>
            <w:noWrap/>
            <w:hideMark/>
          </w:tcPr>
          <w:p w14:paraId="6BBDA93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0.192</w:t>
            </w:r>
          </w:p>
        </w:tc>
        <w:tc>
          <w:tcPr>
            <w:tcW w:w="1020" w:type="dxa"/>
            <w:tcBorders>
              <w:top w:val="nil"/>
              <w:left w:val="nil"/>
              <w:bottom w:val="single" w:sz="8" w:space="0" w:color="auto"/>
              <w:right w:val="nil"/>
            </w:tcBorders>
            <w:shd w:val="clear" w:color="auto" w:fill="auto"/>
            <w:noWrap/>
            <w:hideMark/>
          </w:tcPr>
          <w:p w14:paraId="6611B21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p>
        </w:tc>
        <w:tc>
          <w:tcPr>
            <w:tcW w:w="1140" w:type="dxa"/>
            <w:tcBorders>
              <w:top w:val="nil"/>
              <w:left w:val="nil"/>
              <w:bottom w:val="single" w:sz="8" w:space="0" w:color="auto"/>
              <w:right w:val="nil"/>
            </w:tcBorders>
            <w:shd w:val="clear" w:color="auto" w:fill="auto"/>
            <w:noWrap/>
            <w:hideMark/>
          </w:tcPr>
          <w:p w14:paraId="4FEA1A2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xml:space="preserve">Fixed </w:t>
            </w:r>
          </w:p>
        </w:tc>
        <w:tc>
          <w:tcPr>
            <w:tcW w:w="1486" w:type="dxa"/>
            <w:tcBorders>
              <w:top w:val="nil"/>
              <w:left w:val="nil"/>
              <w:bottom w:val="single" w:sz="8" w:space="0" w:color="auto"/>
              <w:right w:val="nil"/>
            </w:tcBorders>
            <w:shd w:val="clear" w:color="auto" w:fill="auto"/>
            <w:noWrap/>
            <w:hideMark/>
          </w:tcPr>
          <w:p w14:paraId="62FA6FC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7</w:t>
            </w:r>
          </w:p>
        </w:tc>
      </w:tr>
      <w:tr w:rsidR="007E5F13" w:rsidRPr="00381B0A" w14:paraId="48095C7B" w14:textId="77777777" w:rsidTr="0058737C">
        <w:trPr>
          <w:trHeight w:val="300"/>
        </w:trPr>
        <w:tc>
          <w:tcPr>
            <w:tcW w:w="5954" w:type="dxa"/>
            <w:tcBorders>
              <w:top w:val="nil"/>
              <w:left w:val="nil"/>
              <w:bottom w:val="single" w:sz="8" w:space="0" w:color="auto"/>
              <w:right w:val="nil"/>
            </w:tcBorders>
            <w:shd w:val="clear" w:color="auto" w:fill="auto"/>
            <w:hideMark/>
          </w:tcPr>
          <w:p w14:paraId="20627BE8"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The relative rate of TB mortality per 50 cell increases in CD4 count if HIV+</w:t>
            </w:r>
          </w:p>
        </w:tc>
        <w:tc>
          <w:tcPr>
            <w:tcW w:w="606" w:type="dxa"/>
            <w:tcBorders>
              <w:top w:val="nil"/>
              <w:left w:val="nil"/>
              <w:bottom w:val="single" w:sz="8" w:space="0" w:color="auto"/>
              <w:right w:val="nil"/>
            </w:tcBorders>
            <w:shd w:val="clear" w:color="auto" w:fill="auto"/>
            <w:noWrap/>
            <w:hideMark/>
          </w:tcPr>
          <w:p w14:paraId="7D383CA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0.87</w:t>
            </w:r>
          </w:p>
        </w:tc>
        <w:tc>
          <w:tcPr>
            <w:tcW w:w="1020" w:type="dxa"/>
            <w:tcBorders>
              <w:top w:val="nil"/>
              <w:left w:val="nil"/>
              <w:bottom w:val="single" w:sz="8" w:space="0" w:color="auto"/>
              <w:right w:val="nil"/>
            </w:tcBorders>
            <w:shd w:val="clear" w:color="auto" w:fill="auto"/>
            <w:noWrap/>
            <w:hideMark/>
          </w:tcPr>
          <w:p w14:paraId="717B0C6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0.05</w:t>
            </w:r>
          </w:p>
        </w:tc>
        <w:tc>
          <w:tcPr>
            <w:tcW w:w="1140" w:type="dxa"/>
            <w:tcBorders>
              <w:top w:val="nil"/>
              <w:left w:val="nil"/>
              <w:bottom w:val="single" w:sz="8" w:space="0" w:color="auto"/>
              <w:right w:val="nil"/>
            </w:tcBorders>
            <w:shd w:val="clear" w:color="auto" w:fill="auto"/>
            <w:noWrap/>
            <w:hideMark/>
          </w:tcPr>
          <w:p w14:paraId="1896FD6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7384C86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7</w:t>
            </w:r>
          </w:p>
        </w:tc>
      </w:tr>
      <w:tr w:rsidR="007E5F13" w:rsidRPr="00381B0A" w14:paraId="79CCDA87" w14:textId="77777777" w:rsidTr="0058737C">
        <w:trPr>
          <w:trHeight w:val="300"/>
        </w:trPr>
        <w:tc>
          <w:tcPr>
            <w:tcW w:w="5954" w:type="dxa"/>
            <w:tcBorders>
              <w:top w:val="nil"/>
              <w:left w:val="nil"/>
              <w:bottom w:val="single" w:sz="8" w:space="0" w:color="auto"/>
              <w:right w:val="nil"/>
            </w:tcBorders>
            <w:shd w:val="clear" w:color="auto" w:fill="auto"/>
            <w:hideMark/>
          </w:tcPr>
          <w:p w14:paraId="2A2DA9BC"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Relative rate of TB mortality if on ART</w:t>
            </w:r>
          </w:p>
        </w:tc>
        <w:tc>
          <w:tcPr>
            <w:tcW w:w="606" w:type="dxa"/>
            <w:tcBorders>
              <w:top w:val="nil"/>
              <w:left w:val="nil"/>
              <w:bottom w:val="single" w:sz="8" w:space="0" w:color="auto"/>
              <w:right w:val="nil"/>
            </w:tcBorders>
            <w:shd w:val="clear" w:color="auto" w:fill="auto"/>
            <w:noWrap/>
            <w:hideMark/>
          </w:tcPr>
          <w:p w14:paraId="34D55CF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0.55</w:t>
            </w:r>
          </w:p>
        </w:tc>
        <w:tc>
          <w:tcPr>
            <w:tcW w:w="1020" w:type="dxa"/>
            <w:tcBorders>
              <w:top w:val="nil"/>
              <w:left w:val="nil"/>
              <w:bottom w:val="single" w:sz="8" w:space="0" w:color="auto"/>
              <w:right w:val="nil"/>
            </w:tcBorders>
            <w:shd w:val="clear" w:color="auto" w:fill="auto"/>
            <w:noWrap/>
            <w:hideMark/>
          </w:tcPr>
          <w:p w14:paraId="785CA7D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0.08</w:t>
            </w:r>
          </w:p>
        </w:tc>
        <w:tc>
          <w:tcPr>
            <w:tcW w:w="1140" w:type="dxa"/>
            <w:tcBorders>
              <w:top w:val="nil"/>
              <w:left w:val="nil"/>
              <w:bottom w:val="single" w:sz="8" w:space="0" w:color="auto"/>
              <w:right w:val="nil"/>
            </w:tcBorders>
            <w:shd w:val="clear" w:color="auto" w:fill="auto"/>
            <w:noWrap/>
            <w:hideMark/>
          </w:tcPr>
          <w:p w14:paraId="159F550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1C8D74F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7</w:t>
            </w:r>
          </w:p>
        </w:tc>
      </w:tr>
      <w:tr w:rsidR="007E5F13" w:rsidRPr="00381B0A" w14:paraId="545E9666" w14:textId="77777777" w:rsidTr="0058737C">
        <w:trPr>
          <w:trHeight w:val="300"/>
        </w:trPr>
        <w:tc>
          <w:tcPr>
            <w:tcW w:w="5954" w:type="dxa"/>
            <w:tcBorders>
              <w:top w:val="nil"/>
              <w:left w:val="nil"/>
              <w:bottom w:val="single" w:sz="8" w:space="0" w:color="auto"/>
              <w:right w:val="nil"/>
            </w:tcBorders>
            <w:shd w:val="clear" w:color="auto" w:fill="auto"/>
            <w:hideMark/>
          </w:tcPr>
          <w:p w14:paraId="42E87317"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Increase in TB risk if previously experienced TB</w:t>
            </w:r>
          </w:p>
        </w:tc>
        <w:tc>
          <w:tcPr>
            <w:tcW w:w="606" w:type="dxa"/>
            <w:tcBorders>
              <w:top w:val="nil"/>
              <w:left w:val="nil"/>
              <w:bottom w:val="single" w:sz="8" w:space="0" w:color="auto"/>
              <w:right w:val="nil"/>
            </w:tcBorders>
            <w:shd w:val="clear" w:color="auto" w:fill="auto"/>
            <w:noWrap/>
            <w:hideMark/>
          </w:tcPr>
          <w:p w14:paraId="6A94118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3.03</w:t>
            </w:r>
          </w:p>
        </w:tc>
        <w:tc>
          <w:tcPr>
            <w:tcW w:w="1020" w:type="dxa"/>
            <w:tcBorders>
              <w:top w:val="nil"/>
              <w:left w:val="nil"/>
              <w:bottom w:val="single" w:sz="8" w:space="0" w:color="auto"/>
              <w:right w:val="nil"/>
            </w:tcBorders>
            <w:shd w:val="clear" w:color="auto" w:fill="auto"/>
            <w:noWrap/>
            <w:hideMark/>
          </w:tcPr>
          <w:p w14:paraId="4D71F9A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28846F8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7BB7C71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8</w:t>
            </w:r>
          </w:p>
        </w:tc>
      </w:tr>
      <w:tr w:rsidR="007E5F13" w:rsidRPr="00381B0A" w14:paraId="2F443D1E" w14:textId="77777777" w:rsidTr="0058737C">
        <w:trPr>
          <w:trHeight w:val="300"/>
        </w:trPr>
        <w:tc>
          <w:tcPr>
            <w:tcW w:w="5954" w:type="dxa"/>
            <w:tcBorders>
              <w:top w:val="nil"/>
              <w:left w:val="nil"/>
              <w:bottom w:val="single" w:sz="8" w:space="0" w:color="auto"/>
              <w:right w:val="nil"/>
            </w:tcBorders>
            <w:shd w:val="clear" w:color="auto" w:fill="auto"/>
            <w:hideMark/>
          </w:tcPr>
          <w:p w14:paraId="4BBCB26D"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Annual rate of relapse in short term post-treatment state</w:t>
            </w:r>
          </w:p>
        </w:tc>
        <w:tc>
          <w:tcPr>
            <w:tcW w:w="606" w:type="dxa"/>
            <w:tcBorders>
              <w:top w:val="nil"/>
              <w:left w:val="nil"/>
              <w:bottom w:val="single" w:sz="8" w:space="0" w:color="auto"/>
              <w:right w:val="nil"/>
            </w:tcBorders>
            <w:shd w:val="clear" w:color="auto" w:fill="auto"/>
            <w:noWrap/>
            <w:hideMark/>
          </w:tcPr>
          <w:p w14:paraId="2115E49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0.1</w:t>
            </w:r>
          </w:p>
        </w:tc>
        <w:tc>
          <w:tcPr>
            <w:tcW w:w="1020" w:type="dxa"/>
            <w:tcBorders>
              <w:top w:val="nil"/>
              <w:left w:val="nil"/>
              <w:bottom w:val="single" w:sz="8" w:space="0" w:color="auto"/>
              <w:right w:val="nil"/>
            </w:tcBorders>
            <w:shd w:val="clear" w:color="auto" w:fill="auto"/>
            <w:noWrap/>
            <w:hideMark/>
          </w:tcPr>
          <w:p w14:paraId="5FEFBC1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 </w:t>
            </w:r>
          </w:p>
        </w:tc>
        <w:tc>
          <w:tcPr>
            <w:tcW w:w="1140" w:type="dxa"/>
            <w:tcBorders>
              <w:top w:val="nil"/>
              <w:left w:val="nil"/>
              <w:bottom w:val="single" w:sz="8" w:space="0" w:color="auto"/>
              <w:right w:val="nil"/>
            </w:tcBorders>
            <w:shd w:val="clear" w:color="auto" w:fill="auto"/>
            <w:noWrap/>
            <w:hideMark/>
          </w:tcPr>
          <w:p w14:paraId="0B0F978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Fixed</w:t>
            </w:r>
          </w:p>
        </w:tc>
        <w:tc>
          <w:tcPr>
            <w:tcW w:w="1486" w:type="dxa"/>
            <w:tcBorders>
              <w:top w:val="nil"/>
              <w:left w:val="nil"/>
              <w:bottom w:val="single" w:sz="8" w:space="0" w:color="auto"/>
              <w:right w:val="nil"/>
            </w:tcBorders>
            <w:shd w:val="clear" w:color="auto" w:fill="auto"/>
            <w:noWrap/>
            <w:hideMark/>
          </w:tcPr>
          <w:p w14:paraId="7034A8F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8</w:t>
            </w:r>
          </w:p>
        </w:tc>
      </w:tr>
      <w:tr w:rsidR="007E5F13" w:rsidRPr="00381B0A" w14:paraId="2AD40FFD" w14:textId="77777777" w:rsidTr="0058737C">
        <w:trPr>
          <w:trHeight w:val="300"/>
        </w:trPr>
        <w:tc>
          <w:tcPr>
            <w:tcW w:w="5954" w:type="dxa"/>
            <w:tcBorders>
              <w:top w:val="nil"/>
              <w:left w:val="nil"/>
              <w:bottom w:val="single" w:sz="8" w:space="0" w:color="auto"/>
              <w:right w:val="nil"/>
            </w:tcBorders>
            <w:shd w:val="clear" w:color="auto" w:fill="auto"/>
            <w:hideMark/>
          </w:tcPr>
          <w:p w14:paraId="67E972C0"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Increase in TB incidence due to alcohol abuse</w:t>
            </w:r>
          </w:p>
        </w:tc>
        <w:tc>
          <w:tcPr>
            <w:tcW w:w="606" w:type="dxa"/>
            <w:tcBorders>
              <w:top w:val="nil"/>
              <w:left w:val="nil"/>
              <w:bottom w:val="single" w:sz="8" w:space="0" w:color="auto"/>
              <w:right w:val="nil"/>
            </w:tcBorders>
            <w:shd w:val="clear" w:color="auto" w:fill="auto"/>
            <w:noWrap/>
            <w:hideMark/>
          </w:tcPr>
          <w:p w14:paraId="01E41B3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1.94†</w:t>
            </w:r>
          </w:p>
        </w:tc>
        <w:tc>
          <w:tcPr>
            <w:tcW w:w="1020" w:type="dxa"/>
            <w:tcBorders>
              <w:top w:val="nil"/>
              <w:left w:val="nil"/>
              <w:bottom w:val="single" w:sz="8" w:space="0" w:color="auto"/>
              <w:right w:val="nil"/>
            </w:tcBorders>
            <w:shd w:val="clear" w:color="auto" w:fill="auto"/>
            <w:noWrap/>
            <w:hideMark/>
          </w:tcPr>
          <w:p w14:paraId="26F4392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0.65</w:t>
            </w:r>
          </w:p>
        </w:tc>
        <w:tc>
          <w:tcPr>
            <w:tcW w:w="1140" w:type="dxa"/>
            <w:tcBorders>
              <w:top w:val="nil"/>
              <w:left w:val="nil"/>
              <w:bottom w:val="single" w:sz="8" w:space="0" w:color="auto"/>
              <w:right w:val="nil"/>
            </w:tcBorders>
            <w:shd w:val="clear" w:color="auto" w:fill="auto"/>
            <w:noWrap/>
            <w:hideMark/>
          </w:tcPr>
          <w:p w14:paraId="0240C3B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09A21A3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10</w:t>
            </w:r>
          </w:p>
        </w:tc>
      </w:tr>
      <w:tr w:rsidR="007E5F13" w:rsidRPr="00381B0A" w14:paraId="0E22FC80" w14:textId="77777777" w:rsidTr="0058737C">
        <w:trPr>
          <w:trHeight w:val="300"/>
        </w:trPr>
        <w:tc>
          <w:tcPr>
            <w:tcW w:w="5954" w:type="dxa"/>
            <w:tcBorders>
              <w:top w:val="nil"/>
              <w:left w:val="nil"/>
              <w:bottom w:val="single" w:sz="8" w:space="0" w:color="auto"/>
              <w:right w:val="nil"/>
            </w:tcBorders>
            <w:shd w:val="clear" w:color="auto" w:fill="auto"/>
            <w:hideMark/>
          </w:tcPr>
          <w:p w14:paraId="2476383E"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lastRenderedPageBreak/>
              <w:t>Increase in TB incidence due to diabetes (HbA1c &gt; 6.5%)</w:t>
            </w:r>
          </w:p>
        </w:tc>
        <w:tc>
          <w:tcPr>
            <w:tcW w:w="606" w:type="dxa"/>
            <w:tcBorders>
              <w:top w:val="nil"/>
              <w:left w:val="nil"/>
              <w:bottom w:val="single" w:sz="8" w:space="0" w:color="auto"/>
              <w:right w:val="nil"/>
            </w:tcBorders>
            <w:shd w:val="clear" w:color="auto" w:fill="auto"/>
            <w:noWrap/>
            <w:hideMark/>
          </w:tcPr>
          <w:p w14:paraId="665856D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2.59†</w:t>
            </w:r>
          </w:p>
        </w:tc>
        <w:tc>
          <w:tcPr>
            <w:tcW w:w="1020" w:type="dxa"/>
            <w:tcBorders>
              <w:top w:val="nil"/>
              <w:left w:val="nil"/>
              <w:bottom w:val="single" w:sz="8" w:space="0" w:color="auto"/>
              <w:right w:val="nil"/>
            </w:tcBorders>
            <w:shd w:val="clear" w:color="auto" w:fill="auto"/>
            <w:noWrap/>
            <w:hideMark/>
          </w:tcPr>
          <w:p w14:paraId="66091E2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0.83</w:t>
            </w:r>
          </w:p>
        </w:tc>
        <w:tc>
          <w:tcPr>
            <w:tcW w:w="1140" w:type="dxa"/>
            <w:tcBorders>
              <w:top w:val="nil"/>
              <w:left w:val="nil"/>
              <w:bottom w:val="single" w:sz="8" w:space="0" w:color="auto"/>
              <w:right w:val="nil"/>
            </w:tcBorders>
            <w:shd w:val="clear" w:color="auto" w:fill="auto"/>
            <w:noWrap/>
            <w:hideMark/>
          </w:tcPr>
          <w:p w14:paraId="06D7D49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2103140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10</w:t>
            </w:r>
          </w:p>
        </w:tc>
      </w:tr>
      <w:tr w:rsidR="007E5F13" w:rsidRPr="00381B0A" w14:paraId="77265D3F" w14:textId="77777777" w:rsidTr="0058737C">
        <w:trPr>
          <w:trHeight w:val="300"/>
        </w:trPr>
        <w:tc>
          <w:tcPr>
            <w:tcW w:w="5954" w:type="dxa"/>
            <w:tcBorders>
              <w:top w:val="nil"/>
              <w:left w:val="nil"/>
              <w:bottom w:val="single" w:sz="8" w:space="0" w:color="auto"/>
              <w:right w:val="nil"/>
            </w:tcBorders>
            <w:shd w:val="clear" w:color="auto" w:fill="auto"/>
            <w:hideMark/>
          </w:tcPr>
          <w:p w14:paraId="6F3D6C53"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Increase in TB risk if currently smoking</w:t>
            </w:r>
          </w:p>
        </w:tc>
        <w:tc>
          <w:tcPr>
            <w:tcW w:w="606" w:type="dxa"/>
            <w:tcBorders>
              <w:top w:val="nil"/>
              <w:left w:val="nil"/>
              <w:bottom w:val="single" w:sz="8" w:space="0" w:color="auto"/>
              <w:right w:val="nil"/>
            </w:tcBorders>
            <w:shd w:val="clear" w:color="auto" w:fill="auto"/>
            <w:noWrap/>
            <w:hideMark/>
          </w:tcPr>
          <w:p w14:paraId="2271A45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0.47†</w:t>
            </w:r>
          </w:p>
        </w:tc>
        <w:tc>
          <w:tcPr>
            <w:tcW w:w="1020" w:type="dxa"/>
            <w:tcBorders>
              <w:top w:val="nil"/>
              <w:left w:val="nil"/>
              <w:bottom w:val="single" w:sz="8" w:space="0" w:color="auto"/>
              <w:right w:val="nil"/>
            </w:tcBorders>
            <w:shd w:val="clear" w:color="auto" w:fill="auto"/>
            <w:noWrap/>
            <w:hideMark/>
          </w:tcPr>
          <w:p w14:paraId="7CBA5E9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0.39</w:t>
            </w:r>
          </w:p>
        </w:tc>
        <w:tc>
          <w:tcPr>
            <w:tcW w:w="1140" w:type="dxa"/>
            <w:tcBorders>
              <w:top w:val="nil"/>
              <w:left w:val="nil"/>
              <w:bottom w:val="single" w:sz="8" w:space="0" w:color="auto"/>
              <w:right w:val="nil"/>
            </w:tcBorders>
            <w:shd w:val="clear" w:color="auto" w:fill="auto"/>
            <w:noWrap/>
            <w:hideMark/>
          </w:tcPr>
          <w:p w14:paraId="14CACD0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43282BD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10</w:t>
            </w:r>
          </w:p>
        </w:tc>
      </w:tr>
      <w:tr w:rsidR="007E5F13" w:rsidRPr="00381B0A" w14:paraId="012F5AB9" w14:textId="77777777" w:rsidTr="0058737C">
        <w:trPr>
          <w:trHeight w:val="300"/>
        </w:trPr>
        <w:tc>
          <w:tcPr>
            <w:tcW w:w="5954" w:type="dxa"/>
            <w:tcBorders>
              <w:top w:val="nil"/>
              <w:left w:val="nil"/>
              <w:bottom w:val="single" w:sz="8" w:space="0" w:color="auto"/>
              <w:right w:val="nil"/>
            </w:tcBorders>
            <w:shd w:val="clear" w:color="auto" w:fill="auto"/>
            <w:hideMark/>
          </w:tcPr>
          <w:p w14:paraId="15D4360C"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Increase in TB risk per 10-year increase in the duration of smoking</w:t>
            </w:r>
          </w:p>
        </w:tc>
        <w:tc>
          <w:tcPr>
            <w:tcW w:w="606" w:type="dxa"/>
            <w:tcBorders>
              <w:top w:val="nil"/>
              <w:left w:val="nil"/>
              <w:bottom w:val="single" w:sz="8" w:space="0" w:color="auto"/>
              <w:right w:val="nil"/>
            </w:tcBorders>
            <w:shd w:val="clear" w:color="auto" w:fill="auto"/>
            <w:noWrap/>
            <w:hideMark/>
          </w:tcPr>
          <w:p w14:paraId="092A1D17"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0.38†</w:t>
            </w:r>
          </w:p>
        </w:tc>
        <w:tc>
          <w:tcPr>
            <w:tcW w:w="1020" w:type="dxa"/>
            <w:tcBorders>
              <w:top w:val="nil"/>
              <w:left w:val="nil"/>
              <w:bottom w:val="single" w:sz="8" w:space="0" w:color="auto"/>
              <w:right w:val="nil"/>
            </w:tcBorders>
            <w:shd w:val="clear" w:color="auto" w:fill="auto"/>
            <w:noWrap/>
            <w:hideMark/>
          </w:tcPr>
          <w:p w14:paraId="2FAAADB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0.12</w:t>
            </w:r>
          </w:p>
        </w:tc>
        <w:tc>
          <w:tcPr>
            <w:tcW w:w="1140" w:type="dxa"/>
            <w:tcBorders>
              <w:top w:val="nil"/>
              <w:left w:val="nil"/>
              <w:bottom w:val="single" w:sz="8" w:space="0" w:color="auto"/>
              <w:right w:val="nil"/>
            </w:tcBorders>
            <w:shd w:val="clear" w:color="auto" w:fill="auto"/>
            <w:noWrap/>
            <w:hideMark/>
          </w:tcPr>
          <w:p w14:paraId="41D6D4F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69B5DEC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10</w:t>
            </w:r>
          </w:p>
        </w:tc>
      </w:tr>
      <w:tr w:rsidR="007E5F13" w:rsidRPr="00381B0A" w14:paraId="7FFD4F08" w14:textId="77777777" w:rsidTr="0058737C">
        <w:trPr>
          <w:trHeight w:val="300"/>
        </w:trPr>
        <w:tc>
          <w:tcPr>
            <w:tcW w:w="5954" w:type="dxa"/>
            <w:tcBorders>
              <w:top w:val="nil"/>
              <w:left w:val="nil"/>
              <w:bottom w:val="single" w:sz="8" w:space="0" w:color="auto"/>
              <w:right w:val="nil"/>
            </w:tcBorders>
            <w:shd w:val="clear" w:color="auto" w:fill="auto"/>
            <w:hideMark/>
          </w:tcPr>
          <w:p w14:paraId="10B81F10" w14:textId="77777777" w:rsidR="007E5F13" w:rsidRPr="00381B0A" w:rsidRDefault="007E5F13" w:rsidP="0058737C">
            <w:p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Increase in TB risk due to low BMI</w:t>
            </w:r>
          </w:p>
        </w:tc>
        <w:tc>
          <w:tcPr>
            <w:tcW w:w="606" w:type="dxa"/>
            <w:tcBorders>
              <w:top w:val="nil"/>
              <w:left w:val="nil"/>
              <w:bottom w:val="single" w:sz="8" w:space="0" w:color="auto"/>
              <w:right w:val="nil"/>
            </w:tcBorders>
            <w:shd w:val="clear" w:color="auto" w:fill="auto"/>
            <w:noWrap/>
            <w:hideMark/>
          </w:tcPr>
          <w:p w14:paraId="028C509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0.8†</w:t>
            </w:r>
          </w:p>
        </w:tc>
        <w:tc>
          <w:tcPr>
            <w:tcW w:w="1020" w:type="dxa"/>
            <w:tcBorders>
              <w:top w:val="nil"/>
              <w:left w:val="nil"/>
              <w:bottom w:val="single" w:sz="8" w:space="0" w:color="auto"/>
              <w:right w:val="nil"/>
            </w:tcBorders>
            <w:shd w:val="clear" w:color="auto" w:fill="auto"/>
            <w:noWrap/>
            <w:hideMark/>
          </w:tcPr>
          <w:p w14:paraId="5BFCF43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0.25</w:t>
            </w:r>
          </w:p>
        </w:tc>
        <w:tc>
          <w:tcPr>
            <w:tcW w:w="1140" w:type="dxa"/>
            <w:tcBorders>
              <w:top w:val="nil"/>
              <w:left w:val="nil"/>
              <w:bottom w:val="single" w:sz="8" w:space="0" w:color="auto"/>
              <w:right w:val="nil"/>
            </w:tcBorders>
            <w:shd w:val="clear" w:color="auto" w:fill="auto"/>
            <w:noWrap/>
            <w:hideMark/>
          </w:tcPr>
          <w:p w14:paraId="12325A3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Varied</w:t>
            </w:r>
          </w:p>
        </w:tc>
        <w:tc>
          <w:tcPr>
            <w:tcW w:w="1486" w:type="dxa"/>
            <w:tcBorders>
              <w:top w:val="nil"/>
              <w:left w:val="nil"/>
              <w:bottom w:val="single" w:sz="8" w:space="0" w:color="auto"/>
              <w:right w:val="nil"/>
            </w:tcBorders>
            <w:shd w:val="clear" w:color="auto" w:fill="auto"/>
            <w:noWrap/>
            <w:hideMark/>
          </w:tcPr>
          <w:p w14:paraId="30BA8E9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val="en-US" w:eastAsia="en-ZA"/>
              </w:rPr>
              <w:t>10</w:t>
            </w:r>
          </w:p>
        </w:tc>
      </w:tr>
    </w:tbl>
    <w:p w14:paraId="33CDE2BD" w14:textId="77777777" w:rsidR="007E5F13" w:rsidRPr="00381B0A" w:rsidRDefault="007E5F13" w:rsidP="007E5F13">
      <w:pPr>
        <w:pStyle w:val="1Para"/>
        <w:spacing w:before="0" w:after="0" w:line="240" w:lineRule="auto"/>
        <w:ind w:firstLine="0"/>
        <w:rPr>
          <w:rFonts w:cs="Times New Roman"/>
          <w:sz w:val="20"/>
          <w:szCs w:val="20"/>
        </w:rPr>
      </w:pPr>
      <w:r w:rsidRPr="00381B0A">
        <w:rPr>
          <w:rFonts w:cs="Times New Roman"/>
          <w:b/>
          <w:bCs/>
          <w:sz w:val="20"/>
          <w:szCs w:val="20"/>
        </w:rPr>
        <w:t>Table 1: Key model parameters</w:t>
      </w:r>
      <w:r w:rsidRPr="00381B0A">
        <w:rPr>
          <w:rFonts w:cs="Times New Roman"/>
          <w:sz w:val="20"/>
          <w:szCs w:val="20"/>
        </w:rPr>
        <w:t>.  ART=antiretroviral therapy; BMI=body mass index; HbA1c=</w:t>
      </w:r>
      <w:r w:rsidRPr="00381B0A">
        <w:rPr>
          <w:rFonts w:cs="Times New Roman"/>
          <w:sz w:val="20"/>
          <w:szCs w:val="20"/>
          <w:shd w:val="clear" w:color="auto" w:fill="FFFFFF"/>
        </w:rPr>
        <w:t xml:space="preserve"> </w:t>
      </w:r>
      <w:r w:rsidRPr="00381B0A">
        <w:rPr>
          <w:rFonts w:cs="Times New Roman"/>
          <w:sz w:val="20"/>
          <w:szCs w:val="20"/>
        </w:rPr>
        <w:t xml:space="preserve">Glycated haemoglobin; TB=tuberculosis. Additional details and references on the parameter values are provided in the supplementary material. </w:t>
      </w:r>
      <w:r w:rsidRPr="00381B0A">
        <w:rPr>
          <w:rFonts w:cs="Times New Roman"/>
          <w:sz w:val="16"/>
          <w:szCs w:val="16"/>
        </w:rPr>
        <w:t>⁋</w:t>
      </w:r>
      <w:r w:rsidRPr="00381B0A">
        <w:rPr>
          <w:rFonts w:cs="Times New Roman"/>
          <w:sz w:val="20"/>
          <w:szCs w:val="20"/>
        </w:rPr>
        <w:t xml:space="preserve">Applies to when most people get treated in the very advanced stages of disease (i.e., when screening rates are very low, close to zero). †A value of 2.59, for example, is equivalent to an RR of 3.59 when comparing individuals with the exposure to individuals in the baseline category.  Similarly, a value of 0.39 is equivalent to an RR of 1.39 when comparing individuals with the exposure to individuals in the baseline category. </w:t>
      </w:r>
      <w:r w:rsidRPr="00381B0A">
        <w:rPr>
          <w:rFonts w:cs="Times New Roman"/>
          <w:sz w:val="20"/>
          <w:szCs w:val="20"/>
          <w:vertAlign w:val="superscript"/>
        </w:rPr>
        <w:t xml:space="preserve"> §</w:t>
      </w:r>
      <w:r w:rsidRPr="00381B0A">
        <w:rPr>
          <w:rFonts w:cs="Times New Roman"/>
          <w:sz w:val="20"/>
          <w:szCs w:val="20"/>
        </w:rPr>
        <w:t>This is a time-varying parameter.  The initial rate applies up to 2005 (initial), then we estimate a rate that applies from 2012 with linear interpolation over the intervening years (ultimate).</w:t>
      </w:r>
    </w:p>
    <w:p w14:paraId="7C8037CF" w14:textId="77777777" w:rsidR="007E5F13" w:rsidRPr="00381B0A" w:rsidRDefault="007E5F13" w:rsidP="007E5F13">
      <w:pPr>
        <w:spacing w:line="480" w:lineRule="auto"/>
        <w:rPr>
          <w:rFonts w:ascii="Times New Roman" w:hAnsi="Times New Roman" w:cs="Times New Roman"/>
          <w:sz w:val="20"/>
          <w:szCs w:val="20"/>
        </w:rPr>
      </w:pPr>
    </w:p>
    <w:tbl>
      <w:tblPr>
        <w:tblW w:w="9923" w:type="dxa"/>
        <w:tblBorders>
          <w:top w:val="single" w:sz="4" w:space="0" w:color="auto"/>
          <w:bottom w:val="single" w:sz="4" w:space="0" w:color="auto"/>
        </w:tblBorders>
        <w:tblLook w:val="04A0" w:firstRow="1" w:lastRow="0" w:firstColumn="1" w:lastColumn="0" w:noHBand="0" w:noVBand="1"/>
      </w:tblPr>
      <w:tblGrid>
        <w:gridCol w:w="3119"/>
        <w:gridCol w:w="6804"/>
      </w:tblGrid>
      <w:tr w:rsidR="007E5F13" w:rsidRPr="00381B0A" w14:paraId="10DAF41A" w14:textId="77777777" w:rsidTr="0058737C">
        <w:trPr>
          <w:trHeight w:val="244"/>
        </w:trPr>
        <w:tc>
          <w:tcPr>
            <w:tcW w:w="3119" w:type="dxa"/>
            <w:tcBorders>
              <w:top w:val="single" w:sz="4" w:space="0" w:color="auto"/>
              <w:bottom w:val="single" w:sz="4" w:space="0" w:color="auto"/>
            </w:tcBorders>
            <w:shd w:val="clear" w:color="auto" w:fill="auto"/>
            <w:noWrap/>
          </w:tcPr>
          <w:p w14:paraId="5DEA0785" w14:textId="77777777" w:rsidR="007E5F13" w:rsidRPr="00381B0A" w:rsidRDefault="007E5F13" w:rsidP="0058737C">
            <w:pPr>
              <w:spacing w:line="240" w:lineRule="auto"/>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 xml:space="preserve">Model scenarios </w:t>
            </w:r>
          </w:p>
        </w:tc>
        <w:tc>
          <w:tcPr>
            <w:tcW w:w="6804" w:type="dxa"/>
            <w:tcBorders>
              <w:top w:val="single" w:sz="4" w:space="0" w:color="auto"/>
              <w:bottom w:val="single" w:sz="4" w:space="0" w:color="auto"/>
            </w:tcBorders>
          </w:tcPr>
          <w:p w14:paraId="762F54F3" w14:textId="77777777" w:rsidR="007E5F13" w:rsidRPr="00381B0A" w:rsidRDefault="007E5F13" w:rsidP="0058737C">
            <w:pPr>
              <w:spacing w:line="240" w:lineRule="auto"/>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 xml:space="preserve">Description </w:t>
            </w:r>
          </w:p>
        </w:tc>
      </w:tr>
      <w:tr w:rsidR="007E5F13" w:rsidRPr="00381B0A" w14:paraId="5C0D4EFD" w14:textId="77777777" w:rsidTr="0058737C">
        <w:trPr>
          <w:trHeight w:val="244"/>
        </w:trPr>
        <w:tc>
          <w:tcPr>
            <w:tcW w:w="3119" w:type="dxa"/>
            <w:tcBorders>
              <w:top w:val="single" w:sz="4" w:space="0" w:color="auto"/>
              <w:bottom w:val="single" w:sz="4" w:space="0" w:color="auto"/>
            </w:tcBorders>
            <w:shd w:val="clear" w:color="auto" w:fill="auto"/>
            <w:noWrap/>
          </w:tcPr>
          <w:p w14:paraId="3AD34CCE" w14:textId="77777777" w:rsidR="007E5F13" w:rsidRPr="00381B0A" w:rsidRDefault="007E5F13" w:rsidP="0058737C">
            <w:pPr>
              <w:spacing w:line="240" w:lineRule="auto"/>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Baseline scenario (A)</w:t>
            </w:r>
          </w:p>
        </w:tc>
        <w:tc>
          <w:tcPr>
            <w:tcW w:w="6804" w:type="dxa"/>
            <w:tcBorders>
              <w:top w:val="single" w:sz="4" w:space="0" w:color="auto"/>
              <w:bottom w:val="single" w:sz="4" w:space="0" w:color="auto"/>
            </w:tcBorders>
          </w:tcPr>
          <w:p w14:paraId="57365FFD" w14:textId="77777777" w:rsidR="007E5F13" w:rsidRPr="00381B0A" w:rsidRDefault="007E5F13" w:rsidP="0058737C">
            <w:pPr>
              <w:spacing w:line="240" w:lineRule="auto"/>
              <w:rPr>
                <w:rFonts w:ascii="Times New Roman" w:eastAsia="Times New Roman" w:hAnsi="Times New Roman" w:cs="Times New Roman"/>
                <w:b/>
                <w:bCs/>
                <w:sz w:val="16"/>
                <w:szCs w:val="16"/>
                <w:lang w:eastAsia="en-ZA"/>
              </w:rPr>
            </w:pPr>
            <w:r w:rsidRPr="00381B0A">
              <w:rPr>
                <w:rFonts w:ascii="Times New Roman" w:hAnsi="Times New Roman" w:cs="Times New Roman"/>
                <w:sz w:val="16"/>
                <w:szCs w:val="16"/>
              </w:rPr>
              <w:t>Baseline scenario which represents the actual tuberculosis and HIV epidemic up to 2019, incorporating sex differences</w:t>
            </w:r>
            <w:r w:rsidRPr="00381B0A">
              <w:rPr>
                <w:rFonts w:ascii="Times New Roman" w:eastAsia="Times New Roman" w:hAnsi="Times New Roman" w:cs="Times New Roman"/>
                <w:sz w:val="16"/>
                <w:szCs w:val="16"/>
                <w:bdr w:val="none" w:sz="0" w:space="0" w:color="auto" w:frame="1"/>
                <w:lang w:val="en-CA" w:eastAsia="en-ZA"/>
              </w:rPr>
              <w:t>.</w:t>
            </w:r>
          </w:p>
        </w:tc>
      </w:tr>
      <w:tr w:rsidR="007E5F13" w:rsidRPr="00381B0A" w14:paraId="3CC013A8" w14:textId="77777777" w:rsidTr="0058737C">
        <w:trPr>
          <w:trHeight w:val="244"/>
        </w:trPr>
        <w:tc>
          <w:tcPr>
            <w:tcW w:w="3119" w:type="dxa"/>
            <w:tcBorders>
              <w:top w:val="single" w:sz="4" w:space="0" w:color="auto"/>
              <w:bottom w:val="nil"/>
            </w:tcBorders>
            <w:shd w:val="clear" w:color="auto" w:fill="auto"/>
            <w:noWrap/>
          </w:tcPr>
          <w:p w14:paraId="059C3733" w14:textId="77777777" w:rsidR="007E5F13" w:rsidRPr="00381B0A" w:rsidRDefault="007E5F13" w:rsidP="0058737C">
            <w:pPr>
              <w:spacing w:line="240" w:lineRule="auto"/>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Counterfactual scenarios (B)</w:t>
            </w:r>
          </w:p>
        </w:tc>
        <w:tc>
          <w:tcPr>
            <w:tcW w:w="6804" w:type="dxa"/>
            <w:tcBorders>
              <w:top w:val="single" w:sz="4" w:space="0" w:color="auto"/>
              <w:bottom w:val="nil"/>
            </w:tcBorders>
          </w:tcPr>
          <w:p w14:paraId="54FE5999" w14:textId="77777777" w:rsidR="007E5F13" w:rsidRPr="00381B0A" w:rsidRDefault="007E5F13" w:rsidP="0058737C">
            <w:pPr>
              <w:spacing w:line="240" w:lineRule="auto"/>
              <w:rPr>
                <w:rFonts w:ascii="Times New Roman" w:eastAsia="Times New Roman" w:hAnsi="Times New Roman" w:cs="Times New Roman"/>
                <w:b/>
                <w:bCs/>
                <w:sz w:val="16"/>
                <w:szCs w:val="16"/>
                <w:lang w:eastAsia="en-ZA"/>
              </w:rPr>
            </w:pPr>
          </w:p>
        </w:tc>
      </w:tr>
      <w:tr w:rsidR="007E5F13" w:rsidRPr="00381B0A" w14:paraId="174581FD" w14:textId="77777777" w:rsidTr="0058737C">
        <w:trPr>
          <w:trHeight w:val="244"/>
        </w:trPr>
        <w:tc>
          <w:tcPr>
            <w:tcW w:w="3119" w:type="dxa"/>
            <w:tcBorders>
              <w:top w:val="nil"/>
            </w:tcBorders>
            <w:shd w:val="clear" w:color="auto" w:fill="auto"/>
            <w:noWrap/>
            <w:hideMark/>
          </w:tcPr>
          <w:p w14:paraId="2FBEDC0A"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xml:space="preserve">No HIV epidemic </w:t>
            </w:r>
          </w:p>
        </w:tc>
        <w:tc>
          <w:tcPr>
            <w:tcW w:w="6804" w:type="dxa"/>
            <w:tcBorders>
              <w:top w:val="nil"/>
            </w:tcBorders>
          </w:tcPr>
          <w:p w14:paraId="480C3477"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hAnsi="Times New Roman" w:cs="Times New Roman"/>
                <w:sz w:val="16"/>
                <w:szCs w:val="16"/>
              </w:rPr>
              <w:t>HIV transmission probabilities were set to zero</w:t>
            </w:r>
          </w:p>
        </w:tc>
      </w:tr>
      <w:tr w:rsidR="007E5F13" w:rsidRPr="00381B0A" w14:paraId="454DBCB9" w14:textId="77777777" w:rsidTr="0058737C">
        <w:trPr>
          <w:trHeight w:val="244"/>
        </w:trPr>
        <w:tc>
          <w:tcPr>
            <w:tcW w:w="3119" w:type="dxa"/>
            <w:shd w:val="clear" w:color="auto" w:fill="auto"/>
            <w:noWrap/>
          </w:tcPr>
          <w:p w14:paraId="609888B2"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No ART</w:t>
            </w:r>
          </w:p>
        </w:tc>
        <w:tc>
          <w:tcPr>
            <w:tcW w:w="6804" w:type="dxa"/>
          </w:tcPr>
          <w:p w14:paraId="56C100EF"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hAnsi="Times New Roman" w:cs="Times New Roman"/>
                <w:sz w:val="16"/>
                <w:szCs w:val="16"/>
              </w:rPr>
              <w:t>Annual rates of ART initiations are set to zero</w:t>
            </w:r>
          </w:p>
        </w:tc>
      </w:tr>
      <w:tr w:rsidR="007E5F13" w:rsidRPr="00381B0A" w14:paraId="1AFBE1CA" w14:textId="77777777" w:rsidTr="0058737C">
        <w:trPr>
          <w:trHeight w:val="244"/>
        </w:trPr>
        <w:tc>
          <w:tcPr>
            <w:tcW w:w="3119" w:type="dxa"/>
            <w:shd w:val="clear" w:color="auto" w:fill="auto"/>
            <w:noWrap/>
          </w:tcPr>
          <w:p w14:paraId="524DCE43"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ART uptake</w:t>
            </w:r>
          </w:p>
        </w:tc>
        <w:tc>
          <w:tcPr>
            <w:tcW w:w="6804" w:type="dxa"/>
          </w:tcPr>
          <w:p w14:paraId="0DEEBE01"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hAnsi="Times New Roman" w:cs="Times New Roman"/>
                <w:sz w:val="16"/>
                <w:szCs w:val="16"/>
                <w:shd w:val="clear" w:color="auto" w:fill="FFFFFF"/>
              </w:rPr>
              <w:t>Annual HIV testing and ART initiation rates in males and females to be the same</w:t>
            </w:r>
          </w:p>
        </w:tc>
      </w:tr>
      <w:tr w:rsidR="007E5F13" w:rsidRPr="00381B0A" w14:paraId="0BEDB813" w14:textId="77777777" w:rsidTr="0058737C">
        <w:trPr>
          <w:trHeight w:val="244"/>
        </w:trPr>
        <w:tc>
          <w:tcPr>
            <w:tcW w:w="3119" w:type="dxa"/>
            <w:shd w:val="clear" w:color="auto" w:fill="auto"/>
            <w:noWrap/>
          </w:tcPr>
          <w:p w14:paraId="4C11C96A"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No smoking</w:t>
            </w:r>
          </w:p>
        </w:tc>
        <w:tc>
          <w:tcPr>
            <w:tcW w:w="6804" w:type="dxa"/>
          </w:tcPr>
          <w:p w14:paraId="6168C8D7"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bdr w:val="none" w:sz="0" w:space="0" w:color="auto" w:frame="1"/>
                <w:lang w:val="en-CA" w:eastAsia="en-ZA"/>
              </w:rPr>
              <w:t>Prevalence of smoking is zero</w:t>
            </w:r>
          </w:p>
        </w:tc>
      </w:tr>
      <w:tr w:rsidR="007E5F13" w:rsidRPr="00381B0A" w14:paraId="13191843" w14:textId="77777777" w:rsidTr="0058737C">
        <w:trPr>
          <w:trHeight w:val="244"/>
        </w:trPr>
        <w:tc>
          <w:tcPr>
            <w:tcW w:w="3119" w:type="dxa"/>
            <w:shd w:val="clear" w:color="auto" w:fill="auto"/>
            <w:noWrap/>
            <w:hideMark/>
          </w:tcPr>
          <w:p w14:paraId="39BB6DD2"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xml:space="preserve">No alcohol abuse </w:t>
            </w:r>
          </w:p>
        </w:tc>
        <w:tc>
          <w:tcPr>
            <w:tcW w:w="6804" w:type="dxa"/>
          </w:tcPr>
          <w:p w14:paraId="6670DE9D"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bdr w:val="none" w:sz="0" w:space="0" w:color="auto" w:frame="1"/>
                <w:lang w:val="en-CA" w:eastAsia="en-ZA"/>
              </w:rPr>
              <w:t xml:space="preserve">Prevalence of </w:t>
            </w:r>
            <w:r w:rsidRPr="00381B0A">
              <w:rPr>
                <w:rFonts w:ascii="Times New Roman" w:eastAsia="Times New Roman" w:hAnsi="Times New Roman" w:cs="Times New Roman"/>
                <w:sz w:val="16"/>
                <w:szCs w:val="16"/>
                <w:lang w:eastAsia="en-ZA"/>
              </w:rPr>
              <w:t>alcohol assumption is</w:t>
            </w:r>
            <w:r w:rsidRPr="00381B0A">
              <w:rPr>
                <w:rFonts w:ascii="Times New Roman" w:eastAsia="Times New Roman" w:hAnsi="Times New Roman" w:cs="Times New Roman"/>
                <w:sz w:val="16"/>
                <w:szCs w:val="16"/>
                <w:bdr w:val="none" w:sz="0" w:space="0" w:color="auto" w:frame="1"/>
                <w:lang w:val="en-CA" w:eastAsia="en-ZA"/>
              </w:rPr>
              <w:t xml:space="preserve"> zero</w:t>
            </w:r>
          </w:p>
        </w:tc>
      </w:tr>
      <w:tr w:rsidR="007E5F13" w:rsidRPr="00381B0A" w14:paraId="6AD20D04" w14:textId="77777777" w:rsidTr="0058737C">
        <w:trPr>
          <w:trHeight w:val="244"/>
        </w:trPr>
        <w:tc>
          <w:tcPr>
            <w:tcW w:w="3119" w:type="dxa"/>
            <w:shd w:val="clear" w:color="auto" w:fill="auto"/>
            <w:noWrap/>
            <w:hideMark/>
          </w:tcPr>
          <w:p w14:paraId="44C4730B"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No undernutrition</w:t>
            </w:r>
          </w:p>
        </w:tc>
        <w:tc>
          <w:tcPr>
            <w:tcW w:w="6804" w:type="dxa"/>
          </w:tcPr>
          <w:p w14:paraId="3F7E4962"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bdr w:val="none" w:sz="0" w:space="0" w:color="auto" w:frame="1"/>
                <w:lang w:val="en-CA" w:eastAsia="en-ZA"/>
              </w:rPr>
              <w:t xml:space="preserve">Prevalence of </w:t>
            </w:r>
            <w:r w:rsidRPr="00381B0A">
              <w:rPr>
                <w:rFonts w:ascii="Times New Roman" w:eastAsia="Times New Roman" w:hAnsi="Times New Roman" w:cs="Times New Roman"/>
                <w:sz w:val="16"/>
                <w:szCs w:val="16"/>
                <w:lang w:eastAsia="en-ZA"/>
              </w:rPr>
              <w:t>undernutrition is</w:t>
            </w:r>
            <w:r w:rsidRPr="00381B0A">
              <w:rPr>
                <w:rFonts w:ascii="Times New Roman" w:eastAsia="Times New Roman" w:hAnsi="Times New Roman" w:cs="Times New Roman"/>
                <w:sz w:val="16"/>
                <w:szCs w:val="16"/>
                <w:bdr w:val="none" w:sz="0" w:space="0" w:color="auto" w:frame="1"/>
                <w:lang w:val="en-CA" w:eastAsia="en-ZA"/>
              </w:rPr>
              <w:t xml:space="preserve"> zero</w:t>
            </w:r>
          </w:p>
        </w:tc>
      </w:tr>
      <w:tr w:rsidR="007E5F13" w:rsidRPr="00381B0A" w14:paraId="7C0BB7D2" w14:textId="77777777" w:rsidTr="0058737C">
        <w:trPr>
          <w:trHeight w:val="244"/>
        </w:trPr>
        <w:tc>
          <w:tcPr>
            <w:tcW w:w="3119" w:type="dxa"/>
            <w:shd w:val="clear" w:color="auto" w:fill="auto"/>
            <w:noWrap/>
            <w:hideMark/>
          </w:tcPr>
          <w:p w14:paraId="174A392F"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xml:space="preserve">No diabetes </w:t>
            </w:r>
          </w:p>
        </w:tc>
        <w:tc>
          <w:tcPr>
            <w:tcW w:w="6804" w:type="dxa"/>
          </w:tcPr>
          <w:p w14:paraId="158074C0"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bdr w:val="none" w:sz="0" w:space="0" w:color="auto" w:frame="1"/>
                <w:lang w:val="en-CA" w:eastAsia="en-ZA"/>
              </w:rPr>
              <w:t>Prevalence of diabetes is zero</w:t>
            </w:r>
          </w:p>
        </w:tc>
      </w:tr>
      <w:tr w:rsidR="007E5F13" w:rsidRPr="00381B0A" w14:paraId="36E0B596" w14:textId="77777777" w:rsidTr="0058737C">
        <w:trPr>
          <w:trHeight w:val="244"/>
        </w:trPr>
        <w:tc>
          <w:tcPr>
            <w:tcW w:w="3119" w:type="dxa"/>
            <w:shd w:val="clear" w:color="auto" w:fill="auto"/>
            <w:noWrap/>
            <w:hideMark/>
          </w:tcPr>
          <w:p w14:paraId="6897FDD4"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health seeking</w:t>
            </w:r>
          </w:p>
        </w:tc>
        <w:tc>
          <w:tcPr>
            <w:tcW w:w="6804" w:type="dxa"/>
          </w:tcPr>
          <w:p w14:paraId="29F1A8AD"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Health seeking rates for females are set the same as for males.</w:t>
            </w:r>
          </w:p>
        </w:tc>
      </w:tr>
      <w:tr w:rsidR="007E5F13" w:rsidRPr="00381B0A" w14:paraId="543DD11C" w14:textId="77777777" w:rsidTr="0058737C">
        <w:trPr>
          <w:trHeight w:val="244"/>
        </w:trPr>
        <w:tc>
          <w:tcPr>
            <w:tcW w:w="3119" w:type="dxa"/>
            <w:shd w:val="clear" w:color="auto" w:fill="auto"/>
            <w:noWrap/>
            <w:hideMark/>
          </w:tcPr>
          <w:p w14:paraId="65A312EE"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social mixing</w:t>
            </w:r>
          </w:p>
        </w:tc>
        <w:tc>
          <w:tcPr>
            <w:tcW w:w="6804" w:type="dxa"/>
          </w:tcPr>
          <w:p w14:paraId="3C1A33B1"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bdr w:val="none" w:sz="0" w:space="0" w:color="auto" w:frame="1"/>
                <w:lang w:val="en-CA" w:eastAsia="en-ZA"/>
              </w:rPr>
              <w:t>C</w:t>
            </w:r>
            <w:proofErr w:type="spellStart"/>
            <w:r w:rsidRPr="00381B0A">
              <w:rPr>
                <w:rFonts w:ascii="Times New Roman" w:eastAsia="Times New Roman" w:hAnsi="Times New Roman" w:cs="Times New Roman"/>
                <w:sz w:val="16"/>
                <w:szCs w:val="16"/>
                <w:bdr w:val="none" w:sz="0" w:space="0" w:color="auto" w:frame="1"/>
                <w:lang w:eastAsia="en-ZA"/>
              </w:rPr>
              <w:t>ontact</w:t>
            </w:r>
            <w:proofErr w:type="spellEnd"/>
            <w:r w:rsidRPr="00381B0A">
              <w:rPr>
                <w:rFonts w:ascii="Times New Roman" w:eastAsia="Times New Roman" w:hAnsi="Times New Roman" w:cs="Times New Roman"/>
                <w:sz w:val="16"/>
                <w:szCs w:val="16"/>
                <w:bdr w:val="none" w:sz="0" w:space="0" w:color="auto" w:frame="1"/>
                <w:lang w:eastAsia="en-ZA"/>
              </w:rPr>
              <w:t xml:space="preserve"> rates and social mixing parameters are set as the average of the baseline male and female parameters</w:t>
            </w:r>
          </w:p>
        </w:tc>
      </w:tr>
      <w:tr w:rsidR="007E5F13" w:rsidRPr="00381B0A" w14:paraId="40FEC3B1" w14:textId="77777777" w:rsidTr="0058737C">
        <w:trPr>
          <w:trHeight w:val="244"/>
        </w:trPr>
        <w:tc>
          <w:tcPr>
            <w:tcW w:w="3119" w:type="dxa"/>
            <w:shd w:val="clear" w:color="auto" w:fill="auto"/>
            <w:noWrap/>
            <w:hideMark/>
          </w:tcPr>
          <w:p w14:paraId="628C07C5"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treatment discontinuation</w:t>
            </w:r>
          </w:p>
        </w:tc>
        <w:tc>
          <w:tcPr>
            <w:tcW w:w="6804" w:type="dxa"/>
          </w:tcPr>
          <w:p w14:paraId="31130049"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bdr w:val="none" w:sz="0" w:space="0" w:color="auto" w:frame="1"/>
                <w:lang w:eastAsia="en-ZA"/>
              </w:rPr>
              <w:t>Treatment discontinuation in males set the same as for females.</w:t>
            </w:r>
          </w:p>
        </w:tc>
      </w:tr>
      <w:tr w:rsidR="007E5F13" w:rsidRPr="00381B0A" w14:paraId="1D8B2D5A" w14:textId="77777777" w:rsidTr="0058737C">
        <w:trPr>
          <w:trHeight w:val="244"/>
        </w:trPr>
        <w:tc>
          <w:tcPr>
            <w:tcW w:w="3119" w:type="dxa"/>
            <w:shd w:val="clear" w:color="auto" w:fill="auto"/>
            <w:noWrap/>
          </w:tcPr>
          <w:p w14:paraId="08A6289B" w14:textId="77777777" w:rsidR="007E5F13" w:rsidRPr="00381B0A" w:rsidRDefault="007E5F13" w:rsidP="0058737C">
            <w:pPr>
              <w:pStyle w:val="ListParagraph"/>
              <w:numPr>
                <w:ilvl w:val="0"/>
                <w:numId w:val="2"/>
              </w:numPr>
              <w:spacing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All effects equal</w:t>
            </w:r>
          </w:p>
        </w:tc>
        <w:tc>
          <w:tcPr>
            <w:tcW w:w="6804" w:type="dxa"/>
          </w:tcPr>
          <w:p w14:paraId="69708AD6" w14:textId="77777777" w:rsidR="007E5F13" w:rsidRPr="00381B0A" w:rsidRDefault="007E5F13" w:rsidP="0058737C">
            <w:pPr>
              <w:spacing w:line="240" w:lineRule="auto"/>
              <w:rPr>
                <w:rFonts w:ascii="Times New Roman" w:eastAsia="Times New Roman" w:hAnsi="Times New Roman" w:cs="Times New Roman"/>
                <w:sz w:val="16"/>
                <w:szCs w:val="16"/>
                <w:lang w:eastAsia="en-ZA"/>
              </w:rPr>
            </w:pPr>
            <w:r w:rsidRPr="00381B0A">
              <w:rPr>
                <w:rFonts w:ascii="Times New Roman" w:hAnsi="Times New Roman" w:cs="Times New Roman"/>
                <w:sz w:val="16"/>
                <w:szCs w:val="16"/>
                <w:shd w:val="clear" w:color="auto" w:fill="FFFFFF"/>
              </w:rPr>
              <w:t>Assume no HIV epidemic and all the other parameters for the factors above are set the same for males and females.</w:t>
            </w:r>
          </w:p>
        </w:tc>
      </w:tr>
    </w:tbl>
    <w:p w14:paraId="7F57A7F7" w14:textId="77777777" w:rsidR="007E5F13" w:rsidRPr="00381B0A" w:rsidRDefault="007E5F13" w:rsidP="007E5F13">
      <w:pPr>
        <w:tabs>
          <w:tab w:val="left" w:pos="2297"/>
        </w:tabs>
        <w:spacing w:line="240" w:lineRule="auto"/>
        <w:rPr>
          <w:rFonts w:ascii="Times New Roman" w:eastAsiaTheme="minorEastAsia" w:hAnsi="Times New Roman" w:cs="Times New Roman"/>
          <w:sz w:val="20"/>
          <w:szCs w:val="20"/>
        </w:rPr>
      </w:pPr>
      <w:r w:rsidRPr="00381B0A">
        <w:rPr>
          <w:rFonts w:ascii="Times New Roman" w:hAnsi="Times New Roman" w:cs="Times New Roman"/>
          <w:b/>
          <w:bCs/>
          <w:sz w:val="20"/>
          <w:szCs w:val="20"/>
        </w:rPr>
        <w:t xml:space="preserve">Table 2: Model scenarios to quantify the extent to which various factors contribute to sex differences in tuberculosis.  </w:t>
      </w:r>
      <w:r w:rsidRPr="00381B0A">
        <w:rPr>
          <w:rFonts w:ascii="Times New Roman" w:eastAsiaTheme="minorEastAsia" w:hAnsi="Times New Roman" w:cs="Times New Roman"/>
          <w:sz w:val="20"/>
          <w:szCs w:val="20"/>
        </w:rPr>
        <w:t>ART=antiretroviral therapy; TB=tuberculosis.</w:t>
      </w:r>
    </w:p>
    <w:p w14:paraId="60D39980" w14:textId="77777777" w:rsidR="007E5F13" w:rsidRPr="00381B0A" w:rsidRDefault="007E5F13" w:rsidP="007E5F13">
      <w:pPr>
        <w:rPr>
          <w:rFonts w:ascii="Times New Roman" w:eastAsiaTheme="minorEastAsia" w:hAnsi="Times New Roman" w:cs="Times New Roman"/>
          <w:sz w:val="20"/>
          <w:szCs w:val="20"/>
        </w:rPr>
      </w:pPr>
      <w:r w:rsidRPr="00381B0A">
        <w:rPr>
          <w:rFonts w:ascii="Times New Roman" w:eastAsiaTheme="minorEastAsia" w:hAnsi="Times New Roman" w:cs="Times New Roman"/>
          <w:sz w:val="20"/>
          <w:szCs w:val="20"/>
        </w:rPr>
        <w:br w:type="page"/>
      </w:r>
    </w:p>
    <w:tbl>
      <w:tblPr>
        <w:tblW w:w="10348" w:type="dxa"/>
        <w:tblBorders>
          <w:top w:val="single" w:sz="4" w:space="0" w:color="auto"/>
          <w:bottom w:val="single" w:sz="4" w:space="0" w:color="auto"/>
        </w:tblBorders>
        <w:tblLook w:val="04A0" w:firstRow="1" w:lastRow="0" w:firstColumn="1" w:lastColumn="0" w:noHBand="0" w:noVBand="1"/>
      </w:tblPr>
      <w:tblGrid>
        <w:gridCol w:w="2268"/>
        <w:gridCol w:w="1701"/>
        <w:gridCol w:w="2552"/>
        <w:gridCol w:w="1559"/>
        <w:gridCol w:w="2268"/>
      </w:tblGrid>
      <w:tr w:rsidR="007E5F13" w:rsidRPr="00381B0A" w14:paraId="11EF0454" w14:textId="77777777" w:rsidTr="0058737C">
        <w:trPr>
          <w:trHeight w:val="278"/>
        </w:trPr>
        <w:tc>
          <w:tcPr>
            <w:tcW w:w="2268" w:type="dxa"/>
            <w:tcBorders>
              <w:top w:val="single" w:sz="4" w:space="0" w:color="auto"/>
              <w:bottom w:val="single" w:sz="4" w:space="0" w:color="auto"/>
            </w:tcBorders>
            <w:shd w:val="clear" w:color="auto" w:fill="auto"/>
            <w:noWrap/>
          </w:tcPr>
          <w:p w14:paraId="30B4BD8F" w14:textId="77777777" w:rsidR="007E5F13" w:rsidRPr="00381B0A" w:rsidRDefault="007E5F13" w:rsidP="0058737C">
            <w:pPr>
              <w:spacing w:after="0" w:line="240" w:lineRule="auto"/>
              <w:rPr>
                <w:rFonts w:ascii="Times New Roman" w:eastAsia="Times New Roman" w:hAnsi="Times New Roman" w:cs="Times New Roman"/>
                <w:sz w:val="16"/>
                <w:szCs w:val="16"/>
                <w:u w:val="single"/>
                <w:lang w:eastAsia="en-ZA"/>
              </w:rPr>
            </w:pPr>
          </w:p>
        </w:tc>
        <w:tc>
          <w:tcPr>
            <w:tcW w:w="1701" w:type="dxa"/>
            <w:tcBorders>
              <w:top w:val="single" w:sz="4" w:space="0" w:color="auto"/>
              <w:bottom w:val="single" w:sz="4" w:space="0" w:color="auto"/>
            </w:tcBorders>
            <w:shd w:val="clear" w:color="auto" w:fill="auto"/>
            <w:noWrap/>
          </w:tcPr>
          <w:p w14:paraId="20D8ECAB"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TB incidence M:F ratios</w:t>
            </w:r>
          </w:p>
          <w:p w14:paraId="3CFC2E2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b/>
                <w:bCs/>
                <w:sz w:val="16"/>
                <w:szCs w:val="16"/>
                <w:lang w:eastAsia="en-ZA"/>
              </w:rPr>
              <w:t>(95% CI)</w:t>
            </w:r>
          </w:p>
        </w:tc>
        <w:tc>
          <w:tcPr>
            <w:tcW w:w="2552" w:type="dxa"/>
            <w:tcBorders>
              <w:top w:val="single" w:sz="4" w:space="0" w:color="auto"/>
              <w:bottom w:val="single" w:sz="4" w:space="0" w:color="auto"/>
            </w:tcBorders>
            <w:shd w:val="clear" w:color="auto" w:fill="auto"/>
            <w:noWrap/>
          </w:tcPr>
          <w:p w14:paraId="3183FD7D"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 xml:space="preserve">% </w:t>
            </w:r>
            <w:proofErr w:type="gramStart"/>
            <w:r w:rsidRPr="00381B0A">
              <w:rPr>
                <w:rFonts w:ascii="Times New Roman" w:eastAsia="Times New Roman" w:hAnsi="Times New Roman" w:cs="Times New Roman"/>
                <w:b/>
                <w:bCs/>
                <w:sz w:val="16"/>
                <w:szCs w:val="16"/>
                <w:lang w:eastAsia="en-ZA"/>
              </w:rPr>
              <w:t>change</w:t>
            </w:r>
            <w:proofErr w:type="gramEnd"/>
            <w:r w:rsidRPr="00381B0A">
              <w:rPr>
                <w:rFonts w:ascii="Times New Roman" w:eastAsia="Times New Roman" w:hAnsi="Times New Roman" w:cs="Times New Roman"/>
                <w:b/>
                <w:bCs/>
                <w:sz w:val="16"/>
                <w:szCs w:val="16"/>
                <w:lang w:eastAsia="en-ZA"/>
              </w:rPr>
              <w:t xml:space="preserve"> in M:F ratio, counterfactual vs baseline</w:t>
            </w:r>
          </w:p>
          <w:p w14:paraId="2FA0846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b/>
                <w:bCs/>
                <w:sz w:val="16"/>
                <w:szCs w:val="16"/>
                <w:lang w:eastAsia="en-ZA"/>
              </w:rPr>
              <w:t>(95% CI)</w:t>
            </w:r>
          </w:p>
        </w:tc>
        <w:tc>
          <w:tcPr>
            <w:tcW w:w="1559" w:type="dxa"/>
            <w:tcBorders>
              <w:top w:val="single" w:sz="4" w:space="0" w:color="auto"/>
              <w:bottom w:val="single" w:sz="4" w:space="0" w:color="auto"/>
            </w:tcBorders>
            <w:shd w:val="clear" w:color="auto" w:fill="auto"/>
            <w:noWrap/>
          </w:tcPr>
          <w:p w14:paraId="3C03E451"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TB mortality M:F ratios</w:t>
            </w:r>
          </w:p>
          <w:p w14:paraId="7C5AD828"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(95% CI)</w:t>
            </w:r>
          </w:p>
        </w:tc>
        <w:tc>
          <w:tcPr>
            <w:tcW w:w="2268" w:type="dxa"/>
            <w:tcBorders>
              <w:top w:val="single" w:sz="4" w:space="0" w:color="auto"/>
              <w:bottom w:val="single" w:sz="4" w:space="0" w:color="auto"/>
            </w:tcBorders>
            <w:shd w:val="clear" w:color="auto" w:fill="auto"/>
            <w:noWrap/>
          </w:tcPr>
          <w:p w14:paraId="4423637A" w14:textId="77777777" w:rsidR="007E5F13" w:rsidRPr="00381B0A" w:rsidRDefault="007E5F13" w:rsidP="0058737C">
            <w:pPr>
              <w:spacing w:after="0" w:line="240" w:lineRule="auto"/>
              <w:jc w:val="center"/>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 xml:space="preserve">% </w:t>
            </w:r>
            <w:proofErr w:type="gramStart"/>
            <w:r w:rsidRPr="00381B0A">
              <w:rPr>
                <w:rFonts w:ascii="Times New Roman" w:eastAsia="Times New Roman" w:hAnsi="Times New Roman" w:cs="Times New Roman"/>
                <w:b/>
                <w:bCs/>
                <w:sz w:val="16"/>
                <w:szCs w:val="16"/>
                <w:lang w:eastAsia="en-ZA"/>
              </w:rPr>
              <w:t>change</w:t>
            </w:r>
            <w:proofErr w:type="gramEnd"/>
            <w:r w:rsidRPr="00381B0A">
              <w:rPr>
                <w:rFonts w:ascii="Times New Roman" w:eastAsia="Times New Roman" w:hAnsi="Times New Roman" w:cs="Times New Roman"/>
                <w:b/>
                <w:bCs/>
                <w:sz w:val="16"/>
                <w:szCs w:val="16"/>
                <w:lang w:eastAsia="en-ZA"/>
              </w:rPr>
              <w:t xml:space="preserve"> in M:F ratio, counterfactual vs baseline</w:t>
            </w:r>
          </w:p>
          <w:p w14:paraId="1CAC1D5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b/>
                <w:bCs/>
                <w:sz w:val="16"/>
                <w:szCs w:val="16"/>
                <w:lang w:eastAsia="en-ZA"/>
              </w:rPr>
              <w:t>(95% CI)</w:t>
            </w:r>
          </w:p>
        </w:tc>
      </w:tr>
      <w:tr w:rsidR="007E5F13" w:rsidRPr="00381B0A" w14:paraId="60BFB876" w14:textId="77777777" w:rsidTr="0058737C">
        <w:trPr>
          <w:trHeight w:val="278"/>
        </w:trPr>
        <w:tc>
          <w:tcPr>
            <w:tcW w:w="2268" w:type="dxa"/>
            <w:tcBorders>
              <w:top w:val="single" w:sz="4" w:space="0" w:color="auto"/>
              <w:bottom w:val="single" w:sz="4" w:space="0" w:color="auto"/>
            </w:tcBorders>
            <w:shd w:val="clear" w:color="auto" w:fill="auto"/>
            <w:noWrap/>
          </w:tcPr>
          <w:p w14:paraId="1985BCF2" w14:textId="77777777" w:rsidR="007E5F13" w:rsidRPr="00381B0A" w:rsidRDefault="007E5F13" w:rsidP="0058737C">
            <w:pPr>
              <w:spacing w:after="0" w:line="240" w:lineRule="auto"/>
              <w:rPr>
                <w:rFonts w:ascii="Times New Roman" w:eastAsia="Times New Roman" w:hAnsi="Times New Roman" w:cs="Times New Roman"/>
                <w:b/>
                <w:bCs/>
                <w:sz w:val="16"/>
                <w:szCs w:val="16"/>
                <w:u w:val="single"/>
                <w:lang w:eastAsia="en-ZA"/>
              </w:rPr>
            </w:pPr>
            <w:r w:rsidRPr="00381B0A">
              <w:rPr>
                <w:rFonts w:ascii="Times New Roman" w:eastAsia="Times New Roman" w:hAnsi="Times New Roman" w:cs="Times New Roman"/>
                <w:b/>
                <w:bCs/>
                <w:sz w:val="16"/>
                <w:szCs w:val="16"/>
                <w:lang w:eastAsia="en-ZA"/>
              </w:rPr>
              <w:t>Baseline scenario</w:t>
            </w:r>
          </w:p>
        </w:tc>
        <w:tc>
          <w:tcPr>
            <w:tcW w:w="1701" w:type="dxa"/>
            <w:tcBorders>
              <w:top w:val="single" w:sz="4" w:space="0" w:color="auto"/>
              <w:bottom w:val="single" w:sz="4" w:space="0" w:color="auto"/>
            </w:tcBorders>
            <w:shd w:val="clear" w:color="auto" w:fill="auto"/>
            <w:noWrap/>
          </w:tcPr>
          <w:p w14:paraId="3AAE4CC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1.70 (1.65–1.73)</w:t>
            </w:r>
          </w:p>
        </w:tc>
        <w:tc>
          <w:tcPr>
            <w:tcW w:w="2552" w:type="dxa"/>
            <w:tcBorders>
              <w:top w:val="single" w:sz="4" w:space="0" w:color="auto"/>
              <w:bottom w:val="single" w:sz="4" w:space="0" w:color="auto"/>
            </w:tcBorders>
            <w:shd w:val="clear" w:color="auto" w:fill="auto"/>
            <w:noWrap/>
          </w:tcPr>
          <w:p w14:paraId="4BC374D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p>
        </w:tc>
        <w:tc>
          <w:tcPr>
            <w:tcW w:w="1559" w:type="dxa"/>
            <w:tcBorders>
              <w:top w:val="single" w:sz="4" w:space="0" w:color="auto"/>
              <w:bottom w:val="single" w:sz="4" w:space="0" w:color="auto"/>
            </w:tcBorders>
            <w:shd w:val="clear" w:color="auto" w:fill="auto"/>
            <w:noWrap/>
          </w:tcPr>
          <w:p w14:paraId="2465FEB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1.65 (1.59–1.66)</w:t>
            </w:r>
          </w:p>
        </w:tc>
        <w:tc>
          <w:tcPr>
            <w:tcW w:w="2268" w:type="dxa"/>
            <w:tcBorders>
              <w:top w:val="single" w:sz="4" w:space="0" w:color="auto"/>
              <w:bottom w:val="single" w:sz="4" w:space="0" w:color="auto"/>
            </w:tcBorders>
            <w:shd w:val="clear" w:color="auto" w:fill="auto"/>
            <w:noWrap/>
          </w:tcPr>
          <w:p w14:paraId="77E9D5E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p>
        </w:tc>
      </w:tr>
      <w:tr w:rsidR="007E5F13" w:rsidRPr="00381B0A" w14:paraId="7B87509E" w14:textId="77777777" w:rsidTr="0058737C">
        <w:trPr>
          <w:trHeight w:val="278"/>
        </w:trPr>
        <w:tc>
          <w:tcPr>
            <w:tcW w:w="2268" w:type="dxa"/>
            <w:tcBorders>
              <w:top w:val="single" w:sz="4" w:space="0" w:color="auto"/>
              <w:bottom w:val="single" w:sz="4" w:space="0" w:color="auto"/>
            </w:tcBorders>
            <w:shd w:val="clear" w:color="auto" w:fill="auto"/>
            <w:noWrap/>
          </w:tcPr>
          <w:p w14:paraId="361473E4" w14:textId="77777777" w:rsidR="007E5F13" w:rsidRPr="00381B0A" w:rsidRDefault="007E5F13" w:rsidP="0058737C">
            <w:pPr>
              <w:spacing w:after="0" w:line="240" w:lineRule="auto"/>
              <w:rPr>
                <w:rFonts w:ascii="Times New Roman" w:eastAsia="Times New Roman" w:hAnsi="Times New Roman" w:cs="Times New Roman"/>
                <w:b/>
                <w:bCs/>
                <w:sz w:val="16"/>
                <w:szCs w:val="16"/>
                <w:lang w:eastAsia="en-ZA"/>
              </w:rPr>
            </w:pPr>
            <w:r w:rsidRPr="00381B0A">
              <w:rPr>
                <w:rFonts w:ascii="Times New Roman" w:eastAsia="Times New Roman" w:hAnsi="Times New Roman" w:cs="Times New Roman"/>
                <w:b/>
                <w:bCs/>
                <w:sz w:val="16"/>
                <w:szCs w:val="16"/>
                <w:lang w:eastAsia="en-ZA"/>
              </w:rPr>
              <w:t>Counterfactual scenarios</w:t>
            </w:r>
          </w:p>
        </w:tc>
        <w:tc>
          <w:tcPr>
            <w:tcW w:w="1701" w:type="dxa"/>
            <w:tcBorders>
              <w:top w:val="single" w:sz="4" w:space="0" w:color="auto"/>
              <w:bottom w:val="nil"/>
            </w:tcBorders>
            <w:shd w:val="clear" w:color="auto" w:fill="auto"/>
            <w:noWrap/>
          </w:tcPr>
          <w:p w14:paraId="49AEB05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p>
        </w:tc>
        <w:tc>
          <w:tcPr>
            <w:tcW w:w="2552" w:type="dxa"/>
            <w:tcBorders>
              <w:top w:val="single" w:sz="4" w:space="0" w:color="auto"/>
              <w:bottom w:val="nil"/>
            </w:tcBorders>
            <w:shd w:val="clear" w:color="auto" w:fill="auto"/>
            <w:noWrap/>
          </w:tcPr>
          <w:p w14:paraId="4DAEFFF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p>
        </w:tc>
        <w:tc>
          <w:tcPr>
            <w:tcW w:w="1559" w:type="dxa"/>
            <w:tcBorders>
              <w:top w:val="single" w:sz="4" w:space="0" w:color="auto"/>
              <w:bottom w:val="nil"/>
            </w:tcBorders>
            <w:shd w:val="clear" w:color="auto" w:fill="auto"/>
            <w:noWrap/>
          </w:tcPr>
          <w:p w14:paraId="4D9FBB0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p>
        </w:tc>
        <w:tc>
          <w:tcPr>
            <w:tcW w:w="2268" w:type="dxa"/>
            <w:tcBorders>
              <w:top w:val="single" w:sz="4" w:space="0" w:color="auto"/>
              <w:bottom w:val="nil"/>
            </w:tcBorders>
            <w:shd w:val="clear" w:color="auto" w:fill="auto"/>
            <w:noWrap/>
          </w:tcPr>
          <w:p w14:paraId="03D773E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p>
        </w:tc>
      </w:tr>
      <w:tr w:rsidR="007E5F13" w:rsidRPr="00381B0A" w14:paraId="4D9B1540" w14:textId="77777777" w:rsidTr="0058737C">
        <w:trPr>
          <w:trHeight w:val="278"/>
        </w:trPr>
        <w:tc>
          <w:tcPr>
            <w:tcW w:w="2268" w:type="dxa"/>
            <w:tcBorders>
              <w:top w:val="single" w:sz="4" w:space="0" w:color="auto"/>
            </w:tcBorders>
            <w:shd w:val="clear" w:color="auto" w:fill="auto"/>
            <w:noWrap/>
            <w:hideMark/>
          </w:tcPr>
          <w:p w14:paraId="112CB177"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xml:space="preserve">No HIV epidemic </w:t>
            </w:r>
          </w:p>
        </w:tc>
        <w:tc>
          <w:tcPr>
            <w:tcW w:w="1701" w:type="dxa"/>
            <w:tcBorders>
              <w:top w:val="nil"/>
            </w:tcBorders>
            <w:shd w:val="clear" w:color="auto" w:fill="auto"/>
            <w:noWrap/>
            <w:hideMark/>
          </w:tcPr>
          <w:p w14:paraId="7AA0E3A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2.03 (1.20–2.10)</w:t>
            </w:r>
          </w:p>
        </w:tc>
        <w:tc>
          <w:tcPr>
            <w:tcW w:w="2552" w:type="dxa"/>
            <w:tcBorders>
              <w:top w:val="nil"/>
            </w:tcBorders>
            <w:shd w:val="clear" w:color="auto" w:fill="auto"/>
            <w:noWrap/>
            <w:hideMark/>
          </w:tcPr>
          <w:p w14:paraId="0949FA6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19.6 (17.5–21.8)</w:t>
            </w:r>
          </w:p>
        </w:tc>
        <w:tc>
          <w:tcPr>
            <w:tcW w:w="1559" w:type="dxa"/>
            <w:tcBorders>
              <w:top w:val="nil"/>
            </w:tcBorders>
            <w:shd w:val="clear" w:color="auto" w:fill="auto"/>
            <w:noWrap/>
            <w:hideMark/>
          </w:tcPr>
          <w:p w14:paraId="7616E8A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1.89 (1.83 - 1.97)</w:t>
            </w:r>
          </w:p>
        </w:tc>
        <w:tc>
          <w:tcPr>
            <w:tcW w:w="2268" w:type="dxa"/>
            <w:tcBorders>
              <w:top w:val="nil"/>
            </w:tcBorders>
            <w:shd w:val="clear" w:color="auto" w:fill="auto"/>
            <w:noWrap/>
            <w:hideMark/>
          </w:tcPr>
          <w:p w14:paraId="67E815D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14.8 (12.3–17. 5)</w:t>
            </w:r>
          </w:p>
        </w:tc>
      </w:tr>
      <w:tr w:rsidR="007E5F13" w:rsidRPr="00381B0A" w14:paraId="0B68CC66" w14:textId="77777777" w:rsidTr="0058737C">
        <w:trPr>
          <w:trHeight w:val="278"/>
        </w:trPr>
        <w:tc>
          <w:tcPr>
            <w:tcW w:w="2268" w:type="dxa"/>
            <w:shd w:val="clear" w:color="auto" w:fill="auto"/>
            <w:noWrap/>
          </w:tcPr>
          <w:p w14:paraId="518B15E9"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No ART</w:t>
            </w:r>
          </w:p>
        </w:tc>
        <w:tc>
          <w:tcPr>
            <w:tcW w:w="1701" w:type="dxa"/>
            <w:shd w:val="clear" w:color="auto" w:fill="auto"/>
            <w:noWrap/>
          </w:tcPr>
          <w:p w14:paraId="5FD4676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1.27 (1.23–1.30)</w:t>
            </w:r>
          </w:p>
        </w:tc>
        <w:tc>
          <w:tcPr>
            <w:tcW w:w="2552" w:type="dxa"/>
            <w:shd w:val="clear" w:color="auto" w:fill="auto"/>
            <w:noWrap/>
          </w:tcPr>
          <w:p w14:paraId="7290D45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 xml:space="preserve">↓ </m:t>
              </m:r>
            </m:oMath>
            <w:r w:rsidRPr="00381B0A">
              <w:rPr>
                <w:rFonts w:ascii="Times New Roman" w:eastAsia="Times New Roman" w:hAnsi="Times New Roman" w:cs="Times New Roman"/>
                <w:sz w:val="16"/>
                <w:szCs w:val="16"/>
                <w:lang w:eastAsia="en-ZA"/>
              </w:rPr>
              <w:t>25.1 (24.4–26.1)</w:t>
            </w:r>
          </w:p>
        </w:tc>
        <w:tc>
          <w:tcPr>
            <w:tcW w:w="1559" w:type="dxa"/>
            <w:shd w:val="clear" w:color="auto" w:fill="auto"/>
            <w:noWrap/>
          </w:tcPr>
          <w:p w14:paraId="392F886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1.11 (1.06 - 1.14)</w:t>
            </w:r>
          </w:p>
        </w:tc>
        <w:tc>
          <w:tcPr>
            <w:tcW w:w="2268" w:type="dxa"/>
            <w:shd w:val="clear" w:color="auto" w:fill="auto"/>
            <w:noWrap/>
          </w:tcPr>
          <w:p w14:paraId="6F903C5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32.7 (31.5–34.1)</w:t>
            </w:r>
          </w:p>
        </w:tc>
      </w:tr>
      <w:tr w:rsidR="007E5F13" w:rsidRPr="00381B0A" w14:paraId="03C8DBAC" w14:textId="77777777" w:rsidTr="0058737C">
        <w:trPr>
          <w:trHeight w:val="278"/>
        </w:trPr>
        <w:tc>
          <w:tcPr>
            <w:tcW w:w="2268" w:type="dxa"/>
            <w:shd w:val="clear" w:color="auto" w:fill="auto"/>
            <w:noWrap/>
          </w:tcPr>
          <w:p w14:paraId="4E762E69"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ART uptake</w:t>
            </w:r>
          </w:p>
        </w:tc>
        <w:tc>
          <w:tcPr>
            <w:tcW w:w="1701" w:type="dxa"/>
            <w:shd w:val="clear" w:color="auto" w:fill="auto"/>
            <w:noWrap/>
          </w:tcPr>
          <w:p w14:paraId="26DF455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1.64 (1.46–1.68)</w:t>
            </w:r>
          </w:p>
        </w:tc>
        <w:tc>
          <w:tcPr>
            <w:tcW w:w="2552" w:type="dxa"/>
            <w:shd w:val="clear" w:color="auto" w:fill="auto"/>
            <w:noWrap/>
          </w:tcPr>
          <w:p w14:paraId="5E72FFB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3.4 (2.9 –3.9)</w:t>
            </w:r>
          </w:p>
        </w:tc>
        <w:tc>
          <w:tcPr>
            <w:tcW w:w="1559" w:type="dxa"/>
            <w:shd w:val="clear" w:color="auto" w:fill="auto"/>
            <w:noWrap/>
          </w:tcPr>
          <w:p w14:paraId="7CC97176"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1.52 (1.46 - 1.56)</w:t>
            </w:r>
          </w:p>
        </w:tc>
        <w:tc>
          <w:tcPr>
            <w:tcW w:w="2268" w:type="dxa"/>
            <w:shd w:val="clear" w:color="auto" w:fill="auto"/>
            <w:noWrap/>
          </w:tcPr>
          <w:p w14:paraId="5712B57A"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8.2 (7.6–8.7)</w:t>
            </w:r>
          </w:p>
        </w:tc>
      </w:tr>
      <w:tr w:rsidR="007E5F13" w:rsidRPr="00381B0A" w14:paraId="5F3477CD" w14:textId="77777777" w:rsidTr="0058737C">
        <w:trPr>
          <w:trHeight w:val="278"/>
        </w:trPr>
        <w:tc>
          <w:tcPr>
            <w:tcW w:w="2268" w:type="dxa"/>
            <w:shd w:val="clear" w:color="auto" w:fill="auto"/>
            <w:noWrap/>
          </w:tcPr>
          <w:p w14:paraId="4B9FFA80"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No smoking</w:t>
            </w:r>
          </w:p>
        </w:tc>
        <w:tc>
          <w:tcPr>
            <w:tcW w:w="1701" w:type="dxa"/>
            <w:shd w:val="clear" w:color="auto" w:fill="auto"/>
            <w:noWrap/>
          </w:tcPr>
          <w:p w14:paraId="5359D00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1.41 (1.37–1.45)</w:t>
            </w:r>
          </w:p>
        </w:tc>
        <w:tc>
          <w:tcPr>
            <w:tcW w:w="2552" w:type="dxa"/>
            <w:shd w:val="clear" w:color="auto" w:fill="auto"/>
            <w:noWrap/>
          </w:tcPr>
          <w:p w14:paraId="378D5F2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16.8 (14.7–18.6)</w:t>
            </w:r>
          </w:p>
        </w:tc>
        <w:tc>
          <w:tcPr>
            <w:tcW w:w="1559" w:type="dxa"/>
            <w:shd w:val="clear" w:color="auto" w:fill="auto"/>
            <w:noWrap/>
          </w:tcPr>
          <w:p w14:paraId="4587214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1.36 (1.31 - 1.40)</w:t>
            </w:r>
          </w:p>
        </w:tc>
        <w:tc>
          <w:tcPr>
            <w:tcW w:w="2268" w:type="dxa"/>
            <w:shd w:val="clear" w:color="auto" w:fill="auto"/>
            <w:noWrap/>
          </w:tcPr>
          <w:p w14:paraId="6C143B5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17.9 (15.9–20.0)</w:t>
            </w:r>
          </w:p>
        </w:tc>
      </w:tr>
      <w:tr w:rsidR="007E5F13" w:rsidRPr="00381B0A" w14:paraId="52247565" w14:textId="77777777" w:rsidTr="0058737C">
        <w:trPr>
          <w:trHeight w:val="278"/>
        </w:trPr>
        <w:tc>
          <w:tcPr>
            <w:tcW w:w="2268" w:type="dxa"/>
            <w:shd w:val="clear" w:color="auto" w:fill="auto"/>
            <w:noWrap/>
            <w:hideMark/>
          </w:tcPr>
          <w:p w14:paraId="7AE4EA88"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xml:space="preserve">No alcohol abuse </w:t>
            </w:r>
          </w:p>
        </w:tc>
        <w:tc>
          <w:tcPr>
            <w:tcW w:w="1701" w:type="dxa"/>
            <w:shd w:val="clear" w:color="auto" w:fill="auto"/>
            <w:noWrap/>
            <w:hideMark/>
          </w:tcPr>
          <w:p w14:paraId="3B06554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1.18 (1.14–1.22)</w:t>
            </w:r>
          </w:p>
        </w:tc>
        <w:tc>
          <w:tcPr>
            <w:tcW w:w="2552" w:type="dxa"/>
            <w:shd w:val="clear" w:color="auto" w:fill="auto"/>
            <w:noWrap/>
            <w:hideMark/>
          </w:tcPr>
          <w:p w14:paraId="7D03220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30.5 (28.2–32.7)</w:t>
            </w:r>
          </w:p>
        </w:tc>
        <w:tc>
          <w:tcPr>
            <w:tcW w:w="1559" w:type="dxa"/>
            <w:shd w:val="clear" w:color="auto" w:fill="auto"/>
            <w:noWrap/>
            <w:hideMark/>
          </w:tcPr>
          <w:p w14:paraId="7C3DED3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1.08 (1.04 - 1.11)</w:t>
            </w:r>
          </w:p>
        </w:tc>
        <w:tc>
          <w:tcPr>
            <w:tcW w:w="2268" w:type="dxa"/>
            <w:shd w:val="clear" w:color="auto" w:fill="auto"/>
            <w:noWrap/>
            <w:hideMark/>
          </w:tcPr>
          <w:p w14:paraId="6EC3371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34.8 (32.7–36.8)</w:t>
            </w:r>
          </w:p>
        </w:tc>
      </w:tr>
      <w:tr w:rsidR="007E5F13" w:rsidRPr="00381B0A" w14:paraId="65BA2E8E" w14:textId="77777777" w:rsidTr="0058737C">
        <w:trPr>
          <w:trHeight w:val="278"/>
        </w:trPr>
        <w:tc>
          <w:tcPr>
            <w:tcW w:w="2268" w:type="dxa"/>
            <w:shd w:val="clear" w:color="auto" w:fill="auto"/>
            <w:noWrap/>
            <w:hideMark/>
          </w:tcPr>
          <w:p w14:paraId="5BB88506"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No undernutrition</w:t>
            </w:r>
          </w:p>
        </w:tc>
        <w:tc>
          <w:tcPr>
            <w:tcW w:w="1701" w:type="dxa"/>
            <w:shd w:val="clear" w:color="auto" w:fill="auto"/>
            <w:noWrap/>
            <w:hideMark/>
          </w:tcPr>
          <w:p w14:paraId="50D40F25"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1.59 (1.55–1.63)</w:t>
            </w:r>
          </w:p>
        </w:tc>
        <w:tc>
          <w:tcPr>
            <w:tcW w:w="2552" w:type="dxa"/>
            <w:shd w:val="clear" w:color="auto" w:fill="auto"/>
            <w:noWrap/>
            <w:hideMark/>
          </w:tcPr>
          <w:p w14:paraId="7255E1B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6.1 (5.3–7.0)</w:t>
            </w:r>
          </w:p>
        </w:tc>
        <w:tc>
          <w:tcPr>
            <w:tcW w:w="1559" w:type="dxa"/>
            <w:shd w:val="clear" w:color="auto" w:fill="auto"/>
            <w:noWrap/>
            <w:hideMark/>
          </w:tcPr>
          <w:p w14:paraId="63C1438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1.56 (1.52 - 1.61)</w:t>
            </w:r>
          </w:p>
        </w:tc>
        <w:tc>
          <w:tcPr>
            <w:tcW w:w="2268" w:type="dxa"/>
            <w:shd w:val="clear" w:color="auto" w:fill="auto"/>
            <w:noWrap/>
            <w:hideMark/>
          </w:tcPr>
          <w:p w14:paraId="0848A3A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5.4 (4.6–6.2)</w:t>
            </w:r>
          </w:p>
        </w:tc>
      </w:tr>
      <w:tr w:rsidR="007E5F13" w:rsidRPr="00381B0A" w14:paraId="29BA53BC" w14:textId="77777777" w:rsidTr="0058737C">
        <w:trPr>
          <w:trHeight w:val="278"/>
        </w:trPr>
        <w:tc>
          <w:tcPr>
            <w:tcW w:w="2268" w:type="dxa"/>
            <w:shd w:val="clear" w:color="auto" w:fill="auto"/>
            <w:noWrap/>
            <w:hideMark/>
          </w:tcPr>
          <w:p w14:paraId="3298D9F9"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xml:space="preserve">No diabetes </w:t>
            </w:r>
          </w:p>
        </w:tc>
        <w:tc>
          <w:tcPr>
            <w:tcW w:w="1701" w:type="dxa"/>
            <w:shd w:val="clear" w:color="auto" w:fill="auto"/>
            <w:noWrap/>
            <w:hideMark/>
          </w:tcPr>
          <w:p w14:paraId="2CEEFDE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1.81 (1.77</w:t>
            </w:r>
            <w:r w:rsidRPr="00381B0A">
              <w:rPr>
                <w:rFonts w:ascii="Times New Roman" w:eastAsia="Times New Roman" w:hAnsi="Times New Roman" w:cs="Times New Roman"/>
                <w:sz w:val="16"/>
                <w:szCs w:val="16"/>
                <w:lang w:eastAsia="en-ZA"/>
              </w:rPr>
              <w:softHyphen/>
              <w:t>–1.86)</w:t>
            </w:r>
          </w:p>
        </w:tc>
        <w:tc>
          <w:tcPr>
            <w:tcW w:w="2552" w:type="dxa"/>
            <w:shd w:val="clear" w:color="auto" w:fill="auto"/>
            <w:noWrap/>
            <w:hideMark/>
          </w:tcPr>
          <w:p w14:paraId="678E3AB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7.0 (6.2–7.8)</w:t>
            </w:r>
          </w:p>
        </w:tc>
        <w:tc>
          <w:tcPr>
            <w:tcW w:w="1559" w:type="dxa"/>
            <w:shd w:val="clear" w:color="auto" w:fill="auto"/>
            <w:noWrap/>
            <w:hideMark/>
          </w:tcPr>
          <w:p w14:paraId="56703F9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1.80 (1.74 - 1.85)</w:t>
            </w:r>
          </w:p>
        </w:tc>
        <w:tc>
          <w:tcPr>
            <w:tcW w:w="2268" w:type="dxa"/>
            <w:shd w:val="clear" w:color="auto" w:fill="auto"/>
            <w:noWrap/>
            <w:hideMark/>
          </w:tcPr>
          <w:p w14:paraId="2B45A43C"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8.9 (7.8–9.9)</w:t>
            </w:r>
          </w:p>
        </w:tc>
      </w:tr>
      <w:tr w:rsidR="007E5F13" w:rsidRPr="00381B0A" w14:paraId="2DE82A60" w14:textId="77777777" w:rsidTr="0058737C">
        <w:trPr>
          <w:trHeight w:val="278"/>
        </w:trPr>
        <w:tc>
          <w:tcPr>
            <w:tcW w:w="2268" w:type="dxa"/>
            <w:shd w:val="clear" w:color="auto" w:fill="auto"/>
            <w:noWrap/>
            <w:hideMark/>
          </w:tcPr>
          <w:p w14:paraId="6C2B2724"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health seeking</w:t>
            </w:r>
          </w:p>
        </w:tc>
        <w:tc>
          <w:tcPr>
            <w:tcW w:w="1701" w:type="dxa"/>
            <w:shd w:val="clear" w:color="auto" w:fill="auto"/>
            <w:noWrap/>
            <w:hideMark/>
          </w:tcPr>
          <w:p w14:paraId="4E8973B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1.75 (1.70–1.78)</w:t>
            </w:r>
          </w:p>
        </w:tc>
        <w:tc>
          <w:tcPr>
            <w:tcW w:w="2552" w:type="dxa"/>
            <w:shd w:val="clear" w:color="auto" w:fill="auto"/>
            <w:noWrap/>
            <w:hideMark/>
          </w:tcPr>
          <w:p w14:paraId="0A29BD41"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2.9 (2.5–3.4)</w:t>
            </w:r>
          </w:p>
        </w:tc>
        <w:tc>
          <w:tcPr>
            <w:tcW w:w="1559" w:type="dxa"/>
            <w:shd w:val="clear" w:color="auto" w:fill="auto"/>
            <w:noWrap/>
            <w:hideMark/>
          </w:tcPr>
          <w:p w14:paraId="7E4E24CD"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1.52 (1.48 - 1.56)</w:t>
            </w:r>
          </w:p>
        </w:tc>
        <w:tc>
          <w:tcPr>
            <w:tcW w:w="2268" w:type="dxa"/>
            <w:shd w:val="clear" w:color="auto" w:fill="auto"/>
            <w:noWrap/>
            <w:hideMark/>
          </w:tcPr>
          <w:p w14:paraId="16E6C389"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7.7 (6.8–8.9)</w:t>
            </w:r>
          </w:p>
        </w:tc>
      </w:tr>
      <w:tr w:rsidR="007E5F13" w:rsidRPr="00381B0A" w14:paraId="3524B222" w14:textId="77777777" w:rsidTr="0058737C">
        <w:trPr>
          <w:trHeight w:val="278"/>
        </w:trPr>
        <w:tc>
          <w:tcPr>
            <w:tcW w:w="2268" w:type="dxa"/>
            <w:shd w:val="clear" w:color="auto" w:fill="auto"/>
            <w:noWrap/>
            <w:hideMark/>
          </w:tcPr>
          <w:p w14:paraId="3EAE62EB"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social mixing</w:t>
            </w:r>
          </w:p>
        </w:tc>
        <w:tc>
          <w:tcPr>
            <w:tcW w:w="1701" w:type="dxa"/>
            <w:shd w:val="clear" w:color="auto" w:fill="auto"/>
            <w:noWrap/>
            <w:hideMark/>
          </w:tcPr>
          <w:p w14:paraId="4315942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 xml:space="preserve">1.75 (1.70 </w:t>
            </w:r>
            <w:r w:rsidRPr="00381B0A">
              <w:rPr>
                <w:rFonts w:ascii="Times New Roman" w:eastAsia="Times New Roman" w:hAnsi="Times New Roman" w:cs="Times New Roman"/>
                <w:sz w:val="16"/>
                <w:szCs w:val="16"/>
                <w:lang w:eastAsia="en-ZA"/>
              </w:rPr>
              <w:softHyphen/>
              <w:t>–1.79)</w:t>
            </w:r>
          </w:p>
        </w:tc>
        <w:tc>
          <w:tcPr>
            <w:tcW w:w="2552" w:type="dxa"/>
            <w:shd w:val="clear" w:color="auto" w:fill="auto"/>
            <w:noWrap/>
            <w:hideMark/>
          </w:tcPr>
          <w:p w14:paraId="2DE0B01F"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3.3 (3.02–3.6)</w:t>
            </w:r>
          </w:p>
        </w:tc>
        <w:tc>
          <w:tcPr>
            <w:tcW w:w="1559" w:type="dxa"/>
            <w:shd w:val="clear" w:color="auto" w:fill="auto"/>
            <w:noWrap/>
            <w:hideMark/>
          </w:tcPr>
          <w:p w14:paraId="1FD171F3"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1.70 (1.64 - 1.75)</w:t>
            </w:r>
          </w:p>
        </w:tc>
        <w:tc>
          <w:tcPr>
            <w:tcW w:w="2268" w:type="dxa"/>
            <w:shd w:val="clear" w:color="auto" w:fill="auto"/>
            <w:noWrap/>
            <w:hideMark/>
          </w:tcPr>
          <w:p w14:paraId="410D453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2.9 (2.7–3.2)</w:t>
            </w:r>
          </w:p>
        </w:tc>
      </w:tr>
      <w:tr w:rsidR="007E5F13" w:rsidRPr="00381B0A" w14:paraId="0A568FF8" w14:textId="77777777" w:rsidTr="0058737C">
        <w:trPr>
          <w:trHeight w:val="278"/>
        </w:trPr>
        <w:tc>
          <w:tcPr>
            <w:tcW w:w="2268" w:type="dxa"/>
            <w:tcBorders>
              <w:bottom w:val="single" w:sz="4" w:space="0" w:color="auto"/>
            </w:tcBorders>
            <w:shd w:val="clear" w:color="auto" w:fill="auto"/>
            <w:noWrap/>
            <w:hideMark/>
          </w:tcPr>
          <w:p w14:paraId="5BD29ED0"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Equal treatment discontinuation</w:t>
            </w:r>
          </w:p>
        </w:tc>
        <w:tc>
          <w:tcPr>
            <w:tcW w:w="1701" w:type="dxa"/>
            <w:tcBorders>
              <w:bottom w:val="single" w:sz="4" w:space="0" w:color="auto"/>
            </w:tcBorders>
            <w:shd w:val="clear" w:color="auto" w:fill="auto"/>
            <w:noWrap/>
            <w:hideMark/>
          </w:tcPr>
          <w:p w14:paraId="3A2370F2"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1.70 (1.65–1.73)</w:t>
            </w:r>
          </w:p>
        </w:tc>
        <w:tc>
          <w:tcPr>
            <w:tcW w:w="2552" w:type="dxa"/>
            <w:tcBorders>
              <w:bottom w:val="single" w:sz="4" w:space="0" w:color="auto"/>
            </w:tcBorders>
            <w:shd w:val="clear" w:color="auto" w:fill="auto"/>
            <w:noWrap/>
            <w:hideMark/>
          </w:tcPr>
          <w:p w14:paraId="7CB0D684"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0.015 (0.004–0.026)</w:t>
            </w:r>
          </w:p>
        </w:tc>
        <w:tc>
          <w:tcPr>
            <w:tcW w:w="1559" w:type="dxa"/>
            <w:tcBorders>
              <w:bottom w:val="single" w:sz="4" w:space="0" w:color="auto"/>
            </w:tcBorders>
            <w:shd w:val="clear" w:color="auto" w:fill="auto"/>
            <w:noWrap/>
            <w:hideMark/>
          </w:tcPr>
          <w:p w14:paraId="272287A8"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1.66 (1.60 - 1.70)</w:t>
            </w:r>
          </w:p>
        </w:tc>
        <w:tc>
          <w:tcPr>
            <w:tcW w:w="2268" w:type="dxa"/>
            <w:tcBorders>
              <w:bottom w:val="single" w:sz="4" w:space="0" w:color="auto"/>
            </w:tcBorders>
            <w:shd w:val="clear" w:color="auto" w:fill="auto"/>
            <w:noWrap/>
            <w:hideMark/>
          </w:tcPr>
          <w:p w14:paraId="72BAFBB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0.45 (0.42–0.48)</w:t>
            </w:r>
          </w:p>
        </w:tc>
      </w:tr>
      <w:tr w:rsidR="007E5F13" w:rsidRPr="00381B0A" w14:paraId="6AF90A45" w14:textId="77777777" w:rsidTr="0058737C">
        <w:trPr>
          <w:trHeight w:val="278"/>
        </w:trPr>
        <w:tc>
          <w:tcPr>
            <w:tcW w:w="2268" w:type="dxa"/>
            <w:tcBorders>
              <w:top w:val="single" w:sz="4" w:space="0" w:color="auto"/>
              <w:bottom w:val="single" w:sz="4" w:space="0" w:color="auto"/>
            </w:tcBorders>
            <w:shd w:val="clear" w:color="auto" w:fill="auto"/>
            <w:noWrap/>
          </w:tcPr>
          <w:p w14:paraId="35DDC87A" w14:textId="77777777" w:rsidR="007E5F13" w:rsidRPr="00381B0A" w:rsidRDefault="007E5F13" w:rsidP="0058737C">
            <w:pPr>
              <w:pStyle w:val="ListParagraph"/>
              <w:numPr>
                <w:ilvl w:val="0"/>
                <w:numId w:val="1"/>
              </w:numPr>
              <w:spacing w:after="0" w:line="240" w:lineRule="auto"/>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All effects equal</w:t>
            </w:r>
            <w:r w:rsidRPr="00381B0A">
              <w:rPr>
                <w:rFonts w:ascii="Times New Roman" w:eastAsia="Times New Roman" w:hAnsi="Times New Roman" w:cs="Times New Roman"/>
                <w:sz w:val="16"/>
                <w:szCs w:val="16"/>
                <w:vertAlign w:val="superscript"/>
                <w:lang w:eastAsia="en-ZA"/>
              </w:rPr>
              <w:t>(a)</w:t>
            </w:r>
          </w:p>
        </w:tc>
        <w:tc>
          <w:tcPr>
            <w:tcW w:w="1701" w:type="dxa"/>
            <w:tcBorders>
              <w:top w:val="single" w:sz="4" w:space="0" w:color="auto"/>
              <w:bottom w:val="single" w:sz="4" w:space="0" w:color="auto"/>
            </w:tcBorders>
            <w:shd w:val="clear" w:color="auto" w:fill="auto"/>
            <w:noWrap/>
          </w:tcPr>
          <w:p w14:paraId="1860D0A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1.01 (1.00–1.01)</w:t>
            </w:r>
          </w:p>
        </w:tc>
        <w:tc>
          <w:tcPr>
            <w:tcW w:w="2552" w:type="dxa"/>
            <w:tcBorders>
              <w:top w:val="single" w:sz="4" w:space="0" w:color="auto"/>
              <w:bottom w:val="single" w:sz="4" w:space="0" w:color="auto"/>
            </w:tcBorders>
            <w:shd w:val="clear" w:color="auto" w:fill="auto"/>
            <w:noWrap/>
          </w:tcPr>
          <w:p w14:paraId="55326D50"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40.7 (39.1–42.0)</w:t>
            </w:r>
          </w:p>
        </w:tc>
        <w:tc>
          <w:tcPr>
            <w:tcW w:w="1559" w:type="dxa"/>
            <w:tcBorders>
              <w:top w:val="single" w:sz="4" w:space="0" w:color="auto"/>
              <w:bottom w:val="single" w:sz="4" w:space="0" w:color="auto"/>
            </w:tcBorders>
            <w:shd w:val="clear" w:color="auto" w:fill="auto"/>
            <w:noWrap/>
          </w:tcPr>
          <w:p w14:paraId="0A98888E"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w:r w:rsidRPr="00381B0A">
              <w:rPr>
                <w:rFonts w:ascii="Times New Roman" w:eastAsia="Times New Roman" w:hAnsi="Times New Roman" w:cs="Times New Roman"/>
                <w:sz w:val="16"/>
                <w:szCs w:val="16"/>
                <w:lang w:eastAsia="en-ZA"/>
              </w:rPr>
              <w:t>0.93 (0.92 - 0.94)</w:t>
            </w:r>
          </w:p>
        </w:tc>
        <w:tc>
          <w:tcPr>
            <w:tcW w:w="2268" w:type="dxa"/>
            <w:tcBorders>
              <w:top w:val="single" w:sz="4" w:space="0" w:color="auto"/>
              <w:bottom w:val="single" w:sz="4" w:space="0" w:color="auto"/>
            </w:tcBorders>
            <w:shd w:val="clear" w:color="auto" w:fill="auto"/>
            <w:noWrap/>
          </w:tcPr>
          <w:p w14:paraId="18BB780B" w14:textId="77777777" w:rsidR="007E5F13" w:rsidRPr="00381B0A" w:rsidRDefault="007E5F13" w:rsidP="0058737C">
            <w:pPr>
              <w:spacing w:after="0" w:line="240" w:lineRule="auto"/>
              <w:jc w:val="center"/>
              <w:rPr>
                <w:rFonts w:ascii="Times New Roman" w:eastAsia="Times New Roman" w:hAnsi="Times New Roman" w:cs="Times New Roman"/>
                <w:sz w:val="16"/>
                <w:szCs w:val="16"/>
                <w:lang w:eastAsia="en-ZA"/>
              </w:rPr>
            </w:pPr>
            <m:oMath>
              <m:r>
                <w:rPr>
                  <w:rFonts w:ascii="Cambria Math" w:eastAsia="Times New Roman" w:hAnsi="Cambria Math" w:cs="Times New Roman"/>
                  <w:sz w:val="16"/>
                  <w:szCs w:val="16"/>
                  <w:lang w:eastAsia="en-ZA"/>
                </w:rPr>
                <m:t>↓</m:t>
              </m:r>
            </m:oMath>
            <w:r w:rsidRPr="00381B0A">
              <w:rPr>
                <w:rFonts w:ascii="Times New Roman" w:eastAsia="Times New Roman" w:hAnsi="Times New Roman" w:cs="Times New Roman"/>
                <w:sz w:val="16"/>
                <w:szCs w:val="16"/>
                <w:lang w:eastAsia="en-ZA"/>
              </w:rPr>
              <w:t xml:space="preserve"> 43.6 (41.7–45.2)</w:t>
            </w:r>
          </w:p>
        </w:tc>
      </w:tr>
    </w:tbl>
    <w:p w14:paraId="6F0BF5D2" w14:textId="77777777" w:rsidR="007E5F13" w:rsidRPr="00381B0A" w:rsidRDefault="007E5F13" w:rsidP="007E5F13">
      <w:pPr>
        <w:spacing w:after="0" w:line="240" w:lineRule="auto"/>
        <w:rPr>
          <w:rFonts w:ascii="Times New Roman" w:eastAsia="Times New Roman" w:hAnsi="Times New Roman" w:cs="Times New Roman"/>
          <w:sz w:val="20"/>
          <w:szCs w:val="20"/>
          <w:lang w:eastAsia="en-ZA"/>
        </w:rPr>
      </w:pPr>
      <w:r w:rsidRPr="00381B0A">
        <w:rPr>
          <w:rFonts w:ascii="Times New Roman" w:hAnsi="Times New Roman" w:cs="Times New Roman"/>
          <w:b/>
          <w:bCs/>
          <w:sz w:val="20"/>
          <w:szCs w:val="20"/>
        </w:rPr>
        <w:t xml:space="preserve">Table 3: Male-to-female ratios for TB incidence and mortality in the baseline and counterfactual scenarios, 2019. </w:t>
      </w:r>
      <w:r w:rsidRPr="00381B0A">
        <w:rPr>
          <w:rFonts w:ascii="Times New Roman" w:eastAsia="Times New Roman" w:hAnsi="Times New Roman" w:cs="Times New Roman"/>
          <w:sz w:val="20"/>
          <w:szCs w:val="20"/>
          <w:lang w:eastAsia="en-ZA"/>
        </w:rPr>
        <w:t xml:space="preserve"> ART=antiretroviral therapy.  CI=confidence interval.  M:F ratio=male-to-female ratio. </w:t>
      </w:r>
      <m:oMath>
        <m:r>
          <w:rPr>
            <w:rFonts w:ascii="Cambria Math" w:eastAsia="Times New Roman" w:hAnsi="Cambria Math" w:cs="Times New Roman"/>
            <w:sz w:val="20"/>
            <w:szCs w:val="20"/>
            <w:lang w:eastAsia="en-ZA"/>
          </w:rPr>
          <m:t>↓</m:t>
        </m:r>
      </m:oMath>
      <w:r w:rsidRPr="00381B0A">
        <w:rPr>
          <w:rFonts w:ascii="Times New Roman" w:eastAsiaTheme="minorEastAsia" w:hAnsi="Times New Roman" w:cs="Times New Roman"/>
          <w:sz w:val="20"/>
          <w:szCs w:val="20"/>
          <w:lang w:eastAsia="en-ZA"/>
        </w:rPr>
        <w:t xml:space="preserve">=decrease. </w:t>
      </w:r>
      <m:oMath>
        <m:r>
          <w:rPr>
            <w:rFonts w:ascii="Cambria Math" w:eastAsia="Times New Roman" w:hAnsi="Cambria Math" w:cs="Times New Roman"/>
            <w:sz w:val="20"/>
            <w:szCs w:val="20"/>
            <w:lang w:eastAsia="en-ZA"/>
          </w:rPr>
          <m:t>↑</m:t>
        </m:r>
      </m:oMath>
      <w:r w:rsidRPr="00381B0A">
        <w:rPr>
          <w:rFonts w:ascii="Times New Roman" w:eastAsiaTheme="minorEastAsia" w:hAnsi="Times New Roman" w:cs="Times New Roman"/>
          <w:sz w:val="20"/>
          <w:szCs w:val="20"/>
          <w:lang w:eastAsia="en-ZA"/>
        </w:rPr>
        <w:t xml:space="preserve">=increase. </w:t>
      </w:r>
      <w:r w:rsidRPr="00381B0A">
        <w:rPr>
          <w:rFonts w:ascii="Times New Roman" w:eastAsia="Times New Roman" w:hAnsi="Times New Roman" w:cs="Times New Roman"/>
          <w:sz w:val="20"/>
          <w:szCs w:val="20"/>
          <w:lang w:eastAsia="en-ZA"/>
        </w:rPr>
        <w:t xml:space="preserve"> Under the baseline scenario, all factors were included in the model.  Individual counterfactual scenarios were simulated with the exclusion of specific factors (HIV, alcohol, smoking, undernutrition, and diabetes).  (3): equal ART scenario = annual rates of HIV testing and ART initiation in males and females are set the same; (8): health-seeking rates for females set the same as for males; (9):</w:t>
      </w:r>
      <w:r w:rsidRPr="00381B0A">
        <w:rPr>
          <w:rFonts w:ascii="Times New Roman" w:hAnsi="Times New Roman" w:cs="Times New Roman"/>
          <w:sz w:val="20"/>
          <w:szCs w:val="20"/>
        </w:rPr>
        <w:t xml:space="preserve"> </w:t>
      </w:r>
      <w:r w:rsidRPr="00381B0A">
        <w:rPr>
          <w:rFonts w:ascii="Times New Roman" w:eastAsia="Times New Roman" w:hAnsi="Times New Roman" w:cs="Times New Roman"/>
          <w:sz w:val="20"/>
          <w:szCs w:val="20"/>
          <w:lang w:eastAsia="en-ZA"/>
        </w:rPr>
        <w:t>contact rates and social mixing parameters set to be the average of the baseline male and female contact rates; (10):</w:t>
      </w:r>
      <w:r w:rsidRPr="00381B0A">
        <w:rPr>
          <w:rFonts w:ascii="Times New Roman" w:hAnsi="Times New Roman" w:cs="Times New Roman"/>
          <w:sz w:val="20"/>
          <w:szCs w:val="20"/>
        </w:rPr>
        <w:t xml:space="preserve"> </w:t>
      </w:r>
      <w:r w:rsidRPr="00381B0A">
        <w:rPr>
          <w:rFonts w:ascii="Times New Roman" w:eastAsia="Times New Roman" w:hAnsi="Times New Roman" w:cs="Times New Roman"/>
          <w:sz w:val="20"/>
          <w:szCs w:val="20"/>
          <w:lang w:eastAsia="en-ZA"/>
        </w:rPr>
        <w:t>rates of treatment discontinuation in males set to be the same as for females.  Under the counterfactual scenarios (11): ‘All effects equal’= HIV epidemic assumed absent and all the other parameters for the factors above were set the same for males and females, with no effects of alcohol, smoking, undernutrition, and diabetes on TB.</w:t>
      </w:r>
    </w:p>
    <w:p w14:paraId="6FBDD86A" w14:textId="77777777" w:rsidR="0057247A" w:rsidRDefault="0057247A"/>
    <w:sectPr w:rsidR="00572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E2C0D"/>
    <w:multiLevelType w:val="hybridMultilevel"/>
    <w:tmpl w:val="68062220"/>
    <w:lvl w:ilvl="0" w:tplc="F68AA830">
      <w:start w:val="1"/>
      <w:numFmt w:val="decimal"/>
      <w:lvlText w:val="%1."/>
      <w:lvlJc w:val="left"/>
      <w:pPr>
        <w:ind w:left="360" w:hanging="360"/>
      </w:pPr>
    </w:lvl>
    <w:lvl w:ilvl="1" w:tplc="DB6A16A8" w:tentative="1">
      <w:start w:val="1"/>
      <w:numFmt w:val="lowerLetter"/>
      <w:lvlText w:val="%2."/>
      <w:lvlJc w:val="left"/>
      <w:pPr>
        <w:ind w:left="1440" w:hanging="360"/>
      </w:pPr>
    </w:lvl>
    <w:lvl w:ilvl="2" w:tplc="8CF88572" w:tentative="1">
      <w:start w:val="1"/>
      <w:numFmt w:val="lowerRoman"/>
      <w:lvlText w:val="%3."/>
      <w:lvlJc w:val="right"/>
      <w:pPr>
        <w:ind w:left="2160" w:hanging="180"/>
      </w:pPr>
    </w:lvl>
    <w:lvl w:ilvl="3" w:tplc="E1F62FDE" w:tentative="1">
      <w:start w:val="1"/>
      <w:numFmt w:val="decimal"/>
      <w:lvlText w:val="%4."/>
      <w:lvlJc w:val="left"/>
      <w:pPr>
        <w:ind w:left="2880" w:hanging="360"/>
      </w:pPr>
    </w:lvl>
    <w:lvl w:ilvl="4" w:tplc="A82C10BE" w:tentative="1">
      <w:start w:val="1"/>
      <w:numFmt w:val="lowerLetter"/>
      <w:lvlText w:val="%5."/>
      <w:lvlJc w:val="left"/>
      <w:pPr>
        <w:ind w:left="3600" w:hanging="360"/>
      </w:pPr>
    </w:lvl>
    <w:lvl w:ilvl="5" w:tplc="CA141FD4" w:tentative="1">
      <w:start w:val="1"/>
      <w:numFmt w:val="lowerRoman"/>
      <w:lvlText w:val="%6."/>
      <w:lvlJc w:val="right"/>
      <w:pPr>
        <w:ind w:left="4320" w:hanging="180"/>
      </w:pPr>
    </w:lvl>
    <w:lvl w:ilvl="6" w:tplc="920A172C" w:tentative="1">
      <w:start w:val="1"/>
      <w:numFmt w:val="decimal"/>
      <w:lvlText w:val="%7."/>
      <w:lvlJc w:val="left"/>
      <w:pPr>
        <w:ind w:left="5040" w:hanging="360"/>
      </w:pPr>
    </w:lvl>
    <w:lvl w:ilvl="7" w:tplc="4FC470D2" w:tentative="1">
      <w:start w:val="1"/>
      <w:numFmt w:val="lowerLetter"/>
      <w:lvlText w:val="%8."/>
      <w:lvlJc w:val="left"/>
      <w:pPr>
        <w:ind w:left="5760" w:hanging="360"/>
      </w:pPr>
    </w:lvl>
    <w:lvl w:ilvl="8" w:tplc="88780F08" w:tentative="1">
      <w:start w:val="1"/>
      <w:numFmt w:val="lowerRoman"/>
      <w:lvlText w:val="%9."/>
      <w:lvlJc w:val="right"/>
      <w:pPr>
        <w:ind w:left="6480" w:hanging="180"/>
      </w:pPr>
    </w:lvl>
  </w:abstractNum>
  <w:abstractNum w:abstractNumId="1" w15:restartNumberingAfterBreak="0">
    <w:nsid w:val="5F30753E"/>
    <w:multiLevelType w:val="hybridMultilevel"/>
    <w:tmpl w:val="599E786A"/>
    <w:lvl w:ilvl="0" w:tplc="06009CFC">
      <w:start w:val="1"/>
      <w:numFmt w:val="decimal"/>
      <w:lvlText w:val="%1."/>
      <w:lvlJc w:val="left"/>
      <w:pPr>
        <w:ind w:left="502" w:hanging="360"/>
      </w:pPr>
    </w:lvl>
    <w:lvl w:ilvl="1" w:tplc="060A2BA6" w:tentative="1">
      <w:start w:val="1"/>
      <w:numFmt w:val="lowerLetter"/>
      <w:lvlText w:val="%2."/>
      <w:lvlJc w:val="left"/>
      <w:pPr>
        <w:ind w:left="1222" w:hanging="360"/>
      </w:pPr>
    </w:lvl>
    <w:lvl w:ilvl="2" w:tplc="E4345D06" w:tentative="1">
      <w:start w:val="1"/>
      <w:numFmt w:val="lowerRoman"/>
      <w:lvlText w:val="%3."/>
      <w:lvlJc w:val="right"/>
      <w:pPr>
        <w:ind w:left="1942" w:hanging="180"/>
      </w:pPr>
    </w:lvl>
    <w:lvl w:ilvl="3" w:tplc="0FE8B9FA" w:tentative="1">
      <w:start w:val="1"/>
      <w:numFmt w:val="decimal"/>
      <w:lvlText w:val="%4."/>
      <w:lvlJc w:val="left"/>
      <w:pPr>
        <w:ind w:left="2662" w:hanging="360"/>
      </w:pPr>
    </w:lvl>
    <w:lvl w:ilvl="4" w:tplc="4A341B4A" w:tentative="1">
      <w:start w:val="1"/>
      <w:numFmt w:val="lowerLetter"/>
      <w:lvlText w:val="%5."/>
      <w:lvlJc w:val="left"/>
      <w:pPr>
        <w:ind w:left="3382" w:hanging="360"/>
      </w:pPr>
    </w:lvl>
    <w:lvl w:ilvl="5" w:tplc="69881A30" w:tentative="1">
      <w:start w:val="1"/>
      <w:numFmt w:val="lowerRoman"/>
      <w:lvlText w:val="%6."/>
      <w:lvlJc w:val="right"/>
      <w:pPr>
        <w:ind w:left="4102" w:hanging="180"/>
      </w:pPr>
    </w:lvl>
    <w:lvl w:ilvl="6" w:tplc="EEB40D34" w:tentative="1">
      <w:start w:val="1"/>
      <w:numFmt w:val="decimal"/>
      <w:lvlText w:val="%7."/>
      <w:lvlJc w:val="left"/>
      <w:pPr>
        <w:ind w:left="4822" w:hanging="360"/>
      </w:pPr>
    </w:lvl>
    <w:lvl w:ilvl="7" w:tplc="D1A892B2" w:tentative="1">
      <w:start w:val="1"/>
      <w:numFmt w:val="lowerLetter"/>
      <w:lvlText w:val="%8."/>
      <w:lvlJc w:val="left"/>
      <w:pPr>
        <w:ind w:left="5542" w:hanging="360"/>
      </w:pPr>
    </w:lvl>
    <w:lvl w:ilvl="8" w:tplc="18EEACD4" w:tentative="1">
      <w:start w:val="1"/>
      <w:numFmt w:val="lowerRoman"/>
      <w:lvlText w:val="%9."/>
      <w:lvlJc w:val="right"/>
      <w:pPr>
        <w:ind w:left="6262" w:hanging="180"/>
      </w:pPr>
    </w:lvl>
  </w:abstractNum>
  <w:num w:numId="1" w16cid:durableId="954294297">
    <w:abstractNumId w:val="0"/>
  </w:num>
  <w:num w:numId="2" w16cid:durableId="1654136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F13"/>
    <w:rsid w:val="0057247A"/>
    <w:rsid w:val="007E5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F7E1D"/>
  <w15:chartTrackingRefBased/>
  <w15:docId w15:val="{ED74FC99-84EE-4E2F-9A5D-1AF603E34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F13"/>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Para">
    <w:name w:val="1_Para"/>
    <w:basedOn w:val="Normal"/>
    <w:qFormat/>
    <w:rsid w:val="007E5F13"/>
    <w:pPr>
      <w:spacing w:before="120" w:after="240" w:line="360" w:lineRule="auto"/>
      <w:ind w:firstLine="720"/>
    </w:pPr>
    <w:rPr>
      <w:rFonts w:ascii="Times New Roman" w:hAnsi="Times New Roman"/>
      <w:sz w:val="24"/>
      <w:lang w:val="en-CA"/>
    </w:rPr>
  </w:style>
  <w:style w:type="paragraph" w:styleId="ListParagraph">
    <w:name w:val="List Paragraph"/>
    <w:basedOn w:val="Normal"/>
    <w:uiPriority w:val="34"/>
    <w:qFormat/>
    <w:rsid w:val="007E5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6858</Characters>
  <Application>Microsoft Office Word</Application>
  <DocSecurity>0</DocSecurity>
  <Lines>57</Lines>
  <Paragraphs>16</Paragraphs>
  <ScaleCrop>false</ScaleCrop>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2022-08-02T20:55:00Z</dcterms:created>
  <dcterms:modified xsi:type="dcterms:W3CDTF">2022-08-02T20:55:00Z</dcterms:modified>
</cp:coreProperties>
</file>