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9EF8D" w14:textId="3557A89A" w:rsidR="004C3C90" w:rsidRPr="004C3C90" w:rsidRDefault="002464AE" w:rsidP="004C3C90">
      <w:pPr>
        <w:spacing w:line="480" w:lineRule="auto"/>
        <w:rPr>
          <w:rFonts w:ascii="Times New Roman" w:hAnsi="Times New Roman" w:cs="Times New Roman"/>
          <w:b/>
          <w:sz w:val="20"/>
          <w:szCs w:val="20"/>
        </w:rPr>
      </w:pPr>
      <w:r w:rsidRPr="004C3C90">
        <w:rPr>
          <w:rFonts w:ascii="Times New Roman" w:eastAsia="Times New Roman" w:hAnsi="Times New Roman" w:cs="Times New Roman"/>
          <w:b/>
          <w:sz w:val="20"/>
          <w:szCs w:val="20"/>
        </w:rPr>
        <w:t xml:space="preserve">Supplementary </w:t>
      </w:r>
      <w:r w:rsidR="00C64131" w:rsidRPr="004C3C90">
        <w:rPr>
          <w:rFonts w:ascii="Times New Roman" w:eastAsia="Times New Roman" w:hAnsi="Times New Roman" w:cs="Times New Roman"/>
          <w:b/>
          <w:sz w:val="20"/>
          <w:szCs w:val="20"/>
        </w:rPr>
        <w:t>material</w:t>
      </w:r>
    </w:p>
    <w:p w14:paraId="325C017F" w14:textId="2E95D6BD" w:rsidR="004C3C90" w:rsidRPr="004C3C90" w:rsidRDefault="004C3C90" w:rsidP="004C3C90">
      <w:pPr>
        <w:rPr>
          <w:rFonts w:ascii="Times New Roman" w:hAnsi="Times New Roman" w:cs="Times New Roman"/>
          <w:sz w:val="20"/>
          <w:szCs w:val="20"/>
        </w:rPr>
      </w:pPr>
      <w:r w:rsidRPr="004C3C90">
        <w:rPr>
          <w:rFonts w:ascii="Times New Roman" w:hAnsi="Times New Roman" w:cs="Times New Roman"/>
          <w:sz w:val="20"/>
          <w:szCs w:val="20"/>
        </w:rPr>
        <w:t>Supplementary table 1. Overview of 115 selected studies………………………………………………………… 2</w:t>
      </w:r>
    </w:p>
    <w:p w14:paraId="0EB2383C" w14:textId="6FD3EBD9" w:rsidR="004C3C90" w:rsidRPr="004C3C90" w:rsidRDefault="004C3C90" w:rsidP="004C3C90">
      <w:pPr>
        <w:rPr>
          <w:rFonts w:ascii="Times New Roman" w:hAnsi="Times New Roman" w:cs="Times New Roman"/>
          <w:sz w:val="20"/>
          <w:szCs w:val="20"/>
        </w:rPr>
      </w:pPr>
      <w:r w:rsidRPr="004C3C90">
        <w:rPr>
          <w:rFonts w:ascii="Times New Roman" w:hAnsi="Times New Roman" w:cs="Times New Roman"/>
          <w:sz w:val="20"/>
          <w:szCs w:val="20"/>
        </w:rPr>
        <w:t>Supplementary table 2. Exclusion criteria</w:t>
      </w:r>
      <w:r w:rsidR="000B2743">
        <w:rPr>
          <w:rFonts w:ascii="Times New Roman" w:hAnsi="Times New Roman" w:cs="Times New Roman"/>
          <w:sz w:val="20"/>
          <w:szCs w:val="20"/>
        </w:rPr>
        <w:t xml:space="preserve"> ………………………………………………………………………… 16</w:t>
      </w:r>
    </w:p>
    <w:p w14:paraId="66241A21" w14:textId="532368AF" w:rsidR="004C3C90" w:rsidRPr="004C3C90" w:rsidRDefault="004C3C90" w:rsidP="004C3C90">
      <w:pPr>
        <w:rPr>
          <w:rFonts w:ascii="Times New Roman" w:hAnsi="Times New Roman" w:cs="Times New Roman"/>
          <w:sz w:val="20"/>
          <w:szCs w:val="20"/>
        </w:rPr>
      </w:pPr>
      <w:r w:rsidRPr="004C3C90">
        <w:rPr>
          <w:rFonts w:ascii="Times New Roman" w:hAnsi="Times New Roman" w:cs="Times New Roman"/>
          <w:sz w:val="20"/>
          <w:szCs w:val="20"/>
        </w:rPr>
        <w:t xml:space="preserve">Supplementary table 3. Study locations </w:t>
      </w:r>
      <w:r w:rsidR="000B2743">
        <w:rPr>
          <w:rFonts w:ascii="Times New Roman" w:hAnsi="Times New Roman" w:cs="Times New Roman"/>
          <w:sz w:val="20"/>
          <w:szCs w:val="20"/>
        </w:rPr>
        <w:t>…………………………………………………………………………… 17</w:t>
      </w:r>
    </w:p>
    <w:p w14:paraId="120B5702" w14:textId="7414BE87" w:rsidR="004C3C90" w:rsidRPr="004C3C90" w:rsidRDefault="004C3C90" w:rsidP="004C3C90">
      <w:pPr>
        <w:rPr>
          <w:rFonts w:ascii="Times New Roman" w:hAnsi="Times New Roman" w:cs="Times New Roman"/>
          <w:sz w:val="20"/>
          <w:szCs w:val="20"/>
        </w:rPr>
      </w:pPr>
      <w:r w:rsidRPr="004C3C90">
        <w:rPr>
          <w:rFonts w:ascii="Times New Roman" w:hAnsi="Times New Roman" w:cs="Times New Roman"/>
          <w:sz w:val="20"/>
          <w:szCs w:val="20"/>
        </w:rPr>
        <w:t>Supplementary table 4. Stakeholders and study topics of 115 s</w:t>
      </w:r>
      <w:r w:rsidR="000B2743">
        <w:rPr>
          <w:rFonts w:ascii="Times New Roman" w:hAnsi="Times New Roman" w:cs="Times New Roman"/>
          <w:sz w:val="20"/>
          <w:szCs w:val="20"/>
        </w:rPr>
        <w:t>elected studies…………………………………… 20</w:t>
      </w:r>
    </w:p>
    <w:p w14:paraId="5815943C" w14:textId="3D4B24ED" w:rsidR="004C3C90" w:rsidRPr="004C3C90" w:rsidRDefault="004C3C90" w:rsidP="004C3C90">
      <w:pPr>
        <w:rPr>
          <w:rFonts w:ascii="Times New Roman" w:hAnsi="Times New Roman" w:cs="Times New Roman"/>
          <w:sz w:val="20"/>
          <w:szCs w:val="20"/>
        </w:rPr>
      </w:pPr>
      <w:r w:rsidRPr="004C3C90">
        <w:rPr>
          <w:rFonts w:ascii="Times New Roman" w:hAnsi="Times New Roman" w:cs="Times New Roman"/>
          <w:sz w:val="20"/>
          <w:szCs w:val="20"/>
        </w:rPr>
        <w:t>Supplementary table 5. Types of diseases in accordance w</w:t>
      </w:r>
      <w:r w:rsidR="000B2743">
        <w:rPr>
          <w:rFonts w:ascii="Times New Roman" w:hAnsi="Times New Roman" w:cs="Times New Roman"/>
          <w:sz w:val="20"/>
          <w:szCs w:val="20"/>
        </w:rPr>
        <w:t>ith ICD-11 MMS……………………………………… 24</w:t>
      </w:r>
    </w:p>
    <w:p w14:paraId="4EE49797" w14:textId="0A091F5A" w:rsidR="004C3C90" w:rsidRPr="004C3C90" w:rsidRDefault="004C3C90" w:rsidP="004C3C90">
      <w:pPr>
        <w:rPr>
          <w:rFonts w:ascii="Times New Roman" w:hAnsi="Times New Roman" w:cs="Times New Roman"/>
          <w:sz w:val="20"/>
          <w:szCs w:val="20"/>
        </w:rPr>
      </w:pPr>
      <w:r w:rsidRPr="004C3C90">
        <w:rPr>
          <w:rFonts w:ascii="Times New Roman" w:hAnsi="Times New Roman" w:cs="Times New Roman"/>
          <w:sz w:val="20"/>
          <w:szCs w:val="20"/>
        </w:rPr>
        <w:t>Supplementary table 6. Study methodolog</w:t>
      </w:r>
      <w:r w:rsidR="000B2743">
        <w:rPr>
          <w:rFonts w:ascii="Times New Roman" w:hAnsi="Times New Roman" w:cs="Times New Roman"/>
          <w:sz w:val="20"/>
          <w:szCs w:val="20"/>
        </w:rPr>
        <w:t>y</w:t>
      </w:r>
      <w:r w:rsidR="000B2743">
        <w:rPr>
          <w:rFonts w:ascii="Times New Roman" w:hAnsi="Times New Roman" w:cs="Times New Roman"/>
          <w:sz w:val="20"/>
          <w:szCs w:val="20"/>
        </w:rPr>
        <w:tab/>
        <w:t>……………………………………………………………………… 28</w:t>
      </w:r>
    </w:p>
    <w:p w14:paraId="329854DF" w14:textId="18501FA2" w:rsidR="004C3C90" w:rsidRPr="004C3C90" w:rsidRDefault="004C3C90" w:rsidP="004C3C90">
      <w:pPr>
        <w:rPr>
          <w:rFonts w:ascii="Times New Roman" w:hAnsi="Times New Roman" w:cs="Times New Roman"/>
          <w:sz w:val="20"/>
          <w:szCs w:val="20"/>
        </w:rPr>
      </w:pPr>
      <w:r w:rsidRPr="004C3C90">
        <w:rPr>
          <w:rFonts w:ascii="Times New Roman" w:hAnsi="Times New Roman" w:cs="Times New Roman"/>
          <w:sz w:val="20"/>
          <w:szCs w:val="20"/>
        </w:rPr>
        <w:t>Supplementary table 7. Specific topics of the 115 selected surveys b</w:t>
      </w:r>
      <w:r w:rsidR="000B2743">
        <w:rPr>
          <w:rFonts w:ascii="Times New Roman" w:hAnsi="Times New Roman" w:cs="Times New Roman"/>
          <w:sz w:val="20"/>
          <w:szCs w:val="20"/>
        </w:rPr>
        <w:t>y participant types</w:t>
      </w:r>
      <w:r w:rsidR="000B2743">
        <w:rPr>
          <w:rFonts w:ascii="Times New Roman" w:hAnsi="Times New Roman" w:cs="Times New Roman"/>
          <w:sz w:val="20"/>
          <w:szCs w:val="20"/>
        </w:rPr>
        <w:tab/>
        <w:t>……………………… 31</w:t>
      </w:r>
    </w:p>
    <w:p w14:paraId="18FCC0C3" w14:textId="5867907B" w:rsidR="004C3C90" w:rsidRPr="004C3C90" w:rsidRDefault="004C3C90" w:rsidP="004C3C90">
      <w:pPr>
        <w:rPr>
          <w:rFonts w:ascii="Times New Roman" w:hAnsi="Times New Roman" w:cs="Times New Roman"/>
          <w:sz w:val="20"/>
          <w:szCs w:val="20"/>
        </w:rPr>
      </w:pPr>
      <w:r w:rsidRPr="004C3C90">
        <w:rPr>
          <w:rFonts w:ascii="Times New Roman" w:hAnsi="Times New Roman" w:cs="Times New Roman"/>
          <w:sz w:val="20"/>
          <w:szCs w:val="20"/>
        </w:rPr>
        <w:t>Supplementary table 8. Excluded articles via screening</w:t>
      </w:r>
      <w:r w:rsidR="000B2743">
        <w:rPr>
          <w:rFonts w:ascii="Times New Roman" w:hAnsi="Times New Roman" w:cs="Times New Roman"/>
          <w:sz w:val="20"/>
          <w:szCs w:val="20"/>
        </w:rPr>
        <w:t xml:space="preserve"> (n=1,047)………………………………………………… 33</w:t>
      </w:r>
    </w:p>
    <w:p w14:paraId="37BDEA8E" w14:textId="53731F7F" w:rsidR="004C3C90" w:rsidRPr="004C3C90" w:rsidRDefault="004C3C90" w:rsidP="004C3C90">
      <w:pPr>
        <w:rPr>
          <w:rFonts w:ascii="Times New Roman" w:hAnsi="Times New Roman" w:cs="Times New Roman"/>
          <w:sz w:val="20"/>
          <w:szCs w:val="20"/>
        </w:rPr>
      </w:pPr>
      <w:r w:rsidRPr="004C3C90">
        <w:rPr>
          <w:rFonts w:ascii="Times New Roman" w:hAnsi="Times New Roman" w:cs="Times New Roman"/>
          <w:sz w:val="20"/>
          <w:szCs w:val="20"/>
        </w:rPr>
        <w:t>References………………………………</w:t>
      </w:r>
      <w:r w:rsidR="000B2743">
        <w:rPr>
          <w:rFonts w:ascii="Times New Roman" w:hAnsi="Times New Roman" w:cs="Times New Roman"/>
          <w:sz w:val="20"/>
          <w:szCs w:val="20"/>
        </w:rPr>
        <w:t>…………………………………………………………………………… 87</w:t>
      </w:r>
      <w:bookmarkStart w:id="0" w:name="_GoBack"/>
      <w:bookmarkEnd w:id="0"/>
    </w:p>
    <w:p w14:paraId="6D1BDDA6" w14:textId="1C4FF48F" w:rsidR="004C3C90" w:rsidRPr="004C3C90" w:rsidRDefault="004C3C90" w:rsidP="004C3C90">
      <w:pPr>
        <w:rPr>
          <w:rFonts w:ascii="Times New Roman" w:hAnsi="Times New Roman" w:cs="Times New Roman"/>
          <w:sz w:val="20"/>
          <w:szCs w:val="20"/>
        </w:rPr>
      </w:pPr>
    </w:p>
    <w:p w14:paraId="4265DADB" w14:textId="77777777" w:rsidR="00C64131" w:rsidRPr="004C3C90" w:rsidRDefault="00C64131" w:rsidP="004C3C90">
      <w:pPr>
        <w:rPr>
          <w:rFonts w:ascii="Times New Roman" w:hAnsi="Times New Roman" w:cs="Times New Roman"/>
          <w:sz w:val="20"/>
          <w:szCs w:val="20"/>
        </w:rPr>
        <w:sectPr w:rsidR="00C64131" w:rsidRPr="004C3C90">
          <w:footerReference w:type="default" r:id="rId9"/>
          <w:pgSz w:w="12240" w:h="15840"/>
          <w:pgMar w:top="1440" w:right="1440" w:bottom="1440" w:left="1440" w:header="720" w:footer="720" w:gutter="0"/>
          <w:pgNumType w:start="1"/>
          <w:cols w:space="720"/>
        </w:sectPr>
      </w:pPr>
    </w:p>
    <w:p w14:paraId="5C29347F" w14:textId="77777777" w:rsidR="00EB2C84" w:rsidRPr="004C3C90" w:rsidRDefault="00EB2C84">
      <w:pPr>
        <w:spacing w:line="240" w:lineRule="auto"/>
        <w:rPr>
          <w:rFonts w:ascii="Times New Roman" w:hAnsi="Times New Roman" w:cs="Times New Roman"/>
          <w:i/>
          <w:iCs/>
          <w:sz w:val="20"/>
          <w:szCs w:val="20"/>
        </w:rPr>
      </w:pPr>
    </w:p>
    <w:p w14:paraId="137B2C0E" w14:textId="4C67C119" w:rsidR="00684CE9" w:rsidRPr="004C3C90" w:rsidRDefault="00E1479D" w:rsidP="00684CE9">
      <w:pPr>
        <w:pStyle w:val="a4"/>
        <w:keepNext/>
        <w:rPr>
          <w:rFonts w:ascii="Times New Roman" w:hAnsi="Times New Roman" w:cs="Times New Roman"/>
          <w:b/>
          <w:i w:val="0"/>
          <w:color w:val="auto"/>
          <w:sz w:val="20"/>
          <w:szCs w:val="20"/>
        </w:rPr>
      </w:pPr>
      <w:r w:rsidRPr="004C3C90">
        <w:rPr>
          <w:rFonts w:ascii="Times New Roman" w:hAnsi="Times New Roman" w:cs="Times New Roman"/>
          <w:b/>
          <w:i w:val="0"/>
          <w:color w:val="auto"/>
          <w:sz w:val="20"/>
          <w:szCs w:val="20"/>
        </w:rPr>
        <w:t xml:space="preserve">Supplementary </w:t>
      </w:r>
      <w:r w:rsidR="00A21821" w:rsidRPr="004C3C90">
        <w:rPr>
          <w:rFonts w:ascii="Times New Roman" w:hAnsi="Times New Roman" w:cs="Times New Roman"/>
          <w:b/>
          <w:i w:val="0"/>
          <w:color w:val="auto"/>
          <w:sz w:val="20"/>
          <w:szCs w:val="20"/>
        </w:rPr>
        <w:t>t</w:t>
      </w:r>
      <w:r w:rsidRPr="004C3C90">
        <w:rPr>
          <w:rFonts w:ascii="Times New Roman" w:hAnsi="Times New Roman" w:cs="Times New Roman"/>
          <w:b/>
          <w:i w:val="0"/>
          <w:color w:val="auto"/>
          <w:sz w:val="20"/>
          <w:szCs w:val="20"/>
        </w:rPr>
        <w:t>able</w:t>
      </w:r>
      <w:r w:rsidR="00684CE9" w:rsidRPr="004C3C90">
        <w:rPr>
          <w:rFonts w:ascii="Times New Roman" w:hAnsi="Times New Roman" w:cs="Times New Roman"/>
          <w:b/>
          <w:i w:val="0"/>
          <w:color w:val="auto"/>
          <w:sz w:val="20"/>
          <w:szCs w:val="20"/>
        </w:rPr>
        <w:t xml:space="preserve"> </w:t>
      </w:r>
      <w:r w:rsidR="00900F7C" w:rsidRPr="004C3C90">
        <w:rPr>
          <w:rFonts w:ascii="Times New Roman" w:hAnsi="Times New Roman" w:cs="Times New Roman"/>
          <w:b/>
          <w:i w:val="0"/>
          <w:color w:val="auto"/>
          <w:sz w:val="20"/>
          <w:szCs w:val="20"/>
        </w:rPr>
        <w:t>1</w:t>
      </w:r>
      <w:r w:rsidR="00684CE9" w:rsidRPr="004C3C90">
        <w:rPr>
          <w:rFonts w:ascii="Times New Roman" w:hAnsi="Times New Roman" w:cs="Times New Roman"/>
          <w:b/>
          <w:i w:val="0"/>
          <w:color w:val="auto"/>
          <w:sz w:val="20"/>
          <w:szCs w:val="20"/>
        </w:rPr>
        <w:t xml:space="preserve">. </w:t>
      </w:r>
      <w:r w:rsidR="00906414" w:rsidRPr="004C3C90">
        <w:rPr>
          <w:rFonts w:ascii="Times New Roman" w:hAnsi="Times New Roman" w:cs="Times New Roman"/>
          <w:b/>
          <w:i w:val="0"/>
          <w:color w:val="auto"/>
          <w:sz w:val="20"/>
          <w:szCs w:val="20"/>
        </w:rPr>
        <w:t xml:space="preserve">Overview of </w:t>
      </w:r>
      <w:r w:rsidR="00A01A9C" w:rsidRPr="004C3C90">
        <w:rPr>
          <w:rFonts w:ascii="Times New Roman" w:hAnsi="Times New Roman" w:cs="Times New Roman"/>
          <w:b/>
          <w:i w:val="0"/>
          <w:color w:val="auto"/>
          <w:sz w:val="20"/>
          <w:szCs w:val="20"/>
        </w:rPr>
        <w:t>115</w:t>
      </w:r>
      <w:r w:rsidR="00906414" w:rsidRPr="004C3C90">
        <w:rPr>
          <w:rFonts w:ascii="Times New Roman" w:hAnsi="Times New Roman" w:cs="Times New Roman"/>
          <w:b/>
          <w:i w:val="0"/>
          <w:color w:val="auto"/>
          <w:sz w:val="20"/>
          <w:szCs w:val="20"/>
        </w:rPr>
        <w:t xml:space="preserve"> selected studies</w:t>
      </w:r>
    </w:p>
    <w:tbl>
      <w:tblPr>
        <w:tblW w:w="12900" w:type="dxa"/>
        <w:tblInd w:w="-5" w:type="dxa"/>
        <w:tblBorders>
          <w:top w:val="single" w:sz="4" w:space="0" w:color="auto"/>
          <w:bottom w:val="single" w:sz="4" w:space="0" w:color="auto"/>
          <w:insideH w:val="dotted" w:sz="4" w:space="0" w:color="auto"/>
        </w:tblBorders>
        <w:tblLayout w:type="fixed"/>
        <w:tblLook w:val="0400" w:firstRow="0" w:lastRow="0" w:firstColumn="0" w:lastColumn="0" w:noHBand="0" w:noVBand="1"/>
      </w:tblPr>
      <w:tblGrid>
        <w:gridCol w:w="557"/>
        <w:gridCol w:w="1418"/>
        <w:gridCol w:w="1701"/>
        <w:gridCol w:w="1711"/>
        <w:gridCol w:w="1984"/>
        <w:gridCol w:w="1843"/>
        <w:gridCol w:w="1559"/>
        <w:gridCol w:w="1418"/>
        <w:gridCol w:w="709"/>
      </w:tblGrid>
      <w:tr w:rsidR="004C3C90" w:rsidRPr="004C3C90" w14:paraId="62338C4C" w14:textId="77777777" w:rsidTr="004C3C90">
        <w:trPr>
          <w:trHeight w:val="20"/>
        </w:trPr>
        <w:tc>
          <w:tcPr>
            <w:tcW w:w="557" w:type="dxa"/>
            <w:tcBorders>
              <w:top w:val="single" w:sz="4" w:space="0" w:color="auto"/>
              <w:bottom w:val="single" w:sz="4" w:space="0" w:color="auto"/>
            </w:tcBorders>
            <w:vAlign w:val="center"/>
          </w:tcPr>
          <w:p w14:paraId="736129E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hAnsi="Times New Roman" w:cs="Times New Roman"/>
                <w:b/>
                <w:sz w:val="20"/>
                <w:szCs w:val="20"/>
              </w:rPr>
              <w:t>No.</w:t>
            </w:r>
          </w:p>
        </w:tc>
        <w:tc>
          <w:tcPr>
            <w:tcW w:w="1418" w:type="dxa"/>
            <w:tcBorders>
              <w:top w:val="single" w:sz="4" w:space="0" w:color="auto"/>
              <w:bottom w:val="single" w:sz="4" w:space="0" w:color="auto"/>
            </w:tcBorders>
            <w:shd w:val="clear" w:color="auto" w:fill="auto"/>
            <w:vAlign w:val="center"/>
          </w:tcPr>
          <w:p w14:paraId="71916A0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Author(s) and Year</w:t>
            </w:r>
          </w:p>
        </w:tc>
        <w:tc>
          <w:tcPr>
            <w:tcW w:w="1701" w:type="dxa"/>
            <w:tcBorders>
              <w:top w:val="single" w:sz="4" w:space="0" w:color="auto"/>
              <w:bottom w:val="single" w:sz="4" w:space="0" w:color="auto"/>
            </w:tcBorders>
            <w:shd w:val="clear" w:color="auto" w:fill="auto"/>
            <w:vAlign w:val="center"/>
          </w:tcPr>
          <w:p w14:paraId="729D194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Source</w:t>
            </w:r>
          </w:p>
        </w:tc>
        <w:tc>
          <w:tcPr>
            <w:tcW w:w="1711" w:type="dxa"/>
            <w:tcBorders>
              <w:top w:val="single" w:sz="4" w:space="0" w:color="auto"/>
              <w:bottom w:val="single" w:sz="4" w:space="0" w:color="auto"/>
            </w:tcBorders>
            <w:shd w:val="clear" w:color="auto" w:fill="auto"/>
            <w:vAlign w:val="center"/>
          </w:tcPr>
          <w:p w14:paraId="0FDED1E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Study participant(s)</w:t>
            </w:r>
          </w:p>
        </w:tc>
        <w:tc>
          <w:tcPr>
            <w:tcW w:w="1984" w:type="dxa"/>
            <w:tcBorders>
              <w:top w:val="single" w:sz="4" w:space="0" w:color="auto"/>
              <w:bottom w:val="single" w:sz="4" w:space="0" w:color="auto"/>
            </w:tcBorders>
            <w:vAlign w:val="center"/>
          </w:tcPr>
          <w:p w14:paraId="7227EF3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Study location(s)</w:t>
            </w:r>
          </w:p>
        </w:tc>
        <w:tc>
          <w:tcPr>
            <w:tcW w:w="1843" w:type="dxa"/>
            <w:tcBorders>
              <w:top w:val="single" w:sz="4" w:space="0" w:color="auto"/>
              <w:bottom w:val="single" w:sz="4" w:space="0" w:color="auto"/>
            </w:tcBorders>
            <w:shd w:val="clear" w:color="auto" w:fill="auto"/>
            <w:vAlign w:val="center"/>
          </w:tcPr>
          <w:p w14:paraId="0111492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Type(s) of disease (ICD-11 MMS)</w:t>
            </w:r>
          </w:p>
        </w:tc>
        <w:tc>
          <w:tcPr>
            <w:tcW w:w="1559" w:type="dxa"/>
            <w:tcBorders>
              <w:top w:val="single" w:sz="4" w:space="0" w:color="auto"/>
              <w:bottom w:val="single" w:sz="4" w:space="0" w:color="auto"/>
            </w:tcBorders>
            <w:shd w:val="clear" w:color="auto" w:fill="auto"/>
            <w:vAlign w:val="center"/>
          </w:tcPr>
          <w:p w14:paraId="0F30494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Study topic(s)</w:t>
            </w:r>
          </w:p>
        </w:tc>
        <w:tc>
          <w:tcPr>
            <w:tcW w:w="1418" w:type="dxa"/>
            <w:tcBorders>
              <w:top w:val="single" w:sz="4" w:space="0" w:color="auto"/>
              <w:bottom w:val="single" w:sz="4" w:space="0" w:color="auto"/>
            </w:tcBorders>
            <w:shd w:val="clear" w:color="auto" w:fill="auto"/>
            <w:vAlign w:val="center"/>
          </w:tcPr>
          <w:p w14:paraId="4A7879D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Methodology(ies)</w:t>
            </w:r>
          </w:p>
        </w:tc>
        <w:tc>
          <w:tcPr>
            <w:tcW w:w="709" w:type="dxa"/>
            <w:tcBorders>
              <w:top w:val="single" w:sz="4" w:space="0" w:color="auto"/>
              <w:bottom w:val="single" w:sz="4" w:space="0" w:color="auto"/>
            </w:tcBorders>
            <w:shd w:val="clear" w:color="auto" w:fill="auto"/>
            <w:vAlign w:val="center"/>
          </w:tcPr>
          <w:p w14:paraId="0AE7304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T/A</w:t>
            </w:r>
          </w:p>
        </w:tc>
      </w:tr>
      <w:tr w:rsidR="004C3C90" w:rsidRPr="004C3C90" w14:paraId="6F89A90A" w14:textId="77777777" w:rsidTr="004C3C90">
        <w:trPr>
          <w:trHeight w:val="20"/>
        </w:trPr>
        <w:tc>
          <w:tcPr>
            <w:tcW w:w="557" w:type="dxa"/>
            <w:tcBorders>
              <w:top w:val="single" w:sz="4" w:space="0" w:color="auto"/>
            </w:tcBorders>
            <w:vAlign w:val="center"/>
          </w:tcPr>
          <w:p w14:paraId="6E9A3984"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w:t>
            </w:r>
          </w:p>
        </w:tc>
        <w:tc>
          <w:tcPr>
            <w:tcW w:w="1418" w:type="dxa"/>
            <w:tcBorders>
              <w:top w:val="single" w:sz="4" w:space="0" w:color="auto"/>
            </w:tcBorders>
            <w:shd w:val="clear" w:color="auto" w:fill="auto"/>
            <w:vAlign w:val="center"/>
          </w:tcPr>
          <w:p w14:paraId="2D9D6B1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Rudebeck et al (2020)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{"citationItems":[{"id":"ITEM-1","itemData":{"DOI":"10.1002/jmd2.12101","ISBN":"2192-8304 (Print)\r2192-8304","PMID":"32395411","abstract":"Background: Alkaptonuria (AKU) is an ultrarare and multifaceted disease characterized by the absence of functional homogentisate 1,2-dioxygenase activity, the enzyme responsible for breakdown of homogentisic acid-a tyrosine-degradation product. The presymptomatic phase of the disease makes diagnosis difficult, with many patients unidentified or diagnosed late in life. Objective: To date, no study has analyzed the perceived impact of different symptoms or the experiences of individuals through the patient journey in the context of AKU. This study aimed to examine patients' perceptions of AKU symptoms and their impact on quality of life as well as patients' experiences of being diagnosed and living with the disease. Methods: Data for this study were collected using a quantitative self-report questionnaire administered online to people with AKU. Results: Data from 45 participants indicate that symptoms with the highest impact for patients are those related to pain and ruptures, disability and inability to perform normal routines, emotional/mental health issues, and heart complications. Findings also revealed significant delays in contact with healthcare services and time to diagnosis. Furthermore, patients reported difficulty in receiving information about AKU, treatment and care, and long-term disease management support. Conclusions: Time to diagnosis and care of AKU is significantly delayed. Symptoms of AKU with the highest impact on quality of life for patients are those related to pain and disability and the inability to perform normal routines. Bridging any gaps between patients with AKU and healthcare professionals through education could help improve patients' experiences with AKU through the patient journey.","author":[{"dropping-particle":"","family":"Rudebeck","given":"M","non-dropping-particle":"","parse-names":false,"suffix":""},{"dropping-particle":"","family":"Scott","given":"C","non-dropping-particle":"","parse-names":false,"suffix":""},{"dropping-particle":"","family":"Sireau","given":"N","non-dropping-particle":"","parse-names":false,"suffix":""},{"dropping-particle":"","family":"Ranganath","given":"L","non-dropping-particle":"","parse-names":false,"suffix":""}],"container-title":"JIMD Rep","edition":"2020/05/13","id":"ITEM-1","issue":"1","issued":{"date-parts":[["2020"]]},"language":"eng","page":"71-79","title":"A patient survey on the impact of alkaptonuria symptoms as perceived by the patients and their experiences of receiving diagnosis and care","type":"article-journal","volume":"53"},"uris":["http://www.mendeley.com/documents/?uuid=5c28198b-df4f-31e7-a346-79b88a92a257"]}],"mendeley":{"formattedCitation":"[1]","plainTextFormattedCitation":"[1]","previouslyFormattedCitation":"[1]"},"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w:t>
            </w:r>
            <w:r w:rsidRPr="004C3C90">
              <w:rPr>
                <w:rFonts w:ascii="Times New Roman" w:eastAsia="Times New Roman" w:hAnsi="Times New Roman" w:cs="Times New Roman"/>
                <w:sz w:val="20"/>
                <w:szCs w:val="20"/>
              </w:rPr>
              <w:fldChar w:fldCharType="end"/>
            </w:r>
          </w:p>
        </w:tc>
        <w:tc>
          <w:tcPr>
            <w:tcW w:w="1701" w:type="dxa"/>
            <w:tcBorders>
              <w:top w:val="single" w:sz="4" w:space="0" w:color="auto"/>
            </w:tcBorders>
            <w:shd w:val="clear" w:color="auto" w:fill="auto"/>
            <w:vAlign w:val="center"/>
          </w:tcPr>
          <w:p w14:paraId="0B22788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JIMD Rep</w:t>
            </w:r>
          </w:p>
        </w:tc>
        <w:tc>
          <w:tcPr>
            <w:tcW w:w="1711" w:type="dxa"/>
            <w:tcBorders>
              <w:top w:val="single" w:sz="4" w:space="0" w:color="auto"/>
            </w:tcBorders>
            <w:shd w:val="clear" w:color="auto" w:fill="auto"/>
            <w:vAlign w:val="center"/>
          </w:tcPr>
          <w:p w14:paraId="4476695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tcBorders>
              <w:top w:val="single" w:sz="4" w:space="0" w:color="auto"/>
            </w:tcBorders>
            <w:vAlign w:val="center"/>
          </w:tcPr>
          <w:p w14:paraId="0DB5404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Asia  (Unspecified) + Europe (France, Italy, Netherlands, Slovakia, Spain, UK)</w:t>
            </w:r>
          </w:p>
        </w:tc>
        <w:tc>
          <w:tcPr>
            <w:tcW w:w="1843" w:type="dxa"/>
            <w:tcBorders>
              <w:top w:val="single" w:sz="4" w:space="0" w:color="auto"/>
            </w:tcBorders>
            <w:shd w:val="clear" w:color="auto" w:fill="auto"/>
            <w:vAlign w:val="center"/>
          </w:tcPr>
          <w:p w14:paraId="7D7074D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Alkaptonuria (5C50.10)</w:t>
            </w:r>
          </w:p>
        </w:tc>
        <w:tc>
          <w:tcPr>
            <w:tcW w:w="1559" w:type="dxa"/>
            <w:tcBorders>
              <w:top w:val="single" w:sz="4" w:space="0" w:color="auto"/>
            </w:tcBorders>
            <w:shd w:val="clear" w:color="auto" w:fill="auto"/>
            <w:vAlign w:val="center"/>
          </w:tcPr>
          <w:p w14:paraId="5E3EE55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(diagnosis, treatment)</w:t>
            </w:r>
          </w:p>
        </w:tc>
        <w:tc>
          <w:tcPr>
            <w:tcW w:w="1418" w:type="dxa"/>
            <w:tcBorders>
              <w:top w:val="single" w:sz="4" w:space="0" w:color="auto"/>
            </w:tcBorders>
            <w:shd w:val="clear" w:color="auto" w:fill="auto"/>
            <w:vAlign w:val="center"/>
          </w:tcPr>
          <w:p w14:paraId="2DF061D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tcBorders>
              <w:top w:val="single" w:sz="4" w:space="0" w:color="auto"/>
            </w:tcBorders>
            <w:shd w:val="clear" w:color="auto" w:fill="auto"/>
            <w:vAlign w:val="center"/>
          </w:tcPr>
          <w:p w14:paraId="79E55F6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6A944433" w14:textId="77777777" w:rsidTr="004C3C90">
        <w:trPr>
          <w:trHeight w:val="20"/>
        </w:trPr>
        <w:tc>
          <w:tcPr>
            <w:tcW w:w="557" w:type="dxa"/>
            <w:vAlign w:val="center"/>
          </w:tcPr>
          <w:p w14:paraId="0F26CE83"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w:t>
            </w:r>
          </w:p>
        </w:tc>
        <w:tc>
          <w:tcPr>
            <w:tcW w:w="1418" w:type="dxa"/>
            <w:shd w:val="clear" w:color="auto" w:fill="auto"/>
            <w:vAlign w:val="center"/>
          </w:tcPr>
          <w:p w14:paraId="5ECD1E0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Mancuso et al (2020)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{"citationItems":[{"id":"ITEM-1","itemData":{"DOI":"10.1007/s10072-020-04271-2","ISBN":"1590-3478\r1590-1874","abstract":"Rare neurological diseases (RNDs) are a heterogeneous group of disorders mainly affecting the central and peripheral nervous systems, representing almost 50% of all rare diseases; this explains why neurologists are very often involved in their diagnosis, treatment and research. The purpose of this study was to quantitatively describe the awareness of RNDs among the neurological community of the Italian Society of Neurology (SIN). A survey of the Italian Neurogenetics and Rare diseases group of the SIN, similar to what was submitted to the members of the EAN Task Force on Rare Neurologic Diseases and to EAN Panels Scientific Committee Management Groups, was launched in January 2019 in order to verify the specific Italian situations and possibly the regional differences. Answers were collected online. We observed that Italian Members of the SIN Neurogenetics and Rare Neurologic Diseases Scientific Group are well aware of the burden posed by RNDs but at the national and regional level, the relative awareness is sketchy and disparate. Although many national initiatives have been undertaken to facilitate the diagnosis and management in Italy, our survey reveals that much works has to be done in supporting RNDs patients, including a deeper collaboration between politics, universities and all stakeholders in the field.","author":[{"dropping-particle":"","family":"Mancuso","given":"M","non-dropping-particle":"","parse-names":false,"suffix":""},{"dropping-particle":"","family":"Filosto","given":"M","non-dropping-particle":"","parse-names":false,"suffix":""},{"dropping-particle":"","family":"Lamperti","given":"C","non-dropping-particle":"","parse-names":false,"suffix":""},{"dropping-particle":"","family":"Musumeci","given":"O","non-dropping-particle":"","parse-names":false,"suffix":""},{"dropping-particle":"","family":"Santorelli","given":"F M","non-dropping-particle":"","parse-names":false,"suffix":""},{"dropping-particle":"","family":"Servidei","given":"S","non-dropping-particle":"","parse-names":false,"suffix":""},{"dropping-particle":"","family":"Valente","given":"E M","non-dropping-particle":"","parse-names":false,"suffix":""},{"dropping-particle":"","family":"Zeviani","given":"M","non-dropping-particle":"","parse-names":false,"suffix":""},{"dropping-particle":"","family":"Mancardi","given":"G","non-dropping-particle":"","parse-names":false,"suffix":""},{"dropping-particle":"","family":"Tedeschi","given":"G","non-dropping-particle":"","parse-names":false,"suffix":""},{"dropping-particle":"","family":"Federico","given":"A","non-dropping-particle":"","parse-names":false,"suffix":""}],"container-title":"Neurological Sciences","id":"ITEM-1","issued":{"date-parts":[["2020"]]},"language":"English","title":"Awareness of rare and genetic neurological diseases among italian neurologist. A national survey","type":"article-journal"},"uris":["http://www.mendeley.com/documents/?uuid=7a0a23ab-1b77-36e7-acb1-0a3dfaf011ce"]}],"mendeley":{"formattedCitation":"[2]","plainTextFormattedCitation":"[2]","previouslyFormattedCitation":"[2]"},"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[2]</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7E05D35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Neurol Sci</w:t>
            </w:r>
          </w:p>
        </w:tc>
        <w:tc>
          <w:tcPr>
            <w:tcW w:w="1711" w:type="dxa"/>
            <w:shd w:val="clear" w:color="auto" w:fill="auto"/>
            <w:vAlign w:val="center"/>
          </w:tcPr>
          <w:p w14:paraId="4089F13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(Specialists (Neurologists))</w:t>
            </w:r>
          </w:p>
        </w:tc>
        <w:tc>
          <w:tcPr>
            <w:tcW w:w="1984" w:type="dxa"/>
            <w:vAlign w:val="center"/>
          </w:tcPr>
          <w:p w14:paraId="06F8D7B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(Italy)</w:t>
            </w:r>
          </w:p>
        </w:tc>
        <w:tc>
          <w:tcPr>
            <w:tcW w:w="1843" w:type="dxa"/>
            <w:shd w:val="clear" w:color="auto" w:fill="auto"/>
            <w:vAlign w:val="center"/>
          </w:tcPr>
          <w:p w14:paraId="1378CC3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 diseases of the nervous system (8E7Z)</w:t>
            </w:r>
          </w:p>
        </w:tc>
        <w:tc>
          <w:tcPr>
            <w:tcW w:w="1559" w:type="dxa"/>
            <w:shd w:val="clear" w:color="auto" w:fill="auto"/>
            <w:vAlign w:val="center"/>
          </w:tcPr>
          <w:p w14:paraId="1C403FE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Knowledge</w:t>
            </w:r>
          </w:p>
        </w:tc>
        <w:tc>
          <w:tcPr>
            <w:tcW w:w="1418" w:type="dxa"/>
            <w:shd w:val="clear" w:color="auto" w:fill="auto"/>
            <w:vAlign w:val="center"/>
          </w:tcPr>
          <w:p w14:paraId="67E0C23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3488438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32C2D157" w14:textId="77777777" w:rsidTr="004C3C90">
        <w:trPr>
          <w:trHeight w:val="20"/>
        </w:trPr>
        <w:tc>
          <w:tcPr>
            <w:tcW w:w="557" w:type="dxa"/>
            <w:vAlign w:val="center"/>
          </w:tcPr>
          <w:p w14:paraId="55093969"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3</w:t>
            </w:r>
          </w:p>
        </w:tc>
        <w:tc>
          <w:tcPr>
            <w:tcW w:w="1418" w:type="dxa"/>
            <w:shd w:val="clear" w:color="auto" w:fill="auto"/>
            <w:vAlign w:val="center"/>
          </w:tcPr>
          <w:p w14:paraId="5DEC45A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Takeuchi et al (2020)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{"citationItems":[{"id":"ITEM-1","itemData":{"DOI":"10.1016/j.braindev.2019.12.005","ISBN":"1872-7131\r0387-7604","abstract":"Background: Several studies on clinical practice for Duchenne muscular dystrophy (DMD) have been conducted in Western countries. However, there have been only a few similar studies in Asia and Oceania. Here, we investigate the steroid therapy-related clinical practice for DMD among the local experts. In 2015, we conducted a DMD expert survey in Asia and Oceania to acquire information regarding patients with DMD and to assess current clinical practice with the cooperation of Asian and Oceanian Myology Centre, a neuromuscular disease research network. Results: We obtained survey responses from 87 out of 148 clinicians (62%) from 13 countries and regions. In China, 1385 DMD patients were followed-up by 5 respondent neurologists, and 84% were between 0 and 9 years of age (15% were 10–19 years, 1% &gt; 19 years). While in Japan, 1032 patients were followed-up by 20 clinicians, and the age distribution was similar between the 3 groups (27% were 0–9 years, 35% were 10–19 years, 38% were &gt;19 years). Most respondent clinicians (91%) were aware of DMD standard of care recommendations. Daily prednisolone/prednisone administration was used most frequently at initiation (N = 45, 64%). Inconsistent opinion on steroid therapy after loss of ambulation and medication for bone protection was observed. Conclusions: Rare disease research infrastructures have been underdeveloped in many of Asian and Oceanian countries. In this situation, our results show the snapshots of current medical situation and clinical practice in DMD. For further epidemiological studies, expansion of DMD registries is necessary.","author":[{"dropping-particle":"","family":"Takeuchi","given":"F","non-dropping-particle":"","parse-names":false,"suffix":""},{"dropping-particle":"","family":"Nakamura","given":"H","non-dropping-particle":"","parse-names":false,"suffix":""},{"dropping-particle":"","family":"Yonemoto","given":"N","non-dropping-particle":"","parse-names":false,"suffix":""},{"dropping-particle":"","family":"Komaki","given":"H","non-dropping-particle":"","parse-names":false,"suffix":""},{"dropping-particle":"","family":"Rosales","given":"R L","non-dropping-particle":"","parse-names":false,"suffix":""},{"dropping-particle":"","family":"Kornberg","given":"A J","non-dropping-particle":"","parse-names":false,"suffix":""},{"dropping-particle":"","family":"Bretag","given":"A H","non-dropping-particle":"","parse-names":false,"suffix":""},{"dropping-particle":"","family":"Dejthevaporn","given":"C","non-dropping-particle":"","parse-names":false,"suffix":""},{"dropping-particle":"","family":"Goh","given":"K J","non-dropping-particle":"","parse-names":false,"suffix":""},{"dropping-particle":"","family":"Jong","given":"Y J","non-dropping-particle":"","parse-names":false,"suffix":""},{"dropping-particle":"","family":"Kim","given":"D S","non-dropping-particle":"","parse-names":false,"suffix":""},{"dropping-particle":"V","family":"Khadilkar","given":"S","non-dropping-particle":"","parse-names":false,"suffix":""},{"dropping-particle":"","family":"Shen","given":"D","non-dropping-particle":"","parse-names":false,"suffix":""},{"dropping-particle":"","family":"Wong","given":"K T","non-dropping-particle":"","parse-names":false,"suffix":""},{"dropping-particle":"","family":"Chai","given":"J","non-dropping-particle":"","parse-names":false,"suffix":""},{"dropping-particle":"","family":"Chan","given":"S H S","non-dropping-particle":"","parse-names":false,"suffix":""},{"dropping-particle":"","family":"Khan","given":"S","non-dropping-particle":"","parse-names":false,"suffix":""},{"dropping-particle":"","family":"Ohnmar","given":"O","non-dropping-particle":"","parse-names":false,"suffix":""},{"dropping-particle":"","family":"Nishino","given":"I","non-dropping-particle":"","parse-names":false,"suffix":""},{"dropping-particle":"","family":"Takeda","given":"S","non-dropping-particle":"","parse-names":false,"suffix":""},{"dropping-particle":"","family":"Nonaka","given":"I","non-dropping-particle":"","parse-names":false,"suffix":""}],"container-title":"Brain and Development","id":"ITEM-1","issue":"3","issued":{"date-parts":[["2020"]]},"language":"English","page":"277-288","title":"Clinical practice with steroid therapy for Duchenne muscular dystrophy: An expert survey in Asia and Oceania","type":"article-journal","volume":"42"},"uris":["http://www.mendeley.com/documents/?uuid=172e70ac-6e1f-3cb9-808f-be891cde302d"]}],"mendeley":{"formattedCitation":"[3]","plainTextFormattedCitation":"[3]","previouslyFormattedCitation":"[3]"},"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[3]</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4C39606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Brain Dev</w:t>
            </w:r>
          </w:p>
        </w:tc>
        <w:tc>
          <w:tcPr>
            <w:tcW w:w="1711" w:type="dxa"/>
            <w:shd w:val="clear" w:color="auto" w:fill="auto"/>
            <w:vAlign w:val="center"/>
          </w:tcPr>
          <w:p w14:paraId="50341A7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(Specialists (Pediatrics, Neurology, Genetics))</w:t>
            </w:r>
          </w:p>
        </w:tc>
        <w:tc>
          <w:tcPr>
            <w:tcW w:w="1984" w:type="dxa"/>
            <w:vAlign w:val="center"/>
          </w:tcPr>
          <w:p w14:paraId="79E9541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Asia (China, Hong Kong, India, Iran, Japan, Malaysia, Myanmar, Pakistan, Philippines, Singapore, South Korea, Taiwan, Thailand) + Oceania (Australia, New Zealand)</w:t>
            </w:r>
          </w:p>
        </w:tc>
        <w:tc>
          <w:tcPr>
            <w:tcW w:w="1843" w:type="dxa"/>
            <w:shd w:val="clear" w:color="auto" w:fill="auto"/>
            <w:vAlign w:val="center"/>
          </w:tcPr>
          <w:p w14:paraId="074D2F3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Duchenne muscular dystrophy (8C70.1)</w:t>
            </w:r>
          </w:p>
        </w:tc>
        <w:tc>
          <w:tcPr>
            <w:tcW w:w="1559" w:type="dxa"/>
            <w:shd w:val="clear" w:color="auto" w:fill="auto"/>
            <w:vAlign w:val="center"/>
          </w:tcPr>
          <w:p w14:paraId="3719E1F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(treatment)</w:t>
            </w:r>
          </w:p>
        </w:tc>
        <w:tc>
          <w:tcPr>
            <w:tcW w:w="1418" w:type="dxa"/>
            <w:shd w:val="clear" w:color="auto" w:fill="auto"/>
            <w:vAlign w:val="center"/>
          </w:tcPr>
          <w:p w14:paraId="76FDCFE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021D228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24E91362" w14:textId="77777777" w:rsidTr="004C3C90">
        <w:trPr>
          <w:trHeight w:val="20"/>
        </w:trPr>
        <w:tc>
          <w:tcPr>
            <w:tcW w:w="557" w:type="dxa"/>
            <w:vAlign w:val="center"/>
          </w:tcPr>
          <w:p w14:paraId="76E5BBD7"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w:t>
            </w:r>
          </w:p>
        </w:tc>
        <w:tc>
          <w:tcPr>
            <w:tcW w:w="1418" w:type="dxa"/>
            <w:shd w:val="clear" w:color="auto" w:fill="auto"/>
            <w:vAlign w:val="center"/>
          </w:tcPr>
          <w:p w14:paraId="666411A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Yan, He and Dong (2020)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{"citationItems":[{"id":"ITEM-1","itemData":{"DOI":"10.3390/ijerph17051757","ISBN":"1660-4601\r1661-7827","abstract":"Background: To investigate the multidimensional difficulties in accessing a definitive diagnosis of adult rare diseases and the associated impact factors in China. Methods: A total of 1010 adult rare disease patients from the 2018 China Rare Disease Survey were used for analysis. The Structural Equation Models examined the interrelationships among five accessibility indicators and the effects of three sets of impact factors. Results: (1) Accessibility: 72.97% of patients were misdiagnosed; they waited an average of 4.30 years and visited 2.97 hospitals before the definitive diagnosis; 67.13% were diagnosed outside the home city and traveled an average of 562 km. (2) Interrelationships among accessibility indicators: the experience of misdiagnosis significantly increased diagnosis delay and the number of hospitals visited, but had no significant effect on healthcare utilization across cities. (3) Impact factors: the rarity of disease only increased the number of hospitals visited and residence–hospital distance; high-quality healthcare distribution was key in determining accessibility; the older, disabled, poor, and less-educated individuals, and those in Central/West China were disadvantaged. Conclusion: The socioeconomic dimension of difficulties in accessing a definitive diagnosis of rare diseases should be attended, especially the uneven distribution of high-quality healthcare and those disadvantaged patients. More systematic rare disease surveys are needed in the future.","author":[{"dropping-particle":"","family":"Yan","given":"X","non-dropping-particle":"","parse-names":false,"suffix":""},{"dropping-particle":"","family":"He","given":"S","non-dropping-particle":"","parse-names":false,"suffix":""},{"dropping-particle":"","family":"Dong","given":"D","non-dropping-particle":"","parse-names":false,"suffix":""}],"container-title":"International Journal of Environmental Research and Public Health","id":"ITEM-1","issue":"5","issued":{"date-parts":[["2020"]]},"language":"English","title":"Determining how far an adult rare disease patient needs to travel for a definitive diagnosis: A cross-sectional examination of the 2018 national rare disease survey in China","type":"article-journal","volume":"17"},"uris":["http://www.mendeley.com/documents/?uuid=3043b382-7440-3609-82ef-dca5e65fcedd"]}],"mendeley":{"formattedCitation":"[4]","plainTextFormattedCitation":"[4]","previouslyFormattedCitation":"[4]"},"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[4]</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280618E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Int J Environ Res Public Health</w:t>
            </w:r>
          </w:p>
        </w:tc>
        <w:tc>
          <w:tcPr>
            <w:tcW w:w="1711" w:type="dxa"/>
            <w:shd w:val="clear" w:color="auto" w:fill="auto"/>
            <w:vAlign w:val="center"/>
          </w:tcPr>
          <w:p w14:paraId="0CF5F23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525B015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Asia (China)</w:t>
            </w:r>
          </w:p>
        </w:tc>
        <w:tc>
          <w:tcPr>
            <w:tcW w:w="1843" w:type="dxa"/>
            <w:shd w:val="clear" w:color="auto" w:fill="auto"/>
            <w:vAlign w:val="center"/>
          </w:tcPr>
          <w:p w14:paraId="084EADF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4D7483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(diagnosis)</w:t>
            </w:r>
          </w:p>
        </w:tc>
        <w:tc>
          <w:tcPr>
            <w:tcW w:w="1418" w:type="dxa"/>
            <w:shd w:val="clear" w:color="auto" w:fill="auto"/>
            <w:vAlign w:val="center"/>
          </w:tcPr>
          <w:p w14:paraId="09F5A82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(Questionnaire + Literature review)</w:t>
            </w:r>
          </w:p>
        </w:tc>
        <w:tc>
          <w:tcPr>
            <w:tcW w:w="709" w:type="dxa"/>
            <w:shd w:val="clear" w:color="auto" w:fill="auto"/>
            <w:vAlign w:val="center"/>
          </w:tcPr>
          <w:p w14:paraId="3040116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2FA12845" w14:textId="77777777" w:rsidTr="004C3C90">
        <w:trPr>
          <w:trHeight w:val="20"/>
        </w:trPr>
        <w:tc>
          <w:tcPr>
            <w:tcW w:w="557" w:type="dxa"/>
            <w:vAlign w:val="center"/>
          </w:tcPr>
          <w:p w14:paraId="1C996474"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5</w:t>
            </w:r>
          </w:p>
        </w:tc>
        <w:tc>
          <w:tcPr>
            <w:tcW w:w="1418" w:type="dxa"/>
            <w:shd w:val="clear" w:color="auto" w:fill="auto"/>
            <w:vAlign w:val="center"/>
          </w:tcPr>
          <w:p w14:paraId="43AF856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Ramalle-Gómara et al (2020)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{"citationItems":[{"id":"ITEM-1","itemData":{"DOI":"10.1186/s13023-019-1285-0","ISBN":"1750-1172","abstract":"Background: Rare diseases are a priority objective for public health systems. Given its complexity, late and misdiagnoses occur very often which causes mental and physical burden for patients and family. This would be caused, in part, for unprepared clinicians in this field. The aim of this study was to report the training needs and the perceived shortcomings of Spanish physicians of the public health system in the diagnosis, treatment and monitoring of patients with rare diseases. Methods: We used a descriptive cross-sectional study through an \"ad hoc\" survey of 26 questions was completed by 132 primary care physicians and 37 specialists during April and May 2018. Results: Less than a third of the physicians had received training in rare disease during their undergraduate or postgraduate years, and for hospital professionals, they received more training in the postgraduate period. Conclusion: Primary care physicians and specialists showed low training level in rare diseases. An academical and continuous program on rare disease, as well as, multidisciplinary units and high quality practice guidelines are necessary to help to prevention and support clinical decisions and improve quality of care of patients and families.","author":[{"dropping-particle":"","family":"Ramalle-Gómara","given":"E","non-dropping-particle":"","parse-names":false,"suffix":""},{"dropping-particle":"","family":"Domínguez-Garrido","given":"E","non-dropping-particle":"","parse-names":false,"suffix":""},{"dropping-particle":"","family":"Gómez-Eguílaz","given":"M","non-dropping-particle":"","parse-names":false,"suffix":""},{"dropping-particle":"","family":"Marzo-Sola","given":"M E","non-dropping-particle":"","parse-names":false,"suffix":""},{"dropping-particle":"","family":"Ramón-Trapero","given":"J L","non-dropping-particle":"","parse-names":false,"suffix":""},{"dropping-particle":"","family":"Gil-De-Gómez","given":"J","non-dropping-particle":"","parse-names":false,"suffix":""}],"container-title":"Orphanet Journal of Rare Diseases","id":"ITEM-1","issue":"1","issued":{"date-parts":[["2020"]]},"language":"English","title":"Education and information needs for physicians about rare diseases in Spain","type":"article-journal","volume":"15"},"uris":["http://www.mendeley.com/documents/?uuid=2238faa6-68fe-36df-8590-ad85fdbdb09e"]}],"mendeley":{"formattedCitation":"[5]","plainTextFormattedCitation":"[5]","previouslyFormattedCitation":"[5]"},"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[5]</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3F9E141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2E75955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(Specialists (Gynecology, Hematology, Neurology, Oncology, Pediatric), GPs)</w:t>
            </w:r>
          </w:p>
        </w:tc>
        <w:tc>
          <w:tcPr>
            <w:tcW w:w="1984" w:type="dxa"/>
            <w:vAlign w:val="center"/>
          </w:tcPr>
          <w:p w14:paraId="6FEFF6E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(Spain)</w:t>
            </w:r>
          </w:p>
        </w:tc>
        <w:tc>
          <w:tcPr>
            <w:tcW w:w="1843" w:type="dxa"/>
            <w:shd w:val="clear" w:color="auto" w:fill="auto"/>
            <w:vAlign w:val="center"/>
          </w:tcPr>
          <w:p w14:paraId="63E0389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2BE7BAB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Education</w:t>
            </w:r>
          </w:p>
        </w:tc>
        <w:tc>
          <w:tcPr>
            <w:tcW w:w="1418" w:type="dxa"/>
            <w:shd w:val="clear" w:color="auto" w:fill="auto"/>
            <w:vAlign w:val="center"/>
          </w:tcPr>
          <w:p w14:paraId="73F2F1B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4A30079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3E33E4AA" w14:textId="77777777" w:rsidTr="004C3C90">
        <w:trPr>
          <w:trHeight w:val="20"/>
        </w:trPr>
        <w:tc>
          <w:tcPr>
            <w:tcW w:w="557" w:type="dxa"/>
            <w:vAlign w:val="center"/>
          </w:tcPr>
          <w:p w14:paraId="549299CF"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6</w:t>
            </w:r>
          </w:p>
        </w:tc>
        <w:tc>
          <w:tcPr>
            <w:tcW w:w="1418" w:type="dxa"/>
            <w:shd w:val="clear" w:color="auto" w:fill="auto"/>
            <w:vAlign w:val="center"/>
          </w:tcPr>
          <w:p w14:paraId="172383A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Hartman et al (2020)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{"citationItems":[{"id":"ITEM-1","itemData":{"DOI":"10.1038/s41431-019-0513-3","ISBN":"1476-5438\r1018-4813","abstract":"Recent interest in personalized medicine has highlighted the importance of research in ethical, legal, and social issues (ELSI). Issues in ELSI research may be magnified in the rare diseases population (i.e., small numbers of affected individuals, challenges in maintaining confidentiality, and paucity of treatments for diseases where natural history information may be limited). More than other areas of research, potential barriers include the lack of funding opportunities and appropriate review processes for applications to funding agencies. The ELSI Working Group of the International Rare Diseases Research Consortium (IRDiRC) performed an informal survey on ELSI funding initiatives to learn more about different funding mechanisms and to identify potential gaps in funding opportunities. The Working Group discusses these challenges and highlights the role of funding agencies and partners such as patient advocacy groups, specialists in social sciences and humanities, and clinicians to advance ELSI research in rare diseases.","author":[{"dropping-particle":"","family":"Hartman","given":"A L","non-dropping-particle":"","parse-names":false,"suffix":""},{"dropping-particle":"","family":"Hechtelt Jonker","given":"A","non-dropping-particle":"","parse-names":false,"suffix":""},{"dropping-particle":"","family":"Parisi","given":"M A","non-dropping-particle":"","parse-names":false,"suffix":""},{"dropping-particle":"","family":"Julkowska","given":"D","non-dropping-particle":"","parse-names":false,"suffix":""},{"dropping-particle":"","family":"Lockhart","given":"N","non-dropping-particle":"","parse-names":false,"suffix":""},{"dropping-particle":"","family":"Isasi","given":"R","non-dropping-particle":"","parse-names":false,"suffix":""}],"container-title":"European Journal of Human Genetics","id":"ITEM-1","issue":"2","issued":{"date-parts":[["2020"]]},"language":"English","page":"174-181","title":"Ethical, legal, and social issues (ELSI) in rare diseases: a landscape analysis from funders","type":"article-journal","volume":"28"},"uris":["http://www.mendeley.com/documents/?uuid=03b1b88f-c1ee-3e7c-8929-6f4a6d9b1991"]}],"mendeley":{"formattedCitation":"[6]","plainTextFormattedCitation":"[6]","previouslyFormattedCitation":"[6]"},"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[6]</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487D5A6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Eur J Hum Genet</w:t>
            </w:r>
          </w:p>
        </w:tc>
        <w:tc>
          <w:tcPr>
            <w:tcW w:w="1711" w:type="dxa"/>
            <w:shd w:val="clear" w:color="auto" w:fill="auto"/>
            <w:vAlign w:val="center"/>
          </w:tcPr>
          <w:p w14:paraId="0C0213F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3 (Funders)</w:t>
            </w:r>
          </w:p>
        </w:tc>
        <w:tc>
          <w:tcPr>
            <w:tcW w:w="1984" w:type="dxa"/>
            <w:vAlign w:val="center"/>
          </w:tcPr>
          <w:p w14:paraId="46C579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20E50D9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0E4816C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(ELSI funding, difficulties)</w:t>
            </w:r>
          </w:p>
        </w:tc>
        <w:tc>
          <w:tcPr>
            <w:tcW w:w="1418" w:type="dxa"/>
            <w:shd w:val="clear" w:color="auto" w:fill="auto"/>
            <w:vAlign w:val="center"/>
          </w:tcPr>
          <w:p w14:paraId="7E9F9D5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(Questionnaire + Discussion)</w:t>
            </w:r>
          </w:p>
        </w:tc>
        <w:tc>
          <w:tcPr>
            <w:tcW w:w="709" w:type="dxa"/>
            <w:shd w:val="clear" w:color="auto" w:fill="auto"/>
            <w:vAlign w:val="center"/>
          </w:tcPr>
          <w:p w14:paraId="4C64483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6C7E03AE" w14:textId="77777777" w:rsidTr="004C3C90">
        <w:trPr>
          <w:trHeight w:val="20"/>
        </w:trPr>
        <w:tc>
          <w:tcPr>
            <w:tcW w:w="557" w:type="dxa"/>
            <w:vAlign w:val="center"/>
          </w:tcPr>
          <w:p w14:paraId="67D81071"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7</w:t>
            </w:r>
          </w:p>
        </w:tc>
        <w:tc>
          <w:tcPr>
            <w:tcW w:w="1418" w:type="dxa"/>
            <w:shd w:val="clear" w:color="auto" w:fill="auto"/>
            <w:vAlign w:val="center"/>
          </w:tcPr>
          <w:p w14:paraId="66FBB23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Requena-Fernández et al (2020)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{"citationItems":[{"id":"ITEM-1","itemData":{"DOI":"10.3390/jcm9030869","ISBN":"2077-0383","abstract":"Alpha-1-antitrypsin deficiency (AATD) and primary ciliary dyskinesia (PCD) are underdiagnosed rare diseases showing a median diagnostic delay of five to ten years, which has negative effects on patient prognosis. Lack of awareness and education among healthcare professionals involved in the management of these patients have been suggested as possible causes. Our aim was to assess knowledge of these diseases among paediatricians and medical school students to determine which knowledge areas are most deficient. A survey was designed with questions testing fundamental aspects of the diagnosis and treatment of AATD and PCD. A score equal to or greater than 50% of the maximum score was set as the level necessary to ensure a good knowledge of both diseases. Our results indicate a profound lack of knowledge of rare respiratory diseases among paediatric professionals and medical students, suggesting that it is necessary to increase rare respiratory diseases training among all physicians responsible for suspecting and diagnosing them; this will allow early diagnosis and the setup of preventive measures and appropriate early-stage treatment. The first step in closing this knowledge gap could be to include relevant material in the medical syllabus.","author":[{"dropping-particle":"","family":"Requena-Fernández","given":"M Á","non-dropping-particle":"","parse-names":false,"suffix":""},{"dropping-particle":"","family":"Dasí","given":"F","non-dropping-particle":"","parse-names":false,"suffix":""},{"dropping-particle":"","family":"Castillo","given":"S","non-dropping-particle":"","parse-names":false,"suffix":""},{"dropping-particle":"","family":"Barajas-Cenobi","given":"R","non-dropping-particle":"","parse-names":false,"suffix":""},{"dropping-particle":"","family":"Navarro-García","given":"M M","non-dropping-particle":"","parse-names":false,"suffix":""},{"dropping-particle":"","family":"Escribano","given":"A","non-dropping-particle":"","parse-names":false,"suffix":""}],"container-title":"Journal of Clinical Medicine","id":"ITEM-1","issue":"3","issued":{"date-parts":[["2020"]]},"language":"English","title":"Knowledge of rare respiratory diseases among paediatricians and medical school students","type":"article-journal","volume":"9"},"uris":["http://www.mendeley.com/documents/?uuid=38aae6f5-7ef6-3c09-863a-4285568fe751"]}],"mendeley":{"formattedCitation":"[7]","plainTextFormattedCitation":"[7]","previouslyFormattedCitation":"[7]"},"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[7]</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60F0C8C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J Clin Med</w:t>
            </w:r>
          </w:p>
        </w:tc>
        <w:tc>
          <w:tcPr>
            <w:tcW w:w="1711" w:type="dxa"/>
            <w:shd w:val="clear" w:color="auto" w:fill="auto"/>
            <w:vAlign w:val="center"/>
          </w:tcPr>
          <w:p w14:paraId="1053BAF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Group 2 (Specialists (Pediatrics)) + </w:t>
            </w:r>
            <w:r w:rsidRPr="004C3C90">
              <w:rPr>
                <w:rFonts w:ascii="Times New Roman" w:eastAsia="Times New Roman" w:hAnsi="Times New Roman" w:cs="Times New Roman"/>
                <w:sz w:val="20"/>
                <w:szCs w:val="20"/>
              </w:rPr>
              <w:lastRenderedPageBreak/>
              <w:t>Group 3 (Medical school students)</w:t>
            </w:r>
          </w:p>
        </w:tc>
        <w:tc>
          <w:tcPr>
            <w:tcW w:w="1984" w:type="dxa"/>
            <w:vAlign w:val="center"/>
          </w:tcPr>
          <w:p w14:paraId="77373C9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lastRenderedPageBreak/>
              <w:t>Europe (Spain)</w:t>
            </w:r>
          </w:p>
        </w:tc>
        <w:tc>
          <w:tcPr>
            <w:tcW w:w="1843" w:type="dxa"/>
            <w:shd w:val="clear" w:color="auto" w:fill="auto"/>
            <w:vAlign w:val="center"/>
          </w:tcPr>
          <w:p w14:paraId="1D1C379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α-1-Antitrypsin deficiency (5C5A), Primary ciliary </w:t>
            </w:r>
            <w:r w:rsidRPr="004C3C90">
              <w:rPr>
                <w:rFonts w:ascii="Times New Roman" w:eastAsia="Times New Roman" w:hAnsi="Times New Roman" w:cs="Times New Roman"/>
                <w:sz w:val="20"/>
                <w:szCs w:val="20"/>
              </w:rPr>
              <w:lastRenderedPageBreak/>
              <w:t>dyskinesia (LA75.Y)</w:t>
            </w:r>
          </w:p>
        </w:tc>
        <w:tc>
          <w:tcPr>
            <w:tcW w:w="1559" w:type="dxa"/>
            <w:shd w:val="clear" w:color="auto" w:fill="auto"/>
            <w:vAlign w:val="center"/>
          </w:tcPr>
          <w:p w14:paraId="5E8C468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lastRenderedPageBreak/>
              <w:t>Knowledge</w:t>
            </w:r>
          </w:p>
        </w:tc>
        <w:tc>
          <w:tcPr>
            <w:tcW w:w="1418" w:type="dxa"/>
            <w:shd w:val="clear" w:color="auto" w:fill="auto"/>
            <w:vAlign w:val="center"/>
          </w:tcPr>
          <w:p w14:paraId="467ACA9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6FBACE0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44AE4E9F" w14:textId="77777777" w:rsidTr="004C3C90">
        <w:trPr>
          <w:trHeight w:val="20"/>
        </w:trPr>
        <w:tc>
          <w:tcPr>
            <w:tcW w:w="557" w:type="dxa"/>
            <w:vAlign w:val="center"/>
          </w:tcPr>
          <w:p w14:paraId="39602C36"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8</w:t>
            </w:r>
          </w:p>
        </w:tc>
        <w:tc>
          <w:tcPr>
            <w:tcW w:w="1418" w:type="dxa"/>
            <w:shd w:val="clear" w:color="auto" w:fill="auto"/>
            <w:vAlign w:val="center"/>
          </w:tcPr>
          <w:p w14:paraId="398CF32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Painous et al (2020)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{"citationItems":[{"id":"ITEM-1","itemData":{"DOI":"10.1111/ene.14302","ISBN":"1468-1331","abstract":"BACKGROUND: Diagnosis of rare movement disorders (MD) is difficult and specific management programs are not well defined. Thus, in order to capture and assess care needs, the European Reference Network for Rare Neurological Diseases (ERN-RND) has performed an explorative care need survey across all European Union (EU) countries. METHODS: This is a multicenter, cross-sectional study. A survey about the management of different rare MD (group 1: dystonia, paroxysmal dyskinesia and neurodegeneration with brain iron accumulation; group 2: ataxias and hereditary spastic paraparesis; group 3: atypical parkinsonism; group 4: choreas) was sent to an expert in each group of disorders from each EU country. RESULTS: Some EU countries claimed for an increase of teaching courses. Genetic testing was not readily available in a significant number of countries. Regarding management, patient's accessibility to tertiary hospitals, to experts and to multidisciplinary teams, was unequal between countries and groups of diseases. Availability of therapeutic options, as botulinum toxin or more invasive treatments like deep brain stimulation, was limited in some countries. CONCLUSIONS: The management of these conditions in EU countries is unequal. The survey provides evidence that a European care-focused network that is able to address the unmet RND care needs and inequalities is highly warranted.","author":[{"dropping-particle":"","family":"Painous","given":"C","non-dropping-particle":"","parse-names":false,"suffix":""},{"dropping-particle":"","family":"Os","given":"N","non-dropping-particle":"van","parse-names":false,"suffix":""},{"dropping-particle":"","family":"Delamarre","given":"A","non-dropping-particle":"","parse-names":false,"suffix":""},{"dropping-particle":"","family":"Michailoviene","given":"I","non-dropping-particle":"","parse-names":false,"suffix":""},{"dropping-particle":"","family":"Marti","given":"M J","non-dropping-particle":"","parse-names":false,"suffix":""},{"dropping-particle":"","family":"Warrenburg","given":"B P","non-dropping-particle":"van de","parse-names":false,"suffix":""},{"dropping-particle":"","family":"Meissner","given":"W G","non-dropping-particle":"","parse-names":false,"suffix":""},{"dropping-particle":"","family":"Utkus","given":"A","non-dropping-particle":"","parse-names":false,"suffix":""},{"dropping-particle":"","family":"Reinhard","given":"C","non-dropping-particle":"","parse-names":false,"suffix":""},{"dropping-particle":"","family":"Graessner","given":"H","non-dropping-particle":"","parse-names":false,"suffix":""},{"dropping-particle":"","family":"Tijssen","given":"M","non-dropping-particle":"","parse-names":false,"suffix":""}],"container-title":"European journal of neurology","id":"ITEM-1","issued":{"date-parts":[["2020"]]},"language":"English","title":"Management of rare movement disorders in Europe: outcome of surveys of the European Reference Network for Rare Neurological Diseases","type":"article-journal"},"uris":["http://www.mendeley.com/documents/?uuid=4287bd5f-0e6c-32e1-9a2d-4d5f30060012"]}],"mendeley":{"formattedCitation":"[8]","plainTextFormattedCitation":"[8]","previouslyFormattedCitation":"[8]"},"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[8]</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6F58E95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 J Neurol</w:t>
            </w:r>
          </w:p>
        </w:tc>
        <w:tc>
          <w:tcPr>
            <w:tcW w:w="1711" w:type="dxa"/>
            <w:shd w:val="clear" w:color="auto" w:fill="auto"/>
            <w:vAlign w:val="center"/>
          </w:tcPr>
          <w:p w14:paraId="40FCCE6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(Specialists (Neurologists))</w:t>
            </w:r>
          </w:p>
        </w:tc>
        <w:tc>
          <w:tcPr>
            <w:tcW w:w="1984" w:type="dxa"/>
            <w:vAlign w:val="center"/>
          </w:tcPr>
          <w:p w14:paraId="3D88165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(unspecified)</w:t>
            </w:r>
          </w:p>
        </w:tc>
        <w:tc>
          <w:tcPr>
            <w:tcW w:w="1843" w:type="dxa"/>
            <w:shd w:val="clear" w:color="auto" w:fill="auto"/>
            <w:vAlign w:val="center"/>
          </w:tcPr>
          <w:p w14:paraId="28CF0E2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Dystonia (MB47.4), Paroxysmal dyskinesia (8A02.2), Neurodegeneration with brain iron accumulation (5C64.1), Ataxias (MB45.0), Hereditary spastic paraparesis (8B44.0Z), Atypical parkinsonism 9(8A00.1Z), Choreas (10-8A0Y)</w:t>
            </w:r>
          </w:p>
        </w:tc>
        <w:tc>
          <w:tcPr>
            <w:tcW w:w="1559" w:type="dxa"/>
            <w:shd w:val="clear" w:color="auto" w:fill="auto"/>
            <w:vAlign w:val="center"/>
          </w:tcPr>
          <w:p w14:paraId="2A5DFD1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(treatment)</w:t>
            </w:r>
          </w:p>
        </w:tc>
        <w:tc>
          <w:tcPr>
            <w:tcW w:w="1418" w:type="dxa"/>
            <w:shd w:val="clear" w:color="auto" w:fill="auto"/>
            <w:vAlign w:val="center"/>
          </w:tcPr>
          <w:p w14:paraId="72C3A49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568EF08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2173C8A0" w14:textId="77777777" w:rsidTr="004C3C90">
        <w:trPr>
          <w:trHeight w:val="20"/>
        </w:trPr>
        <w:tc>
          <w:tcPr>
            <w:tcW w:w="557" w:type="dxa"/>
            <w:vAlign w:val="center"/>
          </w:tcPr>
          <w:p w14:paraId="6E0B12F5"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9</w:t>
            </w:r>
          </w:p>
        </w:tc>
        <w:tc>
          <w:tcPr>
            <w:tcW w:w="1418" w:type="dxa"/>
            <w:shd w:val="clear" w:color="auto" w:fill="auto"/>
            <w:vAlign w:val="center"/>
          </w:tcPr>
          <w:p w14:paraId="39E3421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Peeks et al (2020)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{"citationItems":[{"id":"ITEM-1","itemData":{"DOI":"10.1002/jimd.12178","ISBN":"1573-2665\r0141-8955","abstract":"The international liver glycogen storage disease (GSD) priority setting partnership (IGSDPSP) was established to identify the top research priorities in this area. The multiphase methodology followed the principles of the James Lind Alliance (JLA) guidebook. An international scoping survey in seven languages was distributed to patients, carers, and healthcare professionals to gather uncertainties, which were consolidated into summary questions. The existing literature was reviewed to ensure that the summary questions had not yet been answered. A second survey asked responders to prioritize these summary questions. A final shortlist of 22 questions was discussed during an international multi-stakeholder workshop, and a consensus was reached on the top 11 priorities using an adapted nominal group technique.In the first survey, a total of 1388 questions were identified from 763 responders from 58 countries. These original uncertainties were refined into 72 summary questions for a second prioritization survey. In total 562 responders from 58 countries answered the second survey. From the second survey, the top 10 for patients, carers and healthcare professionals was identified and this shortlist of 22 questions was taken to the final workshop. During the final workshop, participants identified the worldwide top 11 research priorities for liver GSD. In addition, a top three research priorities per liver GSD subtype was identified.This unique priority setting partnership is the first international, multilingual priority setting partnership focusing on ultra-rare diseases. This process provides a valuable resource for researchers and funding agencies to foster interdisciplinary and transnational research projects with a clear benefit for patients.","author":[{"dropping-particle":"","family":"Peeks","given":"F","non-dropping-particle":"","parse-names":false,"suffix":""},{"dropping-particle":"","family":"Boonstra","given":"W F","non-dropping-particle":"","parse-names":false,"suffix":""},{"dropping-particle":"","family":"Baere","given":"L","non-dropping-particle":"de","parse-names":false,"suffix":""},{"dropping-particle":"","family":"Carøe","given":"C","non-dropping-particle":"","parse-names":false,"suffix":""},{"dropping-particle":"","family":"Casswall","given":"T","non-dropping-particle":"","parse-names":false,"suffix":""},{"dropping-particle":"","family":"Cohen","given":"D","non-dropping-particle":"","parse-names":false,"suffix":""},{"dropping-particle":"","family":"Cowan","given":"K","non-dropping-particle":"","parse-names":false,"suffix":""},{"dropping-particle":"","family":"Ferrecchia","given":"I","non-dropping-particle":"","parse-names":false,"suffix":""},{"dropping-particle":"","family":"Ferriani","given":"A","non-dropping-particle":"","parse-names":false,"suffix":""},{"dropping-particle":"","family":"Gimbert","given":"C","non-dropping-particle":"","parse-names":false,"suffix":""},{"dropping-particle":"","family":"Landgren","given":"M","non-dropping-particle":"","parse-names":false,"suffix":""},{"dropping-particle":"","family":"Maldonado","given":"N L","non-dropping-particle":"","parse-names":false,"suffix":""},{"dropping-particle":"","family":"McMillan","given":"J","non-dropping-particle":"","parse-names":false,"suffix":""},{"dropping-particle":"","family":"Nemeth","given":"A","non-dropping-particle":"","parse-names":false,"suffix":""},{"dropping-particle":"","family":"Seidita","given":"N","non-dropping-particle":"","parse-names":false,"suffix":""},{"dropping-particle":"","family":"Stachelhaus-Theimer","given":"U","non-dropping-particle":"","parse-names":false,"suffix":""},{"dropping-particle":"","family":"Weinstein","given":"D A","non-dropping-particle":"","parse-names":false,"suffix":""},{"dropping-particle":"","family":"Derks","given":"T G J","non-dropping-particle":"","parse-names":false,"suffix":""}],"container-title":"Journal of Inherited Metabolic Disease","id":"ITEM-1","issue":"2","issued":{"date-parts":[["2020"]]},"language":"English","page":"279-289","title":"Research priorities for liver glycogen storage disease: An international priority setting partnership with the James Lind Alliance","type":"article-journal","volume":"43"},"uris":["http://www.mendeley.com/documents/?uuid=a03d4374-b190-3382-a30c-5baf4ba43b4e"]}],"mendeley":{"formattedCitation":"[9]","plainTextFormattedCitation":"[9]","previouslyFormattedCitation":"[9]"},"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[9]</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5E6BDE7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Inherit Metab Dis</w:t>
            </w:r>
          </w:p>
        </w:tc>
        <w:tc>
          <w:tcPr>
            <w:tcW w:w="1711" w:type="dxa"/>
            <w:shd w:val="clear" w:color="auto" w:fill="auto"/>
            <w:vAlign w:val="center"/>
          </w:tcPr>
          <w:p w14:paraId="6B41B70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Caregivers, Patient Organizations) + Group 2 (GPs, Other HCPs (Nurses, Dieticians))</w:t>
            </w:r>
          </w:p>
        </w:tc>
        <w:tc>
          <w:tcPr>
            <w:tcW w:w="1984" w:type="dxa"/>
            <w:vAlign w:val="center"/>
          </w:tcPr>
          <w:p w14:paraId="531815F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Africa + Asia + Europe + Oceania + South America + North America (unspecified)</w:t>
            </w:r>
          </w:p>
        </w:tc>
        <w:tc>
          <w:tcPr>
            <w:tcW w:w="1843" w:type="dxa"/>
            <w:shd w:val="clear" w:color="auto" w:fill="auto"/>
            <w:vAlign w:val="center"/>
          </w:tcPr>
          <w:p w14:paraId="5E0F46A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Liver glycogen storage disease (5C51.3)</w:t>
            </w:r>
          </w:p>
        </w:tc>
        <w:tc>
          <w:tcPr>
            <w:tcW w:w="1559" w:type="dxa"/>
            <w:shd w:val="clear" w:color="auto" w:fill="auto"/>
            <w:vAlign w:val="center"/>
          </w:tcPr>
          <w:p w14:paraId="0B17193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(research priorities)</w:t>
            </w:r>
          </w:p>
        </w:tc>
        <w:tc>
          <w:tcPr>
            <w:tcW w:w="1418" w:type="dxa"/>
            <w:shd w:val="clear" w:color="auto" w:fill="auto"/>
            <w:vAlign w:val="center"/>
          </w:tcPr>
          <w:p w14:paraId="102E251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(Questionnaire + Literature review)</w:t>
            </w:r>
          </w:p>
        </w:tc>
        <w:tc>
          <w:tcPr>
            <w:tcW w:w="709" w:type="dxa"/>
            <w:shd w:val="clear" w:color="auto" w:fill="auto"/>
            <w:vAlign w:val="center"/>
          </w:tcPr>
          <w:p w14:paraId="55510D3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 (G1, G2)</w:t>
            </w:r>
          </w:p>
        </w:tc>
      </w:tr>
      <w:tr w:rsidR="004C3C90" w:rsidRPr="004C3C90" w14:paraId="5E8E7220" w14:textId="77777777" w:rsidTr="004C3C90">
        <w:trPr>
          <w:trHeight w:val="20"/>
        </w:trPr>
        <w:tc>
          <w:tcPr>
            <w:tcW w:w="557" w:type="dxa"/>
            <w:vAlign w:val="center"/>
          </w:tcPr>
          <w:p w14:paraId="71E461F6"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10</w:t>
            </w:r>
          </w:p>
        </w:tc>
        <w:tc>
          <w:tcPr>
            <w:tcW w:w="1418" w:type="dxa"/>
            <w:shd w:val="clear" w:color="auto" w:fill="auto"/>
            <w:vAlign w:val="center"/>
          </w:tcPr>
          <w:p w14:paraId="618F114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Byrne et al (2020)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{"citationItems":[{"id":"ITEM-1","itemData":{"DOI":"10.1007/s11845-019-02168-4","ISBN":"1863-4362\r0021-1265","abstract":"Background: ‘Slaintecare’ aims to address complex patient care needs in an integrated fashion with an emphasis on patient-centred, patient-empowered community care.Currently there is a lack of knowledge of the impact of rare disease management in primary care and of the information tools required by general practitioners to deliver integrated care for rare disease patients. Aims: To complete a pilot survey to estimate the general practice clinical workload attributable to selected rare diseases and assess the use of relevant information sources. Methods: A retrospective cross-sectional survey was carried out of general practice consultations (2013–2017) for patients with 22 commonly recognised rare diseases. Results: Around 31 general practitioners from 10 Irish practices completed information on 171 patients with rare diseases over 3707 consultations. General practice-specific coding systems were inadequate for rare disease patient identification. Over 139 (81.3%) patients were adult, and 32 (18.7%) were children. Management of care was hospital and not primary care based in 63%. Those eligible for state-reimbursed care had a significantly higher median number of consultations (23 consultations, IQR = 13–37, or 5.8 consultations/year) than those who paid privately (10 consultations, IQR = 4–19, or 2.5 consultations/year) (p &lt; 0.005).General practitioners had access to public information resources on rare diseases but few had knowledge of (35.5%), or had ever used (12.9%) Orphanet, the international rare disease information portal. Conclusions: Both specific rare disease-specific coding and use of the relevant rare disease information sources are lacking in general practice in Ireland.","author":[{"dropping-particle":"","family":"Byrne","given":"N","non-dropping-particle":"","parse-names":false,"suffix":""},{"dropping-particle":"","family":"Turner","given":"J","non-dropping-particle":"","parse-names":false,"suffix":""},{"dropping-particle":"","family":"Marron","given":"R","non-dropping-particle":"","parse-names":false,"suffix":""},{"dropping-particle":"","family":"Lambert","given":"D M","non-dropping-particle":"","parse-names":false,"suffix":""},{"dropping-particle":"","family":"Murphy","given":"D N","non-dropping-particle":"","parse-names":false,"suffix":""},{"dropping-particle":"","family":"O’Sullivan","given":"G","non-dropping-particle":"","parse-names":false,"suffix":""},{"dropping-particle":"","family":"Mason","given":"M","non-dropping-particle":"","parse-names":false,"suffix":""},{"dropping-particle":"","family":"Broderick","given":"F","non-dropping-particle":"","parse-names":false,"suffix":""},{"dropping-particle":"","family":"Burke","given":"M C","non-dropping-particle":"","parse-names":false,"suffix":""},{"dropping-particle":"","family":"Casey","given":"S","non-dropping-particle":"","parse-names":false,"suffix":""},{"dropping-particle":"","family":"Doyle","given":"M","non-dropping-particle":"","parse-names":false,"suffix":""},{"dropping-particle":"","family":"Gibney","given":"D","non-dropping-particle":"","parse-names":false,"suffix":""},{"dropping-particle":"","family":"Mason","given":"F","non-dropping-particle":"","parse-names":false,"suffix":""},{"dropping-particle":"","family":"Molony","given":"D","non-dropping-particle":"","parse-names":false,"suffix":""},{"dropping-particle":"","family":"Ormond","given":"D","non-dropping-particle":"","parse-names":false,"suffix":""},{"dropping-particle":"","family":"O’ Sé","given":"C","non-dropping-particle":"","parse-names":false,"suffix":""},{"dropping-particle":"","family":"O’Shea","given":"C","non-dropping-particle":"","parse-names":false,"suffix":""},{"dropping-particle":"","family":"Treacy","given":"E P","non-dropping-particle":"","parse-names":false,"suffix":""}],"container-title":"Irish Journal of Medical Science","id":"ITEM-1","issued":{"date-parts":[["2020"]]},"language":"English","title":"The role of primary care in management of rare diseases in Ireland","type":"article-journal"},"uris":["http://www.mendeley.com/documents/?uuid=59ce6546-76a1-3f71-a134-d6bc7cb41f7d"]}],"mendeley":{"formattedCitation":"[10]","plainTextFormattedCitation":"[10]","previouslyFormattedCitation":"[10]"},"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[10]</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4896B4D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Ir J Med Sci</w:t>
            </w:r>
          </w:p>
        </w:tc>
        <w:tc>
          <w:tcPr>
            <w:tcW w:w="1711" w:type="dxa"/>
            <w:shd w:val="clear" w:color="auto" w:fill="auto"/>
            <w:vAlign w:val="center"/>
          </w:tcPr>
          <w:p w14:paraId="58A3C8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(GPs)</w:t>
            </w:r>
          </w:p>
        </w:tc>
        <w:tc>
          <w:tcPr>
            <w:tcW w:w="1984" w:type="dxa"/>
            <w:vAlign w:val="center"/>
          </w:tcPr>
          <w:p w14:paraId="1E60613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(Ireland)</w:t>
            </w:r>
          </w:p>
        </w:tc>
        <w:tc>
          <w:tcPr>
            <w:tcW w:w="1843" w:type="dxa"/>
            <w:shd w:val="clear" w:color="auto" w:fill="auto"/>
            <w:vAlign w:val="center"/>
          </w:tcPr>
          <w:p w14:paraId="727DBC5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5CAF352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(access to information)</w:t>
            </w:r>
          </w:p>
        </w:tc>
        <w:tc>
          <w:tcPr>
            <w:tcW w:w="1418" w:type="dxa"/>
            <w:shd w:val="clear" w:color="auto" w:fill="auto"/>
            <w:vAlign w:val="center"/>
          </w:tcPr>
          <w:p w14:paraId="4896705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4E6046F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06C1E7E6" w14:textId="77777777" w:rsidTr="004C3C90">
        <w:trPr>
          <w:trHeight w:val="20"/>
        </w:trPr>
        <w:tc>
          <w:tcPr>
            <w:tcW w:w="557" w:type="dxa"/>
            <w:vAlign w:val="center"/>
          </w:tcPr>
          <w:p w14:paraId="19BD2904"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11</w:t>
            </w:r>
          </w:p>
        </w:tc>
        <w:tc>
          <w:tcPr>
            <w:tcW w:w="1418" w:type="dxa"/>
            <w:shd w:val="clear" w:color="auto" w:fill="auto"/>
            <w:vAlign w:val="center"/>
          </w:tcPr>
          <w:p w14:paraId="08DB4DC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Quinn et al (2020)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{"citationItems":[{"id":"ITEM-1","itemData":{"DOI":"10.1002/jgc4.1233","ISBN":"1573-3599","abstract":"Nearly 350 million people worldwide are affected by a rare disease (RD) and ~80% of RDs have a genetic type, underscoring the need for access to reliable genomics education. Patient assistance in resource development can help ensure content is appropriate. The aim of this study was to define the needs and practical usage of the RD community to inform the scope and content of an online genetic course targeted toward the entire RD ecosystem. A high-level online survey (OS) was disseminated to 586 RD patients and family members/caregivers. A total of 251 individuals responded to the OS. Eight respondents were invited to participate in a follow-up focus group (FG). Nearly 87% of OS respondents have made efforts previously to learn more about genetics and 95.6% indicated a current interest in genetic education. Navigating healthcare systems, information sharing, and advocacy support were driving factors for this desire. Respondents indicated difficulty finding information on gene function, genetic testing, disease pathogenesis, and scientific advances. FG outcomes dove deeper into psychological needs including reducing emotional burden, alleviating fear of the unknown and seeking hope. Research identified high levels of interest in genetic education across all stages of the RD journey. Key themes identified in this study may help guide genetic counselors as they create their own patient and family-facing content.","author":[{"dropping-particle":"","family":"Quinn","given":"L","non-dropping-particle":"","parse-names":false,"suffix":""},{"dropping-particle":"","family":"Davis","given":"K","non-dropping-particle":"","parse-names":false,"suffix":""},{"dropping-particle":"","family":"Yee","given":"A","non-dropping-particle":"","parse-names":false,"suffix":""},{"dropping-particle":"","family":"Snyder","given":"H","non-dropping-particle":"","parse-names":false,"suffix":""}],"container-title":"Journal of genetic counseling","id":"ITEM-1","issued":{"date-parts":[["2020"]]},"language":"English","title":"Understanding genetic learning needs of people affected by rare disease","type":"article-journal"},"uris":["http://www.mendeley.com/documents/?uuid=294a269b-ad2d-31bc-99b5-54ee06b5ed7f"]}],"mendeley":{"formattedCitation":"[11]","plainTextFormattedCitation":"[11]","previouslyFormattedCitation":"[11]"},"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[11]</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6044990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Genet Couns</w:t>
            </w:r>
          </w:p>
        </w:tc>
        <w:tc>
          <w:tcPr>
            <w:tcW w:w="1711" w:type="dxa"/>
            <w:shd w:val="clear" w:color="auto" w:fill="auto"/>
            <w:vAlign w:val="center"/>
          </w:tcPr>
          <w:p w14:paraId="42AF561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Families, Caregivers)</w:t>
            </w:r>
          </w:p>
        </w:tc>
        <w:tc>
          <w:tcPr>
            <w:tcW w:w="1984" w:type="dxa"/>
            <w:vAlign w:val="center"/>
          </w:tcPr>
          <w:p w14:paraId="5B85B0A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32D7C94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1B512F8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(access to information)</w:t>
            </w:r>
          </w:p>
        </w:tc>
        <w:tc>
          <w:tcPr>
            <w:tcW w:w="1418" w:type="dxa"/>
            <w:shd w:val="clear" w:color="auto" w:fill="auto"/>
            <w:vAlign w:val="center"/>
          </w:tcPr>
          <w:p w14:paraId="149981F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(Questionnaire + Interview)</w:t>
            </w:r>
          </w:p>
        </w:tc>
        <w:tc>
          <w:tcPr>
            <w:tcW w:w="709" w:type="dxa"/>
            <w:shd w:val="clear" w:color="auto" w:fill="auto"/>
            <w:vAlign w:val="center"/>
          </w:tcPr>
          <w:p w14:paraId="601AFF5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1551D48C" w14:textId="77777777" w:rsidTr="004C3C90">
        <w:trPr>
          <w:trHeight w:val="20"/>
        </w:trPr>
        <w:tc>
          <w:tcPr>
            <w:tcW w:w="557" w:type="dxa"/>
            <w:vAlign w:val="center"/>
          </w:tcPr>
          <w:p w14:paraId="57EA26BD"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12</w:t>
            </w:r>
          </w:p>
        </w:tc>
        <w:tc>
          <w:tcPr>
            <w:tcW w:w="1418" w:type="dxa"/>
            <w:shd w:val="clear" w:color="auto" w:fill="auto"/>
            <w:vAlign w:val="center"/>
          </w:tcPr>
          <w:p w14:paraId="4CDD05B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Qian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{"citationItems":[{"id":"ITEM-1","itemData":{"DOI":"10.1007/s12687-018-0399-8","ISSN":"18686001","abstract":"In the era of personalized and genomic medicine, awareness of patients with rare diseases is increasing as new approaches to diagnosis and treatment are developed. This study examined perceived barriers experienced by families with rare diseases and explored possible differences between participants in Malaysia and California, USA. The study involved N = 108 participants recruited in genetics clinic appointments at the University of Malaya Medical Center and three sites in Southern California. Participants completed a survey involving multiple choice and Likert scale items pertaining to perceived barriers to access genetics-related healthcare. Results from this study provide evidence of similar perceived barriers, despite differences in the two populations. Participants selected the expansion of healthcare provider knowledge of rare diseases to be the most beneficial approach to overcome perceived barriers. In both locations, it was also noted that travel distance to clinic was not perceived as a large stress factor. Taking these observations together, a healthcare model with a central location of providers well-versed in medical genetics may be considered if further data support our findings. The data from this study support a need for improving healthcare provider knowledge of genetics. Future studies exploring how these perceived stress factors are impacting families as well as different methods of educating providers are suggested by findings from the study, as well as studies querying the opinions of those who are unable to access genetics services.","author":[{"dropping-particle":"","family":"Qian","given":"Emily","non-dropping-particle":"","parse-names":false,"suffix":""},{"dropping-particle":"","family":"Thong","given":"Meow Keong","non-dropping-particle":"","parse-names":false,"suffix":""},{"dropping-particle":"","family":"Flodman","given":"Pamela","non-dropping-particle":"","parse-names":false,"suffix":""},{"dropping-particle":"","family":"Gargus","given":"Jay","non-dropping-particle":"","parse-names":false,"suffix":""}],"container-title":"Journal of Community Genetics","id":"ITEM-1","issue":"3","issued":{"date-parts":[["2019"]]},"title":"A comparative study of patients’ perceptions of genetic and genomic medicine services in California and Malaysia","type":"article-journal","volume":"10"},"uris":["http://www.mendeley.com/documents/?uuid=6a4c3a6a-a68b-3e65-83d9-92e1cc1a4cd1"]}],"mendeley":{"formattedCitation":"[12]","plainTextFormattedCitation":"[12]","previouslyFormattedCitation":"[12]"},"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[12]</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5631FEC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Community Genet</w:t>
            </w:r>
          </w:p>
        </w:tc>
        <w:tc>
          <w:tcPr>
            <w:tcW w:w="1711" w:type="dxa"/>
            <w:shd w:val="clear" w:color="auto" w:fill="auto"/>
            <w:vAlign w:val="center"/>
          </w:tcPr>
          <w:p w14:paraId="5707C6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Families)</w:t>
            </w:r>
          </w:p>
        </w:tc>
        <w:tc>
          <w:tcPr>
            <w:tcW w:w="1984" w:type="dxa"/>
            <w:vAlign w:val="center"/>
          </w:tcPr>
          <w:p w14:paraId="60691E8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Asia (Malaysia) + North America (US)</w:t>
            </w:r>
          </w:p>
        </w:tc>
        <w:tc>
          <w:tcPr>
            <w:tcW w:w="1843" w:type="dxa"/>
            <w:shd w:val="clear" w:color="auto" w:fill="auto"/>
            <w:vAlign w:val="center"/>
          </w:tcPr>
          <w:p w14:paraId="3BC4828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7CD1117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(assess to genetics-related information)</w:t>
            </w:r>
          </w:p>
        </w:tc>
        <w:tc>
          <w:tcPr>
            <w:tcW w:w="1418" w:type="dxa"/>
            <w:shd w:val="clear" w:color="auto" w:fill="auto"/>
            <w:vAlign w:val="center"/>
          </w:tcPr>
          <w:p w14:paraId="7B9815E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148D8C7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2CA52542" w14:textId="77777777" w:rsidTr="004C3C90">
        <w:trPr>
          <w:trHeight w:val="20"/>
        </w:trPr>
        <w:tc>
          <w:tcPr>
            <w:tcW w:w="557" w:type="dxa"/>
            <w:vAlign w:val="center"/>
          </w:tcPr>
          <w:p w14:paraId="7F53BE3F"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13</w:t>
            </w:r>
          </w:p>
        </w:tc>
        <w:tc>
          <w:tcPr>
            <w:tcW w:w="1418" w:type="dxa"/>
            <w:shd w:val="clear" w:color="auto" w:fill="auto"/>
            <w:vAlign w:val="center"/>
          </w:tcPr>
          <w:p w14:paraId="4AB66A5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Marques-da-Silva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{"citationItems":[{"id":"ITEM-1","itemData":{"DOI":"10.1007/8904_2018_121","ISSN":"21928312","abstract":"Congenital disorders of glycosylation (CDG) are ultra-rare diseases showing a great phenotypic diversity ranging from mono-to multi-organ/multisystem involvement. Liver involvement, mostly nonprogressive, is often reported in CDG patients. The main objectives of this work were (1) to better understand liver involvement in CDG patients through a liver electronic questionnaire targeting CDG families (LeQCDG) and (2) to compare responses from LeQCDG participants with literature review regarding the prevalence of liver disease and the occurrence of liver symptoms in CDG patients. The network of patient advocacy groups, families and professionals (CDG &amp; Allies – PPAIN) developed the LeQCDG by adapting validated published questionnaires. The LeQCDG was approved by an ethics committee, and the recruitment of patients and caregivers proceeded through social media platforms. Participants were asked to report past or present liver-related symptoms (e.g. hepatomegaly, liver fibrosis and cirrhosis) and laboratory results (e.g. biochemical and/ or radiological). From 11 December 2016 to 22 January 2017, 155 questionnaires were completed. Liver disease was present in 29.9% of CDG patients. Main symptoms reported included hepatomegaly, increased levels of serum transaminases, fibrosis, steatosis and cirrhosis. The data obtained in this online survey confirm findings from a recent literature review of 25 years of published evidence (r ¼ 0.927, P ¼ 0.02). Our questionnaire collected large amounts of meaningful, clinical and patient-oriented data in a short period of time without geographic limitations. Internet-based approaches are especially relevant in the context of ultra-rare diseases such as CDG.","author":[{"dropping-particle":"","family":"Marques-da-Silva","given":"D.","non-dropping-particle":"","parse-names":false,"suffix":""},{"dropping-particle":"","family":"Francisco","given":"R.","non-dropping-particle":"","parse-names":false,"suffix":""},{"dropping-particle":"","family":"Reis Ferreira","given":"V.","non-dropping-particle":"dos","parse-names":false,"suffix":""},{"dropping-particle":"","family":"Forbat","given":"L.","non-dropping-particle":"","parse-names":false,"suffix":""},{"dropping-particle":"","family":"Lagoa","given":"R.","non-dropping-particle":"","parse-names":false,"suffix":""},{"dropping-particle":"","family":"Videira","given":"P. A.","non-dropping-particle":"","parse-names":false,"suffix":""},{"dropping-particle":"","family":"Witters","given":"P.","non-dropping-particle":"","parse-names":false,"suffix":""},{"dropping-particle":"","family":"Jaeken","given":"J.","non-dropping-particle":"","parse-names":false,"suffix":""},{"dropping-particle":"","family":"Cassiman","given":"D.","non-dropping-particle":"","parse-names":false,"suffix":""}],"container-title":"JIMD Reports","id":"ITEM-1","issued":{"date-parts":[["2019"]]},"title":"An electronic questionnaire for liver assessment in congenital disorders of glycosylation (LeQCDG): A patient-centered study","type":"chapter","volume":"44"},"uris":["http://www.mendeley.com/documents/?uuid=cc58704b-2cd2-3151-a2fa-aa7af05a7880"]}],"mendeley":{"formattedCitation":"[13]","plainTextFormattedCitation":"[13]","previouslyFormattedCitation":"[13]"},"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[13]</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531AD51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JIMD Rep</w:t>
            </w:r>
          </w:p>
        </w:tc>
        <w:tc>
          <w:tcPr>
            <w:tcW w:w="1711" w:type="dxa"/>
            <w:shd w:val="clear" w:color="auto" w:fill="auto"/>
            <w:vAlign w:val="center"/>
          </w:tcPr>
          <w:p w14:paraId="476D976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(Families)</w:t>
            </w:r>
          </w:p>
        </w:tc>
        <w:tc>
          <w:tcPr>
            <w:tcW w:w="1984" w:type="dxa"/>
            <w:vAlign w:val="center"/>
          </w:tcPr>
          <w:p w14:paraId="5255AE7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(unspecified)</w:t>
            </w:r>
          </w:p>
        </w:tc>
        <w:tc>
          <w:tcPr>
            <w:tcW w:w="1843" w:type="dxa"/>
            <w:shd w:val="clear" w:color="auto" w:fill="auto"/>
            <w:vAlign w:val="center"/>
          </w:tcPr>
          <w:p w14:paraId="3C1314F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Congenital disorder of glycosylation (5C54.0)</w:t>
            </w:r>
          </w:p>
        </w:tc>
        <w:tc>
          <w:tcPr>
            <w:tcW w:w="1559" w:type="dxa"/>
            <w:shd w:val="clear" w:color="auto" w:fill="auto"/>
            <w:vAlign w:val="center"/>
          </w:tcPr>
          <w:p w14:paraId="431782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(liver involvement)</w:t>
            </w:r>
          </w:p>
        </w:tc>
        <w:tc>
          <w:tcPr>
            <w:tcW w:w="1418" w:type="dxa"/>
            <w:shd w:val="clear" w:color="auto" w:fill="auto"/>
            <w:vAlign w:val="center"/>
          </w:tcPr>
          <w:p w14:paraId="77F9022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(Questionnaire + Literature review)</w:t>
            </w:r>
          </w:p>
        </w:tc>
        <w:tc>
          <w:tcPr>
            <w:tcW w:w="709" w:type="dxa"/>
            <w:shd w:val="clear" w:color="auto" w:fill="auto"/>
            <w:vAlign w:val="center"/>
          </w:tcPr>
          <w:p w14:paraId="26D3F68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58F29D0A" w14:textId="77777777" w:rsidTr="004C3C90">
        <w:trPr>
          <w:trHeight w:val="20"/>
        </w:trPr>
        <w:tc>
          <w:tcPr>
            <w:tcW w:w="557" w:type="dxa"/>
            <w:vAlign w:val="center"/>
          </w:tcPr>
          <w:p w14:paraId="56931FC1"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lastRenderedPageBreak/>
              <w:t>14</w:t>
            </w:r>
          </w:p>
        </w:tc>
        <w:tc>
          <w:tcPr>
            <w:tcW w:w="1418" w:type="dxa"/>
            <w:shd w:val="clear" w:color="auto" w:fill="auto"/>
            <w:vAlign w:val="center"/>
          </w:tcPr>
          <w:p w14:paraId="6536139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Conner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{"citationItems":[{"id":"ITEM-1","itemData":{"DOI":"10.1186/s13023-019-1027-3","ISSN":"17501172","abstract":"Background: Severe mucopolysaccharidosis type I (also known as Hurler syndrome) is a rare devasting recessive genetic disease caused by the deficiency of an enzyme. Hematopoietic stem cell transplant is the standard of care in the United States, usually conducted before the child is 3 years of age, but little is known about the continued medical and educational needs of the child after transplant. A greater understanding of the burden of illness on the primary caregiver is also needed. Therefore, this online survey sought to gather information on the burden of severe MPS I in the United States at least 1 year after transplant. Results: Thirty-two respondents reported that children with severe MPS I have significant medical and educational needs after transplant. Healthcare resource use was frequent, especially in the outpatient setting specifically for bone, cardiac, and vision complications that were not relieved by HSCT. Twenty-five percent of the children had been hospitalized at least once in the last year and two had been hospitalized twice. The most common reasons for overnight hospitalizations included orthopedic surgeries and respiratory infections. Among children ages 5 and older, only 3 of 28 (11%) were able to attend school with no special support. While caregivers were generally satisfied with the healthcare services their child receives, 69% of working caregivers reported negative impact on their ability to conduct work tasks, and 54% of caregivers did not work so that they could care for the child. Conclusions: Results suggest that severe MPS I children continue to require medical care and special support for education. Future research on the burden of illness on families affected by severe MPS I is needed to better understand total cost of care, and to identify therapies and interventions that reduce burden of illness. Future studies that compare cost of and access to health care in different countries may provide a more global view of the burden of MPS I.","author":[{"dropping-particle":"","family":"Conner","given":"Therese","non-dropping-particle":"","parse-names":false,"suffix":""},{"dropping-particle":"","family":"Cook","given":"Francesca","non-dropping-particle":"","parse-names":false,"suffix":""},{"dropping-particle":"","family":"Fernandez","given":"Vivian","non-dropping-particle":"","parse-names":false,"suffix":""},{"dropping-particle":"","family":"Rascati","given":"Karen","non-dropping-particle":"","parse-names":false,"suffix":""},{"dropping-particle":"","family":"Rangel-Miller","given":"Vanessa","non-dropping-particle":"","parse-names":false,"suffix":""}],"container-title":"Orphanet Journal of Rare Diseases","id":"ITEM-1","issue":"1","issued":{"date-parts":[["2019"]]},"title":"An online survey on burden of illness among families with post-stem cell transplant mucopolysaccharidosis type i children in the United States","type":"article-journal","volume":"14"},"uris":["http://www.mendeley.com/documents/?uuid=926de031-c17b-3378-ba44-e1fad2953a89"]}],"mendeley":{"formattedCitation":"[14]","plainTextFormattedCitation":"[14]","previouslyFormattedCitation":"[14]"},"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[14]</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669A77F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4EF874E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(Families)</w:t>
            </w:r>
          </w:p>
        </w:tc>
        <w:tc>
          <w:tcPr>
            <w:tcW w:w="1984" w:type="dxa"/>
            <w:vAlign w:val="center"/>
          </w:tcPr>
          <w:p w14:paraId="2CAA852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24C3404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Mucopolysaccharidosis Type I (5C56.30)</w:t>
            </w:r>
          </w:p>
        </w:tc>
        <w:tc>
          <w:tcPr>
            <w:tcW w:w="1559" w:type="dxa"/>
            <w:shd w:val="clear" w:color="auto" w:fill="auto"/>
            <w:vAlign w:val="center"/>
          </w:tcPr>
          <w:p w14:paraId="71868B9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(burden of illness, medical/educational needs after transplant)</w:t>
            </w:r>
          </w:p>
        </w:tc>
        <w:tc>
          <w:tcPr>
            <w:tcW w:w="1418" w:type="dxa"/>
            <w:shd w:val="clear" w:color="auto" w:fill="auto"/>
            <w:vAlign w:val="center"/>
          </w:tcPr>
          <w:p w14:paraId="51A6BE0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04D4209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5B8652CB" w14:textId="77777777" w:rsidTr="004C3C90">
        <w:trPr>
          <w:trHeight w:val="20"/>
        </w:trPr>
        <w:tc>
          <w:tcPr>
            <w:tcW w:w="557" w:type="dxa"/>
            <w:vAlign w:val="center"/>
          </w:tcPr>
          <w:p w14:paraId="6E7F6936"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15</w:t>
            </w:r>
          </w:p>
        </w:tc>
        <w:tc>
          <w:tcPr>
            <w:tcW w:w="1418" w:type="dxa"/>
            <w:shd w:val="clear" w:color="auto" w:fill="auto"/>
            <w:vAlign w:val="center"/>
          </w:tcPr>
          <w:p w14:paraId="28F441F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Khair and Pelentsov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{"citationItems":[{"id":"ITEM-1","itemData":{"DOI":"10.1111/hae.13826","ISSN":"13652516","PMID":"31359552","abstract":"Introduction: Inherited bleeding disorders are rare, for some such as haemophilia, there is a growing body of evidence about caregiver burden and associated support needs. Whilst for other disorders, which may be present with less clinically significant bleeding, there is a paucity of data about parents support needs. Aims: To evaluate the supportive care needs of parents of children with a range of inherited bleeding disorders. Methods: A single-centre pilot study using the validated Parental Needs Scale for Rare Diseases to measure the overall support needs of parents of children with a bleeding disorder. Results: 231 parents, including 99/231 (42.9%) fathers, completed the survey; half had a bleeding disorder themselves. Parents reported a good understanding of their child's condition, and overall were happy with the care provided by the specialist haemophilia team but reported a lack of knowledge in non-specialist settings. More than half of parents reported experiencing significant emotional issues relating to their child's condition. 42.6%-46.7% reported financial concerns related to paying for medical care and respite, respectively. Conclusion: Overall, parents are confident about dealing with their child's bleeding disorder and are satisfied with the level of support and care that they and their child are receiving. The emotional and psychological impacts of having a child with a bleeding disorder remain a significant burden for many parents. The financial costs associated with caring for their child further impact on their ability to cope. Regular assessment of parental support needs should be part of routine clinical care.","author":[{"dropping-particle":"","family":"Khair","given":"Kate","non-dropping-particle":"","parse-names":false,"suffix":""},{"dropping-particle":"","family":"Pelentsov","given":"Lemuel","non-dropping-particle":"","parse-names":false,"suffix":""}],"container-title":"Haemophilia","id":"ITEM-1","issue":"5","issued":{"date-parts":[["2019"]]},"page":"831-837","title":"Assessing the supportive care needs of parents with a child with a bleeding disorder using the Parental Needs Scale for Rare Diseases (PNS-RD): A single-centre pilot study","type":"article-journal","volume":"25"},"uris":["http://www.mendeley.com/documents/?uuid=ec196fde-0b0f-33f9-ab0f-bbb8ab49dc96"]}],"mendeley":{"formattedCitation":"[15]","plainTextFormattedCitation":"[15]","previouslyFormattedCitation":"[15]"},"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[15]</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3D946D0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Haemophilia</w:t>
            </w:r>
          </w:p>
        </w:tc>
        <w:tc>
          <w:tcPr>
            <w:tcW w:w="1711" w:type="dxa"/>
            <w:shd w:val="clear" w:color="auto" w:fill="auto"/>
            <w:vAlign w:val="center"/>
          </w:tcPr>
          <w:p w14:paraId="0227E23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(Families)</w:t>
            </w:r>
          </w:p>
        </w:tc>
        <w:tc>
          <w:tcPr>
            <w:tcW w:w="1984" w:type="dxa"/>
            <w:vAlign w:val="center"/>
          </w:tcPr>
          <w:p w14:paraId="4F1E19B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(UK)</w:t>
            </w:r>
          </w:p>
        </w:tc>
        <w:tc>
          <w:tcPr>
            <w:tcW w:w="1843" w:type="dxa"/>
            <w:shd w:val="clear" w:color="auto" w:fill="auto"/>
            <w:vAlign w:val="center"/>
          </w:tcPr>
          <w:p w14:paraId="50CC809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Haemophilia (3B12)</w:t>
            </w:r>
          </w:p>
        </w:tc>
        <w:tc>
          <w:tcPr>
            <w:tcW w:w="1559" w:type="dxa"/>
            <w:shd w:val="clear" w:color="auto" w:fill="auto"/>
            <w:vAlign w:val="center"/>
          </w:tcPr>
          <w:p w14:paraId="506E9AF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Knowledge</w:t>
            </w:r>
          </w:p>
        </w:tc>
        <w:tc>
          <w:tcPr>
            <w:tcW w:w="1418" w:type="dxa"/>
            <w:shd w:val="clear" w:color="auto" w:fill="auto"/>
            <w:vAlign w:val="center"/>
          </w:tcPr>
          <w:p w14:paraId="3E3BDBB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(PNS-RD)</w:t>
            </w:r>
          </w:p>
        </w:tc>
        <w:tc>
          <w:tcPr>
            <w:tcW w:w="709" w:type="dxa"/>
            <w:shd w:val="clear" w:color="auto" w:fill="auto"/>
            <w:vAlign w:val="center"/>
          </w:tcPr>
          <w:p w14:paraId="196890C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793738E6" w14:textId="77777777" w:rsidTr="004C3C90">
        <w:trPr>
          <w:trHeight w:val="20"/>
        </w:trPr>
        <w:tc>
          <w:tcPr>
            <w:tcW w:w="557" w:type="dxa"/>
            <w:vAlign w:val="center"/>
          </w:tcPr>
          <w:p w14:paraId="4B231A4D"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16</w:t>
            </w:r>
          </w:p>
        </w:tc>
        <w:tc>
          <w:tcPr>
            <w:tcW w:w="1418" w:type="dxa"/>
            <w:shd w:val="clear" w:color="auto" w:fill="auto"/>
            <w:vAlign w:val="center"/>
          </w:tcPr>
          <w:p w14:paraId="1CB4CCA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Noone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{"citationItems":[{"id":"ITEM-1","itemData":{"DOI":"10.1111/hae.13722","ISSN":"13652516","abstract":"Introduction: Historically, issues faced by women with bleeding disorders (WBD) have been underestimated. While advances in genetic testing have resulted in improvements, significant challenges remain in the initial recognition of abnormal bleeding and referral of WBD. Methods: The European Haemophilia Consortium (EHC) developed a questionnaire for WBD to provide insights into the barriers and challenges faced by WBD in Europe. Results: In total, 709 WBD responded to the survey from 32 countries, predominantly from western European countries (94%). A delay in ascertaining the diagnosis of a congenital bleeding disorders (CBD) remains, with a median age at diagnosis of 16 years. The presence of family history is strongly associated with a lower median age at diagnosis of 6 years. WBD reported significant disease impact on their day-to-day life, most evident for the rarer CBD. The bleeding symptom of biggest impact on daily life is heavy menstrual bleeding (HMB), reported by 55% of women. Importantly, 25% of WBD reports that their condition severely impacted their decision to have or has prevented them from having children. Respondents registered with Haemophilia Treatment Centres (HTC) are 2.2 times more likely to receive treatment compared to WBD in other hospital services. Conclusion: Improved education for both patients and healthcare providers is essential to improve time to diagnosis, access to treatment and psychosocial supports for WBD in Europe.","author":[{"dropping-particle":"","family":"Noone","given":"Declan","non-dropping-particle":"","parse-names":false,"suffix":""},{"dropping-particle":"","family":"Skouw-Rasmussen","given":"Naja","non-dropping-particle":"","parse-names":false,"suffix":""},{"dropping-particle":"","family":"Lavin","given":"Michelle","non-dropping-particle":"","parse-names":false,"suffix":""},{"dropping-particle":"","family":"Galen","given":"Karin P.M.","non-dropping-particle":"van","parse-names":false,"suffix":""},{"dropping-particle":"","family":"Kadir","given":"Rezan A.","non-dropping-particle":"","parse-names":false,"suffix":""}],"container-title":"Haemophilia","id":"ITEM-1","issue":"3","issued":{"date-parts":[["2019"]]},"title":"Barriers and challenges faced by women with congenital bleeding disorders in Europe: Results of a patient survey conducted by the European Haemophilia Consortium","type":"article-journal","volume":"25"},"uris":["http://www.mendeley.com/documents/?uuid=d7b594a9-01f1-3933-84e7-17d3c3360b29"]}],"mendeley":{"formattedCitation":"[16]","plainTextFormattedCitation":"[16]","previouslyFormattedCitation":"[16]"},"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[16]</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5F1CAE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Haemophilia</w:t>
            </w:r>
          </w:p>
        </w:tc>
        <w:tc>
          <w:tcPr>
            <w:tcW w:w="1711" w:type="dxa"/>
            <w:shd w:val="clear" w:color="auto" w:fill="auto"/>
            <w:vAlign w:val="center"/>
          </w:tcPr>
          <w:p w14:paraId="6A4C868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14D1AFE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(Denmark, France, Germany, Netherlands, UK)</w:t>
            </w:r>
          </w:p>
        </w:tc>
        <w:tc>
          <w:tcPr>
            <w:tcW w:w="1843" w:type="dxa"/>
            <w:shd w:val="clear" w:color="auto" w:fill="auto"/>
            <w:vAlign w:val="center"/>
          </w:tcPr>
          <w:p w14:paraId="4B56EA7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Haemophilia (3B12)</w:t>
            </w:r>
          </w:p>
        </w:tc>
        <w:tc>
          <w:tcPr>
            <w:tcW w:w="1559" w:type="dxa"/>
            <w:shd w:val="clear" w:color="auto" w:fill="auto"/>
            <w:vAlign w:val="center"/>
          </w:tcPr>
          <w:p w14:paraId="606EC3F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(diagnosis, QoL)</w:t>
            </w:r>
          </w:p>
        </w:tc>
        <w:tc>
          <w:tcPr>
            <w:tcW w:w="1418" w:type="dxa"/>
            <w:shd w:val="clear" w:color="auto" w:fill="auto"/>
            <w:vAlign w:val="center"/>
          </w:tcPr>
          <w:p w14:paraId="146156B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75487ED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02F76E3A" w14:textId="77777777" w:rsidTr="004C3C90">
        <w:trPr>
          <w:trHeight w:val="20"/>
        </w:trPr>
        <w:tc>
          <w:tcPr>
            <w:tcW w:w="557" w:type="dxa"/>
            <w:vAlign w:val="center"/>
          </w:tcPr>
          <w:p w14:paraId="568EC950"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17</w:t>
            </w:r>
          </w:p>
        </w:tc>
        <w:tc>
          <w:tcPr>
            <w:tcW w:w="1418" w:type="dxa"/>
            <w:shd w:val="clear" w:color="auto" w:fill="auto"/>
            <w:vAlign w:val="center"/>
          </w:tcPr>
          <w:p w14:paraId="3ECDE25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Rush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{"citationItems":[{"id":"ITEM-1","itemData":{"DOI":"10.1186/s13023-019-1167-5","ISBN":"1750-1172","abstract":"Background: Hypophosphatasia (HPP) is a rare, inherited, metabolic bone disease caused by deficient tissue-non-specific isoenzyme of alkaline phosphatase activity that manifests as a broad range of signs/symptoms, including bone mineralization defects and systemic complications. The burden of disease is poorly characterized, particularly in children. This study aimed to characterize the patient-reported burden of disease among children with HPP using two survey instruments: the HPP Impact Patient Survey (HIPS) and the HPP Outcomes Study Telephone interview (HOST).Methods: Between September 2009 and June 2011, pediatric patients (aged younger than 18 years) with HPP were recruited to participate in the study via patient advocacy groups or their medical provider. Survey questions were used to capture information on patient demographics, HPP-related medical history, mobility, and health-related quality of life (HRQoL; using the 10-item Short-Form Health Survey for Children [SF-10], HIPS only).Results: Common clinical features of the 59 pediatric survey respondents (mean [standard deviation] age: 7.6 [5.1] years; 51% male) included pain (86% of patients), muscle weakness (71%), difficulty gaining weight (64%), and delayed walking (59%). Fracture was reported by 36% of patients; multiple fractures were also reported (15% of patients). Use of assistive devices for mobility was frequent among the study population (51%). In response to the SF-10, patients reported a substantial impact of HPP on their HRQoL; physical function was the most severely impaired component relative to normative data. Of patients responding to the HOST, two-thirds experienced worsening of at least one of their HPP-related signs/symptoms over a 5-year period.Conclusions: In pediatric patients, HPP is associated with a high burden of disease and a substantial negative impact on HRQoL. The burden of HPP may increase and HRQoL reduce further over time as signs/symptoms that affect HRQoL worsen or new signs/symptoms manifest.","author":[{"dropping-particle":"","family":"Rush","given":"Eric T","non-dropping-particle":"","parse-names":false,"suffix":""},{"dropping-particle":"","family":"Moseley","given":"Scott","non-dropping-particle":"","parse-names":false,"suffix":""},{"dropping-particle":"","family":"Petryk","given":"Anna","non-dropping-particle":"","parse-names":false,"suffix":""}],"container-title":"Orphanet Journal of Rare Diseases","id":"ITEM-1","issue":"1","issued":{"date-parts":[["2019"]]},"page":"N.PAG-N.PAG","publisher":"BioMed Central","title":"Burden of disease in pediatric patients with hypophosphatasia: results from the HPP Impact Patient Survey and the HPP Outcomes Study Telephone interview","type":"article-journal","volume":"14"},"uris":["http://www.mendeley.com/documents/?uuid=b7506ef5-a4a1-3a03-b8c5-e248d48ac1bb"]}],"mendeley":{"formattedCitation":"[17]","plainTextFormattedCitation":"[17]","previouslyFormattedCitation":"[17]"},"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[17]</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7B71337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40D052D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1306F0A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0C4A00E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Hypophosphatasia (5C64.3)</w:t>
            </w:r>
          </w:p>
        </w:tc>
        <w:tc>
          <w:tcPr>
            <w:tcW w:w="1559" w:type="dxa"/>
            <w:shd w:val="clear" w:color="auto" w:fill="auto"/>
            <w:vAlign w:val="center"/>
          </w:tcPr>
          <w:p w14:paraId="0E1111B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(burden of disease, QoL)</w:t>
            </w:r>
          </w:p>
        </w:tc>
        <w:tc>
          <w:tcPr>
            <w:tcW w:w="1418" w:type="dxa"/>
            <w:shd w:val="clear" w:color="auto" w:fill="auto"/>
            <w:vAlign w:val="center"/>
          </w:tcPr>
          <w:p w14:paraId="3FE10F4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(Questionnaire + Interview)</w:t>
            </w:r>
          </w:p>
        </w:tc>
        <w:tc>
          <w:tcPr>
            <w:tcW w:w="709" w:type="dxa"/>
            <w:shd w:val="clear" w:color="auto" w:fill="auto"/>
            <w:vAlign w:val="center"/>
          </w:tcPr>
          <w:p w14:paraId="38146F1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00193DF6" w14:textId="77777777" w:rsidTr="004C3C90">
        <w:trPr>
          <w:trHeight w:val="20"/>
        </w:trPr>
        <w:tc>
          <w:tcPr>
            <w:tcW w:w="557" w:type="dxa"/>
            <w:vAlign w:val="center"/>
          </w:tcPr>
          <w:p w14:paraId="694C4D82"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18</w:t>
            </w:r>
          </w:p>
        </w:tc>
        <w:tc>
          <w:tcPr>
            <w:tcW w:w="1418" w:type="dxa"/>
            <w:shd w:val="clear" w:color="auto" w:fill="auto"/>
            <w:vAlign w:val="center"/>
          </w:tcPr>
          <w:p w14:paraId="2F46550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Rice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{"citationItems":[{"id":"ITEM-1","itemData":{"DOI":"10.1080/09638288.2018.1557268","ISSN":"14645165","abstract":"Purpose: To evaluate the importance of different challenges experienced by informal caregivers to persons with systemic sclerosis (SSc) and identify priorities for support services that could be developed. Materials and Methods: Caregivers of people with SSc from three continents completed an online questionnaire to rate the importance of possible caregiver challenges and likelihood of using different forms of support services. Importance of challenges and likelihood of using support services were rated from 1 (not important; not likely to use) to 4 (very important; very likely to use). Results: Two hundred and two informal caregivers completed the survey (79 women, 123 men). Mean age was 58 years (standard deviation = 13). The most important challenges were related to supporting the care recipient with emotional difficulties and physical discomfort. Caregivers indicated that they would be more likely to use support services that involved online or hard-copy information resources, including those provided soon after diagnosis, compared to support that involved interacting with others. Conclusions: Supporting the care recipient in managing emotional difficulties and physical discomfort were important challenges among caregivers. Interventions delivered through hardcopy or online resources, including those delivered soon after the care recipient’s diagnosis, were rated as being most likely to be used by caregivers.Implications for rehabilitation Many caregivers for individuals with systemic sclerosis report struggling to support their care recipient with emotional difficulties and physical discomfort. Rehabilitation professionals can aid in the development of support services that caregivers have identified as being likely to use and can refer caregivers to resources that they have identified as being helpful, such as educational information about the disease. The development of support services should focus on aspects of caring that caregivers found most challenging and be delivered in a format that considers caregiver preferences.","author":[{"dropping-particle":"","family":"Rice","given":"Danielle B.","non-dropping-particle":"","parse-names":false,"suffix":""},{"dropping-particle":"","family":"Cañedo-Ayala","given":"Mara","non-dropping-particle":"","parse-names":false,"suffix":""},{"dropping-particle":"","family":"Carboni-Jiménez","given":"Andrea","non-dropping-particle":"","parse-names":false,"suffix":""},{"dropping-particle":"","family":"Carrier","given":"Marie Eve","non-dropping-particle":"","parse-names":false,"suffix":""},{"dropping-particle":"","family":"Cumin","given":"Julie","non-dropping-particle":"","parse-names":false,"suffix":""},{"dropping-particle":"","family":"Malcarne","given":"Vanessa L.","non-dropping-particle":"","parse-names":false,"suffix":""},{"dropping-particle":"","family":"Hagedoorn","given":"Mariët","non-dropping-particle":"","parse-names":false,"suffix":""},{"dropping-particle":"","family":"Thombs","given":"Brett D.","non-dropping-particle":"","parse-names":false,"suffix":""}],"container-title":"Disability and Rehabilitation","id":"ITEM-1","issue":"16","issued":{"date-parts":[["2020"]]},"title":"Challenges and support service preferences of informal caregivers of people with systemic sclerosis: a cross-sectional survey","type":"article-journal","volume":"42"},"uris":["http://www.mendeley.com/documents/?uuid=4af8a3a6-8150-31c3-ac9a-53c9a50e897f"]}],"mendeley":{"formattedCitation":"[18]","plainTextFormattedCitation":"[18]","previouslyFormattedCitation":"[18]"},"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[18]</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38391ED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Disabil Rehabil</w:t>
            </w:r>
          </w:p>
        </w:tc>
        <w:tc>
          <w:tcPr>
            <w:tcW w:w="1711" w:type="dxa"/>
            <w:shd w:val="clear" w:color="auto" w:fill="auto"/>
            <w:vAlign w:val="center"/>
          </w:tcPr>
          <w:p w14:paraId="0260555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(Caregivers)</w:t>
            </w:r>
          </w:p>
        </w:tc>
        <w:tc>
          <w:tcPr>
            <w:tcW w:w="1984" w:type="dxa"/>
            <w:vAlign w:val="center"/>
          </w:tcPr>
          <w:p w14:paraId="44B7293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(France, UK) + North America (Canada, US) + Oceania (Australia)</w:t>
            </w:r>
          </w:p>
        </w:tc>
        <w:tc>
          <w:tcPr>
            <w:tcW w:w="1843" w:type="dxa"/>
            <w:shd w:val="clear" w:color="auto" w:fill="auto"/>
            <w:vAlign w:val="center"/>
          </w:tcPr>
          <w:p w14:paraId="41B54D2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Systemic sclerosis (4A42)</w:t>
            </w:r>
          </w:p>
        </w:tc>
        <w:tc>
          <w:tcPr>
            <w:tcW w:w="1559" w:type="dxa"/>
            <w:shd w:val="clear" w:color="auto" w:fill="auto"/>
            <w:vAlign w:val="center"/>
          </w:tcPr>
          <w:p w14:paraId="635D625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(psychological distress, access of information)</w:t>
            </w:r>
          </w:p>
        </w:tc>
        <w:tc>
          <w:tcPr>
            <w:tcW w:w="1418" w:type="dxa"/>
            <w:shd w:val="clear" w:color="auto" w:fill="auto"/>
            <w:vAlign w:val="center"/>
          </w:tcPr>
          <w:p w14:paraId="1091FAD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4B51118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2A79AC3C" w14:textId="77777777" w:rsidTr="004C3C90">
        <w:trPr>
          <w:trHeight w:val="20"/>
        </w:trPr>
        <w:tc>
          <w:tcPr>
            <w:tcW w:w="557" w:type="dxa"/>
            <w:vAlign w:val="center"/>
          </w:tcPr>
          <w:p w14:paraId="636AAD67"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19</w:t>
            </w:r>
          </w:p>
        </w:tc>
        <w:tc>
          <w:tcPr>
            <w:tcW w:w="1418" w:type="dxa"/>
            <w:shd w:val="clear" w:color="auto" w:fill="auto"/>
            <w:vAlign w:val="center"/>
          </w:tcPr>
          <w:p w14:paraId="0E8B3A9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Crowe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{"citationItems":[{"id":"ITEM-1","itemData":{"DOI":"10.3389/fpubh.2019.00236","ISSN":"22962565","abstract":"Objective: By definition a rare disease affects fewer than 1 in 2,000 people but collectively 1 in 17 people are affected at some time in their lives. Rare disease patients often describe feeling isolated and unsupported. The needs of individuals living with rare disease(s) are not well met globally and have not been specifically explored in Northern Ireland. Methods: An online survey was conducted in spring of 2017, focused on information and communication needs, to identify overarching themes. Databases were searched to place responses in an international context. Results: There were 240 survey respondents with four overarching themes identified: sources of information; medical care; rare disease community; and public awareness. Thirty relevant papers resulted from the literature search. A coordinated and transparent approach for improved medical care is needed where researchers, practitioners, and policy makers work with patients, carers, and rare disease advocates to ensure a fully considered rare disease strategy is implemented. In line with that developed by many other countries, a physical or virtual Northern Ireland reference network or center of excellence for rare diseases would provide an important strategic link. Sustainable funding, resources for rare disease charities, and more cross-border working would help build a local rare disease community. Major challenges highlighted include finding the right health and social care information. The internet was the most regularly accessed, and perceived as the easiest way, to source information on rare disease. Improved signposting to accredited information, ideally by the creation of a locally relevant online information hub, a local rare disease registry that can integrate with international systems, a local rare disease coordinator, and improving public awareness are urgent needs. Conclusions: Aligned to internationally reported outcomes, practical issues for future development based on the voices of individuals living, and working with a rare condition are described. It is essential that ongoing research evaluates changes to ensure that the best possible structures and mechanisms are put in place to improve communication and information systems for those affected by a rare condition(s).","author":[{"dropping-particle":"","family":"Crowe","given":"Ashleen L.","non-dropping-particle":"","parse-names":false,"suffix":""},{"dropping-particle":"","family":"McKnight","given":"Amy Jayne","non-dropping-particle":"","parse-names":false,"suffix":""},{"dropping-particle":"","family":"McAneney","given":"Helen","non-dropping-particle":"","parse-names":false,"suffix":""}],"container-title":"Frontiers in Public Health","id":"ITEM-1","issued":{"date-parts":[["2019"]]},"title":"Communication Needs for Individuals With Rare Diseases Within and Around the Healthcare System of Northern Ireland","type":"article-journal","volume":"7"},"uris":["http://www.mendeley.com/documents/?uuid=e1633154-a19c-3047-a6db-8a579ace5c14"]}],"mendeley":{"formattedCitation":"[19]","plainTextFormattedCitation":"[19]","previouslyFormattedCitation":"[19]"},"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[19]</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0E54534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Front Public Health</w:t>
            </w:r>
          </w:p>
        </w:tc>
        <w:tc>
          <w:tcPr>
            <w:tcW w:w="1711" w:type="dxa"/>
            <w:shd w:val="clear" w:color="auto" w:fill="auto"/>
            <w:vAlign w:val="center"/>
          </w:tcPr>
          <w:p w14:paraId="540AC39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Families, Caregivers) +Group 2 (GPs, Other HCPs) + Group 3 (social support practitioners)</w:t>
            </w:r>
          </w:p>
        </w:tc>
        <w:tc>
          <w:tcPr>
            <w:tcW w:w="1984" w:type="dxa"/>
            <w:vAlign w:val="center"/>
          </w:tcPr>
          <w:p w14:paraId="3BFF90E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(Northern Ireland)</w:t>
            </w:r>
          </w:p>
        </w:tc>
        <w:tc>
          <w:tcPr>
            <w:tcW w:w="1843" w:type="dxa"/>
            <w:shd w:val="clear" w:color="auto" w:fill="auto"/>
            <w:vAlign w:val="center"/>
          </w:tcPr>
          <w:p w14:paraId="5666446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2C5B31D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(source of knowledge, awareness)</w:t>
            </w:r>
          </w:p>
        </w:tc>
        <w:tc>
          <w:tcPr>
            <w:tcW w:w="1418" w:type="dxa"/>
            <w:shd w:val="clear" w:color="auto" w:fill="auto"/>
            <w:vAlign w:val="center"/>
          </w:tcPr>
          <w:p w14:paraId="419483D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(Questionnaire + Literature review)</w:t>
            </w:r>
          </w:p>
        </w:tc>
        <w:tc>
          <w:tcPr>
            <w:tcW w:w="709" w:type="dxa"/>
            <w:shd w:val="clear" w:color="auto" w:fill="auto"/>
            <w:vAlign w:val="center"/>
          </w:tcPr>
          <w:p w14:paraId="79937EF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041F3F8C" w14:textId="77777777" w:rsidTr="004C3C90">
        <w:trPr>
          <w:trHeight w:val="20"/>
        </w:trPr>
        <w:tc>
          <w:tcPr>
            <w:tcW w:w="557" w:type="dxa"/>
            <w:vAlign w:val="center"/>
          </w:tcPr>
          <w:p w14:paraId="18D134C5"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20</w:t>
            </w:r>
          </w:p>
        </w:tc>
        <w:tc>
          <w:tcPr>
            <w:tcW w:w="1418" w:type="dxa"/>
            <w:shd w:val="clear" w:color="auto" w:fill="auto"/>
            <w:vAlign w:val="center"/>
          </w:tcPr>
          <w:p w14:paraId="2CE21B2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Hollis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{"citationItems":[{"id":"ITEM-1","itemData":{"DOI":"10.1093/pch/pxy165","ISSN":"12057088","abstract":"Background: Clinical experience suggests that childhood nephrotic syndrome is frequently diagnosed incorrectly, leading to delays in providing effective treatment. We hypothesized that the health care setting is an important determinant of diagnostic success, with implications for the patient and family health care experience. Our objectives were: (1) to characterize the relationship between diagnostic success and health care setting for the diagnosis of nephrotic syndrome, (2) to determine types and frequencies of incorrect diagnoses, and (3) to understand the burden placed on patients and families as a result of incorrect and incomplete diagnoses. Methods: A survey was conducted by phone or in-person with legal guardians of children 1 to 18 years diagnosed with nephrotic syndrome within 24 months before the study. The survey elicited information on type of health care setting utilized (e.g., family practice, emergency room) and on diagnoses and treatments. Results: Seventy-four patients with varying ethnicities and socioeconomic profiles (37 male, 37 female, median age 4.8 years, range: 1.2 to 14.8) were included from four Canadian paediatric nephrology centres. Proportions of diagnostic success were high in emergency and paediatric care settings (66% and 64% correct, respectively), but low in primary care settings (17% family practice and 17% walk-in clinic, respectively). Diagnostic delays ranged from 0 to 428 days (median 9.5, interquartile range [IQR] = 20.5). \"Allergies\" was the most common incorrect diagnosis (47%). Parents and legal guardians reported missed work (55%) and added expenses (50%) prior to obtaining a correct diagnosis. Conclusions: Childhood nephrotic syndrome is often incorrectly diagnosed, especially in primary care settings.","author":[{"dropping-particle":"","family":"Hollis","given":"Asha","non-dropping-particle":"","parse-names":false,"suffix":""},{"dropping-particle":"","family":"Dart","given":"Allison","non-dropping-particle":"","parse-names":false,"suffix":""},{"dropping-particle":"","family":"Morgan","given":"Catherine","non-dropping-particle":"","parse-names":false,"suffix":""},{"dropping-particle":"","family":"Mammen","given":"Cherry","non-dropping-particle":"","parse-names":false,"suffix":""},{"dropping-particle":"","family":"Zappitelli","given":"Michael","non-dropping-particle":"","parse-names":false,"suffix":""},{"dropping-particle":"","family":"Chanchlani","given":"Rahul","non-dropping-particle":"","parse-names":false,"suffix":""},{"dropping-particle":"","family":"Samuel","given":"Susan","non-dropping-particle":"","parse-names":false,"suffix":""}],"container-title":"Paediatrics and Child Health (Canada)","id":"ITEM-1","issue":"4","issued":{"date-parts":[["2019"]]},"title":"Delays in diagnosis of nephrotic syndrome in children: A survey study","type":"article-journal","volume":"24"},"uris":["http://www.mendeley.com/documents/?uuid=3279bf22-be0b-3c38-8839-e225464a07ef"]}],"mendeley":{"formattedCitation":"[20]","plainTextFormattedCitation":"[20]","previouslyFormattedCitation":"[20]"},"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[20]</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793923E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Paediatr Child Heal</w:t>
            </w:r>
          </w:p>
        </w:tc>
        <w:tc>
          <w:tcPr>
            <w:tcW w:w="1711" w:type="dxa"/>
            <w:shd w:val="clear" w:color="auto" w:fill="auto"/>
            <w:vAlign w:val="center"/>
          </w:tcPr>
          <w:p w14:paraId="2023223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(Families, Caregivers)</w:t>
            </w:r>
          </w:p>
        </w:tc>
        <w:tc>
          <w:tcPr>
            <w:tcW w:w="1984" w:type="dxa"/>
            <w:vAlign w:val="center"/>
          </w:tcPr>
          <w:p w14:paraId="7EE58FB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(Canada)</w:t>
            </w:r>
          </w:p>
        </w:tc>
        <w:tc>
          <w:tcPr>
            <w:tcW w:w="1843" w:type="dxa"/>
            <w:shd w:val="clear" w:color="auto" w:fill="auto"/>
            <w:vAlign w:val="center"/>
          </w:tcPr>
          <w:p w14:paraId="47C869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Nephrotic syndrome (GB41)</w:t>
            </w:r>
          </w:p>
        </w:tc>
        <w:tc>
          <w:tcPr>
            <w:tcW w:w="1559" w:type="dxa"/>
            <w:shd w:val="clear" w:color="auto" w:fill="auto"/>
            <w:vAlign w:val="center"/>
          </w:tcPr>
          <w:p w14:paraId="6E8263A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(diagnosis, treatment)</w:t>
            </w:r>
          </w:p>
        </w:tc>
        <w:tc>
          <w:tcPr>
            <w:tcW w:w="1418" w:type="dxa"/>
            <w:shd w:val="clear" w:color="auto" w:fill="auto"/>
            <w:vAlign w:val="center"/>
          </w:tcPr>
          <w:p w14:paraId="1B36CA3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1FF7E52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2AE340B5" w14:textId="77777777" w:rsidTr="004C3C90">
        <w:trPr>
          <w:trHeight w:val="20"/>
        </w:trPr>
        <w:tc>
          <w:tcPr>
            <w:tcW w:w="557" w:type="dxa"/>
            <w:vAlign w:val="center"/>
          </w:tcPr>
          <w:p w14:paraId="3DD595AE"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21</w:t>
            </w:r>
          </w:p>
        </w:tc>
        <w:tc>
          <w:tcPr>
            <w:tcW w:w="1418" w:type="dxa"/>
            <w:shd w:val="clear" w:color="auto" w:fill="auto"/>
            <w:vAlign w:val="center"/>
          </w:tcPr>
          <w:p w14:paraId="45DC1A6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Baldelli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{"citationItems":[{"id":"ITEM-1","itemData":{"DOI":"10.1186/s13023-019-1253-8","ISSN":"17501172","abstract":"Background: Poland Syndrome (PS) is a rare congenital malformation involving functional and aesthetic impairments. Early diagnosis and timely therapeutic approaches play an important role in improving the quality of life of patients and kindred. This study aims to explore healthcare experiences of the diagnosis of patients affected by PS and to investigate the factors associated with diagnostic delay in Italy. Results: Seventy-two patients affected by PS were asked to fill in a self-administered questionnaire on: a) diagnostic path; b) perceived quality of care received after diagnosis; c) knowledge of the rights and the socio-economic hardships related to their disease; d) evaluation of the integration of various professional skills involved in the diagnostic and therapeutic approach; e) perception of the social support provided by the Italian Association of Poland Syndrome (AISP). The average age at diagnosis was around 14 years; diagnosis was made at birth in only 31.58% of cases. Although typical symptomatology had appeared on average at an early age (4 months), only 23 patients (40.35%) received an early diagnosis (within the first year of life). Just over half of the patients (n = 30) were diagnosed in their region of origin, while 27 were diagnosed elsewhere. Furthermore, 12.28% were self-diagnoses. Among the patients who were diagnosed outside their region, 15 (88.24%) stated they had foregone some visits or treatments owing to costs and/or organizational issues. Conclusions: An analysis of the patients' experiences highlights several gaps and a lack of homogeneity in the diagnostic and therapeutic follow-up of PS patients in Italy. A specific national diagnostic and therapeutic path is essential to guarantee patients complete and appropriate health services, compliant with the ethical principles of non-discrimination, justice and empathy. Implementation of an effective information and research network and empowerment of patients' associations are necessary conditions to encourage clinical collaboration and improve the quality of life of people living with rare diseases.","author":[{"dropping-particle":"","family":"Baldelli","given":"Ilaria","non-dropping-particle":"","parse-names":false,"suffix":""},{"dropping-particle":"","family":"Gallo","given":"Fabio","non-dropping-particle":"","parse-names":false,"suffix":""},{"dropping-particle":"","family":"Crimi","given":"Marco","non-dropping-particle":"","parse-names":false,"suffix":""},{"dropping-particle":"","family":"Fregatti","given":"Piero","non-dropping-particle":"","parse-names":false,"suffix":""},{"dropping-particle":"","family":"Mellini","given":"Lorenzo","non-dropping-particle":"","parse-names":false,"suffix":""},{"dropping-particle":"","family":"Santi","given":"Pierluigi","non-dropping-particle":"","parse-names":false,"suffix":""},{"dropping-particle":"","family":"Ciliberti","given":"Rosagemma","non-dropping-particle":"","parse-names":false,"suffix":""}],"container-title":"Orphanet Journal of Rare Diseases","id":"ITEM-1","issue":"1","issued":{"date-parts":[["2019"]]},"title":"Experiences of patients with Poland syndrome of diagnosis and care in Italy: A pilot survey","type":"article-journal","volume":"14"},"uris":["http://www.mendeley.com/documents/?uuid=5fd9c38f-40f4-337e-a681-4013fc2e486b"]}],"mendeley":{"formattedCitation":"[21]","plainTextFormattedCitation":"[21]","previouslyFormattedCitation":"[21]"},"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[21]</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27EE250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76106E0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6F5A5B4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(Italy)</w:t>
            </w:r>
          </w:p>
        </w:tc>
        <w:tc>
          <w:tcPr>
            <w:tcW w:w="1843" w:type="dxa"/>
            <w:shd w:val="clear" w:color="auto" w:fill="auto"/>
            <w:vAlign w:val="center"/>
          </w:tcPr>
          <w:p w14:paraId="786DD24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Poland's syndrome (LB73.10)</w:t>
            </w:r>
          </w:p>
        </w:tc>
        <w:tc>
          <w:tcPr>
            <w:tcW w:w="1559" w:type="dxa"/>
            <w:shd w:val="clear" w:color="auto" w:fill="auto"/>
            <w:vAlign w:val="center"/>
          </w:tcPr>
          <w:p w14:paraId="2828828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(diagnosis)</w:t>
            </w:r>
          </w:p>
        </w:tc>
        <w:tc>
          <w:tcPr>
            <w:tcW w:w="1418" w:type="dxa"/>
            <w:shd w:val="clear" w:color="auto" w:fill="auto"/>
            <w:vAlign w:val="center"/>
          </w:tcPr>
          <w:p w14:paraId="35251AD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6B8365B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5848A49A" w14:textId="77777777" w:rsidTr="004C3C90">
        <w:trPr>
          <w:trHeight w:val="20"/>
        </w:trPr>
        <w:tc>
          <w:tcPr>
            <w:tcW w:w="557" w:type="dxa"/>
            <w:vAlign w:val="center"/>
          </w:tcPr>
          <w:p w14:paraId="6B361E04"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22</w:t>
            </w:r>
          </w:p>
        </w:tc>
        <w:tc>
          <w:tcPr>
            <w:tcW w:w="1418" w:type="dxa"/>
            <w:shd w:val="clear" w:color="auto" w:fill="auto"/>
            <w:vAlign w:val="center"/>
          </w:tcPr>
          <w:p w14:paraId="162A7D7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Yankouskaya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{"citationItems":[{"id":"ITEM-1","itemData":{"DOI":"10.1097/RHU.0000000000000872","ISBN":"1076-1608","abstract":"Objective: The aim of this study was to investigate the relationship between psychological representations of illness, perceived health status, and self-assessment of symptom severity in patients with Behçet disease, a rare long-term incurable condition with unclear etiology.Methods: Using cross-sectional survey design, data on self-administered questionnaires on illness perception, health status, symptoms severity, and demographic characteristics were collected from 273 patients with Behçet disease (age range, 18-65 years). The data were subjected to mediation analysis to test whether cognitive and emotional components of illness perception mediate the relationship between the severity of symptoms and heath status.Results: The results support our hypotheses that cognitive components of illness perception (perceived consequences and identity of the illness) mediate the link between symptom activity and pain, whereas emotional components of the illness (emotional representations about the illness) mediate the relationship between disease activity and perceived energy level.Conclusions: The robustness of these mediation effects suggests potential directions for clinical psychologists and health care practitioners in developing support programs. We supplement our study with Open Access database containing information about type of medication, comorbid mood disorder, and detailed measurement of the severity of BD symptoms for sharing and accumulating multidisciplinary knowledge aiming to support the development of interventions. Addressing psychological aspects of BD will help to manage complex patients effectively.","author":[{"dropping-particle":"","family":"Yankouskaya","given":"Alla","non-dropping-particle":"","parse-names":false,"suffix":""},{"dropping-particle":"","family":"Boughey","given":"Alexandra","non-dropping-particle":"","parse-names":false,"suffix":""},{"dropping-particle":"","family":"McCagh","given":"Jane","non-dropping-particle":"","parse-names":false,"suffix":""},{"dropping-particle":"","family":"Neal","given":"Alison","non-dropping-particle":"","parse-names":false,"suffix":""},{"dropping-particle":"","family":"Bezenac","given":"Christophe","non-dropping-particle":"de","parse-names":false,"suffix":""},{"dropping-particle":"","family":"Davies","given":"Simon J","non-dropping-particle":"","parse-names":false,"suffix":""}],"container-title":"Journal of Clinical Rheumatology","id":"ITEM-1","issue":"8","issued":{"date-parts":[["2019"]]},"page":"319-324","publisher":"Lippincott Williams &amp; Wilkins","publisher-place":"Baltimore, Maryland","title":"Illness Perception Mediates the Relationship Between the Severity of Symptoms and Perceived Health Status in Patients With Behçet Disease","type":"article-journal","volume":"25"},"uris":["http://www.mendeley.com/documents/?uuid=e69c00e3-afc3-3df3-b1f1-f736426eeaa2"]}],"mendeley":{"formattedCitation":"[22]","plainTextFormattedCitation":"[22]","previouslyFormattedCitation":"[22]"},"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[22]</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771CC59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Clin Rheumatol</w:t>
            </w:r>
          </w:p>
        </w:tc>
        <w:tc>
          <w:tcPr>
            <w:tcW w:w="1711" w:type="dxa"/>
            <w:shd w:val="clear" w:color="auto" w:fill="auto"/>
            <w:vAlign w:val="center"/>
          </w:tcPr>
          <w:p w14:paraId="25D590B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0D1CB7F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(UK)</w:t>
            </w:r>
          </w:p>
        </w:tc>
        <w:tc>
          <w:tcPr>
            <w:tcW w:w="1843" w:type="dxa"/>
            <w:shd w:val="clear" w:color="auto" w:fill="auto"/>
            <w:vAlign w:val="center"/>
          </w:tcPr>
          <w:p w14:paraId="21C9194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Behcet's disease (4A62)</w:t>
            </w:r>
          </w:p>
        </w:tc>
        <w:tc>
          <w:tcPr>
            <w:tcW w:w="1559" w:type="dxa"/>
            <w:shd w:val="clear" w:color="auto" w:fill="auto"/>
            <w:vAlign w:val="center"/>
          </w:tcPr>
          <w:p w14:paraId="3ADC71C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(illness perception, health status)</w:t>
            </w:r>
          </w:p>
        </w:tc>
        <w:tc>
          <w:tcPr>
            <w:tcW w:w="1418" w:type="dxa"/>
            <w:shd w:val="clear" w:color="auto" w:fill="auto"/>
            <w:vAlign w:val="center"/>
          </w:tcPr>
          <w:p w14:paraId="3605616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0776167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61C01386" w14:textId="77777777" w:rsidTr="004C3C90">
        <w:trPr>
          <w:trHeight w:val="20"/>
        </w:trPr>
        <w:tc>
          <w:tcPr>
            <w:tcW w:w="557" w:type="dxa"/>
            <w:vAlign w:val="center"/>
          </w:tcPr>
          <w:p w14:paraId="75DF8BD2"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23</w:t>
            </w:r>
          </w:p>
        </w:tc>
        <w:tc>
          <w:tcPr>
            <w:tcW w:w="1418" w:type="dxa"/>
            <w:shd w:val="clear" w:color="auto" w:fill="auto"/>
            <w:vAlign w:val="center"/>
          </w:tcPr>
          <w:p w14:paraId="1C03FC5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Swezey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{"citationItems":[{"id":"ITEM-1","itemData":{"DOI":"10.1007/s00198-018-4690-7","ISBN":"0937-941x","PMID":"30191258","abstract":"There is limited research which examines health concerns of individuals with osteogenesis imperfecta (OI). Discussion groups with leaders of the adult OI community identified a broad range of medical priorities beyond fractures and brittle bones. Our work underscores the need to include patient-reported outcomes in rare bone disease research. INTRODUCTION: Osteogenesis imperfecta (OI) is a rare genetic disorder affecting collagen protein leading to brittle bones and a number of other medical complications. To date, there is limited research which examines the life-long process of aging with this rare disease, much less the perspective of individuals with OI. METHODS: In order to explore and prioritize health concerns that adults with OI feel have been inadequately addressed in health care and research, investigators held discussions with leaders from the global adult OI community. The meetings were held in August 2017 at the 13th International Conference on OI in Oslo, Norway as part of the preconference seminar \"Patient Participation in OI Research\". Investigators were part of the Brittle Bone Disease Consortium (BBDC), a multicenter research program devoted to the study of OI, and their focus was on patient-reported outcomes (PRO). RESULTS: Participants noted that while fractures and brittle bones are the most common feature of OI, a number of body systems are under-studied in this disorder. They particularly emphasized breathing, hearing, and the effects of aging as primary concerns that researchers and physicians may not fully understand or address. Other areas included pain, gastrointestinal problems, mental health, nutrition, menopause/pregnancy, and basilar invagination. Participants also emphasized that they must be informed of study results. They underscored that outcome measures incorporated into future drug trials must look beyond fractures and consider the whole patient. CONCLUSIONS: This work will help guide the incorporation of PROs into the next phase of the BBDC Natural History Study of OI and underscores the importance of including PROs in the study of rare diseases.","author":[{"dropping-particle":"","family":"Swezey","given":"T","non-dropping-particle":"","parse-names":false,"suffix":""},{"dropping-particle":"","family":"Reeve","given":"B B","non-dropping-particle":"","parse-names":false,"suffix":""},{"dropping-particle":"","family":"Hart","given":"T S","non-dropping-particle":"","parse-names":false,"suffix":""},{"dropping-particle":"","family":"Floor","given":"M K","non-dropping-particle":"","parse-names":false,"suffix":""},{"dropping-particle":"","family":"Dollar","given":"C M","non-dropping-particle":"","parse-names":false,"suffix":""},{"dropping-particle":"","family":"Gillies","given":"A P","non-dropping-particle":"","parse-names":false,"suffix":""},{"dropping-particle":"","family":"Tosi","given":"L L","non-dropping-particle":"","parse-names":false,"suffix":""}],"container-title":"Osteoporos Int","edition":"2018/09/08","id":"ITEM-1","issue":"2","issued":{"date-parts":[["2019"]]},"language":"eng","page":"507-511","title":"Incorporating the patient perspective in the study of rare bone disease: insights from the osteogenesis imperfecta community","type":"article-journal","volume":"30"},"uris":["http://www.mendeley.com/documents/?uuid=5a085969-4d30-311c-9dba-faf8da7ccee4"]}],"mendeley":{"formattedCitation":"[23]","plainTextFormattedCitation":"[23]","previouslyFormattedCitation":"[23]"},"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[23]</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5FF5460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Osteoporos Int</w:t>
            </w:r>
          </w:p>
        </w:tc>
        <w:tc>
          <w:tcPr>
            <w:tcW w:w="1711" w:type="dxa"/>
            <w:shd w:val="clear" w:color="auto" w:fill="auto"/>
            <w:vAlign w:val="center"/>
          </w:tcPr>
          <w:p w14:paraId="5F8CC7B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36D5DE3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Asia (Unspecified) + Europe (Unspecified) + North America </w:t>
            </w:r>
            <w:r w:rsidRPr="004C3C90">
              <w:rPr>
                <w:rFonts w:ascii="Times New Roman" w:eastAsia="Times New Roman" w:hAnsi="Times New Roman" w:cs="Times New Roman"/>
                <w:sz w:val="20"/>
                <w:szCs w:val="20"/>
              </w:rPr>
              <w:lastRenderedPageBreak/>
              <w:t>(US) + Oceania (Australia)</w:t>
            </w:r>
          </w:p>
        </w:tc>
        <w:tc>
          <w:tcPr>
            <w:tcW w:w="1843" w:type="dxa"/>
            <w:shd w:val="clear" w:color="auto" w:fill="auto"/>
            <w:vAlign w:val="center"/>
          </w:tcPr>
          <w:p w14:paraId="45BBBD8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lastRenderedPageBreak/>
              <w:t>Osteogenesis imperfecta (LD24.K0)</w:t>
            </w:r>
          </w:p>
        </w:tc>
        <w:tc>
          <w:tcPr>
            <w:tcW w:w="1559" w:type="dxa"/>
            <w:shd w:val="clear" w:color="auto" w:fill="auto"/>
            <w:vAlign w:val="center"/>
          </w:tcPr>
          <w:p w14:paraId="4E6399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(symptoms, QoL)</w:t>
            </w:r>
          </w:p>
        </w:tc>
        <w:tc>
          <w:tcPr>
            <w:tcW w:w="1418" w:type="dxa"/>
            <w:shd w:val="clear" w:color="auto" w:fill="auto"/>
            <w:vAlign w:val="center"/>
          </w:tcPr>
          <w:p w14:paraId="5E075D9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Qualitative (Discussion)</w:t>
            </w:r>
          </w:p>
        </w:tc>
        <w:tc>
          <w:tcPr>
            <w:tcW w:w="709" w:type="dxa"/>
            <w:shd w:val="clear" w:color="auto" w:fill="auto"/>
            <w:vAlign w:val="center"/>
          </w:tcPr>
          <w:p w14:paraId="5B9E44B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30A0506D" w14:textId="77777777" w:rsidTr="004C3C90">
        <w:trPr>
          <w:trHeight w:val="20"/>
        </w:trPr>
        <w:tc>
          <w:tcPr>
            <w:tcW w:w="557" w:type="dxa"/>
            <w:vAlign w:val="center"/>
          </w:tcPr>
          <w:p w14:paraId="20B9E81A"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24</w:t>
            </w:r>
          </w:p>
        </w:tc>
        <w:tc>
          <w:tcPr>
            <w:tcW w:w="1418" w:type="dxa"/>
            <w:shd w:val="clear" w:color="auto" w:fill="auto"/>
            <w:vAlign w:val="center"/>
          </w:tcPr>
          <w:p w14:paraId="170A00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Nakahara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{"citationItems":[{"id":"ITEM-1","itemData":{"DOI":"10.1080/09638288.2017.1405083","ISSN":"14645165","abstract":"Purpose: Fibrodysplasia ossificans progressiva is a rare congenital disorder that causes systemic heterotopic ossification, leading to systemic ankyloses and mobility losses. This study aimed to ascertain the natural history of fibrodysplasia ossificans progressiva. Methods: In addition to the medical history questionnaire, patients aged 16 years and older were asked to complete activities of daily living and quality of life surveys using the Barthel Index, MOS 36-Item Short-Form Health Survey, and Health Assessment Questionnaire. The surveys were conducted over a 4-years period. Results: Of the 15 participating patients, 13 reported swelling during the study period. The Barthel Index and Health Assessment Questionnaire surveys indicated a tendency for questionnaire items related to arm function to reflect early decreases in the activities of daily living. Decreases in activities of daily living functioning were closely related to decreases in the quality of life in physical function domains. Activities of daily living and quality of life were maintained at a similar level to baseline values over the study period (Barthel Index: p = 0.42, MOS 36-Item Short-Form Health Survey: p = 0.43, Health Assessment Questionnaire: p = 0.87). Conclusions: We obtained longitudinal information relating to natural history on fibrodysplasia ossificans progressiva patients.Implications for rehabilitation Fibrodysplasia ossificans progressiva is a rare congenital disease that causes heterotopic ossification of muscle tissue throughout the body, leading to systemic ankyloses and mobility losses. When the Barthel Index was high and the activities of daily living were relatively stable, the items on the Health Assessment Questionnaire that are related to arm function began to show impairment. Early focus on upper extremity function that includes the use of assistive devices during the period when a patient is still able to perform many activities of daily living is important. Although decreases in activities of daily living functioning were closely related to decreases in the quality of life in the physical function domains, the scores of the domains other than physical function were similar to the national standard score.","author":[{"dropping-particle":"","family":"Nakahara","given":"Yasuo","non-dropping-particle":"","parse-names":false,"suffix":""},{"dropping-particle":"","family":"Kitoh","given":"Hiroshi","non-dropping-particle":"","parse-names":false,"suffix":""},{"dropping-particle":"","family":"Nakashima","given":"Yasuharu","non-dropping-particle":"","parse-names":false,"suffix":""},{"dropping-particle":"","family":"Toguchida","given":"Junya","non-dropping-particle":"","parse-names":false,"suffix":""},{"dropping-particle":"","family":"Haga","given":"Nobuhiko","non-dropping-particle":"","parse-names":false,"suffix":""}],"container-title":"Disability and Rehabilitation","id":"ITEM-1","issue":"6","issued":{"date-parts":[["2019"]]},"title":"Longitudinal study of the activities of daily living and quality of life in Japanese patients with fibrodysplasia ossificans progressiva","type":"article-journal","volume":"41"},"uris":["http://www.mendeley.com/documents/?uuid=a8c415e0-0331-3c51-bc07-9c40c11c40b0"]}],"mendeley":{"formattedCitation":"[24]","plainTextFormattedCitation":"[24]","previouslyFormattedCitation":"[24]"},"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[24]</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75D1F82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Disabil Rehabil</w:t>
            </w:r>
          </w:p>
        </w:tc>
        <w:tc>
          <w:tcPr>
            <w:tcW w:w="1711" w:type="dxa"/>
            <w:shd w:val="clear" w:color="auto" w:fill="auto"/>
            <w:vAlign w:val="center"/>
          </w:tcPr>
          <w:p w14:paraId="132B017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73E4C6C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Asia (Japan)</w:t>
            </w:r>
          </w:p>
        </w:tc>
        <w:tc>
          <w:tcPr>
            <w:tcW w:w="1843" w:type="dxa"/>
            <w:shd w:val="clear" w:color="auto" w:fill="auto"/>
            <w:vAlign w:val="center"/>
          </w:tcPr>
          <w:p w14:paraId="2AAB1D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Fibrodysplasia ossificans progressiva (FB31.1)</w:t>
            </w:r>
          </w:p>
        </w:tc>
        <w:tc>
          <w:tcPr>
            <w:tcW w:w="1559" w:type="dxa"/>
            <w:shd w:val="clear" w:color="auto" w:fill="auto"/>
            <w:vAlign w:val="center"/>
          </w:tcPr>
          <w:p w14:paraId="01A818B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(QoL)</w:t>
            </w:r>
          </w:p>
        </w:tc>
        <w:tc>
          <w:tcPr>
            <w:tcW w:w="1418" w:type="dxa"/>
            <w:shd w:val="clear" w:color="auto" w:fill="auto"/>
            <w:vAlign w:val="center"/>
          </w:tcPr>
          <w:p w14:paraId="28C800F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1BDAB6B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53D117FA" w14:textId="77777777" w:rsidTr="004C3C90">
        <w:trPr>
          <w:trHeight w:val="20"/>
        </w:trPr>
        <w:tc>
          <w:tcPr>
            <w:tcW w:w="557" w:type="dxa"/>
            <w:vAlign w:val="center"/>
          </w:tcPr>
          <w:p w14:paraId="113A41CD"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25</w:t>
            </w:r>
          </w:p>
        </w:tc>
        <w:tc>
          <w:tcPr>
            <w:tcW w:w="1418" w:type="dxa"/>
            <w:shd w:val="clear" w:color="auto" w:fill="auto"/>
            <w:vAlign w:val="center"/>
          </w:tcPr>
          <w:p w14:paraId="02FB094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Morrison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{"citationItems":[{"id":"ITEM-1","itemData":{"DOI":"10.1186/s13023-019-1233-z","ISSN":"17501172","abstract":"Background: Mucopolysaccharidosis type VII (Sly disease, MPS VII), is an ultra-rare, multi-symptom disease with variable clinical presentations which can present challenges with diagnosis, management and care. We believe this survey is the first to explore the patient experience through direct questioning of the caregivers of 13 individuals with MPS VII. Methods: This European survey, using a specifically designed questionnaire, was conducted in order to describe the pathway to diagnosis and the burden of illness of MPS VII. Information on early symptoms, clinicians seen, and current symptoms was collected. Questions on the caregivers' ability to work and the use and availability of health, social and educational support were included. Results: Caregivers of 13 patients from Germany, Spain, The Netherlands and Turkey responded to the survey. Five patients with non-immune hydrops fetalis (NIHF) were diagnosed with MPS VII at a mean age of 1.9 years (median 0.3 years, range 0.2 to 6 years). Those without NIHF (n = 7) were diagnosed at a mean age of 6.1 years (median 6.0 years, range 1.9 to 14 years). The symptoms most likely to raise a suspicion of MPS VII, excluding NIHF, did not appear until a median age of at least three years. Over one half of patients required assistance with daily living and mobility. Reduction of the working hours of caregivers was often necessary (46.2% reduced hours, 30.8% stopped working). Patients attended frequent medical appointments (12.7/year), over 80% had surgery and 30% had been hospitalised for respiratory issues. While support for learning and behavioural needs was generally available, support for mobility was not available to 50% of patients. Half of the respondents (6/12) said they were not offered genetic counselling. Conclusions: For children that do not present with NIHF, diagnosis can take several years as early symptoms can be non-specific and mistaken for other conditions. Increased awareness of the early signs of disease and more information for parents/caregivers at diagnosis are needed. MPS VII poses significant burden to patients, caregivers, healthcare, social and educational services. Access to information and support varies across Europe and the availability of genetic counselling is limited in some countries.","author":[{"dropping-particle":"","family":"Morrison","given":"Alexandra","non-dropping-particle":"","parse-names":false,"suffix":""},{"dropping-particle":"","family":"Oussoren","given":"Esmee","non-dropping-particle":"","parse-names":false,"suffix":""},{"dropping-particle":"","family":"Friedel","given":"Tabea","non-dropping-particle":"","parse-names":false,"suffix":""},{"dropping-particle":"","family":"Cruz","given":"Jordi","non-dropping-particle":"","parse-names":false,"suffix":""},{"dropping-particle":"","family":"Yilmaz","given":"Nalan","non-dropping-particle":"","parse-names":false,"suffix":""}],"container-title":"Orphanet Journal of Rare Diseases","id":"ITEM-1","issue":"1","issued":{"date-parts":[["2019"]]},"title":"Pathway to diagnosis and burden of illness in mucopolysaccharidosis type VII- A European caregiver survey","type":"article-journal","volume":"14"},"uris":["http://www.mendeley.com/documents/?uuid=3790f807-2dc2-3890-b77d-3f597db352b1"]}],"mendeley":{"formattedCitation":"[25]","plainTextFormattedCitation":"[25]","previouslyFormattedCitation":"[25]"},"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[25]</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73A0135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5F13D72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(Caregivers)</w:t>
            </w:r>
          </w:p>
        </w:tc>
        <w:tc>
          <w:tcPr>
            <w:tcW w:w="1984" w:type="dxa"/>
            <w:vAlign w:val="center"/>
          </w:tcPr>
          <w:p w14:paraId="1732C06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Asia (Turkey) + Europe (Germany, Netherlands, Spain)</w:t>
            </w:r>
          </w:p>
        </w:tc>
        <w:tc>
          <w:tcPr>
            <w:tcW w:w="1843" w:type="dxa"/>
            <w:shd w:val="clear" w:color="auto" w:fill="auto"/>
            <w:vAlign w:val="center"/>
          </w:tcPr>
          <w:p w14:paraId="110AF35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Mucopolysaccharidosis type VII (5C56.3Y)</w:t>
            </w:r>
          </w:p>
        </w:tc>
        <w:tc>
          <w:tcPr>
            <w:tcW w:w="1559" w:type="dxa"/>
            <w:shd w:val="clear" w:color="auto" w:fill="auto"/>
            <w:vAlign w:val="center"/>
          </w:tcPr>
          <w:p w14:paraId="6C267A5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(diagnosis, burden of illness)</w:t>
            </w:r>
          </w:p>
        </w:tc>
        <w:tc>
          <w:tcPr>
            <w:tcW w:w="1418" w:type="dxa"/>
            <w:shd w:val="clear" w:color="auto" w:fill="auto"/>
            <w:vAlign w:val="center"/>
          </w:tcPr>
          <w:p w14:paraId="1B2F5F3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0364F9D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78053C35" w14:textId="77777777" w:rsidTr="004C3C90">
        <w:trPr>
          <w:trHeight w:val="20"/>
        </w:trPr>
        <w:tc>
          <w:tcPr>
            <w:tcW w:w="557" w:type="dxa"/>
            <w:vAlign w:val="center"/>
          </w:tcPr>
          <w:p w14:paraId="1791A31F"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26</w:t>
            </w:r>
          </w:p>
        </w:tc>
        <w:tc>
          <w:tcPr>
            <w:tcW w:w="1418" w:type="dxa"/>
            <w:shd w:val="clear" w:color="auto" w:fill="auto"/>
            <w:vAlign w:val="center"/>
          </w:tcPr>
          <w:p w14:paraId="492B92C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Karaa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{"citationItems":[{"id":"ITEM-1","itemData":{"DOI":"10.1016/j.dib.2019.104343","ISSN":"23523409","abstract":"This article presents data that examine the patient's perception of health care delivery for mitochondrial disease in the US. It also presents the opinions of mitochondrial disease expert physicians about creating a specialised network of clinics to oversee the care of patients with this disease within the US. Two separate electronic surveys were developed; one for mitochondrial disease patients and their families ascertaining their satisfaction with their current health care and the challenges they face. The other for the physicians group assessing the usefulness, feasibility and readiness to develop specialized care clinics for mitochondrial disease in the US. Survey responses and descriptive analysis are presented here. The data in this article is supplemental, and supports the information presented in the research article “Harmonizing care for rare diseases: How we developed the mitochondrial care network in the United States.” Karaa et al., 2019","author":[{"dropping-particle":"","family":"Karaa","given":"Amel","non-dropping-particle":"","parse-names":false,"suffix":""},{"dropping-particle":"","family":"Goldstein","given":"Amy","non-dropping-particle":"","parse-names":false,"suffix":""},{"dropping-particle":"","family":"Balcells","given":"Cristy","non-dropping-particle":"","parse-names":false,"suffix":""},{"dropping-particle":"","family":"Mann","given":"Kira","non-dropping-particle":"","parse-names":false,"suffix":""},{"dropping-particle":"","family":"Stanley","given":"Laura","non-dropping-particle":"","parse-names":false,"suffix":""},{"dropping-particle":"","family":"Yeske","given":"Philip E.","non-dropping-particle":"","parse-names":false,"suffix":""},{"dropping-particle":"","family":"Parikh","given":"Sumit","non-dropping-particle":"","parse-names":false,"suffix":""}],"container-title":"Data in Brief","id":"ITEM-1","issued":{"date-parts":[["2019"]]},"title":"Primary mitochondrial disease in the US: Data from patients and physicians' perspective on health care delivery","type":"article-journal","volume":"25"},"uris":["http://www.mendeley.com/documents/?uuid=a5299222-504e-3d9b-8dcf-cfadaabec829"]}],"mendeley":{"formattedCitation":"[26]","plainTextFormattedCitation":"[26]","previouslyFormattedCitation":"[26]"},"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[26]</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27ABF20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Data Br</w:t>
            </w:r>
          </w:p>
        </w:tc>
        <w:tc>
          <w:tcPr>
            <w:tcW w:w="1711" w:type="dxa"/>
            <w:shd w:val="clear" w:color="auto" w:fill="auto"/>
            <w:vAlign w:val="center"/>
          </w:tcPr>
          <w:p w14:paraId="0A70E6C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Caregivers) + Group 2 (Specialists (Mithochondrial))</w:t>
            </w:r>
          </w:p>
        </w:tc>
        <w:tc>
          <w:tcPr>
            <w:tcW w:w="1984" w:type="dxa"/>
            <w:vAlign w:val="center"/>
          </w:tcPr>
          <w:p w14:paraId="28528A9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019C312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60158A2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(diagnosis, treatment)</w:t>
            </w:r>
          </w:p>
        </w:tc>
        <w:tc>
          <w:tcPr>
            <w:tcW w:w="1418" w:type="dxa"/>
            <w:shd w:val="clear" w:color="auto" w:fill="auto"/>
            <w:vAlign w:val="center"/>
          </w:tcPr>
          <w:p w14:paraId="3561680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74E1083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29068069" w14:textId="77777777" w:rsidTr="004C3C90">
        <w:trPr>
          <w:trHeight w:val="20"/>
        </w:trPr>
        <w:tc>
          <w:tcPr>
            <w:tcW w:w="557" w:type="dxa"/>
            <w:vAlign w:val="center"/>
          </w:tcPr>
          <w:p w14:paraId="7BE3C4CC"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27</w:t>
            </w:r>
          </w:p>
        </w:tc>
        <w:tc>
          <w:tcPr>
            <w:tcW w:w="1418" w:type="dxa"/>
            <w:shd w:val="clear" w:color="auto" w:fill="auto"/>
            <w:vAlign w:val="center"/>
          </w:tcPr>
          <w:p w14:paraId="6C01B69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Courbier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{"citationItems":[{"id":"ITEM-1","itemData":{"DOI":"10.1186/s13023-019-1123-4","ISSN":"17501172","abstract":"Background: The needs and benefits of sharing health data to advance scientific research and improve clinical benefits have been well documented in recent years, specifically in the field of rare diseases where knowledge and expertise are limited and patient populations are geographically dispersed. Understanding what patients want and need from rare disease research and data sharing is important to ensure their participation and engagement in the process, and to ensure that these wishes and needs are embedded within research design. EURORDIS-Rare Diseases Europe regularly surveys the rare disease community to identify its perspectives and needs on a number of issues in order to represent rare disease patients and be their voice within European and International initiatives and policy developments. Here, we present key findings from a large quantitative survey conducted with patients with rare diseases and family members as part of a continuous evidence-based advocacy process developed at EURORDIS. The aim of this survey was to explore patient and family perspectives on data sharing and data protection in research and healthcare settings and develop relevant recommendations to support shaping of future data sharing initiatives in rare disease research. This survey, translated into 23 languages, was carried out via the Rare Barometer Programme and was designed to be accessible to a diverse population with a wide range of education backgrounds. It was widely disseminated via patient organisations worldwide to ensure that a wide range of voices and experiences were represented. Main findings: Rare disease patients, regardless of the severity of their disease and their socio-demographic profile, are clearly supportive of data sharing to foster research and improve healthcare. However, rare disease patients' willingness to share their data does come with specific requirements in order to respect their privacy, choices and needs for information regarding the use of their data. Conclusions: To ensure sustainability and success of international data sharing initiatives in health and research for rare diseases, appropriate legislations need to be implemented and multi-stakeholder efforts need to be pursued to foster cultural and technological changes enabling the systematic integration of patients' preferences regarding sharing of their own health data.","author":[{"dropping-particle":"","family":"Courbier","given":"Sandra","non-dropping-particle":"","parse-names":false,"suffix":""},{"dropping-particle":"","family":"Dimond","given":"Rebecca","non-dropping-particle":"","parse-names":false,"suffix":""},{"dropping-particle":"","family":"Bros-Facer","given":"Virginie","non-dropping-particle":"","parse-names":false,"suffix":""}],"container-title":"Orphanet Journal of Rare Diseases","id":"ITEM-1","issue":"1","issued":{"date-parts":[["2019"]]},"title":"Share and protect our health data: An evidence based approach to rare disease patients' perspectives on data sharing and data protection - Quantitative survey and recommendations","type":"article","volume":"14"},"uris":["http://www.mendeley.com/documents/?uuid=79df83d8-500e-3550-b9ac-95b6b9c9cb88"]}],"mendeley":{"formattedCitation":"[27]","plainTextFormattedCitation":"[27]","previouslyFormattedCitation":"[27]"},"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[27]</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18C617F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0292549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Families)</w:t>
            </w:r>
          </w:p>
        </w:tc>
        <w:tc>
          <w:tcPr>
            <w:tcW w:w="1984" w:type="dxa"/>
            <w:vAlign w:val="center"/>
          </w:tcPr>
          <w:p w14:paraId="42C41A5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(unspecified)</w:t>
            </w:r>
          </w:p>
        </w:tc>
        <w:tc>
          <w:tcPr>
            <w:tcW w:w="1843" w:type="dxa"/>
            <w:shd w:val="clear" w:color="auto" w:fill="auto"/>
            <w:vAlign w:val="center"/>
          </w:tcPr>
          <w:p w14:paraId="7833749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690DA94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(data sharing)</w:t>
            </w:r>
          </w:p>
        </w:tc>
        <w:tc>
          <w:tcPr>
            <w:tcW w:w="1418" w:type="dxa"/>
            <w:shd w:val="clear" w:color="auto" w:fill="auto"/>
            <w:vAlign w:val="center"/>
          </w:tcPr>
          <w:p w14:paraId="4C24584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295B277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363E03EE" w14:textId="77777777" w:rsidTr="004C3C90">
        <w:trPr>
          <w:trHeight w:val="20"/>
        </w:trPr>
        <w:tc>
          <w:tcPr>
            <w:tcW w:w="557" w:type="dxa"/>
            <w:vAlign w:val="center"/>
          </w:tcPr>
          <w:p w14:paraId="7979171B"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28</w:t>
            </w:r>
          </w:p>
        </w:tc>
        <w:tc>
          <w:tcPr>
            <w:tcW w:w="1418" w:type="dxa"/>
            <w:shd w:val="clear" w:color="auto" w:fill="auto"/>
            <w:vAlign w:val="center"/>
          </w:tcPr>
          <w:p w14:paraId="3578544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Yoo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{"citationItems":[{"id":"ITEM-1","itemData":{"DOI":"10.1016/j.jaci.2018.10.017","ISBN":"1097-6825\r0091-6749","abstract":"Background: Caregivers of children with primary immunodeficiency disorders (PIDs) experience significant psychological distress during their child's hematopoietic cell transplantation (HCT) process. Objectives: This study aims to understand caregiver challenges and identify areas for health care system-level improvements to enhance caregiver well-being. Methods: In this mixed-methods study caregivers of children with PIDs were contacted in August to November 2017 through online and electronic mailing lists of rare disease consortiums and foundations. Caregivers were invited to participate in an online survey assessing sociodemographic variables, the child's medical characteristics, psychosocial support use, and the World Health Organization–5 Well-Being Index. Open-ended questions about health care system improvements were included. Descriptive statistics and linear multivariate regression analyses were conducted. A modified content analysis method was used to code responses and identify emergent themes. Results: Among the 80 caregiver respondents, caregivers had a median age of 34 years (range, 23-62 years) and were predominantly female, white, and married with male children given a diagnosis of severe combined immune deficiency. In the adjusted regression model lower caregiver well-being was significantly associated with lower household income and medical complications. Challenges during HCT include maintaining relationships with partners and the child's healthy sibling or siblings, managing self-care, and coping with feelings of uncertainty. Caregivers suggested several organizational-level solutions to enhance psychosocial support, including respite services, online connections to other PID caregivers, and bedside mental health services. Conclusions: Certain high-risk subpopulations of caregivers might need more targeted psychosocial support to reduce the long-term effect of the HCT experience on their well-being. Caregivers suggested several organizational-level solutions for provision of this support.","author":[{"dropping-particle":"","family":"Yoo","given":"J","non-dropping-particle":"","parse-names":false,"suffix":""},{"dropping-particle":"","family":"Halley","given":"M C","non-dropping-particle":"","parse-names":false,"suffix":""},{"dropping-particle":"","family":"Lown","given":"E A","non-dropping-particle":"","parse-names":false,"suffix":""},{"dropping-particle":"","family":"Yank","given":"V","non-dropping-particle":"","parse-names":false,"suffix":""},{"dropping-particle":"","family":"Ort","given":"K","non-dropping-particle":"","parse-names":false,"suffix":""},{"dropping-particle":"","family":"Cowan","given":"M J","non-dropping-particle":"","parse-names":false,"suffix":""},{"dropping-particle":"","family":"Dorsey","given":"M J","non-dropping-particle":"","parse-names":false,"suffix":""},{"dropping-particle":"","family":"Smith","given":"H","non-dropping-particle":"","parse-names":false,"suffix":""},{"dropping-particle":"","family":"Iyengar","given":"S","non-dropping-particle":"","parse-names":false,"suffix":""},{"dropping-particle":"","family":"Scalchunes","given":"C","non-dropping-particle":"","parse-names":false,"suffix":""},{"dropping-particle":"","family":"Mangurian","given":"C","non-dropping-particle":"","parse-names":false,"suffix":""}],"container-title":"Journal of Allergy and Clinical Immunology","id":"ITEM-1","issue":"6","issued":{"date-parts":[["2019"]]},"language":"English","page":"2271-2278","title":"Supporting caregivers during hematopoietic cell transplantation for children with primary immunodeficiency disorders","type":"article-journal","volume":"143"},"uris":["http://www.mendeley.com/documents/?uuid=237454aa-6daf-337b-8c96-902e849bd3dc"]}],"mendeley":{"formattedCitation":"[28]","plainTextFormattedCitation":"[28]","previouslyFormattedCitation":"[28]"},"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[28]</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6446102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Allergy Clin Immunol</w:t>
            </w:r>
          </w:p>
        </w:tc>
        <w:tc>
          <w:tcPr>
            <w:tcW w:w="1711" w:type="dxa"/>
            <w:shd w:val="clear" w:color="auto" w:fill="auto"/>
            <w:vAlign w:val="center"/>
          </w:tcPr>
          <w:p w14:paraId="6EE71C6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(Caregivers)</w:t>
            </w:r>
          </w:p>
        </w:tc>
        <w:tc>
          <w:tcPr>
            <w:tcW w:w="1984" w:type="dxa"/>
            <w:vAlign w:val="center"/>
          </w:tcPr>
          <w:p w14:paraId="333AADD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(Canada, US)</w:t>
            </w:r>
          </w:p>
        </w:tc>
        <w:tc>
          <w:tcPr>
            <w:tcW w:w="1843" w:type="dxa"/>
            <w:shd w:val="clear" w:color="auto" w:fill="auto"/>
            <w:vAlign w:val="center"/>
          </w:tcPr>
          <w:p w14:paraId="6D2C9B2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Primary immunodeficiency disorders (4A00)</w:t>
            </w:r>
          </w:p>
        </w:tc>
        <w:tc>
          <w:tcPr>
            <w:tcW w:w="1559" w:type="dxa"/>
            <w:shd w:val="clear" w:color="auto" w:fill="auto"/>
            <w:vAlign w:val="center"/>
          </w:tcPr>
          <w:p w14:paraId="6349E76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(psychological distress)</w:t>
            </w:r>
          </w:p>
        </w:tc>
        <w:tc>
          <w:tcPr>
            <w:tcW w:w="1418" w:type="dxa"/>
            <w:shd w:val="clear" w:color="auto" w:fill="auto"/>
            <w:vAlign w:val="center"/>
          </w:tcPr>
          <w:p w14:paraId="253F8DE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(Open-ended questionnaire)</w:t>
            </w:r>
          </w:p>
        </w:tc>
        <w:tc>
          <w:tcPr>
            <w:tcW w:w="709" w:type="dxa"/>
            <w:shd w:val="clear" w:color="auto" w:fill="auto"/>
            <w:vAlign w:val="center"/>
          </w:tcPr>
          <w:p w14:paraId="12327EF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06D0159F" w14:textId="77777777" w:rsidTr="004C3C90">
        <w:trPr>
          <w:trHeight w:val="20"/>
        </w:trPr>
        <w:tc>
          <w:tcPr>
            <w:tcW w:w="557" w:type="dxa"/>
            <w:vAlign w:val="center"/>
          </w:tcPr>
          <w:p w14:paraId="04298367"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29</w:t>
            </w:r>
          </w:p>
        </w:tc>
        <w:tc>
          <w:tcPr>
            <w:tcW w:w="1418" w:type="dxa"/>
            <w:shd w:val="clear" w:color="auto" w:fill="auto"/>
            <w:vAlign w:val="center"/>
          </w:tcPr>
          <w:p w14:paraId="47A2B3E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Marshall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{"citationItems":[{"id":"ITEM-1","itemData":{"DOI":"10.1038/s41436-019-0583-1","ISSN":"15300366","abstract":"Purpose: Exome sequencing (ES) can rapidly identify disease-causing variantsresponsible for rare, single-gene diseases, and potentially reduce the durationof the diagnostic odyssey. Our study examines how parents and families valueES. Methods: We developed a discrete choice experiment (DCE) survey that wasadministered to parents of children with rare diseases. The DCE included 14choice tasks with 6 attributes and 3 alternatives. A valuation-space model wasused to estimate willingness to pay, willingness to wait for test results, andminimum acceptable chance of a diagnosis for changes in each attribute. Results: There were n = 319 respondents ofwhom 89% reported their child had genetic testing, and 66% reported their childhad a diagnosis. Twenty-six percent reported that their child had been offeredES. Parents were willing to pay CAD$6590 (US$4943), wait 5.2 years to obtaindiagnostic test results, and accept a reduction of 3.1% in the chance of adiagnosis for ES compared with operative procedures. Conclusion: Timely access to ES could reduce the diagnostic odyssey andassociated costs. Before ES is incorporated routinely into care for patientswith rare diseases in Canada and more broadly, there must be a clearunderstanding of its value to patients and families.","author":[{"dropping-particle":"","family":"Marshall","given":"Deborah A.","non-dropping-particle":"","parse-names":false,"suffix":""},{"dropping-particle":"V.","family":"MacDonald","given":"Karen","non-dropping-particle":"","parse-names":false,"suffix":""},{"dropping-particle":"","family":"Heidenreich","given":"Sebastian","non-dropping-particle":"","parse-names":false,"suffix":""},{"dropping-particle":"","family":"Hartley","given":"Taila","non-dropping-particle":"","parse-names":false,"suffix":""},{"dropping-particle":"","family":"Bernier","given":"Francois P.","non-dropping-particle":"","parse-names":false,"suffix":""},{"dropping-particle":"","family":"Gillespie","given":"Meredith K.","non-dropping-particle":"","parse-names":false,"suffix":""},{"dropping-particle":"","family":"McInnes","given":"Brenda","non-dropping-particle":"","parse-names":false,"suffix":""},{"dropping-particle":"","family":"Innes","given":"A. Micheil","non-dropping-particle":"","parse-names":false,"suffix":""},{"dropping-particle":"","family":"Armour","given":"Christine M.","non-dropping-particle":"","parse-names":false,"suffix":""},{"dropping-particle":"","family":"Boycott","given":"Kym M.","non-dropping-particle":"","parse-names":false,"suffix":""}],"container-title":"Genetics in Medicine","id":"ITEM-1","issue":"12","issued":{"date-parts":[["2019"]]},"title":"The value of diagnostic testing for parents of children with rare genetic diseases","type":"article-journal","volume":"21"},"uris":["http://www.mendeley.com/documents/?uuid=a8a19e2e-3730-3604-8f72-6fac599c5840"]}],"mendeley":{"formattedCitation":"[29]","plainTextFormattedCitation":"[29]","previouslyFormattedCitation":"[29]"},"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[29]</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47DC623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Genet Med</w:t>
            </w:r>
          </w:p>
        </w:tc>
        <w:tc>
          <w:tcPr>
            <w:tcW w:w="1711" w:type="dxa"/>
            <w:shd w:val="clear" w:color="auto" w:fill="auto"/>
            <w:vAlign w:val="center"/>
          </w:tcPr>
          <w:p w14:paraId="6CB07B6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(Families)</w:t>
            </w:r>
          </w:p>
        </w:tc>
        <w:tc>
          <w:tcPr>
            <w:tcW w:w="1984" w:type="dxa"/>
            <w:vAlign w:val="center"/>
          </w:tcPr>
          <w:p w14:paraId="497BB4D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(Canada)</w:t>
            </w:r>
          </w:p>
        </w:tc>
        <w:tc>
          <w:tcPr>
            <w:tcW w:w="1843" w:type="dxa"/>
            <w:shd w:val="clear" w:color="auto" w:fill="auto"/>
            <w:vAlign w:val="center"/>
          </w:tcPr>
          <w:p w14:paraId="29D5E82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0E37517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(diagnostic testing)</w:t>
            </w:r>
          </w:p>
        </w:tc>
        <w:tc>
          <w:tcPr>
            <w:tcW w:w="1418" w:type="dxa"/>
            <w:shd w:val="clear" w:color="auto" w:fill="auto"/>
            <w:vAlign w:val="center"/>
          </w:tcPr>
          <w:p w14:paraId="7B3E334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(Discrete choice experiment)</w:t>
            </w:r>
          </w:p>
        </w:tc>
        <w:tc>
          <w:tcPr>
            <w:tcW w:w="709" w:type="dxa"/>
            <w:shd w:val="clear" w:color="auto" w:fill="auto"/>
            <w:vAlign w:val="center"/>
          </w:tcPr>
          <w:p w14:paraId="1C410E5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09E237D5" w14:textId="77777777" w:rsidTr="004C3C90">
        <w:trPr>
          <w:trHeight w:val="20"/>
        </w:trPr>
        <w:tc>
          <w:tcPr>
            <w:tcW w:w="557" w:type="dxa"/>
            <w:vAlign w:val="center"/>
          </w:tcPr>
          <w:p w14:paraId="77DA2B75"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30</w:t>
            </w:r>
          </w:p>
        </w:tc>
        <w:tc>
          <w:tcPr>
            <w:tcW w:w="1418" w:type="dxa"/>
            <w:shd w:val="clear" w:color="auto" w:fill="auto"/>
            <w:vAlign w:val="center"/>
          </w:tcPr>
          <w:p w14:paraId="07C2184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Delisle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{"citationItems":[{"id":"ITEM-1","itemData":{"DOI":"10.1080/09638288.2018.1467970","ISSN":"14645165","abstract":"Purpose: Peer-facilitated support groups are an important resource for people with scleroderma, but little is known about challenges faced by support group facilitators. The objective was to identify training and support needs of scleroderma support group facilitators to inform the development of an educational training program. Methods: A 32-item survey assessed confidence of support group facilitators to execute tasks necessary for successfully facilitating support groups. Survey items were grouped into seven themes using content analysis. Results: Eighty North American scleroderma support group facilitators completed the survey. Facilitators were generally confident in their ability to complete tasks related to: (1) Organizing, Structuring, and Facilitating the group; (2) Addressing Individual Member Needs and Diversity of the Group; (3) Helping Members Cope with Grief and Loss; and (4) Attaining and Responding to Member Feedback. They were less confident in their ability to perform tasks related to (1) Managing Difficult Group Dynamics; (2) Promoting and Sustaining the Group; and (3) Balancing Personal and Group Needs. Conclusion: Results suggest that a training program for scleroderma support group facilitators should address a broad range of topics, including managing difficult group interactions, promotion and maintaining the group, and balancing personal and support group needs.Implications for Rehabilitation Many patients with the rare autoimmune connective tissue disease scleroderma depend on peer-facilitated support groups for disease-related education and peer support, but the lack of training for facilitators is a barrier to forming and sustaining groups. Rehabilitation professionals can support the formation and management of local support groups by providing education and support to peer group facilitators or by referring them to national scleroderma organizations who are developing training resources. Training for support group facilitators should focus on areas where facilitators were least confident in their abilities, including managing difficult group dynamics, promoting and sustaining the group, and balancing personal and group needs.","author":[{"dropping-particle":"","family":"Delisle","given":"Vanessa C.","non-dropping-particle":"","parse-names":false,"suffix":""},{"dropping-particle":"","family":"Gumuchian","given":"Stephanie T.","non-dropping-particle":"","parse-names":false,"suffix":""},{"dropping-particle":"","family":"El-Baalbaki","given":"Ghassan","non-dropping-particle":"","parse-names":false,"suffix":""},{"dropping-particle":"","family":"Körner","given":"Annett","non-dropping-particle":"","parse-names":false,"suffix":""},{"dropping-particle":"","family":"Malcarne","given":"Vanessa L.","non-dropping-particle":"","parse-names":false,"suffix":""},{"dropping-particle":"","family":"Peláez","given":"Sandra","non-dropping-particle":"","parse-names":false,"suffix":""},{"dropping-particle":"","family":"Carrier","given":"Marie Eve","non-dropping-particle":"","parse-names":false,"suffix":""},{"dropping-particle":"","family":"Pépin","given":"Mia","non-dropping-particle":"","parse-names":false,"suffix":""},{"dropping-particle":"","family":"Thombs","given":"Brett D.","non-dropping-particle":"","parse-names":false,"suffix":""}],"container-title":"Disability and Rehabilitation","id":"ITEM-1","issue":"20","issued":{"date-parts":[["2019"]]},"title":"Training and support needs of scleroderma support group facilitators: the North American Scleroderma Support Group Facilitators Survey","type":"article-journal","volume":"41"},"uris":["http://www.mendeley.com/documents/?uuid=ce569b17-8d71-34f9-b095-75570acf746f"]}],"mendeley":{"formattedCitation":"[30]","plainTextFormattedCitation":"[30]","previouslyFormattedCitation":"[30]"},"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[30]</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3C29F72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Disabil Rehabil</w:t>
            </w:r>
          </w:p>
        </w:tc>
        <w:tc>
          <w:tcPr>
            <w:tcW w:w="1711" w:type="dxa"/>
            <w:shd w:val="clear" w:color="auto" w:fill="auto"/>
            <w:vAlign w:val="center"/>
          </w:tcPr>
          <w:p w14:paraId="30FB056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Patients Organizations)</w:t>
            </w:r>
          </w:p>
        </w:tc>
        <w:tc>
          <w:tcPr>
            <w:tcW w:w="1984" w:type="dxa"/>
            <w:vAlign w:val="center"/>
          </w:tcPr>
          <w:p w14:paraId="290A4A4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(Canada, US)</w:t>
            </w:r>
          </w:p>
        </w:tc>
        <w:tc>
          <w:tcPr>
            <w:tcW w:w="1843" w:type="dxa"/>
            <w:shd w:val="clear" w:color="auto" w:fill="auto"/>
            <w:vAlign w:val="center"/>
          </w:tcPr>
          <w:p w14:paraId="0ACF8EA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Scleroderma (EB61.Y)</w:t>
            </w:r>
          </w:p>
        </w:tc>
        <w:tc>
          <w:tcPr>
            <w:tcW w:w="1559" w:type="dxa"/>
            <w:shd w:val="clear" w:color="auto" w:fill="auto"/>
            <w:vAlign w:val="center"/>
          </w:tcPr>
          <w:p w14:paraId="57A0A43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(Self-efficacy)</w:t>
            </w:r>
          </w:p>
        </w:tc>
        <w:tc>
          <w:tcPr>
            <w:tcW w:w="1418" w:type="dxa"/>
            <w:shd w:val="clear" w:color="auto" w:fill="auto"/>
            <w:vAlign w:val="center"/>
          </w:tcPr>
          <w:p w14:paraId="48C89C0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5315E43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181B13D5" w14:textId="77777777" w:rsidTr="004C3C90">
        <w:trPr>
          <w:trHeight w:val="20"/>
        </w:trPr>
        <w:tc>
          <w:tcPr>
            <w:tcW w:w="557" w:type="dxa"/>
            <w:vAlign w:val="center"/>
          </w:tcPr>
          <w:p w14:paraId="46848BEB"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31</w:t>
            </w:r>
          </w:p>
        </w:tc>
        <w:tc>
          <w:tcPr>
            <w:tcW w:w="1418" w:type="dxa"/>
            <w:shd w:val="clear" w:color="auto" w:fill="auto"/>
            <w:vAlign w:val="center"/>
          </w:tcPr>
          <w:p w14:paraId="65F8904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López-Bastida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{"citationItems":[{"id":"ITEM-1","itemData":{"DOI":"10.1016/j.healthpol.2018.11.015","ISSN":"18726054","abstract":"Objectives: To pilot the feasibility of using a discrete choice experiment (DCE) design to investigate individual preferences from the decision-maker perspective regarding the use of public funding for orphan drugs and generate prior information for future experimental designs. Methods: A DCE was used on a convenience sample of participants from five European countries (England, France, Germany, Italy and Spain), exploring their preferences in distinct healthcare scenarios involving orphan drugs. A preliminary review of the empirical literature on distributive preferences informed the selection of attributes and their levels in the design. An online questionnaire was used to conduct the DCE survey. Results: A total of 199 questionnaires were completed. The five country model showed relative preference for some attributes over others: cost of treatment, improvement in health, value for money and availability of treatment alternatives received the greatest attention. However, disease severity, beginning of life, waiting times and side effects were also shown to be important social values that should not be ignored. Conclusions: The ﬁndings presented in this study provide insight about the preferences that can influence decisions on orphan drugs in different countries. This study also provides valuable prior information that could inform future DCE designs in this area.","author":[{"dropping-particle":"","family":"López-Bastida","given":"J.","non-dropping-particle":"","parse-names":false,"suffix":""},{"dropping-particle":"","family":"Ramos-Goñi","given":"J. M.","non-dropping-particle":"","parse-names":false,"suffix":""},{"dropping-particle":"","family":"Aranda-Reneo","given":"I.","non-dropping-particle":"","parse-names":false,"suffix":""},{"dropping-particle":"","family":"Trapero-Bertran","given":"M.","non-dropping-particle":"","parse-names":false,"suffix":""},{"dropping-particle":"","family":"Kanavos","given":"P.","non-dropping-particle":"","parse-names":false,"suffix":""},{"dropping-particle":"","family":"Rodriguez Martin","given":"B.","non-dropping-particle":"","parse-names":false,"suffix":""}],"container-title":"Health Policy","id":"ITEM-1","issue":"2","issued":{"date-parts":[["2019"]]},"title":"Using a stated preference discrete choice experiment to assess societal value from the perspective of decision-makers in Europe. Does it work for rare diseases?","type":"article-journal","volume":"123"},"uris":["http://www.mendeley.com/documents/?uuid=c6a871fd-b6ff-3043-8b1a-e0e7c1652ced"]}],"mendeley":{"formattedCitation":"[31]","plainTextFormattedCitation":"[31]","previouslyFormattedCitation":"[31]"},"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[31]</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0BC4192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Health Policy</w:t>
            </w:r>
          </w:p>
        </w:tc>
        <w:tc>
          <w:tcPr>
            <w:tcW w:w="1711" w:type="dxa"/>
            <w:shd w:val="clear" w:color="auto" w:fill="auto"/>
            <w:vAlign w:val="center"/>
          </w:tcPr>
          <w:p w14:paraId="7D060F2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(Other HCPs: healthcare managers, clinical/health economists)</w:t>
            </w:r>
          </w:p>
        </w:tc>
        <w:tc>
          <w:tcPr>
            <w:tcW w:w="1984" w:type="dxa"/>
            <w:vAlign w:val="center"/>
          </w:tcPr>
          <w:p w14:paraId="6C808CD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(England, France, Germany, Italy, Spain)</w:t>
            </w:r>
          </w:p>
        </w:tc>
        <w:tc>
          <w:tcPr>
            <w:tcW w:w="1843" w:type="dxa"/>
            <w:shd w:val="clear" w:color="auto" w:fill="auto"/>
            <w:vAlign w:val="center"/>
          </w:tcPr>
          <w:p w14:paraId="1AA89C3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517E41D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(societal value)</w:t>
            </w:r>
          </w:p>
        </w:tc>
        <w:tc>
          <w:tcPr>
            <w:tcW w:w="1418" w:type="dxa"/>
            <w:shd w:val="clear" w:color="auto" w:fill="auto"/>
            <w:vAlign w:val="center"/>
          </w:tcPr>
          <w:p w14:paraId="73B1076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(Discrete choice experiment + Literature review)</w:t>
            </w:r>
          </w:p>
        </w:tc>
        <w:tc>
          <w:tcPr>
            <w:tcW w:w="709" w:type="dxa"/>
            <w:shd w:val="clear" w:color="auto" w:fill="auto"/>
            <w:vAlign w:val="center"/>
          </w:tcPr>
          <w:p w14:paraId="697712D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183040EC" w14:textId="77777777" w:rsidTr="004C3C90">
        <w:trPr>
          <w:trHeight w:val="20"/>
        </w:trPr>
        <w:tc>
          <w:tcPr>
            <w:tcW w:w="557" w:type="dxa"/>
            <w:vAlign w:val="center"/>
          </w:tcPr>
          <w:p w14:paraId="61D495AA"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32</w:t>
            </w:r>
          </w:p>
        </w:tc>
        <w:tc>
          <w:tcPr>
            <w:tcW w:w="1418" w:type="dxa"/>
            <w:shd w:val="clear" w:color="auto" w:fill="auto"/>
            <w:vAlign w:val="center"/>
          </w:tcPr>
          <w:p w14:paraId="337E78F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López-Bastida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{"citationItems":[{"id":"ITEM-1","itemData":{"DOI":"10.1186/s13023-019-1126-1","ISSN":"17501172","abstract":"Background: Decision makers have huge problems when attempting to attribute social value to the improvements achieved by new drugs, especially when considering the use of orphan drugs for rare diseases. We present the results of a pilot study aimed to investigate patient preferences regarding public funding for drugs used to treat rare diseases. Methods: An online questionnaire was used as a discrete choice experiment (DCE) survey to explore the preferences of patients with cystic fibrosis and haemophilia in Italy. The questionnaire focused on relevant issues that were defined in a review of the literature. A conditional logistic model showed preferences for specific attributes. Results: A total of 54 questionnaires (20% response rate) were completed. The issues that received the greatest attention were improvement in health, treatment cost and value for money. However, disease severity and the availability of other treatments were important social values that could not be ignored. Conclusions: The findings presented here provide evidence as to what patients with cystic fibrosis or haemophilia think are the most important considerations on which to base decisions in health technology scenarios, and regarding the priorities for funding.","author":[{"dropping-particle":"","family":"López-Bastida","given":"Julio","non-dropping-particle":"","parse-names":false,"suffix":""},{"dropping-particle":"","family":"Ramos-Goñi","given":"Juan Manuel","non-dropping-particle":"","parse-names":false,"suffix":""},{"dropping-particle":"","family":"Aranda-Reneo","given":"Isaac","non-dropping-particle":"","parse-names":false,"suffix":""},{"dropping-particle":"","family":"Taruscio","given":"Domenica","non-dropping-particle":"","parse-names":false,"suffix":""},{"dropping-particle":"","family":"Magrelli","given":"Armando","non-dropping-particle":"","parse-names":false,"suffix":""},{"dropping-particle":"","family":"Kanavos","given":"Panos","non-dropping-particle":"","parse-names":false,"suffix":""}],"container-title":"Orphanet Journal of Rare Diseases","id":"ITEM-1","issue":"1","issued":{"date-parts":[["2019"]]},"title":"Using a stated preference discrete choice experiment to assess societal value from the perspective of patients with rare diseases in Italy","type":"article-journal","volume":"14"},"uris":["http://www.mendeley.com/documents/?uuid=fc5535cb-d0d2-34ed-a085-2be18b20971d"]}],"mendeley":{"formattedCitation":"[32]","plainTextFormattedCitation":"[32]","previouslyFormattedCitation":"[32]"},"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[32]</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15F29BC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174E0BA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2822365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(Italy)</w:t>
            </w:r>
          </w:p>
        </w:tc>
        <w:tc>
          <w:tcPr>
            <w:tcW w:w="1843" w:type="dxa"/>
            <w:shd w:val="clear" w:color="auto" w:fill="auto"/>
            <w:vAlign w:val="center"/>
          </w:tcPr>
          <w:p w14:paraId="438BDA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Cystic fibrosis (CA25), Haemophilia (3B12)</w:t>
            </w:r>
          </w:p>
        </w:tc>
        <w:tc>
          <w:tcPr>
            <w:tcW w:w="1559" w:type="dxa"/>
            <w:shd w:val="clear" w:color="auto" w:fill="auto"/>
            <w:vAlign w:val="center"/>
          </w:tcPr>
          <w:p w14:paraId="67376B3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(societal value)</w:t>
            </w:r>
          </w:p>
        </w:tc>
        <w:tc>
          <w:tcPr>
            <w:tcW w:w="1418" w:type="dxa"/>
            <w:shd w:val="clear" w:color="auto" w:fill="auto"/>
            <w:vAlign w:val="center"/>
          </w:tcPr>
          <w:p w14:paraId="5419442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(Discrete choice experiment + Literature review)</w:t>
            </w:r>
          </w:p>
        </w:tc>
        <w:tc>
          <w:tcPr>
            <w:tcW w:w="709" w:type="dxa"/>
            <w:shd w:val="clear" w:color="auto" w:fill="auto"/>
            <w:vAlign w:val="center"/>
          </w:tcPr>
          <w:p w14:paraId="6858227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3D96E7FF" w14:textId="77777777" w:rsidTr="004C3C90">
        <w:trPr>
          <w:trHeight w:val="20"/>
        </w:trPr>
        <w:tc>
          <w:tcPr>
            <w:tcW w:w="557" w:type="dxa"/>
            <w:vAlign w:val="center"/>
          </w:tcPr>
          <w:p w14:paraId="0E376EF6"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lastRenderedPageBreak/>
              <w:t>33</w:t>
            </w:r>
          </w:p>
        </w:tc>
        <w:tc>
          <w:tcPr>
            <w:tcW w:w="1418" w:type="dxa"/>
            <w:shd w:val="clear" w:color="auto" w:fill="auto"/>
            <w:vAlign w:val="center"/>
          </w:tcPr>
          <w:p w14:paraId="7FA882F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Baqué et al (2019)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{"citationItems":[{"id":"ITEM-1","itemData":{"DOI":"10.1016/j.lpm.2019.09.061","ISSN":"07554982","abstract":"Background: Rare diseases are defined by a prevalence of less than one out of 2000 persons. In clinical practice, their management is difficult, due to their diversity, their complexity and a lack of adapted physician training. Objective: The aims of this study were to identify rare skin diseases in a reference center, to describe the difficulties encountered by general practitioners (GPs) in management of these uncommon cases, and to pinpoint the characteristics of the GPs having the most problems. Methods: A survey conducted from March to June 2017 involving GPs at least one of whose rare skin disease patients was being monitored in a reference center. Results: All in all, 96/195 (49.2%) of the GPs contacted completed the questionnaire, and virtually all of them (95%) reported five main categories of difficulties: giving a diagnosis, monitoring treatment, coordinating care, providing support, and ensuring management of intercurrent pathologies. The most widely reported difficulties were related to diagnosis (88.5%) and care coordination (76%). The GPs most in need of assistance were those practicing in rural areas (11 times more likely to experience difficulties), those with over 10 years of experience (up to 9.8 times more risk) and those not considering their role in the management of patients with rare diseases as instrumental (2.28 times more risk). Conclusions: This study brought to light the difficulties encountered by GPs in management of patients with rare skin diseases. We identified those the most in need of assistance, who are to be targeted for actions aimed at improving the care and treatment of patients suffering from rare skin diseases.","author":[{"dropping-particle":"","family":"Baqué","given":"Muriel","non-dropping-particle":"","parse-names":false,"suffix":""},{"dropping-particle":"","family":"Colineaux","given":"Hélène","non-dropping-particle":"","parse-names":false,"suffix":""},{"dropping-particle":"","family":"Dreyfus","given":"Isabelle","non-dropping-particle":"","parse-names":false,"suffix":""},{"dropping-particle":"","family":"Mesthé","given":"Pierre","non-dropping-particle":"","parse-names":false,"suffix":""},{"dropping-particle":"","family":"Mazereeuw-Hautier","given":"Juliette","non-dropping-particle":"","parse-names":false,"suffix":""}],"container-title":"Presse Medicale","id":"ITEM-1","issue":"12","issued":{"date-parts":[["2019"]]},"title":"Why is it so difficult for GPs to effectively manage patients with rare skin diseases?","type":"article-journal","volume":"48"},"uris":["http://www.mendeley.com/documents/?uuid=d3bb9183-e870-308b-a84f-81eb4ec08874"]}],"mendeley":{"formattedCitation":"[33]","plainTextFormattedCitation":"[33]","previouslyFormattedCitation":"[33]"},"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[33]</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7EB464D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Press Medicale</w:t>
            </w:r>
          </w:p>
        </w:tc>
        <w:tc>
          <w:tcPr>
            <w:tcW w:w="1711" w:type="dxa"/>
            <w:shd w:val="clear" w:color="auto" w:fill="auto"/>
            <w:vAlign w:val="center"/>
          </w:tcPr>
          <w:p w14:paraId="698E624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(GPs)</w:t>
            </w:r>
          </w:p>
        </w:tc>
        <w:tc>
          <w:tcPr>
            <w:tcW w:w="1984" w:type="dxa"/>
            <w:vAlign w:val="center"/>
          </w:tcPr>
          <w:p w14:paraId="165E131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(France)</w:t>
            </w:r>
          </w:p>
        </w:tc>
        <w:tc>
          <w:tcPr>
            <w:tcW w:w="1843" w:type="dxa"/>
            <w:shd w:val="clear" w:color="auto" w:fill="auto"/>
            <w:vAlign w:val="center"/>
          </w:tcPr>
          <w:p w14:paraId="320F418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0E50DE2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(diagnosis, treatment)</w:t>
            </w:r>
          </w:p>
        </w:tc>
        <w:tc>
          <w:tcPr>
            <w:tcW w:w="1418" w:type="dxa"/>
            <w:shd w:val="clear" w:color="auto" w:fill="auto"/>
            <w:vAlign w:val="center"/>
          </w:tcPr>
          <w:p w14:paraId="4F66AA3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(Questionnaire + Interview)</w:t>
            </w:r>
          </w:p>
        </w:tc>
        <w:tc>
          <w:tcPr>
            <w:tcW w:w="709" w:type="dxa"/>
            <w:shd w:val="clear" w:color="auto" w:fill="auto"/>
            <w:vAlign w:val="center"/>
          </w:tcPr>
          <w:p w14:paraId="309E224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4F10539B" w14:textId="77777777" w:rsidTr="004C3C90">
        <w:trPr>
          <w:trHeight w:val="20"/>
        </w:trPr>
        <w:tc>
          <w:tcPr>
            <w:tcW w:w="557" w:type="dxa"/>
            <w:vAlign w:val="center"/>
          </w:tcPr>
          <w:p w14:paraId="614EFD6C"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34</w:t>
            </w:r>
          </w:p>
        </w:tc>
        <w:tc>
          <w:tcPr>
            <w:tcW w:w="1418" w:type="dxa"/>
            <w:shd w:val="clear" w:color="auto" w:fill="auto"/>
            <w:vAlign w:val="center"/>
          </w:tcPr>
          <w:p w14:paraId="2E5D05A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Ivarsson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{"citationItems":[{"id":"ITEM-1","itemData":{"DOI":"10.1111/crj.12770","ISSN":"1752699X","abstract":"Background: Pulmonary arterial hypertension (PAH) and chronic thromboembolic pulmonary hypertension (CTEPH) are rare diseases with a gradual decline in physical health. Adherence to treatment is crucial in these very symptomatic and life threatening diseases. Objective: To describe PAH and CTEPH patients experience of their self-reported medication adherence, beliefs about medicines and information about treatment. Methods: A quantitative, descriptive, national cohort survey that included adult patients from all PAH-centres in Sweden. All patients received questionnaires by mail: The Morisky Medication Adherence Scale (MMAS-8) assesses treatment-related attitudes and behaviour problems, the Beliefs about Medicines Questionnaire-Specific scale (BMQ-S) assesses the patient's perception of drug intake and the QLQ-INFO25 multi-item scale about medical treatment information. Results: The response rate was 74% (n = 325), mean age 66 ± 14 years, 58% were female and 69% were diagnosed with PAH and 31% with CTEPH. Time from diagnosis was 4.7 ± 4.2 years. More than half of the patients (57%) reported a high level of adherence. There was no difference in the patients' beliefs of the necessity of the medications to control their illness when comparing those with high, medium or low adherence. Despite high satisfaction with the information, concerns about potential adverse effects of taking the medication were significantly related to adherence. Conclusions: Treatment adherence is relatively high but still needs improvement. The multi-disciplinary PAH team should, together with the patient, seek strategies to improve adherence and prevent concern.","author":[{"dropping-particle":"","family":"Ivarsson","given":"Bodil","non-dropping-particle":"","parse-names":false,"suffix":""},{"dropping-particle":"","family":"Hesselstrand","given":"Roger","non-dropping-particle":"","parse-names":false,"suffix":""},{"dropping-particle":"","family":"Rådegran","given":"Göran","non-dropping-particle":"","parse-names":false,"suffix":""},{"dropping-particle":"","family":"Kjellström","given":"Barbro","non-dropping-particle":"","parse-names":false,"suffix":""}],"container-title":"Clinical Respiratory Journal","id":"ITEM-1","issue":"6","issued":{"date-parts":[["2018"]]},"title":"Adherence and medication belief in patients with pulmonary arterial hypertension or chronic thromboembolic pulmonary hypertension: A nationwide population-based cohort survey","type":"article-journal","volume":"12"},"uris":["http://www.mendeley.com/documents/?uuid=e9fcd0be-50e1-3bc0-be91-a145c8bdc014"]}],"mendeley":{"formattedCitation":"[34]","plainTextFormattedCitation":"[34]","previouslyFormattedCitation":"[34]"},"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[34]</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41ADD2D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Clin Respir J</w:t>
            </w:r>
          </w:p>
        </w:tc>
        <w:tc>
          <w:tcPr>
            <w:tcW w:w="1711" w:type="dxa"/>
            <w:shd w:val="clear" w:color="auto" w:fill="auto"/>
            <w:vAlign w:val="center"/>
          </w:tcPr>
          <w:p w14:paraId="447D9A4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219392E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(Sweden)</w:t>
            </w:r>
          </w:p>
        </w:tc>
        <w:tc>
          <w:tcPr>
            <w:tcW w:w="1843" w:type="dxa"/>
            <w:shd w:val="clear" w:color="auto" w:fill="auto"/>
            <w:vAlign w:val="center"/>
          </w:tcPr>
          <w:p w14:paraId="3577288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Primary pulmonary hypertension (BB01.0)</w:t>
            </w:r>
          </w:p>
        </w:tc>
        <w:tc>
          <w:tcPr>
            <w:tcW w:w="1559" w:type="dxa"/>
            <w:shd w:val="clear" w:color="auto" w:fill="auto"/>
            <w:vAlign w:val="center"/>
          </w:tcPr>
          <w:p w14:paraId="375A3B2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(medication adherence, access to information)</w:t>
            </w:r>
          </w:p>
        </w:tc>
        <w:tc>
          <w:tcPr>
            <w:tcW w:w="1418" w:type="dxa"/>
            <w:shd w:val="clear" w:color="auto" w:fill="auto"/>
            <w:vAlign w:val="center"/>
          </w:tcPr>
          <w:p w14:paraId="1B9D046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71BF32E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556E246F" w14:textId="77777777" w:rsidTr="004C3C90">
        <w:trPr>
          <w:trHeight w:val="20"/>
        </w:trPr>
        <w:tc>
          <w:tcPr>
            <w:tcW w:w="557" w:type="dxa"/>
            <w:vAlign w:val="center"/>
          </w:tcPr>
          <w:p w14:paraId="40644809"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35</w:t>
            </w:r>
          </w:p>
        </w:tc>
        <w:tc>
          <w:tcPr>
            <w:tcW w:w="1418" w:type="dxa"/>
            <w:shd w:val="clear" w:color="auto" w:fill="auto"/>
            <w:vAlign w:val="center"/>
          </w:tcPr>
          <w:p w14:paraId="622C5C3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Fu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{"citationItems":[{"id":"ITEM-1","itemData":{"DOI":"10.1016/j.anai.2018.06.017","ISSN":"15344436","abstract":"Background: Hereditary angioedema (HAE) is a rare disease that has significant morbidity and may be potentially fatal because of airway obstruction. Objective: To determine practice patterns in physicians treating HAE. Methods: A survey was designed to determine HAE practice patterns among Canadian physicians. These physicians were identified by sending the survey to members of 3 physician organizations (Canadian Hereditary Angioedema Network, Canadian Society of Clinical Immunology and Allergy, and Canadian Hematology Society). Results: Thirty-six physicians responded to the survey. Thirty-four physicians were included in the analysis. Most referrals to HAE-treating physicians were from family and emergency department physicians. The most common sites of swelling reported by patients to physicians were facial, peripheral, and abdominal. A mean of 53.9% of patients with type 1 and 2 HAE and 53.4% of patients with HAE with normal C1 esterase inhibitor were undergoing long-term prophylaxis. A mean of 41.9%, 19.4%, and 93.5% of respondents had some patients taking danazol, tranexamic acid, and C1-esterase inhibitor, respectively. Most physicians believed that severity and frequency of attacks were the most important determinants in deciding when to use prophylaxis. A mean of 88.2% of physicians used C1-esterase inhibitor to treat acute attacks and 79.4% used icatibant. All respondents were aware of HAE guidelines. Conclusion: Physicians are using guidelines to support their practice and using agents suggested by guidelines with confidence. C1 inhibitor is being used widely for prophylaxis and treatment of acute attacks along with icatibant. However, certain special patient populations may require additional focus in future guidelines.","author":[{"dropping-particle":"","family":"Fu","given":"Lisa","non-dropping-particle":"","parse-names":false,"suffix":""},{"dropping-particle":"","family":"Kanani","given":"Amin","non-dropping-particle":"","parse-names":false,"suffix":""},{"dropping-particle":"","family":"Lacuesta","given":"Gina","non-dropping-particle":"","parse-names":false,"suffix":""},{"dropping-particle":"","family":"Waserman","given":"Susan","non-dropping-particle":"","parse-names":false,"suffix":""},{"dropping-particle":"","family":"Betschel","given":"Stephen","non-dropping-particle":"","parse-names":false,"suffix":""}],"container-title":"Annals of Allergy, Asthma and Immunology","id":"ITEM-1","issue":"5","issued":{"date-parts":[["2018"]]},"title":"Canadian physician survey on the medical management of hereditary angioedema","type":"article-journal","volume":"121"},"uris":["http://www.mendeley.com/documents/?uuid=03fcca44-dab0-386b-8051-e642b8bb4e39"]}],"mendeley":{"formattedCitation":"[35]","plainTextFormattedCitation":"[35]","previouslyFormattedCitation":"[35]"},"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[35]</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5ADB30E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Ann Allergy, Asthma Immunol</w:t>
            </w:r>
          </w:p>
        </w:tc>
        <w:tc>
          <w:tcPr>
            <w:tcW w:w="1711" w:type="dxa"/>
            <w:shd w:val="clear" w:color="auto" w:fill="auto"/>
            <w:vAlign w:val="center"/>
          </w:tcPr>
          <w:p w14:paraId="25EFF63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(GPs)</w:t>
            </w:r>
          </w:p>
        </w:tc>
        <w:tc>
          <w:tcPr>
            <w:tcW w:w="1984" w:type="dxa"/>
            <w:vAlign w:val="center"/>
          </w:tcPr>
          <w:p w14:paraId="01C5963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(Canada)</w:t>
            </w:r>
          </w:p>
        </w:tc>
        <w:tc>
          <w:tcPr>
            <w:tcW w:w="1843" w:type="dxa"/>
            <w:shd w:val="clear" w:color="auto" w:fill="auto"/>
            <w:vAlign w:val="center"/>
          </w:tcPr>
          <w:p w14:paraId="141F931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Hereditary angioedema (4A00.14)</w:t>
            </w:r>
          </w:p>
        </w:tc>
        <w:tc>
          <w:tcPr>
            <w:tcW w:w="1559" w:type="dxa"/>
            <w:shd w:val="clear" w:color="auto" w:fill="auto"/>
            <w:vAlign w:val="center"/>
          </w:tcPr>
          <w:p w14:paraId="1A5AC98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(treatment)</w:t>
            </w:r>
          </w:p>
        </w:tc>
        <w:tc>
          <w:tcPr>
            <w:tcW w:w="1418" w:type="dxa"/>
            <w:shd w:val="clear" w:color="auto" w:fill="auto"/>
            <w:vAlign w:val="center"/>
          </w:tcPr>
          <w:p w14:paraId="27F2074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0B0EE4D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4ECF7AF4" w14:textId="77777777" w:rsidTr="004C3C90">
        <w:trPr>
          <w:trHeight w:val="20"/>
        </w:trPr>
        <w:tc>
          <w:tcPr>
            <w:tcW w:w="557" w:type="dxa"/>
            <w:vAlign w:val="center"/>
          </w:tcPr>
          <w:p w14:paraId="7D789ABA"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36</w:t>
            </w:r>
          </w:p>
        </w:tc>
        <w:tc>
          <w:tcPr>
            <w:tcW w:w="1418" w:type="dxa"/>
            <w:shd w:val="clear" w:color="auto" w:fill="auto"/>
            <w:vAlign w:val="center"/>
          </w:tcPr>
          <w:p w14:paraId="16D4BAB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Peiris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{"citationItems":[{"id":"ITEM-1","itemData":{"DOI":"10.1115/1.4040489","ISSN":"1932619X","abstract":"Rare diseases (RD) affect approximately 30 million Americans, half of whom are children. This study is the first to comprehensively evaluate their medical device needs via a survey of physicians. The study sought to identify and document the presumed unmet diagnostic and therapeutic device needs for RD management; clarify the magnitude of the potential unmet need; and generate meaningful data to inform medical device stakeholders. A cross-sectional nonprobability survey was conducted. The study population was drawn from the membership files of four groups: FDA Medical Devices Advisory Committee, Pediatric Advisory Committee, Pediatric Device Consortia, and National Institutes of Health (NIH) Rare Diseases Clinical Research Network. Only physician respondents with experience or knowledge regarding RD were eligible. Among eligible respondents, 90% confirmed the need for innovative devices to care for people with RD. Over 850 device needs were identified for 436 RD, with 74% of needs related to children. Pediatric physicians (OR=2.11, 95% CI 1.01-4.39, P=0.046) and physicians with more RD experience reflected greater dissatisfaction with existing devices (OR=4.49, 95% CI 2.25-8.96, P &lt; 0.0001). Creation of entirely new devices is the top recommendation for mitigating needs. This study demonstrates a major public health need for innovative medical devices to care for children and adults with RD. FDA and NIH support and seek opportunities to accelerate device development for these vulnerable patients.","author":[{"dropping-particle":"","family":"Peiris","given":"Vasum","non-dropping-particle":"","parse-names":false,"suffix":""},{"dropping-particle":"","family":"Xu","given":"Kui","non-dropping-particle":"","parse-names":false,"suffix":""},{"dropping-particle":"","family":"Agler","given":"Heather L.","non-dropping-particle":"","parse-names":false,"suffix":""},{"dropping-particle":"","family":"Chen","given":"Eric A.","non-dropping-particle":"","parse-names":false,"suffix":""},{"dropping-particle":"","family":"Gopal-Srivastava","given":"Rashmi","non-dropping-particle":"","parse-names":false,"suffix":""},{"dropping-particle":"","family":"Lappin","given":"Brian M.","non-dropping-particle":"","parse-names":false,"suffix":""},{"dropping-particle":"","family":"Lewis","given":"Debra Y.","non-dropping-particle":"","parse-names":false,"suffix":""}],"container-title":"Journal of Medical Devices, Transactions of the ASME","id":"ITEM-1","issue":"3","issued":{"date-parts":[["2018"]]},"title":"Children and adults with rare diseases need innovative medical devices","type":"article-journal","volume":"12"},"uris":["http://www.mendeley.com/documents/?uuid=3b1dac28-bb07-3a72-b6ca-05d3deaa8cb3"]}],"mendeley":{"formattedCitation":"[36]","plainTextFormattedCitation":"[36]","previouslyFormattedCitation":"[36]"},"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[36]</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7A0B128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Med Devices, Trans ASME</w:t>
            </w:r>
          </w:p>
        </w:tc>
        <w:tc>
          <w:tcPr>
            <w:tcW w:w="1711" w:type="dxa"/>
            <w:shd w:val="clear" w:color="auto" w:fill="auto"/>
            <w:vAlign w:val="center"/>
          </w:tcPr>
          <w:p w14:paraId="15D1E8E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(Specialists (Pediatrics, Neurology, Pulmonology, Cardiology))</w:t>
            </w:r>
          </w:p>
        </w:tc>
        <w:tc>
          <w:tcPr>
            <w:tcW w:w="1984" w:type="dxa"/>
            <w:vAlign w:val="center"/>
          </w:tcPr>
          <w:p w14:paraId="30DFF00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1A092DA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6D28BD4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(treatment)</w:t>
            </w:r>
          </w:p>
        </w:tc>
        <w:tc>
          <w:tcPr>
            <w:tcW w:w="1418" w:type="dxa"/>
            <w:shd w:val="clear" w:color="auto" w:fill="auto"/>
            <w:vAlign w:val="center"/>
          </w:tcPr>
          <w:p w14:paraId="4EF2185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389BDF3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4DB56B17" w14:textId="77777777" w:rsidTr="004C3C90">
        <w:trPr>
          <w:trHeight w:val="20"/>
        </w:trPr>
        <w:tc>
          <w:tcPr>
            <w:tcW w:w="557" w:type="dxa"/>
            <w:vAlign w:val="center"/>
          </w:tcPr>
          <w:p w14:paraId="08ACB60A"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37</w:t>
            </w:r>
          </w:p>
        </w:tc>
        <w:tc>
          <w:tcPr>
            <w:tcW w:w="1418" w:type="dxa"/>
            <w:shd w:val="clear" w:color="auto" w:fill="auto"/>
            <w:vAlign w:val="center"/>
          </w:tcPr>
          <w:p w14:paraId="64D0577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Ho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{"citationItems":[{"id":"ITEM-1","itemData":{"DOI":"10.1016/j.jpeds.2018.07.055","ISSN":"10976833","abstract":"Objective: To describe the prevalence and characteristics of comorbidities in persons with rare epilepsies. Study design: Persons with rare epilepsies and caregivers of those affected were recruited through the Epilepsy Foundation and more than 30 rare epilepsy advocacy organizations affiliated with the Rare Epilepsy Network (REN). A web-based survey was conducted using a questionnaire consisting of core sections to collect data from affected persons on various aspects, including comorbidities. Comorbidity information was grouped into 15 classes, 12 of which had a stem question followed by detailed branch questions and 3 that were created from a combination of related questions. Results: Of 795 persons with more than 30 different rare epilepsy diagnosis groups, one-half had ≥5 comorbidity classes and 97% were classified as complex chronic disease (C-CD). The highest number of comorbidity classes reported per person were persons with Aicardi syndrome, Phelan-McDermid syndrome (median, 7.0; IQR, 5.0-9.0), and tuberous sclerosis complex (median, 6.0; IQR, 4.0-8.0). The most common comorbidity classes were learning/developmental disability (71%), mental health issues (71%), sleep disorders (60%), brain abnormalities (52%), oral issues (49%), bone-joint issues (42%), hyper/hypotonia (42%), and eye-vision disorders (38%). The prevalence of brain abnormalities, hyper/hypotonia, eye, and cardiac disorders was significantly higher in persons first diagnosed with epilepsy at a younger age (&lt;9 months) than in those first diagnosed at an older age (P &lt;.05 for trend). Conclusions: Nearly all persons with rare epilepsies are medically complex, with a high prevalence of multiple comorbidities, especially those who were diagnosed with epilepsy in the first year of life. Comorbidities should be carefully considered in the diagnosis and management of persons with rare epilepsies.","author":[{"dropping-particle":"","family":"Ho","given":"Nhan Thi","non-dropping-particle":"","parse-names":false,"suffix":""},{"dropping-particle":"","family":"Kroner","given":"Barbara","non-dropping-particle":"","parse-names":false,"suffix":""},{"dropping-particle":"","family":"Grinspan","given":"Zachary","non-dropping-particle":"","parse-names":false,"suffix":""},{"dropping-particle":"","family":"Fureman","given":"Brandy","non-dropping-particle":"","parse-names":false,"suffix":""},{"dropping-particle":"","family":"Farrell","given":"Kathleen","non-dropping-particle":"","parse-names":false,"suffix":""},{"dropping-particle":"","family":"Zhang","given":"Jingzhou","non-dropping-particle":"","parse-names":false,"suffix":""},{"dropping-particle":"","family":"Buelow","given":"Janice","non-dropping-particle":"","parse-names":false,"suffix":""},{"dropping-particle":"","family":"Hesdorffer","given":"Dale C.","non-dropping-particle":"","parse-names":false,"suffix":""},{"dropping-particle":"","family":"McDonald","given":"Brianne","non-dropping-particle":"","parse-names":false,"suffix":""},{"dropping-particle":"","family":"Weldon","given":"Monica","non-dropping-particle":"","parse-names":false,"suffix":""},{"dropping-particle":"","family":"Bradish","given":"Juliann","non-dropping-particle":"","parse-names":false,"suffix":""},{"dropping-particle":"","family":"Vogel-Farley","given":"Vanessa","non-dropping-particle":"","parse-names":false,"suffix":""},{"dropping-particle":"","family":"Nues","given":"Paige","non-dropping-particle":"","parse-names":false,"suffix":""},{"dropping-particle":"","family":"Dixon-Salazar","given":"Tracy","non-dropping-particle":"","parse-names":false,"suffix":""},{"dropping-particle":"","family":"Bliss","given":"Geraldine","non-dropping-particle":"","parse-names":false,"suffix":""},{"dropping-particle":"","family":"DeWoody","given":"Yssa","non-dropping-particle":"","parse-names":false,"suffix":""},{"dropping-particle":"","family":"Nakagawa","given":"Jo Anne","non-dropping-particle":"","parse-names":false,"suffix":""},{"dropping-particle":"","family":"Kroner","given":"Barbara","non-dropping-particle":"","parse-names":false,"suffix":""},{"dropping-particle":"","family":"Harris","given":"Michael","non-dropping-particle":"","parse-names":false,"suffix":""},{"dropping-particle":"","family":"Arm","given":"Glen","non-dropping-particle":"","parse-names":false,"suffix":""},{"dropping-particle":"","family":"Jackson","given":"Heather","non-dropping-particle":"","parse-names":false,"suffix":""},{"dropping-particle":"","family":"Miller","given":"Ilene","non-dropping-particle":"","parse-names":false,"suffix":""},{"dropping-particle":"","family":"Vozenilek","given":"Gina","non-dropping-particle":"","parse-names":false,"suffix":""},{"dropping-particle":"","family":"Wong","given":"Nora","non-dropping-particle":"","parse-names":false,"suffix":""},{"dropping-particle":"","family":"Davidow","given":"Audrey","non-dropping-particle":"","parse-names":false,"suffix":""},{"dropping-particle":"","family":"Wagner","given":"Kira","non-dropping-particle":"","parse-names":false,"suffix":""},{"dropping-particle":"","family":"Hecker","given":"Jay Etta","non-dropping-particle":"","parse-names":false,"suffix":""},{"dropping-particle":"","family":"Egan","given":"Lynn","non-dropping-particle":"","parse-names":false,"suffix":""},{"dropping-particle":"","family":"Grabenstatter","given":"Heidi","non-dropping-particle":"","parse-names":false,"suffix":""},{"dropping-particle":"","family":"Meskis","given":"Mary Anne","non-dropping-particle":"","parse-names":false,"suffix":""},{"dropping-particle":"","family":"Bartenhagen","given":"Mike","non-dropping-particle":"","parse-names":false,"suffix":""},{"dropping-particle":"","family":"Sims","given":"Scotty","non-dropping-particle":"","parse-names":false,"suffix":""},{"dropping-particle":"","family":"Walters","given":"Julie","non-dropping-particle":"","parse-names":false,"suffix":""},{"dropping-particle":"","family":"Schoyer","given":"Lisa","non-dropping-particle":"","parse-names":false,"suffix":""},{"dropping-particle":"","family":"Nye","given":"Kim","non-dropping-particle":"","parse-names":false,"suffix":""}],"container-title":"Journal of Pediatrics","id":"ITEM-1","issued":{"date-parts":[["2018"]]},"title":"Comorbidities of Rare Epilepsies: Results from the Rare Epilepsy Network","type":"article-journal","volume":"203"},"uris":["http://www.mendeley.com/documents/?uuid=8cfc2e0e-eea6-3147-a6cf-05c900eab27a"]}],"mendeley":{"formattedCitation":"[37]","plainTextFormattedCitation":"[37]","previouslyFormattedCitation":"[37]"},"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[37]</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27B8C5D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Pediatr</w:t>
            </w:r>
          </w:p>
        </w:tc>
        <w:tc>
          <w:tcPr>
            <w:tcW w:w="1711" w:type="dxa"/>
            <w:shd w:val="clear" w:color="auto" w:fill="auto"/>
            <w:vAlign w:val="center"/>
          </w:tcPr>
          <w:p w14:paraId="768B109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Caregivers)</w:t>
            </w:r>
          </w:p>
        </w:tc>
        <w:tc>
          <w:tcPr>
            <w:tcW w:w="1984" w:type="dxa"/>
            <w:vAlign w:val="center"/>
          </w:tcPr>
          <w:p w14:paraId="5007526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43F04CF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Epilepsy (8A6Z)</w:t>
            </w:r>
          </w:p>
        </w:tc>
        <w:tc>
          <w:tcPr>
            <w:tcW w:w="1559" w:type="dxa"/>
            <w:shd w:val="clear" w:color="auto" w:fill="auto"/>
            <w:vAlign w:val="center"/>
          </w:tcPr>
          <w:p w14:paraId="74C6B2D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Prevalence (comorbidities)</w:t>
            </w:r>
          </w:p>
        </w:tc>
        <w:tc>
          <w:tcPr>
            <w:tcW w:w="1418" w:type="dxa"/>
            <w:shd w:val="clear" w:color="auto" w:fill="auto"/>
            <w:vAlign w:val="center"/>
          </w:tcPr>
          <w:p w14:paraId="05C7EB0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618F337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5805B095" w14:textId="77777777" w:rsidTr="004C3C90">
        <w:trPr>
          <w:trHeight w:val="20"/>
        </w:trPr>
        <w:tc>
          <w:tcPr>
            <w:tcW w:w="557" w:type="dxa"/>
            <w:vAlign w:val="center"/>
          </w:tcPr>
          <w:p w14:paraId="43DA208E"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38</w:t>
            </w:r>
          </w:p>
        </w:tc>
        <w:tc>
          <w:tcPr>
            <w:tcW w:w="1418" w:type="dxa"/>
            <w:shd w:val="clear" w:color="auto" w:fill="auto"/>
            <w:vAlign w:val="center"/>
          </w:tcPr>
          <w:p w14:paraId="221FC13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Tory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{"citationItems":[{"id":"ITEM-1","itemData":{"DOI":"10.1186/s12969-018-0248-7","ISSN":"15460096","abstract":"Background: A standardized set of quality measures for juvenile idiopathic inflammatory myopathies (JIIM) is not in use. Discordance has been shown between the importance ascribed to quality measures between patients and families and physicians. The objective of this study was to assess and compare the importance of various aspects of high quality care to patients with JIIM and their families with healthcare providers, to aid in future development of comprehensive quality measures. Methods: Surveys were developed by members of the Childhood Arthritis and Rheumatology Research Alliance (CARRA) Juvenile Dermatomyositis Workgroup through a consensus process and administered to patients and families through the CureJM Foundation and to healthcare professionals through CARRA. The survey asked respondents to rate the importance of 19 items related to aspects of high quality care, using a Likert scale. Results: Patients and families gave generally higher scores for importance to most of the quality measurement themes compared with healthcare professionals, with ratings of 13 of the 19 measures reaching statistical significance (p &lt; 0.05). Of particular importance, however, was consensus between the groups on the top five most important items: quality of life, timely diagnosis, access to rheumatology, normalization of functioning/strength, and ability for self care. Conclusions: Despite overall differences in the rating of importance of quality indicators between patients and families and healthcare professionals, the groups agreed on the most important aspects of care. Recognizing areas of particular importance to patients and families, and overlapping in importance with providers, will promote the development of standardized quality measures with the greatest potential for improving care and outcomes for children with JIIM.","author":[{"dropping-particle":"","family":"Tory","given":"Heather O.","non-dropping-particle":"","parse-names":false,"suffix":""},{"dropping-particle":"","family":"Carrasco","given":"Ruy","non-dropping-particle":"","parse-names":false,"suffix":""},{"dropping-particle":"","family":"Griffin","given":"Thomas","non-dropping-particle":"","parse-names":false,"suffix":""},{"dropping-particle":"","family":"Huber","given":"Adam M.","non-dropping-particle":"","parse-names":false,"suffix":""},{"dropping-particle":"","family":"Kahn","given":"Philip","non-dropping-particle":"","parse-names":false,"suffix":""},{"dropping-particle":"","family":"Robinson","given":"Angela Byun","non-dropping-particle":"","parse-names":false,"suffix":""},{"dropping-particle":"","family":"Zurakowski","given":"David","non-dropping-particle":"","parse-names":false,"suffix":""},{"dropping-particle":"","family":"Kim","given":"Susan","non-dropping-particle":"","parse-names":false,"suffix":""}],"container-title":"Pediatric Rheumatology","id":"ITEM-1","issue":"1","issued":{"date-parts":[["2018"]]},"title":"Comparing the importance of quality measurement themes in juvenile idiopathic inflammatory myositis between patients and families and healthcare professionals","type":"article-journal","volume":"16"},"uris":["http://www.mendeley.com/documents/?uuid=be7f7adb-fc13-3d65-936e-355d224cc285"]}],"mendeley":{"formattedCitation":"[38]","plainTextFormattedCitation":"[38]","previouslyFormattedCitation":"[38]"},"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[38]</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3743A4A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Pediatr Rheumatol</w:t>
            </w:r>
          </w:p>
        </w:tc>
        <w:tc>
          <w:tcPr>
            <w:tcW w:w="1711" w:type="dxa"/>
            <w:shd w:val="clear" w:color="auto" w:fill="auto"/>
            <w:vAlign w:val="center"/>
          </w:tcPr>
          <w:p w14:paraId="3910A6C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Families) + Group 2 (Specialists (Rheumatologists), Nurses)</w:t>
            </w:r>
          </w:p>
        </w:tc>
        <w:tc>
          <w:tcPr>
            <w:tcW w:w="1984" w:type="dxa"/>
            <w:vAlign w:val="center"/>
          </w:tcPr>
          <w:p w14:paraId="4EDB3A1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4B518D9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Juvenile idiopathic inflammatory myositis (4A41.01)</w:t>
            </w:r>
          </w:p>
        </w:tc>
        <w:tc>
          <w:tcPr>
            <w:tcW w:w="1559" w:type="dxa"/>
            <w:shd w:val="clear" w:color="auto" w:fill="auto"/>
            <w:vAlign w:val="center"/>
          </w:tcPr>
          <w:p w14:paraId="12B14A3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(QoL)</w:t>
            </w:r>
          </w:p>
        </w:tc>
        <w:tc>
          <w:tcPr>
            <w:tcW w:w="1418" w:type="dxa"/>
            <w:shd w:val="clear" w:color="auto" w:fill="auto"/>
            <w:vAlign w:val="center"/>
          </w:tcPr>
          <w:p w14:paraId="36783B6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3D8CA79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2C3FA42B" w14:textId="77777777" w:rsidTr="004C3C90">
        <w:trPr>
          <w:trHeight w:val="20"/>
        </w:trPr>
        <w:tc>
          <w:tcPr>
            <w:tcW w:w="557" w:type="dxa"/>
            <w:vAlign w:val="center"/>
          </w:tcPr>
          <w:p w14:paraId="6D541978"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39</w:t>
            </w:r>
          </w:p>
        </w:tc>
        <w:tc>
          <w:tcPr>
            <w:tcW w:w="1418" w:type="dxa"/>
            <w:shd w:val="clear" w:color="auto" w:fill="auto"/>
            <w:vAlign w:val="center"/>
          </w:tcPr>
          <w:p w14:paraId="4E620C8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Schadewald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{"citationItems":[{"id":"ITEM-1","itemData":{"DOI":"10.1007/8904_2017_87","ISSN":"21928312","abstract":"The mucopolysaccharidoses are a set of rare, inherited conditions that can have a catastrophic impact on those affected and their families. Because of the rarity of these disorders, little is known regarding the challenges faced by families of those affected and what coping mechanisms are commonly used. Coping is a way to manage demands that occur in one’s environment or within oneself. Medical social workers historically have facilitated this process while providing support to patients who are responding to pressures of their diagnosis and the system. A questionnaire of demographics and qualitative questions, along with the Pediatric Inventory for Parents (PIP) and Brief COPE, was sent by electronic survey to caregivers of children with MPS. The results of Brief COPE showed that problem-focused coping was more frequently used than emotion-focused (p &lt; 0.001) or dysfunctional coping (p &lt; 0.0001). Acceptance was the most frequently used coping strategy (p &lt; 0.05). The results of PIP showed that emotionally distressing events were the most difficult (p &lt; 0.001), while events related to medical care occurred at the highest frequency (p &lt; 0.001). Psychosocial support provided by medical social workers significantly increased acceptance of caregivers (p = 0.04). Guidance on what to expect provided by any member of the care team increased denial (p = 0.02) and the difficulty of emotional distress (p = 0.04). This study identified commonly used coping strategies and measured stress among caregivers of children with MPS, as well as access to and use of psychosocial support services. Results highlight the urgency to improve the coverage and quality of psychosocial support and other support services.","author":[{"dropping-particle":"","family":"Schadewald","given":"Amy","non-dropping-particle":"","parse-names":false,"suffix":""},{"dropping-particle":"","family":"Kimball","given":"Ericka","non-dropping-particle":"","parse-names":false,"suffix":""},{"dropping-particle":"","family":"Ou","given":"Li","non-dropping-particle":"","parse-names":false,"suffix":""}],"container-title":"JIMD Reports","id":"ITEM-1","issued":{"date-parts":[["2018"]]},"title":"Coping strategies, stress, and support needs in caregivers of children with mucopolysaccharidosis","type":"chapter","volume":"42"},"uris":["http://www.mendeley.com/documents/?uuid=3189f5a3-96b2-3aab-8700-753605c3589f"]}],"mendeley":{"formattedCitation":"[39]","plainTextFormattedCitation":"[39]","previouslyFormattedCitation":"[39]"},"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[39]</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22875B4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JIMD Rep</w:t>
            </w:r>
          </w:p>
        </w:tc>
        <w:tc>
          <w:tcPr>
            <w:tcW w:w="1711" w:type="dxa"/>
            <w:shd w:val="clear" w:color="auto" w:fill="auto"/>
            <w:vAlign w:val="center"/>
          </w:tcPr>
          <w:p w14:paraId="3DC6850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(Caregivers)</w:t>
            </w:r>
          </w:p>
        </w:tc>
        <w:tc>
          <w:tcPr>
            <w:tcW w:w="1984" w:type="dxa"/>
            <w:vAlign w:val="center"/>
          </w:tcPr>
          <w:p w14:paraId="03E9E7D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3F6EC59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Mucopolysaccharidosis (5C56.3)</w:t>
            </w:r>
          </w:p>
        </w:tc>
        <w:tc>
          <w:tcPr>
            <w:tcW w:w="1559" w:type="dxa"/>
            <w:shd w:val="clear" w:color="auto" w:fill="auto"/>
            <w:vAlign w:val="center"/>
          </w:tcPr>
          <w:p w14:paraId="17A01AF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(coping)</w:t>
            </w:r>
          </w:p>
        </w:tc>
        <w:tc>
          <w:tcPr>
            <w:tcW w:w="1418" w:type="dxa"/>
            <w:shd w:val="clear" w:color="auto" w:fill="auto"/>
            <w:vAlign w:val="center"/>
          </w:tcPr>
          <w:p w14:paraId="7436292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(Open-ended questionnaire)</w:t>
            </w:r>
          </w:p>
        </w:tc>
        <w:tc>
          <w:tcPr>
            <w:tcW w:w="709" w:type="dxa"/>
            <w:shd w:val="clear" w:color="auto" w:fill="auto"/>
            <w:vAlign w:val="center"/>
          </w:tcPr>
          <w:p w14:paraId="5CD681D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3E2F05F7" w14:textId="77777777" w:rsidTr="004C3C90">
        <w:trPr>
          <w:trHeight w:val="20"/>
        </w:trPr>
        <w:tc>
          <w:tcPr>
            <w:tcW w:w="557" w:type="dxa"/>
            <w:vAlign w:val="center"/>
          </w:tcPr>
          <w:p w14:paraId="2089CCA8"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40</w:t>
            </w:r>
          </w:p>
        </w:tc>
        <w:tc>
          <w:tcPr>
            <w:tcW w:w="1418" w:type="dxa"/>
            <w:shd w:val="clear" w:color="auto" w:fill="auto"/>
            <w:vAlign w:val="center"/>
          </w:tcPr>
          <w:p w14:paraId="617D040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Efthymiadou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{"citationItems":[{"id":"ITEM-1","itemData":{"DOI":"10.1017/S0266462318000557","ISSN":"14716348","abstract":"Objectives: Health-related quality of life (HRQoL) data generated by generic, preference-based instruments (i.e., EQ-5D) are highly demanded in health policy decision making, because they allow for direct comparisons of HRQoL outcomes between disease areas. We aimed to quantify HRQoL outcomes in breast cancer (BC), rheumatoid arthritis (RA), multiple sclerosis (MS), rare cancers (RC), and rare disease (RD) patients and understand the patterns that differentiate HRQoL outcomes between these disease areas, and more specifically between rare and more common disease population groups.Methods: An international, Web survey of patients measured HRQoL (EQ-5D-5L), self-perceived health (EQ-5D-5L Visual Analogue Scale), and additional QoL dimensions, such as patient disability level.Results: We received 675 completed responses. Average utility loss was 53.5 percent, 32.5 percent, and 33.3 percent for RD, RA, and MS patients, respectively, in contrast to 18.6 percent for BC and RC patients. Statistically significant differences (p &lt;.05) were observed between disease groups in all EQ-5D-5L domain outcomes, apart from that of Anxiety/Depression. Severe and/or extreme problems were reported in performing usual activities for RD and RC (34 percent and 13 percent of overall problems reported respectively), mobility for MS (18 percent), pain/discomfort for RA (13 percent), and anxiety/depression for BC (7 percent) patients.Conclusions: We demonstrated significant differences in the dimensions that drive HRQoL outcomes between rare and more common diseases and showcased that the same EQ-5D utility may reflect very different severities depending on the patient population under investigation. Future research should examine whether outcomes in other, critical HRQoL domains not included in generic measures also highlight significant differences across disease areas.","author":[{"dropping-particle":"","family":"Efthymiadou","given":"Olina","non-dropping-particle":"","parse-names":false,"suffix":""},{"dropping-particle":"","family":"Mossman","given":"Jean","non-dropping-particle":"","parse-names":false,"suffix":""},{"dropping-particle":"","family":"Kanavos","given":"Panos","non-dropping-particle":"","parse-names":false,"suffix":""}],"container-title":"International Journal of Technology Assessment in Health Care","id":"ITEM-1","issue":"5","issued":{"date-parts":[["2018"]]},"title":"Differentiation of health-related quality of life outcomes between five disease areas: Results from an international survey of patients","type":"article","volume":"34"},"uris":["http://www.mendeley.com/documents/?uuid=520eed93-0f72-33b7-924e-8f529c25be10"]}],"mendeley":{"formattedCitation":"[40]","plainTextFormattedCitation":"[40]","previouslyFormattedCitation":"[40]"},"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[40]</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140F4BF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Int. J. Technol. Assess. Health Care</w:t>
            </w:r>
          </w:p>
        </w:tc>
        <w:tc>
          <w:tcPr>
            <w:tcW w:w="1711" w:type="dxa"/>
            <w:shd w:val="clear" w:color="auto" w:fill="auto"/>
            <w:vAlign w:val="center"/>
          </w:tcPr>
          <w:p w14:paraId="29E226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63D90E6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(France, Romania, UK) + North America (US)</w:t>
            </w:r>
          </w:p>
        </w:tc>
        <w:tc>
          <w:tcPr>
            <w:tcW w:w="1843" w:type="dxa"/>
            <w:shd w:val="clear" w:color="auto" w:fill="auto"/>
            <w:vAlign w:val="center"/>
          </w:tcPr>
          <w:p w14:paraId="190AE3B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51CF540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(QoL)</w:t>
            </w:r>
          </w:p>
        </w:tc>
        <w:tc>
          <w:tcPr>
            <w:tcW w:w="1418" w:type="dxa"/>
            <w:shd w:val="clear" w:color="auto" w:fill="auto"/>
            <w:vAlign w:val="center"/>
          </w:tcPr>
          <w:p w14:paraId="19D6606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503C8E6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6C47F730" w14:textId="77777777" w:rsidTr="004C3C90">
        <w:trPr>
          <w:trHeight w:val="20"/>
        </w:trPr>
        <w:tc>
          <w:tcPr>
            <w:tcW w:w="557" w:type="dxa"/>
            <w:vAlign w:val="center"/>
          </w:tcPr>
          <w:p w14:paraId="2D04AFB2"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41</w:t>
            </w:r>
          </w:p>
        </w:tc>
        <w:tc>
          <w:tcPr>
            <w:tcW w:w="1418" w:type="dxa"/>
            <w:shd w:val="clear" w:color="auto" w:fill="auto"/>
            <w:vAlign w:val="center"/>
          </w:tcPr>
          <w:p w14:paraId="27D506C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Lopes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{"citationItems":[{"id":"ITEM-1","itemData":{"DOI":"10.6061/clinics/2018/e68","ISSN":"18075932","abstract":"OBJECTIVES: The aim of this study is to present a survey of vulnerabilities and to suggest approaches for the treatment of rare diseases according to the perceptions of a group of affected individuals, patient association representatives and health care professionals. METHODS: The focus group technique was used in interviews with patients and primary caregivers, patient support groups/non-governmental organizations, primary health care professionals and physician specialists. RESULTS: The transcript analysis focused on thematic units, which were tailored to each group and allowed comparisons in search of concordant views. Unanimity was observed in relation to the physical, emotional and social damage to the life standards of the affected individuals and their families as a result of illness. The Brazilian health system was unanimously classified as inadequate to respond to the needs of patients with rare diseases, and this inadequacy led to unpleasant experiences, such as the seemingly endless referrals among health services to reach a final diagnosis and develop a treatment plan. CONCLUSIONS: The complex set of health system requirements necessary to support the care of patients with rare diseases represents an obstacle to successfully meeting the needs of patients and their families. Therefore, it is important to develop specific public policies to create referral services, guarantee access to appropriate therapeutic modalities and incorporate technologies that promote research for developing new, affordable therapies.","author":[{"dropping-particle":"","family":"Lopes","given":"Marcos Thomazin","non-dropping-particle":"","parse-names":false,"suffix":""},{"dropping-particle":"","family":"Koch","given":"Vera Hermina","non-dropping-particle":"","parse-names":false,"suffix":""},{"dropping-particle":"","family":"Sarrubbi-Junior","given":"Vicente","non-dropping-particle":"","parse-names":false,"suffix":""},{"dropping-particle":"","family":"Gallo","given":"Paulo Rogério","non-dropping-particle":"","parse-names":false,"suffix":""},{"dropping-particle":"","family":"Carneiro-Sampaio","given":"Magda","non-dropping-particle":"","parse-names":false,"suffix":""}],"container-title":"Clinics","id":"ITEM-1","issued":{"date-parts":[["2018"]]},"title":"Difficulties in the diagnosis and treatment of rare diseases according to the perceptions of patients, relatives and health care professionals","type":"article-journal","volume":"73"},"uris":["http://www.mendeley.com/documents/?uuid=007bafd8-e41b-3a99-84e8-9264ee034a1f"]}],"mendeley":{"formattedCitation":"[41]","plainTextFormattedCitation":"[41]","previouslyFormattedCitation":"[41]"},"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[41]</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32719BD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Clinics (Sao Paulo, Brazil)</w:t>
            </w:r>
          </w:p>
        </w:tc>
        <w:tc>
          <w:tcPr>
            <w:tcW w:w="1711" w:type="dxa"/>
            <w:shd w:val="clear" w:color="auto" w:fill="auto"/>
            <w:vAlign w:val="center"/>
          </w:tcPr>
          <w:p w14:paraId="4B75677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Families, Patient Organizations) + Group 2 (Specialists, GPs)</w:t>
            </w:r>
          </w:p>
        </w:tc>
        <w:tc>
          <w:tcPr>
            <w:tcW w:w="1984" w:type="dxa"/>
            <w:vAlign w:val="center"/>
          </w:tcPr>
          <w:p w14:paraId="7210306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South America (Brazil)</w:t>
            </w:r>
          </w:p>
        </w:tc>
        <w:tc>
          <w:tcPr>
            <w:tcW w:w="1843" w:type="dxa"/>
            <w:shd w:val="clear" w:color="auto" w:fill="auto"/>
            <w:vAlign w:val="center"/>
          </w:tcPr>
          <w:p w14:paraId="721EB5C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1F2FF6E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(diagnosis, treatment)</w:t>
            </w:r>
          </w:p>
        </w:tc>
        <w:tc>
          <w:tcPr>
            <w:tcW w:w="1418" w:type="dxa"/>
            <w:shd w:val="clear" w:color="auto" w:fill="auto"/>
            <w:vAlign w:val="center"/>
          </w:tcPr>
          <w:p w14:paraId="0E1F8F2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(Questionnaire + Interview)</w:t>
            </w:r>
          </w:p>
        </w:tc>
        <w:tc>
          <w:tcPr>
            <w:tcW w:w="709" w:type="dxa"/>
            <w:shd w:val="clear" w:color="auto" w:fill="auto"/>
            <w:vAlign w:val="center"/>
          </w:tcPr>
          <w:p w14:paraId="6BC47EF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630C8CCA" w14:textId="77777777" w:rsidTr="004C3C90">
        <w:trPr>
          <w:trHeight w:val="20"/>
        </w:trPr>
        <w:tc>
          <w:tcPr>
            <w:tcW w:w="557" w:type="dxa"/>
            <w:vAlign w:val="center"/>
          </w:tcPr>
          <w:p w14:paraId="1FE2D976"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42</w:t>
            </w:r>
          </w:p>
        </w:tc>
        <w:tc>
          <w:tcPr>
            <w:tcW w:w="1418" w:type="dxa"/>
            <w:shd w:val="clear" w:color="auto" w:fill="auto"/>
            <w:vAlign w:val="center"/>
          </w:tcPr>
          <w:p w14:paraId="5CBD426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Kanavin and Fjermestad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{"citationItems":[{"id":"ITEM-1","itemData":{"DOI":"10.1186/s13023-018-0804-8","ISSN":"17501172","abstract":"Background: Hereditary spastic paraparesis (HSP) is a group of rare genetic disorders affecting the central nervous system. Pure HSP is limited to lower limb spasticity and urinary voiding dysfunction. Complex HSP involves additional neurological features. Beyond the described core symptoms, knowledge about the burden of disease for adults with HSP is limited, particularly regarding gastrointestinal functions, fecal incontinence, and urinary symptoms. Methods: We conducted a cross-sectional self-report survey with 108 adult HSP patients (M age = 57.7 years, SD = 11.5, range 30 to 81; 54.2% females) recruited from a national HSP user group association and a national (non-clinical) advisory unit for rare disorders. HSP data was compared to data from a Norwegian population study, HUNT-3 (N = 46,293). Results: The HSP group reported more gastrointestinal and urinary complaints compared to controls. Gastrointestinal complaints included at least \"much\" complaints with constipation (14.6%) and alternating constipation/diarrhea (8.0%), and at least daily uncontrollable flatulence (47.6%), fecal incontinence (11.6%), and inability to hold back stools (38.5%). Urinary complaints included frequent urination (27.4% &gt; 8 times daily), sudden urge (51.9%) and urinary incontinence (30.5% at least daily/nightly). Conclusion: This survey of adults with HSP recruited from non-clinical settings showed constipation, alternate constipation and diarrhea, fecal incontinence, and voiding dysfunction represent considerable problems for many persons with HSP. Health care providers should screen and manage often unrecognized gastrointestinal and fecal incontinence complaints among HSP patients.","author":[{"dropping-particle":"","family":"Kanavin","given":"Øivind J.","non-dropping-particle":"","parse-names":false,"suffix":""},{"dropping-particle":"","family":"Fjermestad","given":"Krister W.","non-dropping-particle":"","parse-names":false,"suffix":""}],"container-title":"Orphanet Journal of Rare Diseases","id":"ITEM-1","issue":"1","issued":{"date-parts":[["2018"]]},"title":"Gastrointestinal and urinary complaints in adults with hereditary spastic paraparesis","type":"article-journal","volume":"13"},"uris":["http://www.mendeley.com/documents/?uuid=2020f99e-d736-3b5e-aa25-db83c4ce842e"]}],"mendeley":{"formattedCitation":"[42]","plainTextFormattedCitation":"[42]","previouslyFormattedCitation":"[42]"},"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[42]</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63AA698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1B9E30C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1EC26E5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(Norway)</w:t>
            </w:r>
          </w:p>
        </w:tc>
        <w:tc>
          <w:tcPr>
            <w:tcW w:w="1843" w:type="dxa"/>
            <w:shd w:val="clear" w:color="auto" w:fill="auto"/>
            <w:vAlign w:val="center"/>
          </w:tcPr>
          <w:p w14:paraId="240F682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Hereditary spastic paraplegia (8B44.0)</w:t>
            </w:r>
          </w:p>
        </w:tc>
        <w:tc>
          <w:tcPr>
            <w:tcW w:w="1559" w:type="dxa"/>
            <w:shd w:val="clear" w:color="auto" w:fill="auto"/>
            <w:vAlign w:val="center"/>
          </w:tcPr>
          <w:p w14:paraId="7E1B7FA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Prevalence (gastrointestinal and urinary complaints)</w:t>
            </w:r>
          </w:p>
        </w:tc>
        <w:tc>
          <w:tcPr>
            <w:tcW w:w="1418" w:type="dxa"/>
            <w:shd w:val="clear" w:color="auto" w:fill="auto"/>
            <w:vAlign w:val="center"/>
          </w:tcPr>
          <w:p w14:paraId="7FFC06B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0299D85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6EF1096F" w14:textId="77777777" w:rsidTr="004C3C90">
        <w:trPr>
          <w:trHeight w:val="20"/>
        </w:trPr>
        <w:tc>
          <w:tcPr>
            <w:tcW w:w="557" w:type="dxa"/>
            <w:vAlign w:val="center"/>
          </w:tcPr>
          <w:p w14:paraId="73821AC4"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lastRenderedPageBreak/>
              <w:t>43</w:t>
            </w:r>
          </w:p>
        </w:tc>
        <w:tc>
          <w:tcPr>
            <w:tcW w:w="1418" w:type="dxa"/>
            <w:shd w:val="clear" w:color="auto" w:fill="auto"/>
            <w:vAlign w:val="center"/>
          </w:tcPr>
          <w:p w14:paraId="6149CB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McCausland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{"citationItems":[{"id":"ITEM-1","itemData":{"DOI":"10.1007/s40271-017-0273-5","ISSN":"11781661","abstract":"Background: Light chain (AL) amyloidosis is a rare, complex disease associated with significant morbidity and mortality. Delays in diagnosis are common and may have detrimental consequences on patients’ prognosis. Too little is known regarding the patient journey to diagnosis. Objective: The objective of this study was to describe the patient-reported journey to a correct diagnosis for AL amyloidosis. Methods: Using a mixed-methods approach, data were collected from clinician (n = 4) and patient (n = 10) interviews and a survey of community-based patients with AL amyloidosis (n = 341). Data were used to document the patient experience between the onset of symptoms and the receipt of a diagnosis. Results: Delays in diagnosis were common. Qualitative and quantitative data indicated that initial symptoms were varied and similar to other more prevalent diseases. Two themes regarding the journey to diagnosis emerged: (1) barriers to an early diagnosis; and (2) the emotional toll of the journey. Time to diagnosis was heavily influenced by how patients interpreted their initial symptoms, whether they sought early medical help, and challenges associated with making differential diagnoses. Survey results indicate that patients with primary cardiac involvement were more likely to receive a delayed diagnosis than those with primary kidney involvement. Patients described mixed emotions associated with the eventual diagnosis of AL amyloidosis. Conclusions: These data support a need for better early identification and support for patients seeking a diagnosis. Increasing clinician awareness may reduce the time to diagnosis. Additional research is needed to identify optimal diagnostic testing to reduce delays in treatment initiation and subsequent severe impacts on health.","author":[{"dropping-particle":"","family":"McCausland","given":"Kristen L.","non-dropping-particle":"","parse-names":false,"suffix":""},{"dropping-particle":"","family":"White","given":"Michelle K.","non-dropping-particle":"","parse-names":false,"suffix":""},{"dropping-particle":"","family":"Guthrie","given":"Spencer D.","non-dropping-particle":"","parse-names":false,"suffix":""},{"dropping-particle":"","family":"Quock","given":"Tiffany","non-dropping-particle":"","parse-names":false,"suffix":""},{"dropping-particle":"","family":"Finkel","given":"Muriel","non-dropping-particle":"","parse-names":false,"suffix":""},{"dropping-particle":"","family":"Lousada","given":"Isabelle","non-dropping-particle":"","parse-names":false,"suffix":""},{"dropping-particle":"","family":"Bayliss","given":"Martha S.","non-dropping-particle":"","parse-names":false,"suffix":""}],"container-title":"Patient","id":"ITEM-1","issue":"2","issued":{"date-parts":[["2018"]]},"title":"Light Chain (AL) Amyloidosis: The Journey to Diagnosis","type":"article-journal","volume":"11"},"uris":["http://www.mendeley.com/documents/?uuid=b0e77825-19ed-36d0-a836-a2d7cda87a2e"]}],"mendeley":{"formattedCitation":"[43]","plainTextFormattedCitation":"[43]","previouslyFormattedCitation":"[43]"},"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[43]</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67217E0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w:t>
            </w:r>
          </w:p>
        </w:tc>
        <w:tc>
          <w:tcPr>
            <w:tcW w:w="1711" w:type="dxa"/>
            <w:shd w:val="clear" w:color="auto" w:fill="auto"/>
            <w:vAlign w:val="center"/>
          </w:tcPr>
          <w:p w14:paraId="0AED4D4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 Group 2 (Specialists (Nephrologists, Hematologists))</w:t>
            </w:r>
          </w:p>
        </w:tc>
        <w:tc>
          <w:tcPr>
            <w:tcW w:w="1984" w:type="dxa"/>
            <w:vAlign w:val="center"/>
          </w:tcPr>
          <w:p w14:paraId="4CB9879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0494531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Light chain amyloidosis (5D00.0)</w:t>
            </w:r>
          </w:p>
        </w:tc>
        <w:tc>
          <w:tcPr>
            <w:tcW w:w="1559" w:type="dxa"/>
            <w:shd w:val="clear" w:color="auto" w:fill="auto"/>
            <w:vAlign w:val="center"/>
          </w:tcPr>
          <w:p w14:paraId="4943CCD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(diagnosis)</w:t>
            </w:r>
          </w:p>
        </w:tc>
        <w:tc>
          <w:tcPr>
            <w:tcW w:w="1418" w:type="dxa"/>
            <w:shd w:val="clear" w:color="auto" w:fill="auto"/>
            <w:vAlign w:val="center"/>
          </w:tcPr>
          <w:p w14:paraId="4916B5F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(Questionnaire + Interview)</w:t>
            </w:r>
          </w:p>
        </w:tc>
        <w:tc>
          <w:tcPr>
            <w:tcW w:w="709" w:type="dxa"/>
            <w:shd w:val="clear" w:color="auto" w:fill="auto"/>
            <w:vAlign w:val="center"/>
          </w:tcPr>
          <w:p w14:paraId="074EA3D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3AC402AC" w14:textId="77777777" w:rsidTr="004C3C90">
        <w:trPr>
          <w:trHeight w:val="20"/>
        </w:trPr>
        <w:tc>
          <w:tcPr>
            <w:tcW w:w="557" w:type="dxa"/>
            <w:vAlign w:val="center"/>
          </w:tcPr>
          <w:p w14:paraId="3003D159"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44</w:t>
            </w:r>
          </w:p>
        </w:tc>
        <w:tc>
          <w:tcPr>
            <w:tcW w:w="1418" w:type="dxa"/>
            <w:shd w:val="clear" w:color="auto" w:fill="auto"/>
            <w:vAlign w:val="center"/>
          </w:tcPr>
          <w:p w14:paraId="1D831E1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Fu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{"citationItems":[{"id":"ITEM-1","itemData":{"DOI":"10.5246/jcps.2018.05.037","ISSN":"10031057","abstract":"Many patients with rare diseases not only suffer from more severe conditions but often receive less disease management, which is one significant public health concern globally. Few practice-based surveys focus on the care of patients with rare diseases. In the present study, we aimed to investigate medical service utilization, economic burden and health status of patients with rare diseases in China. A cross-sectional questionnaire survey focusing on patients with rare diseases was conducted. Descriptive analysis was conducted to examine the sociodemographic characteristics, medical service utilization, economic burden and health status. Logistic regression analysis was applied to explore influencing factors of self-rated health. A total of 982 patients with 81 types of diseases were included in this survey. We found that 58.2% of patients experienced misdiagnosis, and 35.2% of the patients were misdiagnosed for at least five times. Moreover, 65.8% of patients traveled to hospitals to seek medical services, and 92.1% of patients paid expenses for their treatment. However, only 1.3% of patients could afford their medical expenditure without debts, and 86.8% of patients regarded their health status as bad or moderate. Significant factors correlated with health status were economic status, gender, age, employment and household size. From this study, the accessibility of medical service utilization, the affordability of medical economic burden, and the condition of health status for patients with rare disease in China were considerably poor. Basic medical insurance did not play its role in improving the utilization of medical services and the affordability of medical costs. Social support should be encouraged to improve patients' health status.","author":[{"dropping-particle":"","family":"Fu","given":"Mengyuan","non-dropping-particle":"","parse-names":false,"suffix":""},{"dropping-particle":"","family":"Guan","given":"Xiaodong","non-dropping-particle":"","parse-names":false,"suffix":""},{"dropping-particle":"","family":"Wei","given":"Guoxu","non-dropping-particle":"","parse-names":false,"suffix":""},{"dropping-particle":"","family":"Xin","given":"Xiaoxiong","non-dropping-particle":"","parse-names":false,"suffix":""},{"dropping-particle":"","family":"Shi","given":"Luwen","non-dropping-particle":"","parse-names":false,"suffix":""}],"container-title":"Journal of Chinese Pharmaceutical Sciences","id":"ITEM-1","issue":"5","issued":{"date-parts":[["2018"]]},"title":"Medical service utilisation, economic burden and health status of patients with rare diseases in China","type":"article-journal","volume":"27"},"uris":["http://www.mendeley.com/documents/?uuid=d0d32c69-02e5-3221-93b2-3e78bce542dc"]}],"mendeley":{"formattedCitation":"[44]","plainTextFormattedCitation":"[44]","previouslyFormattedCitation":"[44]"},"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[44]</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4A25711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Chinese Pharm Sci</w:t>
            </w:r>
          </w:p>
        </w:tc>
        <w:tc>
          <w:tcPr>
            <w:tcW w:w="1711" w:type="dxa"/>
            <w:shd w:val="clear" w:color="auto" w:fill="auto"/>
            <w:vAlign w:val="center"/>
          </w:tcPr>
          <w:p w14:paraId="1970E71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1B5EEFE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Asia (China)</w:t>
            </w:r>
          </w:p>
        </w:tc>
        <w:tc>
          <w:tcPr>
            <w:tcW w:w="1843" w:type="dxa"/>
            <w:shd w:val="clear" w:color="auto" w:fill="auto"/>
            <w:vAlign w:val="center"/>
          </w:tcPr>
          <w:p w14:paraId="2425EC0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5DDD699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(financial burden of disease, access 45to medical ser46vice)</w:t>
            </w:r>
          </w:p>
        </w:tc>
        <w:tc>
          <w:tcPr>
            <w:tcW w:w="1418" w:type="dxa"/>
            <w:shd w:val="clear" w:color="auto" w:fill="auto"/>
            <w:vAlign w:val="center"/>
          </w:tcPr>
          <w:p w14:paraId="1229A36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626E411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00397FC0" w14:textId="77777777" w:rsidTr="004C3C90">
        <w:trPr>
          <w:trHeight w:val="20"/>
        </w:trPr>
        <w:tc>
          <w:tcPr>
            <w:tcW w:w="557" w:type="dxa"/>
            <w:vAlign w:val="center"/>
          </w:tcPr>
          <w:p w14:paraId="0CA748DE"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45</w:t>
            </w:r>
          </w:p>
        </w:tc>
        <w:tc>
          <w:tcPr>
            <w:tcW w:w="1418" w:type="dxa"/>
            <w:shd w:val="clear" w:color="auto" w:fill="auto"/>
            <w:vAlign w:val="center"/>
          </w:tcPr>
          <w:p w14:paraId="08A331F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Liu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{"citationItems":[{"id":"ITEM-1","itemData":{"DOI":"10.1136/jim-2017-000570","ISSN":"17088267","abstract":"The study aimed to assess the economic burden, health-related quality of life (HRQoL), and acromegaly treatment satisfaction in the USA. A web-based, cross-sectional survey was distributed to members of Acromegaly Community. Data related to comorbidities, treatment patterns, and treatment satisfaction were collected. The costs over the past 3 months included out-of-pocket cost, sick leave, leave of absence, direct loss of job due to acromegaly, unemployment, assistance to perform household chores, and family member loss of income. The HRQoL was assessed by Acromegaly Quality of Life (AcroQoL) and EQ-5D-3L questionnaires. Among 106 patients who completed the survey (mean age: 46 years, female: 76.4%), 44.3% presented with ≥5 comorbidities, and 90.6% reporting acromegaly-related symptoms. Compared with the low-symptom group 0-3 (n=41), the 4+ symptoms group (n=65) was more likely to have depression (OR=2.3, 95% CI 1.1 to 5.2) and cardiovascular disease (OR=5.8, 95% CI 2.0 to 16.7), and experienced higher costs (loss of job: $8874 vs $1717, P=0.02; unemployment disability: $17,102 vs $429, P=0.003; household chores: $2160 vs $932, P=0.0003; family members' income loss: $692 vs $122, P=0.03). The high-symptom group had lower HRQoL scores, compared with the low-symptom group (EQ-5D-3L: 0.53 vs 0.75, P&lt;0.0001; AcroQoL: 27 vs 56, P&lt;0.0001). Only 55.7% among patients requiring injections for acromegaly were satisfied. Patients with acromegaly who presented with multiple acromegaly-related symptoms were evidenced to have experienced higher economic burden and poorer quality of life than patients with the same diagnosis but fewer symptoms. The low rate of treatment satisfaction warrants need for further studies.","author":[{"dropping-particle":"","family":"Liu","given":"Shuqian","non-dropping-particle":"","parse-names":false,"suffix":""},{"dropping-particle":"","family":"Adelman","given":"Daphne T.","non-dropping-particle":"","parse-names":false,"suffix":""},{"dropping-particle":"","family":"Xu","given":"Yaping","non-dropping-particle":"","parse-names":false,"suffix":""},{"dropping-particle":"","family":"Sisco","given":"Jillone","non-dropping-particle":"","parse-names":false,"suffix":""},{"dropping-particle":"","family":"Begelman","given":"Susan M.","non-dropping-particle":"","parse-names":false,"suffix":""},{"dropping-particle":"","family":"Webb","given":"Susan M.","non-dropping-particle":"","parse-names":false,"suffix":""},{"dropping-particle":"","family":"Badia","given":"Xavier","non-dropping-particle":"","parse-names":false,"suffix":""},{"dropping-particle":"","family":"Thethi","given":"Tina K.","non-dropping-particle":"","parse-names":false,"suffix":""},{"dropping-particle":"","family":"Fonseca","given":"Vivian","non-dropping-particle":"","parse-names":false,"suffix":""},{"dropping-particle":"","family":"Shi","given":"Lizheng","non-dropping-particle":"","parse-names":false,"suffix":""}],"container-title":"Journal of Investigative Medicine","id":"ITEM-1","issue":"3","issued":{"date-parts":[["2018"]]},"title":"Patient-centered assessment on disease burden, quality of life, and treatment satisfaction associated with acromegaly","type":"article-journal","volume":"66"},"uris":["http://www.mendeley.com/documents/?uuid=2d4c7aa6-698c-3c07-881f-939f67eb485d"]}],"mendeley":{"formattedCitation":"[45]","plainTextFormattedCitation":"[45]","previouslyFormattedCitation":"[45]"},"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[45]</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77C05E8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J Investig Med</w:t>
            </w:r>
          </w:p>
        </w:tc>
        <w:tc>
          <w:tcPr>
            <w:tcW w:w="1711" w:type="dxa"/>
            <w:shd w:val="clear" w:color="auto" w:fill="auto"/>
            <w:vAlign w:val="center"/>
          </w:tcPr>
          <w:p w14:paraId="29F6D7F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7DC86C8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0CF9828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Acromegaly (5A60.0)</w:t>
            </w:r>
          </w:p>
        </w:tc>
        <w:tc>
          <w:tcPr>
            <w:tcW w:w="1559" w:type="dxa"/>
            <w:shd w:val="clear" w:color="auto" w:fill="auto"/>
            <w:vAlign w:val="center"/>
          </w:tcPr>
          <w:p w14:paraId="5B10D06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Expe47rience (burden48 of diseases, Q49oL, treat50ment)</w:t>
            </w:r>
          </w:p>
        </w:tc>
        <w:tc>
          <w:tcPr>
            <w:tcW w:w="1418" w:type="dxa"/>
            <w:shd w:val="clear" w:color="auto" w:fill="auto"/>
            <w:vAlign w:val="center"/>
          </w:tcPr>
          <w:p w14:paraId="2F17E01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41FC1EE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444A2999" w14:textId="77777777" w:rsidTr="004C3C90">
        <w:trPr>
          <w:trHeight w:val="20"/>
        </w:trPr>
        <w:tc>
          <w:tcPr>
            <w:tcW w:w="557" w:type="dxa"/>
            <w:vAlign w:val="center"/>
          </w:tcPr>
          <w:p w14:paraId="38E68C57"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46</w:t>
            </w:r>
          </w:p>
        </w:tc>
        <w:tc>
          <w:tcPr>
            <w:tcW w:w="1418" w:type="dxa"/>
            <w:shd w:val="clear" w:color="auto" w:fill="auto"/>
            <w:vAlign w:val="center"/>
          </w:tcPr>
          <w:p w14:paraId="7FA2CA2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Chung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{"citationItems":[{"id":"ITEM-1","itemData":{"DOI":"10.1016/j.urology.2017.08.045","ISSN":"15279995","abstract":"Objective To illustrate the heterogeneous care delivered to patients with extramammary Paget disease (EMPD), a rare and lethal malignancy with poorly described treatment methodologies, by characterizing the clinical and pathologic characteristics of an international patient support group. Materials and Methods Institutional review board approval was obtained to develop and distribute a nonvalidated survey to patients from an international, online EMPD support group. The survey was developed to capture patient clinical and pathologic details and was distributed between January 2017 and February 2017. Results Forty-two patients completed the survey. At a mean age of 64 years, patients most commonly developed rash, pruritus, or erythema in the genital and perianal regions. Patients presented to their primary care physician, gynecologist, or dermatologist and were initially treated with topical agents for benign diagnoses. After failing conservative treatments, patients underwent biopsy by a dermatologist or gynecologist and were diagnosed with EMPD on average 21 months after the onset of symptoms. Wide local and Mohs excisions were the most frequently administered treatments with positive margins reported in 43% of patients. Fewer patients underwent noninvasive treatment with imiquimod cream and radiation. In total, 29% of patients developed regional recurrence and distant disease. There was wide variation regarding medical specialties involved, diagnostic evaluation, treatment, and clinical follow-up. Conclusion This study provides a novel view of the varied clinical and pathologic details from patients treated across varying institutions and medical specialties. This study will hopefully educate providers of the overall disease process of EMPD and encourage the development of standardized treatment recommendations.","author":[{"dropping-particle":"","family":"Chung","given":"Paul H.","non-dropping-particle":"","parse-names":false,"suffix":""},{"dropping-particle":"","family":"Kampp","given":"Jeremy T.","non-dropping-particle":"","parse-names":false,"suffix":""},{"dropping-particle":"","family":"Voelzke","given":"Bryan B.","non-dropping-particle":"","parse-names":false,"suffix":""}],"container-title":"Urology","id":"ITEM-1","issued":{"date-parts":[["2018"]]},"title":"Patients’ Experiences With Extramammary Paget Disease: An Online Pilot Study Querying a Patient Support Group","type":"article-journal","volume":"111"},"uris":["http://www.mendeley.com/documents/?uuid=5801643b-d2bc-3da8-8766-31d61d803178"]}],"mendeley":{"formattedCitation":"[46]","plainTextFormattedCitation":"[46]","previouslyFormattedCitation":"[46]"},"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[46]</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233265F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Urology</w:t>
            </w:r>
          </w:p>
        </w:tc>
        <w:tc>
          <w:tcPr>
            <w:tcW w:w="1711" w:type="dxa"/>
            <w:shd w:val="clear" w:color="auto" w:fill="auto"/>
            <w:vAlign w:val="center"/>
          </w:tcPr>
          <w:p w14:paraId="5F7F14F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295520B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41D4575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Paget's disease (FB85.Z)</w:t>
            </w:r>
          </w:p>
        </w:tc>
        <w:tc>
          <w:tcPr>
            <w:tcW w:w="1559" w:type="dxa"/>
            <w:shd w:val="clear" w:color="auto" w:fill="auto"/>
            <w:vAlign w:val="center"/>
          </w:tcPr>
          <w:p w14:paraId="0A28203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(diagnosis, treatment)</w:t>
            </w:r>
          </w:p>
        </w:tc>
        <w:tc>
          <w:tcPr>
            <w:tcW w:w="1418" w:type="dxa"/>
            <w:shd w:val="clear" w:color="auto" w:fill="auto"/>
            <w:vAlign w:val="center"/>
          </w:tcPr>
          <w:p w14:paraId="4068B5D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0C16085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31EEA241" w14:textId="77777777" w:rsidTr="004C3C90">
        <w:trPr>
          <w:trHeight w:val="20"/>
        </w:trPr>
        <w:tc>
          <w:tcPr>
            <w:tcW w:w="557" w:type="dxa"/>
            <w:vAlign w:val="center"/>
          </w:tcPr>
          <w:p w14:paraId="6C2ABD6D"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47</w:t>
            </w:r>
          </w:p>
        </w:tc>
        <w:tc>
          <w:tcPr>
            <w:tcW w:w="1418" w:type="dxa"/>
            <w:shd w:val="clear" w:color="auto" w:fill="auto"/>
            <w:vAlign w:val="center"/>
          </w:tcPr>
          <w:p w14:paraId="3EB1FF8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Peyron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{"citationItems":[{"id":"ITEM-1","itemData":{"DOI":"10.1016/j.socscimed.2018.08.015","ISSN":"18735347","abstract":"The information to which whole genome sequencing (WGS) provides access raises questions about its disclosure to patients. The literature focused on the nature of findings, shows patients share the same expectations while evoking possible heterogeneity. Our objective is to test this hypothesis of preference heterogeneity with respect to the disclosure of results from WGS by means of a discrete choice experiment (DCE). Our DCE includes six attributes for studying preferences with respect to (1) variants of unknown significance and (2) secondary findings, and more innovatively with respect to (3) repeat analysis of the tests, (4) the decision-making process, (5) patient support and (6) the cost of testing. The survey was conducted at two genetic centres in France from February to December 2015 and included 528 parents of patients with development disorders with no aetiological diagnosis. By using a latent class model, it was possible to identify two preference profiles with parents opting for either a prospective (75% of sample) or a targeted (25%) diagnostic approach. The former valued the exhaustive and diverse genetic information the test can provide, even when the information is uncertain or not directly related to their child's illness; the latter valued only the least uncertain information relating to their child's illness. Understanding patients’ preference patterns can help professionals to better accommodate and support patients and enables policy-makers to measure the diversity of expectations in the face of current developments in genomic medicine.","author":[{"dropping-particle":"","family":"Peyron","given":"Christine","non-dropping-particle":"","parse-names":false,"suffix":""},{"dropping-particle":"","family":"Pélissier","given":"Aurore","non-dropping-particle":"","parse-names":false,"suffix":""},{"dropping-particle":"","family":"Béjean","given":"Sophie","non-dropping-particle":"","parse-names":false,"suffix":""}],"container-title":"Social Science and Medicine","id":"ITEM-1","issued":{"date-parts":[["2018"]]},"title":"Preference heterogeneity with respect to whole genome sequencing. A discrete choice experiment among parents of children with rare genetic diseases","type":"article-journal","volume":"214"},"uris":["http://www.mendeley.com/documents/?uuid=3fc5ea5d-f887-3a9f-838d-8477ca61fe59"]}],"mendeley":{"formattedCitation":"[47]","plainTextFormattedCitation":"[47]","previouslyFormattedCitation":"[47]"},"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[47]</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4DA58EE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Social Science and Medicine</w:t>
            </w:r>
          </w:p>
        </w:tc>
        <w:tc>
          <w:tcPr>
            <w:tcW w:w="1711" w:type="dxa"/>
            <w:shd w:val="clear" w:color="auto" w:fill="auto"/>
            <w:vAlign w:val="center"/>
          </w:tcPr>
          <w:p w14:paraId="6368F79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(Families)</w:t>
            </w:r>
          </w:p>
        </w:tc>
        <w:tc>
          <w:tcPr>
            <w:tcW w:w="1984" w:type="dxa"/>
            <w:vAlign w:val="center"/>
          </w:tcPr>
          <w:p w14:paraId="4CEFE98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(France)</w:t>
            </w:r>
          </w:p>
        </w:tc>
        <w:tc>
          <w:tcPr>
            <w:tcW w:w="1843" w:type="dxa"/>
            <w:shd w:val="clear" w:color="auto" w:fill="auto"/>
            <w:vAlign w:val="center"/>
          </w:tcPr>
          <w:p w14:paraId="2ADE88F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3638D93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(treatment)</w:t>
            </w:r>
          </w:p>
        </w:tc>
        <w:tc>
          <w:tcPr>
            <w:tcW w:w="1418" w:type="dxa"/>
            <w:shd w:val="clear" w:color="auto" w:fill="auto"/>
            <w:vAlign w:val="center"/>
          </w:tcPr>
          <w:p w14:paraId="3DF23E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(Discrete choice experiment)</w:t>
            </w:r>
          </w:p>
        </w:tc>
        <w:tc>
          <w:tcPr>
            <w:tcW w:w="709" w:type="dxa"/>
            <w:shd w:val="clear" w:color="auto" w:fill="auto"/>
            <w:vAlign w:val="center"/>
          </w:tcPr>
          <w:p w14:paraId="115CD89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533E693C" w14:textId="77777777" w:rsidTr="004C3C90">
        <w:trPr>
          <w:trHeight w:val="20"/>
        </w:trPr>
        <w:tc>
          <w:tcPr>
            <w:tcW w:w="557" w:type="dxa"/>
            <w:vAlign w:val="center"/>
          </w:tcPr>
          <w:p w14:paraId="2AD35954"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48</w:t>
            </w:r>
          </w:p>
        </w:tc>
        <w:tc>
          <w:tcPr>
            <w:tcW w:w="1418" w:type="dxa"/>
            <w:shd w:val="clear" w:color="auto" w:fill="auto"/>
            <w:vAlign w:val="center"/>
          </w:tcPr>
          <w:p w14:paraId="0916AA7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Richardson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{"citationItems":[{"id":"ITEM-1","itemData":{"DOI":"10.1007/s10897-017-0152-1","ISSN":"15733599","abstract":"Catecholaminergic polymorphic ventricular tachycardia (CPVT) is a rare inherited arrhythmogenic disease with a high risk of sudden cardiac death. The impact on health-related quality of life (HR-QoL) and psychosocial outcomes is not known. We sought to provide the first description of HR-QoL and psychosocial wellbeing of adults with CPVT, parents of affected children and at-risk relatives. Participants were recruited through the Australian Genetic Heart Disease Registry and invited to complete a cross-sectional survey comprising a number of validated scales and open-ended questions. Thirty-five participants completed surveys (response rate 65%), including 19 with CPVT, 10 unaffected parents of a child with CPVT, and 7 at-risk relatives (one participant considered patient and parent). Young patients &lt;40 years were significantly more likely to report anxiety (p = 0.04), depression (p = 0.03) and posttraumatic stress symptoms (p = 0.02) compared to older CPVT patients. Further, young patients with an implantable cardioverter defibrillator (ICD) reported significantly worse device-related distress (p = 0.04) and shock anxiety (p = 0.003). Patients with a genetic diagnosis had worse psychological adaptation than those patients without a gene result. Parents perceived their affected children to have poor quality of life across all subdomains compared to healthy age-matched children, however quality of life of parents and at-risk relatives was comparable to population norms. Ongoing psychosocial care is required for young people with CPVT. Those with an ICD and/or undergoing genetic testing may require additional support. The challenges of CPVT management should extend beyond the clinical and genetic aspects of care to incorporate greater psychosocial support, and further reinforces the need for a multidisciplinary approach to care.","author":[{"dropping-particle":"","family":"Richardson","given":"Ebony","non-dropping-particle":"","parse-names":false,"suffix":""},{"dropping-particle":"","family":"Spinks","given":"Catherine","non-dropping-particle":"","parse-names":false,"suffix":""},{"dropping-particle":"","family":"Davis","given":"Andrew","non-dropping-particle":"","parse-names":false,"suffix":""},{"dropping-particle":"","family":"Turner","given":"Christian","non-dropping-particle":"","parse-names":false,"suffix":""},{"dropping-particle":"","family":"Atherton","given":"John","non-dropping-particle":"","parse-names":false,"suffix":""},{"dropping-particle":"","family":"McGaughran","given":"Julie","non-dropping-particle":"","parse-names":false,"suffix":""},{"dropping-particle":"","family":"Semsarian","given":"Christopher","non-dropping-particle":"","parse-names":false,"suffix":""},{"dropping-particle":"","family":"Ingles","given":"Jodie","non-dropping-particle":"","parse-names":false,"suffix":""}],"container-title":"Journal of Genetic Counseling","id":"ITEM-1","issue":"3","issued":{"date-parts":[["2018"]]},"title":"Psychosocial Implications of Living with Catecholaminergic Polymorphic Ventricular Tachycardia in Adulthood","type":"article-journal","volume":"27"},"uris":["http://www.mendeley.com/documents/?uuid=a9ae103b-d4b0-3a05-b7e1-2e571d406b9b"]}],"mendeley":{"formattedCitation":"[48]","plainTextFormattedCitation":"[48]","previouslyFormattedCitation":"[48]"},"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[48]</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4596142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Genet Couns</w:t>
            </w:r>
          </w:p>
        </w:tc>
        <w:tc>
          <w:tcPr>
            <w:tcW w:w="1711" w:type="dxa"/>
            <w:shd w:val="clear" w:color="auto" w:fill="auto"/>
            <w:vAlign w:val="center"/>
          </w:tcPr>
          <w:p w14:paraId="2990319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Families)</w:t>
            </w:r>
          </w:p>
        </w:tc>
        <w:tc>
          <w:tcPr>
            <w:tcW w:w="1984" w:type="dxa"/>
            <w:vAlign w:val="center"/>
          </w:tcPr>
          <w:p w14:paraId="1BCAB59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Oceania (Australia)</w:t>
            </w:r>
          </w:p>
        </w:tc>
        <w:tc>
          <w:tcPr>
            <w:tcW w:w="1843" w:type="dxa"/>
            <w:shd w:val="clear" w:color="auto" w:fill="auto"/>
            <w:vAlign w:val="center"/>
          </w:tcPr>
          <w:p w14:paraId="4AA5058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Catecholaminergic polymorphic ventricular tachycardia (BC65.5)</w:t>
            </w:r>
          </w:p>
        </w:tc>
        <w:tc>
          <w:tcPr>
            <w:tcW w:w="1559" w:type="dxa"/>
            <w:shd w:val="clear" w:color="auto" w:fill="auto"/>
            <w:vAlign w:val="center"/>
          </w:tcPr>
          <w:p w14:paraId="37D1AAD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(psychosocial outcomes, QoL)</w:t>
            </w:r>
          </w:p>
        </w:tc>
        <w:tc>
          <w:tcPr>
            <w:tcW w:w="1418" w:type="dxa"/>
            <w:shd w:val="clear" w:color="auto" w:fill="auto"/>
            <w:vAlign w:val="center"/>
          </w:tcPr>
          <w:p w14:paraId="0193C6B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(Open-ended questionnaire)</w:t>
            </w:r>
          </w:p>
        </w:tc>
        <w:tc>
          <w:tcPr>
            <w:tcW w:w="709" w:type="dxa"/>
            <w:shd w:val="clear" w:color="auto" w:fill="auto"/>
            <w:vAlign w:val="center"/>
          </w:tcPr>
          <w:p w14:paraId="1D39F37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358E4198" w14:textId="77777777" w:rsidTr="004C3C90">
        <w:trPr>
          <w:trHeight w:val="20"/>
        </w:trPr>
        <w:tc>
          <w:tcPr>
            <w:tcW w:w="557" w:type="dxa"/>
            <w:vAlign w:val="center"/>
          </w:tcPr>
          <w:p w14:paraId="1C5806F1"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49</w:t>
            </w:r>
          </w:p>
        </w:tc>
        <w:tc>
          <w:tcPr>
            <w:tcW w:w="1418" w:type="dxa"/>
            <w:shd w:val="clear" w:color="auto" w:fill="auto"/>
            <w:vAlign w:val="center"/>
          </w:tcPr>
          <w:p w14:paraId="780F092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Kazimierska-Zając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{"citationItems":[{"id":"ITEM-1","itemData":{"DOI":"10.15225/pnn.2018.7.1.2","ISSN":"20848021","abstract":"Introduction. Spinocerebellar ataxias (SCA) belong to a group of rare genetic diseases. They are characterized by the multiplicity of symptoms, of which the most characteristic is limb ataxia and dysarthria. The disease progresses over time, leading to severe disability. So far an effective method of treating SCA has not been invented. Aim. The main purpose was to analyze the quality of life and the level of disease acceptance in patients with SCA. Material and Methods. The study included 70 patients with the average duration of SCA of approximately 13 years. The age of patients ranged from 26 to 81 years (mean 50±10 years). All participants were examined using the Acceptance Illness Scale (AIS) and the Health Survey (SF-36). Statistically significant differences in the degree of disease acceptance were observed in patients who differed in terms of education level and gender. Results. In the physical sphere, women assessed their life quality more favorably than men (p=0.040), however, men declared better scores in bodily pain (p=0.017). It was observed that, in the sphere of mental health, men were more peaceful, and women were believed in deterioration of their health condition (p=0.039). Patients with SCA exhibit a very low level of both, disease acceptance and the quality of life. Women worse than men accept the disease, and they feel useless more often. The higher level of disease acceptance is shown by patients with higher education than those with vocational education. An interpersonal relationships get worse, especially among men, however, women often feel useless. Patients with SCA rate their life quality very low. Conclusions. It is necessary to educate patients, their caregivers, medical staff in order to develop desirable health behaviors. Understanding this rare disease will help improve the quality of life and therefore will improve the level of disease acceptance.","author":[{"dropping-particle":"","family":"Kazimierska-Zając","given":"Magdalena","non-dropping-particle":"","parse-names":false,"suffix":""},{"dropping-particle":"","family":"Dymarek","given":"Robert","non-dropping-particle":"","parse-names":false,"suffix":""},{"dropping-particle":"","family":"Rosińczuk","given":"Joanna","non-dropping-particle":"","parse-names":false,"suffix":""}],"container-title":"The Journal of Neurological and Neurosurgical Nursing","id":"ITEM-1","issue":"1","issued":{"date-parts":[["2018"]]},"page":"12-21","title":"Quality of Life and the Degree of Disease Acceptance In Patients with Spinocerebellar Ataxia","type":"article-journal","volume":"7"},"uris":["http://www.mendeley.com/documents/?uuid=c6b5526b-f70b-3893-9df3-67a166957943"]}],"mendeley":{"formattedCitation":"[49]","plainTextFormattedCitation":"[49]","previouslyFormattedCitation":"[49]"},"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[49]</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73DE8FC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Neurol Neurosurg Nurs</w:t>
            </w:r>
          </w:p>
        </w:tc>
        <w:tc>
          <w:tcPr>
            <w:tcW w:w="1711" w:type="dxa"/>
            <w:shd w:val="clear" w:color="auto" w:fill="auto"/>
            <w:vAlign w:val="center"/>
          </w:tcPr>
          <w:p w14:paraId="3C3DCBA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29BBDA0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(Poland)</w:t>
            </w:r>
          </w:p>
        </w:tc>
        <w:tc>
          <w:tcPr>
            <w:tcW w:w="1843" w:type="dxa"/>
            <w:shd w:val="clear" w:color="auto" w:fill="auto"/>
            <w:vAlign w:val="center"/>
          </w:tcPr>
          <w:p w14:paraId="26A930F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Spinocerebellar ataxia (8A03.16)</w:t>
            </w:r>
          </w:p>
        </w:tc>
        <w:tc>
          <w:tcPr>
            <w:tcW w:w="1559" w:type="dxa"/>
            <w:shd w:val="clear" w:color="auto" w:fill="auto"/>
            <w:vAlign w:val="center"/>
          </w:tcPr>
          <w:p w14:paraId="43C934F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(QoL)</w:t>
            </w:r>
          </w:p>
        </w:tc>
        <w:tc>
          <w:tcPr>
            <w:tcW w:w="1418" w:type="dxa"/>
            <w:shd w:val="clear" w:color="auto" w:fill="auto"/>
            <w:vAlign w:val="center"/>
          </w:tcPr>
          <w:p w14:paraId="19011C5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(SF-36 + AIS)</w:t>
            </w:r>
          </w:p>
        </w:tc>
        <w:tc>
          <w:tcPr>
            <w:tcW w:w="709" w:type="dxa"/>
            <w:shd w:val="clear" w:color="auto" w:fill="auto"/>
            <w:vAlign w:val="center"/>
          </w:tcPr>
          <w:p w14:paraId="5AA98CE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7F34A202" w14:textId="77777777" w:rsidTr="004C3C90">
        <w:trPr>
          <w:trHeight w:val="20"/>
        </w:trPr>
        <w:tc>
          <w:tcPr>
            <w:tcW w:w="557" w:type="dxa"/>
            <w:vAlign w:val="center"/>
          </w:tcPr>
          <w:p w14:paraId="2D77445A"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50</w:t>
            </w:r>
          </w:p>
        </w:tc>
        <w:tc>
          <w:tcPr>
            <w:tcW w:w="1418" w:type="dxa"/>
            <w:shd w:val="clear" w:color="auto" w:fill="auto"/>
            <w:vAlign w:val="center"/>
          </w:tcPr>
          <w:p w14:paraId="53860C4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Cockerell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{"citationItems":[{"id":"ITEM-1","itemData":{"DOI":"10.1186/s12882-018-0835-3","ISSN":"14712369","abstract":"Background: Renal angiomyolipomas (AMLs) are a major clinical feature in patients with tuberous sclerosis complex (TSC). Spontaneous bleeding can be life threatening, and appropriate information and proper surveillance and management are important to limit morbidity and mortality. Because TSC is a rare disease, patients are at risk of suboptimal medical management. Our aim was to investigate patients' and parents' knowledge about renal angiomyolipomas (AMLs) in Tuberous Sclerosis Complex (TSC) and to identify current routines for renal follow-up. Methods: A questionnaire survey was initiated by the French Reference Centre on TSC. It was distributed in France through university hospitals and the patients' association (2009-2011), and to patients registered by the Norwegian National Centre for Rare Epilepsy-Related Disorders (2013-2014). Contingency tables with Chi-Square test for independence (with Yates Continuity Correction) and Pearson-Chi-Square value were used for correlation statistics. Results: We included 357 patients (France, n=257; Norway n=100). Most participants knew that TSC is associated with AMLs. However, 42 % did not know about the risk of AMLrelated bleeding, and 37 % had been informed about the risk of bleeding only after the age of 15 years. Furthermore, 14 % did not know whether they themselves or their child had AMLs. Patients had less knowledge than parents. Medical consultations and patient associations were the main sources of information. Among 30 % of patients, renal imaging was not received at all, or not conducted every 1-3 years, as recommended by current guidelines. Regular imaging was more frequent in patients with AMLs &lt; 15 years, than in patients with AMLs ≥ 15 years. Ultrasound was the most frequently used imaging modality. Conclusions: Knowledge of renal AML in TSC patients and their parents was lower than expected, and follow-up by renal imaging was suboptimal for a substantial proportion of patients. Patients and parents should be informed about the risk and symptoms of renal bleeding, at the latest when the patient is 15 years. Monitoring the growth of AMLs should be standardized to comply with guidelines. Transition between adolescence and adulthood is a high-risk period and ensuring appropriate follow-up at this time is particularly important.","author":[{"dropping-particle":"","family":"Cockerell","given":"I.","non-dropping-particle":"","parse-names":false,"suffix":""},{"dropping-particle":"","family":"Guenin","given":"M.","non-dropping-particle":"","parse-names":false,"suffix":""},{"dropping-particle":"","family":"Heimdal","given":"K.","non-dropping-particle":"","parse-names":false,"suffix":""},{"dropping-particle":"","family":"Bjørnvold","given":"M.","non-dropping-particle":"","parse-names":false,"suffix":""},{"dropping-particle":"","family":"Selmer","given":"K. K.","non-dropping-particle":"","parse-names":false,"suffix":""},{"dropping-particle":"","family":"Rouvière","given":"O.","non-dropping-particle":"","parse-names":false,"suffix":""}],"container-title":"BMC Nephrology","id":"ITEM-1","issue":"1","issued":{"date-parts":[["2018"]]},"title":"Renal manifestations of tuberous sclerosis complex: Patients' and parents' knowledge and routines for renal follow-up - A questionnaire study","type":"article-journal","volume":"19"},"uris":["http://www.mendeley.com/documents/?uuid=c8b7d5d4-5eae-3b38-b379-2ddddffd7cde"]}],"mendeley":{"formattedCitation":"[50]","plainTextFormattedCitation":"[50]","previouslyFormattedCitation":"[50]"},"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[50]</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5891187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BMC Nephrol</w:t>
            </w:r>
          </w:p>
        </w:tc>
        <w:tc>
          <w:tcPr>
            <w:tcW w:w="1711" w:type="dxa"/>
            <w:shd w:val="clear" w:color="auto" w:fill="auto"/>
            <w:vAlign w:val="center"/>
          </w:tcPr>
          <w:p w14:paraId="51647AE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Families)</w:t>
            </w:r>
          </w:p>
        </w:tc>
        <w:tc>
          <w:tcPr>
            <w:tcW w:w="1984" w:type="dxa"/>
            <w:vAlign w:val="center"/>
          </w:tcPr>
          <w:p w14:paraId="16CCACF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(France, Norway)</w:t>
            </w:r>
          </w:p>
        </w:tc>
        <w:tc>
          <w:tcPr>
            <w:tcW w:w="1843" w:type="dxa"/>
            <w:shd w:val="clear" w:color="auto" w:fill="auto"/>
            <w:vAlign w:val="center"/>
          </w:tcPr>
          <w:p w14:paraId="4513610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Tuberous sclerosis (LD2D.2)</w:t>
            </w:r>
          </w:p>
        </w:tc>
        <w:tc>
          <w:tcPr>
            <w:tcW w:w="1559" w:type="dxa"/>
            <w:shd w:val="clear" w:color="auto" w:fill="auto"/>
            <w:vAlign w:val="center"/>
          </w:tcPr>
          <w:p w14:paraId="137E54B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Knowledge</w:t>
            </w:r>
          </w:p>
        </w:tc>
        <w:tc>
          <w:tcPr>
            <w:tcW w:w="1418" w:type="dxa"/>
            <w:shd w:val="clear" w:color="auto" w:fill="auto"/>
            <w:vAlign w:val="center"/>
          </w:tcPr>
          <w:p w14:paraId="7083A32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0517DAE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17D487B2" w14:textId="77777777" w:rsidTr="004C3C90">
        <w:trPr>
          <w:trHeight w:val="20"/>
        </w:trPr>
        <w:tc>
          <w:tcPr>
            <w:tcW w:w="557" w:type="dxa"/>
            <w:vAlign w:val="center"/>
          </w:tcPr>
          <w:p w14:paraId="21381061"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51</w:t>
            </w:r>
          </w:p>
        </w:tc>
        <w:tc>
          <w:tcPr>
            <w:tcW w:w="1418" w:type="dxa"/>
            <w:shd w:val="clear" w:color="auto" w:fill="auto"/>
            <w:vAlign w:val="center"/>
          </w:tcPr>
          <w:p w14:paraId="7ED9113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Adachi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{"citationItems":[{"id":"ITEM-1","itemData":{"DOI":"10.1186/s13023-018-0943-y","ISSN":"17501172","abstract":"Background: There is now an international partnership to establish global programs for patients with rare and undiagnosed diseases, involving interdisciplinary expert panels and phenotype-driven genetic analyses utilizing next-generation sequencing and analytics. Whereas it is crucial to have data such as the actual number of undiagnosed patients, to help inform the implementation plan with such programs, there have been no systematic studies to quantitate the numbers of patients principally because of the inherent difficulty in most health systems to identify patients whose condition has not yet been diagnosed and coded. Our national experience with a rare disease program, Nan-Byo which was established in 1972, and the more recently expanded Initiative on Rare and Undiagnosed Diseases (IRUD), provided a unique opportunity to design a cross-sectional study to ascertain the undiagnosed patients in Japan based on the IRUD referral criteria. Results: Two rounds of online surveys were performed: one survey targeting physicians affiliated with general hospitals (GH) and family clinics (FC) (the response rate: 30.6% (242/792)) and one nationwide survey targeting university hospitals (UH) in Japan (47.1% (839/1781)). A high percentage of doctors needing IRUD was seen in pediatrics at GH, FC, while there was a clear demand for IRUD in most departments at UH. We calculated the number of undiagnosed patients in Japan, as the \"percentage of doctors needing IRUD\" × \"number of patients who would be referred to IRUD per doctor needing IRUD (cases/person)\" × \"total number of doctors in the relevant facilities in Japan (persons)\", resulting in 3681 cases in pediatrics/pediatric surgery and 33,703 cases in other departments, for a total of 37,384 cases. Conclusions: Our study revealed the extant demand for IRUD in most departments and 37,000+ potential patients with undiagnosed diseases in the Japanese health system. These data inform the establishment of an equitable, sustainable, efficient and effective outpatient-based IRUD. These findings would serve as a valuable reference for undiagnosed diseases programs in different international jurisdictions and for countries and regions who also share vision(s) for societal implementation that help to advance international efforts to support patients with rare diseases who are direly waiting for diagnosis, subsequent treatment and care.","author":[{"dropping-particle":"","family":"Adachi","given":"Takeya","non-dropping-particle":"","parse-names":false,"suffix":""},{"dropping-particle":"","family":"Imanishi","given":"Noriaki","non-dropping-particle":"","parse-names":false,"suffix":""},{"dropping-particle":"","family":"Ogawa","given":"Yasushi","non-dropping-particle":"","parse-names":false,"suffix":""},{"dropping-particle":"","family":"Furusawa","given":"Yoshihiko","non-dropping-particle":"","parse-names":false,"suffix":""},{"dropping-particle":"","family":"Izumida","given":"Yoshihiko","non-dropping-particle":"","parse-names":false,"suffix":""},{"dropping-particle":"","family":"Izumi","given":"Yoko","non-dropping-particle":"","parse-names":false,"suffix":""},{"dropping-particle":"","family":"Suematsu","given":"Makoto","non-dropping-particle":"","parse-names":false,"suffix":""}],"container-title":"Orphanet Journal of Rare Diseases","id":"ITEM-1","issue":"1","issued":{"date-parts":[["2018"]]},"title":"Survey on patients with undiagnosed diseases in Japan: Potential patient numbers benefiting from Japan's initiative on rare and undiagnosed diseases (IRUD)","type":"article-journal","volume":"13"},"uris":["http://www.mendeley.com/documents/?uuid=53eb7360-9795-38fc-b87b-6cacefaf991c"]}],"mendeley":{"formattedCitation":"[51]","plainTextFormattedCitation":"[51]","previouslyFormattedCitation":"[51]"},"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[51]</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6876126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14AC752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(GPs) + Group 3 (University hospitals account executives)</w:t>
            </w:r>
          </w:p>
        </w:tc>
        <w:tc>
          <w:tcPr>
            <w:tcW w:w="1984" w:type="dxa"/>
            <w:vAlign w:val="center"/>
          </w:tcPr>
          <w:p w14:paraId="3716FF1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Asia (Japan)</w:t>
            </w:r>
          </w:p>
        </w:tc>
        <w:tc>
          <w:tcPr>
            <w:tcW w:w="1843" w:type="dxa"/>
            <w:shd w:val="clear" w:color="auto" w:fill="auto"/>
            <w:vAlign w:val="center"/>
          </w:tcPr>
          <w:p w14:paraId="08449F0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4B956D3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Prevalence</w:t>
            </w:r>
          </w:p>
        </w:tc>
        <w:tc>
          <w:tcPr>
            <w:tcW w:w="1418" w:type="dxa"/>
            <w:shd w:val="clear" w:color="auto" w:fill="auto"/>
            <w:vAlign w:val="center"/>
          </w:tcPr>
          <w:p w14:paraId="3E8BAE1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0FA3BE9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07426568" w14:textId="77777777" w:rsidTr="004C3C90">
        <w:trPr>
          <w:trHeight w:val="20"/>
        </w:trPr>
        <w:tc>
          <w:tcPr>
            <w:tcW w:w="557" w:type="dxa"/>
            <w:vAlign w:val="center"/>
          </w:tcPr>
          <w:p w14:paraId="4F667867"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lastRenderedPageBreak/>
              <w:t>52</w:t>
            </w:r>
          </w:p>
        </w:tc>
        <w:tc>
          <w:tcPr>
            <w:tcW w:w="1418" w:type="dxa"/>
            <w:shd w:val="clear" w:color="auto" w:fill="auto"/>
            <w:vAlign w:val="center"/>
          </w:tcPr>
          <w:p w14:paraId="2925DED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Ivleva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{"citationItems":[{"id":"ITEM-1","itemData":{"DOI":"10.1007/8904_2017_84","ISSN":"21928312","abstract":"Fabry disease, a lysosomal storage disorder, is a rare inborn error of metabolism caused by deficiency of the enzyme alpha galactosidase A and resulting accumulation of globotriaosylceramide. The symptoms of Fabry disease are heterogeneous including renal failure, cardiac hypertrophy, and stroke and may not be well recognized by non-specialist physicians. Patients with milder, later onset of disease often have a delay in diagnosis. Fabry patients may suffer significant neuropathic pain in the extremities (acroparasthesia) but the degree to which musculoskeletal symptoms contribute to total pain and disability is unknown. Here, we present a questionnaire study focusing on joint manifestations and their impact on daily life of patients with Fabry disease. Seventy-seven patients with Fabry disease and age-matched healthy controls (49 female and 28 male) took part in a survey focused on joint problems, pain, disability, and quality of life. Joint pain and swelling were reported by 43% of male and 39% of female Fabry patients. Analysis by age group showed higher prevalence of joint problems and decreased quality of life, in terms of mobility, activity, pain, and anxiety, in Fabry patients younger than 50 years compared to healthy controls. Female Fabry patients had higher fatigue scores compared to control subjects. Fabry patients reported problems with vigorous daily activities and gripping. Musculoskeletal symptoms are common in Fabry patients and contribute to overall pain and decreased quality of life. Awareness of Fabry disease by physicians may be raised to ensure timely diagnosis of this rare disease.","author":[{"dropping-particle":"","family":"Ivleva","given":"Alexandra","non-dropping-particle":"","parse-names":false,"suffix":""},{"dropping-particle":"","family":"Weith","given":"Ekaterina","non-dropping-particle":"","parse-names":false,"suffix":""},{"dropping-particle":"","family":"Mehta","given":"Atul","non-dropping-particle":"","parse-names":false,"suffix":""},{"dropping-particle":"","family":"Hughes","given":"Derralynn A.","non-dropping-particle":"","parse-names":false,"suffix":""}],"container-title":"JIMD Reports","id":"ITEM-1","issued":{"date-parts":[["2018"]]},"title":"The influence of patient-reported joint manifestations on quality of life in fabry patients","type":"chapter","volume":"41"},"uris":["http://www.mendeley.com/documents/?uuid=912d3fca-bf12-33a1-8f85-34481d397aa4"]}],"mendeley":{"formattedCitation":"[52]","plainTextFormattedCitation":"[52]","previouslyFormattedCitation":"[52]"},"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[52]</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2CE376C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JIMD Rep</w:t>
            </w:r>
          </w:p>
        </w:tc>
        <w:tc>
          <w:tcPr>
            <w:tcW w:w="1711" w:type="dxa"/>
            <w:shd w:val="clear" w:color="auto" w:fill="auto"/>
            <w:vAlign w:val="center"/>
          </w:tcPr>
          <w:p w14:paraId="2D50E73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13C22B6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(UK)</w:t>
            </w:r>
          </w:p>
        </w:tc>
        <w:tc>
          <w:tcPr>
            <w:tcW w:w="1843" w:type="dxa"/>
            <w:shd w:val="clear" w:color="auto" w:fill="auto"/>
            <w:vAlign w:val="center"/>
          </w:tcPr>
          <w:p w14:paraId="1B07D7C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Fabry’s(-Anderson) disease (5C56.01)</w:t>
            </w:r>
          </w:p>
        </w:tc>
        <w:tc>
          <w:tcPr>
            <w:tcW w:w="1559" w:type="dxa"/>
            <w:shd w:val="clear" w:color="auto" w:fill="auto"/>
            <w:vAlign w:val="center"/>
          </w:tcPr>
          <w:p w14:paraId="16ED9A1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(QoL)</w:t>
            </w:r>
          </w:p>
        </w:tc>
        <w:tc>
          <w:tcPr>
            <w:tcW w:w="1418" w:type="dxa"/>
            <w:shd w:val="clear" w:color="auto" w:fill="auto"/>
            <w:vAlign w:val="center"/>
          </w:tcPr>
          <w:p w14:paraId="343DA2C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3B99684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5228EAC1" w14:textId="77777777" w:rsidTr="004C3C90">
        <w:trPr>
          <w:trHeight w:val="20"/>
        </w:trPr>
        <w:tc>
          <w:tcPr>
            <w:tcW w:w="557" w:type="dxa"/>
            <w:vAlign w:val="center"/>
          </w:tcPr>
          <w:p w14:paraId="1938F2B1"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53</w:t>
            </w:r>
          </w:p>
        </w:tc>
        <w:tc>
          <w:tcPr>
            <w:tcW w:w="1418" w:type="dxa"/>
            <w:shd w:val="clear" w:color="auto" w:fill="auto"/>
            <w:vAlign w:val="center"/>
          </w:tcPr>
          <w:p w14:paraId="38C334B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Szczepura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{"citationItems":[{"id":"ITEM-1","itemData":{"DOI":"10.1111/cge.13207","ISSN":"13990004","abstract":"The latest United Kingdom (UK) strategy for rare diseases emphasises the need to empower affected populations to improve diagnosis, intervention, and coordination of care. Families who have a child with a rare chromosome disorder (RCD) are a challenging group to include. We report the findings of 2 large-scale surveys, undertaken by the UK RCD Support Group Unique, of these families' experiences over a 10-year period. Seven stages of the patient journey were examined. From pre-testing, through diagnosis, genetics consultation, clinical follow-up and peer support. Overall, 1158 families replied; 36.4% response rate (2003) and 53.6% (2013). Analysis of responses identifies significant differences (P &lt;.001) over time with a decrease in results reported face to face (76%-62%), doubling by telephone (12%-22%), improved explanation of chromosome disorder (57%-75%), and increased signposting to peer support group (34%-62%). However, conduct of the consultation raises a number of important questions. Overall, 28 aspects of the patient journey are recognised as requiring improvement; only 12/28 are currently incorporated in UK service specifications. Involvement of RCD families has identified key service improvements. This approach can empower those affected by such extremely rare disorders, and also enable professionals to design improved services in partnership with “expert families.” Further surveys are planned.","author":[{"dropping-particle":"","family":"Szczepura","given":"A.","non-dropping-particle":"","parse-names":false,"suffix":""},{"dropping-particle":"","family":"Wynn","given":"S.","non-dropping-particle":"","parse-names":false,"suffix":""},{"dropping-particle":"","family":"Searle","given":"B.","non-dropping-particle":"","parse-names":false,"suffix":""},{"dropping-particle":"","family":"Khan","given":"A. J.","non-dropping-particle":"","parse-names":false,"suffix":""},{"dropping-particle":"","family":"Palmer","given":"T.","non-dropping-particle":"","parse-names":false,"suffix":""},{"dropping-particle":"","family":"Biggerstaff","given":"D.","non-dropping-particle":"","parse-names":false,"suffix":""},{"dropping-particle":"","family":"Elliott","given":"J.","non-dropping-particle":"","parse-names":false,"suffix":""},{"dropping-particle":"","family":"Hultén","given":"M. A.","non-dropping-particle":"","parse-names":false,"suffix":""}],"container-title":"Clinical Genetics","id":"ITEM-1","issue":"5","issued":{"date-parts":[["2018"]]},"title":"UK families with children with rare chromosome disorders: Changing experiences of diagnosis and counselling (2003-2013)","type":"article-journal","volume":"93"},"uris":["http://www.mendeley.com/documents/?uuid=83299b98-d25e-3aa9-b54c-4abfbea0547a"]}],"mendeley":{"formattedCitation":"[53]","plainTextFormattedCitation":"[53]","previouslyFormattedCitation":"[53]"},"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[53]</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33C9FDB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Clin Genet</w:t>
            </w:r>
          </w:p>
        </w:tc>
        <w:tc>
          <w:tcPr>
            <w:tcW w:w="1711" w:type="dxa"/>
            <w:shd w:val="clear" w:color="auto" w:fill="auto"/>
            <w:vAlign w:val="center"/>
          </w:tcPr>
          <w:p w14:paraId="67180A6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(Families)</w:t>
            </w:r>
          </w:p>
        </w:tc>
        <w:tc>
          <w:tcPr>
            <w:tcW w:w="1984" w:type="dxa"/>
            <w:vAlign w:val="center"/>
          </w:tcPr>
          <w:p w14:paraId="2054345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(UK)</w:t>
            </w:r>
          </w:p>
        </w:tc>
        <w:tc>
          <w:tcPr>
            <w:tcW w:w="1843" w:type="dxa"/>
            <w:shd w:val="clear" w:color="auto" w:fill="auto"/>
            <w:vAlign w:val="center"/>
          </w:tcPr>
          <w:p w14:paraId="5967B68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7AD3491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(diagnosis, care, counselling)</w:t>
            </w:r>
          </w:p>
        </w:tc>
        <w:tc>
          <w:tcPr>
            <w:tcW w:w="1418" w:type="dxa"/>
            <w:shd w:val="clear" w:color="auto" w:fill="auto"/>
            <w:vAlign w:val="center"/>
          </w:tcPr>
          <w:p w14:paraId="16A7D99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40532E6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7797DF74" w14:textId="77777777" w:rsidTr="004C3C90">
        <w:trPr>
          <w:trHeight w:val="20"/>
        </w:trPr>
        <w:tc>
          <w:tcPr>
            <w:tcW w:w="557" w:type="dxa"/>
            <w:vAlign w:val="center"/>
          </w:tcPr>
          <w:p w14:paraId="06C2E22E"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54</w:t>
            </w:r>
          </w:p>
        </w:tc>
        <w:tc>
          <w:tcPr>
            <w:tcW w:w="1418" w:type="dxa"/>
            <w:shd w:val="clear" w:color="auto" w:fill="auto"/>
            <w:vAlign w:val="center"/>
          </w:tcPr>
          <w:p w14:paraId="7D6BC00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Xun et al (2018)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{"citationItems":[{"id":"ITEM-1","itemData":{"DOI":"10.1080/17538068.2018.1453434","ISSN":"17538076","abstract":"Introduction: People with rare diseases have difficulty accessing high quality information about their conditions, which impedes their ability to be engaged patients. Federal agencies such as the National Institutes of Health (NIH) have created websites to disseminate disease-related information. This study explored how people with a rare disease–Alpha-1 Antitrypsin Deficiency (AATD)–evaluated the NIH's website on AATD and how participants’ evaluation, genetic determinism, and spirituality predicted their intentions to share the website with others. Method: Participants (N = 153) living with AATD made comments about the NIH's website on the disease, and completed a survey about their perceptions of the information, individual characteristics, and intentions to share the NIH website. Results: Qualitative analyses highlighted that participants wanted to access to more complete, high quality, and interesting information on AATD on a more user-friendly website. Quantitative analyses showed that participants were more likely to share the website if they judged the information as higher quality and more interesting, with a range of such responses appearing in relation to the same website, making it evident that the meaning of quality and interest varies. Participants with severe deficiency perceived the information as lower quality and less interesting than participants with mild deficiency. Participants with stronger genetic determinism beliefs and spirituality were more likely to share the NIH's website. Conclusions: We discuss how federal agencies can craft messages that assist people with rare diseases in learning more about their conditions and dealing with the burden of sharing high quality information with providers and the public.","author":[{"dropping-particle":"","family":"Zhu","given":"Xun","non-dropping-particle":"","parse-names":false,"suffix":""},{"dropping-particle":"","family":"Smith","given":"Rachel A.","non-dropping-particle":"","parse-names":false,"suffix":""},{"dropping-particle":"","family":"Parrott","given":"Roxanne L.","non-dropping-particle":"","parse-names":false,"suffix":""},{"dropping-particle":"","family":"Worthington","given":"Amber K.","non-dropping-particle":"","parse-names":false,"suffix":""}],"container-title":"Journal of Communication in Healthcare","id":"ITEM-1","issue":"2","issued":{"date-parts":[["2018"]]},"title":"Understanding information sharing about rare diseases: an evaluation of the NIH's website on AATD","type":"article-journal","volume":"11"},"uris":["http://www.mendeley.com/documents/?uuid=2f622e11-8856-3435-a509-2e864715472d"]}],"mendeley":{"formattedCitation":"[54]","plainTextFormattedCitation":"[54]","previouslyFormattedCitation":"[54]"},"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[54]</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29B3753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Commun Healthc</w:t>
            </w:r>
          </w:p>
        </w:tc>
        <w:tc>
          <w:tcPr>
            <w:tcW w:w="1711" w:type="dxa"/>
            <w:shd w:val="clear" w:color="auto" w:fill="auto"/>
            <w:vAlign w:val="center"/>
          </w:tcPr>
          <w:p w14:paraId="64A36A6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6C360B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7074250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α-1-Antitrypsin deficiency (5C5A)</w:t>
            </w:r>
          </w:p>
        </w:tc>
        <w:tc>
          <w:tcPr>
            <w:tcW w:w="1559" w:type="dxa"/>
            <w:shd w:val="clear" w:color="auto" w:fill="auto"/>
            <w:vAlign w:val="center"/>
          </w:tcPr>
          <w:p w14:paraId="32BDD56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(access to information)</w:t>
            </w:r>
          </w:p>
        </w:tc>
        <w:tc>
          <w:tcPr>
            <w:tcW w:w="1418" w:type="dxa"/>
            <w:shd w:val="clear" w:color="auto" w:fill="auto"/>
            <w:vAlign w:val="center"/>
          </w:tcPr>
          <w:p w14:paraId="37B102D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(Open-ended questionnaire)</w:t>
            </w:r>
          </w:p>
        </w:tc>
        <w:tc>
          <w:tcPr>
            <w:tcW w:w="709" w:type="dxa"/>
            <w:shd w:val="clear" w:color="auto" w:fill="auto"/>
            <w:vAlign w:val="center"/>
          </w:tcPr>
          <w:p w14:paraId="1CC61EC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5BD35D9F" w14:textId="77777777" w:rsidTr="004C3C90">
        <w:trPr>
          <w:trHeight w:val="20"/>
        </w:trPr>
        <w:tc>
          <w:tcPr>
            <w:tcW w:w="557" w:type="dxa"/>
            <w:vAlign w:val="center"/>
          </w:tcPr>
          <w:p w14:paraId="18646E90"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55</w:t>
            </w:r>
          </w:p>
        </w:tc>
        <w:tc>
          <w:tcPr>
            <w:tcW w:w="1418" w:type="dxa"/>
            <w:shd w:val="clear" w:color="auto" w:fill="auto"/>
            <w:vAlign w:val="center"/>
          </w:tcPr>
          <w:p w14:paraId="5FF242E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Zurynski et al (2017)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{"citationItems":[{"id":"ITEM-1","itemData":{"DOI":"10.1186/1750-1172-8-22","ISSN":"17501172","abstract":"Background: Families of children living with a rare disease report significant health and social burden, however, few studies have systematically examined family needs by using validated tools to assess the scope and extent of this burden. Our aim was to develop a comprehensive survey to assess health, psychosocial and financial impacts on Australian families caring for a child with a rare disease. Methods. We developed a self-administered survey for parents/carers incorporating pre-validated tools. The survey included questions about experiences of diagnosis, health services use and needs, needs for peer and financial supports. Forty-seven families attending the state-wide Genetic Metabolic Disorders Service at the Childrens Hospital at Westmead, Sydney were invited to participate. Results: Of 46 families who received the survey, 30 (65%) completed it. Most (93%) found the survey acceptable and relevant (91%). Patients were 1-17 years old, 14 (47%) male, and 12 (40%) non-Caucasian. Eighteen (60%) had a lysosomal storage disease and 12(40%) had a mitochondrial disorder. Eleven (38%) saw 3-5 doctors and four (14%) saw 6-10 doctors before receiving the correct diagnosis; 43% felt diagnosis was delayed. Four (13%) were dissatisfied with the way diagnosis was given, due to insensitive style of communication, inadequate information and psychological support. Psychosocial impact was moderate to high for 90% of families and the level of impact was not dependent on the level of health functioning of the child. Twenty-six (87%) wanted, but only 13(43%) received, information about peer-support groups. The 30 children accounted for 168 visits to general practitioners and 260 visits to specialist doctors; 21 (70%) children had at least one admission to hospital, including one who had 16 admissions in the previous 12 months. Most families (77%) received financial assistance but 52% believed this was insufficient. Families benefited from a specialised multi-disciplinary clinic but called for patient-held electronic medical records. Conclusions: Australian families caring for children with genetic metabolic disorders are adversely impacted by delays in diagnosis, lack of easy access to peer support groups and lack of psychological support. Further research is needed to estimate economic impact and to analyse health service delivery models for children with rare diseases in Australia. © 2013 Anderson et al; licensee BioMed Central Ltd.","author":[{"dropping-particle":"","family":"Anderson","given":"Matilda","non-dropping-particle":"","parse-names":false,"suffix":""},{"dropping-particle":"","family":"Elliott","given":"Elizabeth J.","non-dropping-particle":"","parse-names":false,"suffix":""},{"dropping-particle":"","family":"Zurynski","given":"Yvonne A.","non-dropping-particle":"","parse-names":false,"suffix":""}],"container-title":"Orphanet Journal of Rare Diseases","id":"ITEM-1","issue":"1","issued":{"date-parts":[["2013"]]},"title":"Australian families living with rare disease: Experiences of diagnosis, health services use and needs for psychosocial support","type":"article-journal","volume":"8"},"uris":["http://www.mendeley.com/documents/?uuid=e43479f1-8beb-365e-867f-aacef6c0d994"]}],"mendeley":{"formattedCitation":"[55]","plainTextFormattedCitation":"[55]","previouslyFormattedCitation":"[55]"},"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[55]</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6BFCB74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590F530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Families)</w:t>
            </w:r>
          </w:p>
        </w:tc>
        <w:tc>
          <w:tcPr>
            <w:tcW w:w="1984" w:type="dxa"/>
            <w:vAlign w:val="center"/>
          </w:tcPr>
          <w:p w14:paraId="3BF18E6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Oceania (Australia)</w:t>
            </w:r>
          </w:p>
        </w:tc>
        <w:tc>
          <w:tcPr>
            <w:tcW w:w="1843" w:type="dxa"/>
            <w:shd w:val="clear" w:color="auto" w:fill="auto"/>
            <w:vAlign w:val="center"/>
          </w:tcPr>
          <w:p w14:paraId="3CF11B9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08BBB08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(diagnosis)</w:t>
            </w:r>
          </w:p>
        </w:tc>
        <w:tc>
          <w:tcPr>
            <w:tcW w:w="1418" w:type="dxa"/>
            <w:shd w:val="clear" w:color="auto" w:fill="auto"/>
            <w:vAlign w:val="center"/>
          </w:tcPr>
          <w:p w14:paraId="23708BA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2FAB5B1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259CC8C7" w14:textId="77777777" w:rsidTr="004C3C90">
        <w:trPr>
          <w:trHeight w:val="20"/>
        </w:trPr>
        <w:tc>
          <w:tcPr>
            <w:tcW w:w="557" w:type="dxa"/>
            <w:vAlign w:val="center"/>
          </w:tcPr>
          <w:p w14:paraId="56BB80CA"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56</w:t>
            </w:r>
          </w:p>
        </w:tc>
        <w:tc>
          <w:tcPr>
            <w:tcW w:w="1418" w:type="dxa"/>
            <w:shd w:val="clear" w:color="auto" w:fill="auto"/>
            <w:vAlign w:val="center"/>
          </w:tcPr>
          <w:p w14:paraId="7248B20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Richardson et al (2017)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{"citationItems":[{"id":"ITEM-1","itemData":{"DOI":"10.1007/s41669-016-0002-3","ISSN":"25094254","abstract":"Introduction: This paper suggests and tests a reason why the public might support the funding of services for rare diseases (SRDs) when the services are effective but not cost effective, i.e. when more health could be produced by allocating funds to other services. It is postulated that the fairness of funding a service is influenced by a comparison of the average patient benefit with the average cost to those who share the cost. Methods: Survey respondents were asked to allocate a budget between cost-effective services that had a small effect upon a large number of relatively well patients and SRDs that benefited a small number of severely ill patients but were not cost effective because of their high cost. Results: Part of the budget was always allocated to the SRDs. The budget share rose with the number sharing the cost. Discussion: Sharing per se appears to characterise preferences. This has been obscured in studies that focus upon cost per patient rather than cost per person sharing the cost.","author":[{"dropping-particle":"","family":"Richardson","given":"Jeff","non-dropping-particle":"","parse-names":false,"suffix":""},{"dropping-particle":"","family":"Iezzi","given":"Angelo","non-dropping-particle":"","parse-names":false,"suffix":""},{"dropping-particle":"","family":"Chen","given":"Gang","non-dropping-particle":"","parse-names":false,"suffix":""},{"dropping-particle":"","family":"Maxwell","given":"Aimee","non-dropping-particle":"","parse-names":false,"suffix":""}],"container-title":"PharmacoEconomics - Open","id":"ITEM-1","issue":"1","issued":{"date-parts":[["2017"]]},"title":"Communal Sharing and the Provision of Low-Volume High-Cost Health Services: Results of a Survey","type":"article-journal","volume":"1"},"uris":["http://www.mendeley.com/documents/?uuid=8fccfe0f-7b18-3369-afc7-fefedd081a51"]}],"mendeley":{"formattedCitation":"[56]","plainTextFormattedCitation":"[56]","previouslyFormattedCitation":"[56]"},"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[56]</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69E29EE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PharmacoEconomics - Open</w:t>
            </w:r>
          </w:p>
        </w:tc>
        <w:tc>
          <w:tcPr>
            <w:tcW w:w="1711" w:type="dxa"/>
            <w:shd w:val="clear" w:color="auto" w:fill="auto"/>
            <w:vAlign w:val="center"/>
          </w:tcPr>
          <w:p w14:paraId="35F7784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3 (Public)</w:t>
            </w:r>
          </w:p>
        </w:tc>
        <w:tc>
          <w:tcPr>
            <w:tcW w:w="1984" w:type="dxa"/>
            <w:vAlign w:val="center"/>
          </w:tcPr>
          <w:p w14:paraId="71CD627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Oceania (Australia)</w:t>
            </w:r>
          </w:p>
        </w:tc>
        <w:tc>
          <w:tcPr>
            <w:tcW w:w="1843" w:type="dxa"/>
            <w:shd w:val="clear" w:color="auto" w:fill="auto"/>
            <w:vAlign w:val="center"/>
          </w:tcPr>
          <w:p w14:paraId="6F47CEB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30D322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(funds)</w:t>
            </w:r>
          </w:p>
        </w:tc>
        <w:tc>
          <w:tcPr>
            <w:tcW w:w="1418" w:type="dxa"/>
            <w:shd w:val="clear" w:color="auto" w:fill="auto"/>
            <w:vAlign w:val="center"/>
          </w:tcPr>
          <w:p w14:paraId="2EE202E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(Questionnaire + Interview)</w:t>
            </w:r>
          </w:p>
        </w:tc>
        <w:tc>
          <w:tcPr>
            <w:tcW w:w="709" w:type="dxa"/>
            <w:shd w:val="clear" w:color="auto" w:fill="auto"/>
            <w:vAlign w:val="center"/>
          </w:tcPr>
          <w:p w14:paraId="2F95EC7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7B1337EA" w14:textId="77777777" w:rsidTr="004C3C90">
        <w:trPr>
          <w:trHeight w:val="20"/>
        </w:trPr>
        <w:tc>
          <w:tcPr>
            <w:tcW w:w="557" w:type="dxa"/>
            <w:vAlign w:val="center"/>
          </w:tcPr>
          <w:p w14:paraId="0ACF3B56"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57</w:t>
            </w:r>
          </w:p>
        </w:tc>
        <w:tc>
          <w:tcPr>
            <w:tcW w:w="1418" w:type="dxa"/>
            <w:shd w:val="clear" w:color="auto" w:fill="auto"/>
            <w:vAlign w:val="center"/>
          </w:tcPr>
          <w:p w14:paraId="4B23F8D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Chen et al (2017)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{"citationItems":[{"id":"ITEM-1","itemData":{"DOI":"10.1016/j.jval.2017.04.017","ISSN":"15244733","abstract":"Objectives To determine US societal burden of illness, including direct and indirect costs and annual bleed rate (ABR), for persons with hemophilia B (HB), a rare and debilitating genetic disorder, and to examine associations of hemophilia severity and treatment regimens with costs and ABR. Methods From 2009 to 2014, the Hemophilia Utilization Group Studies Part Vb collected prospective data from 10 US hemophilia treatment centers. Participants with HB completed initial surveys on sociodemographic characteristics, clinical characteristics, and treatment patterns. During the 2-year follow-up, participants reported bleeding episodes, work absenteeism, and caregiver time quarterly. These data were used to calculate ABR and indirect costs. Direct costs were calculated using 1-year clinical chart records and 2-year dispensing records. Results Of the 148 participants, 112 with complete medical records and one or more follow-up survey were included. Total mean annual per-person costs were $85,852 (median $20,160) for mild/moderate HB, $198,733 (median $147,891) for severe HB, and $140,240 (median $63,617) for all participants without inhibitors (P &lt; 0.0001). Mean ABR for participants with severe HB on prophylaxis (5.5 ± 7.9 bleeds/y) was almost half that of those treated episodically. Clotting factor and indirect costs accounted for 85% and 9% of total costs, respectively. Compared with episodic treatment, prophylaxis use was associated with 2.5-fold higher clotting factor costs (P &lt; 0.01), low but significantly more missed parental workdays (P &lt; 0.0001) and clinician (P &lt; 0.001) or nursing visits (P &lt; 0.0001), less part-time employment and unemployment, and lower hospitalizations costs (P = 0.17) and ABR (P &lt; 0.0001). Conclusions HB is associated with high economic burden, primarily because of clotting factor costs. Nevertheless, prophylaxis treatment leads to clinical benefits and may reduce other nonfactor costs.","author":[{"dropping-particle":"","family":"Chen","given":"Christina X.","non-dropping-particle":"","parse-names":false,"suffix":""},{"dropping-particle":"","family":"Baker","given":"Judith R.","non-dropping-particle":"","parse-names":false,"suffix":""},{"dropping-particle":"","family":"Nichol","given":"Michael B.","non-dropping-particle":"","parse-names":false,"suffix":""}],"container-title":"Value in Health","id":"ITEM-1","issue":"8","issued":{"date-parts":[["2017"]]},"title":"Economic Burden of Illness among Persons with Hemophilia B from HUGS Vb: Examining the Association of Severity and Treatment Regimens with Costs and Annual Bleed Rates","type":"article-journal","volume":"20"},"uris":["http://www.mendeley.com/documents/?uuid=c6745f7c-f2db-3199-ab3f-6beaf05d1fd3"]}],"mendeley":{"formattedCitation":"[57]","plainTextFormattedCitation":"[57]","previouslyFormattedCitation":"[57]"},"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[57]</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3E0DCBC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Value Health</w:t>
            </w:r>
          </w:p>
        </w:tc>
        <w:tc>
          <w:tcPr>
            <w:tcW w:w="1711" w:type="dxa"/>
            <w:shd w:val="clear" w:color="auto" w:fill="auto"/>
            <w:vAlign w:val="center"/>
          </w:tcPr>
          <w:p w14:paraId="324EBD2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11BB355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55F94E7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Haemophilia B (3B11.0)</w:t>
            </w:r>
          </w:p>
        </w:tc>
        <w:tc>
          <w:tcPr>
            <w:tcW w:w="1559" w:type="dxa"/>
            <w:shd w:val="clear" w:color="auto" w:fill="auto"/>
            <w:vAlign w:val="center"/>
          </w:tcPr>
          <w:p w14:paraId="58436C7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(treatment, symptoms)</w:t>
            </w:r>
          </w:p>
        </w:tc>
        <w:tc>
          <w:tcPr>
            <w:tcW w:w="1418" w:type="dxa"/>
            <w:shd w:val="clear" w:color="auto" w:fill="auto"/>
            <w:vAlign w:val="center"/>
          </w:tcPr>
          <w:p w14:paraId="2DA3FCA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07203EB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2C31CF66" w14:textId="77777777" w:rsidTr="004C3C90">
        <w:trPr>
          <w:trHeight w:val="20"/>
        </w:trPr>
        <w:tc>
          <w:tcPr>
            <w:tcW w:w="557" w:type="dxa"/>
            <w:vAlign w:val="center"/>
          </w:tcPr>
          <w:p w14:paraId="2B54FDC0"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58</w:t>
            </w:r>
          </w:p>
        </w:tc>
        <w:tc>
          <w:tcPr>
            <w:tcW w:w="1418" w:type="dxa"/>
            <w:shd w:val="clear" w:color="auto" w:fill="auto"/>
            <w:vAlign w:val="center"/>
          </w:tcPr>
          <w:p w14:paraId="76977E6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Polisena et al (2017)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{"citationItems":[{"id":"ITEM-1","itemData":{"DOI":"10.1186/s12913-017-2310-4","ISSN":"14726963","abstract":"Background: Funding of drugs for rare diseases (DRDs) requires decisions that balance fairness for all individuals within the healthcare system with compassion for affected individuals. Our study objective was to conduct a national online survey to determine the Canadian public's perspective, including regional variations, associated with DRD decision-making. Methods: The survey collected responses from 1631 Canadians. Respondents were asked to rank at least three and up to five DRD decision-making priorities, out of a total of eight priorities presented. They were also asked to compare and rate their agreement level on a 5-point Likert scale with four funding scenarios described. The frequency of each priority, independent of where it was ranked in relation to the other priorities, was calculated. Regression analyses were conducted to measure the association between respondents' demographics and selected priorities with their agreement level for each funding scenario. Results: Among the survey respondents, Improved Quality of Life and Effective Health Care were most frequently selected as top priorities. Also, 79.2% of respondents agreed with equal access to DRDs across Canada, and 73.0% agreed with DRD funding if additional expenses are justified in the DRD's cost-effectiveness. Approximately half agreed to pay for DRDs independent of their effectiveness. There were no geographic differences in priorities. Selecting Effective Health Care in the top priorities was positively associated with both prioritizing other programs over programs for rare diseases and DRD funding only if deemed as cost-effective. Respondents, who selected National Access as one of the top priorities, were less likely to agree to fund DRDs only if deemed as cost-effective and were more likely to agree with the scenario to provide national access to DRDs. Conclusions: The survey results suggest the level of public support for funding decisions and programs that incorporate assessment of the effectiveness of drugs for improving quality of life, and to promote similar access across Canada. The responses anticipate public responses to different policy scenarios and the priorities that underlie them. Decision-makers may find it useful to consider whether and how to incorporate these results into policy decisions and their justification to citizens and patients.","author":[{"dropping-particle":"","family":"Polisena","given":"Julie","non-dropping-particle":"","parse-names":false,"suffix":""},{"dropping-particle":"","family":"Burgess","given":"Michael","non-dropping-particle":"","parse-names":false,"suffix":""},{"dropping-particle":"","family":"Mitton","given":"Craig","non-dropping-particle":"","parse-names":false,"suffix":""},{"dropping-particle":"","family":"Lynd","given":"Larry D.","non-dropping-particle":"","parse-names":false,"suffix":""}],"container-title":"BMC Health Services Research","id":"ITEM-1","issue":"1","issued":{"date-parts":[["2017"]]},"title":"Engaging the Canadian public on reimbursement decision-making for drugs for rare diseases: A national online survey","type":"article","volume":"17"},"uris":["http://www.mendeley.com/documents/?uuid=a149e359-18b3-3120-81fa-dd0270039abb"]}],"mendeley":{"formattedCitation":"[58]","plainTextFormattedCitation":"[58]","previouslyFormattedCitation":"[58]"},"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[58]</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2CD8EC1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BMC Health Serv. Res</w:t>
            </w:r>
          </w:p>
        </w:tc>
        <w:tc>
          <w:tcPr>
            <w:tcW w:w="1711" w:type="dxa"/>
            <w:shd w:val="clear" w:color="auto" w:fill="auto"/>
            <w:vAlign w:val="center"/>
          </w:tcPr>
          <w:p w14:paraId="18E705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3 (Public)</w:t>
            </w:r>
          </w:p>
        </w:tc>
        <w:tc>
          <w:tcPr>
            <w:tcW w:w="1984" w:type="dxa"/>
            <w:vAlign w:val="center"/>
          </w:tcPr>
          <w:p w14:paraId="71C902B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(Canada)</w:t>
            </w:r>
          </w:p>
        </w:tc>
        <w:tc>
          <w:tcPr>
            <w:tcW w:w="1843" w:type="dxa"/>
            <w:shd w:val="clear" w:color="auto" w:fill="auto"/>
            <w:vAlign w:val="center"/>
          </w:tcPr>
          <w:p w14:paraId="4779FC9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2DDB620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(funds)</w:t>
            </w:r>
          </w:p>
        </w:tc>
        <w:tc>
          <w:tcPr>
            <w:tcW w:w="1418" w:type="dxa"/>
            <w:shd w:val="clear" w:color="auto" w:fill="auto"/>
            <w:vAlign w:val="center"/>
          </w:tcPr>
          <w:p w14:paraId="544B889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70C40CF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09B34457" w14:textId="77777777" w:rsidTr="004C3C90">
        <w:trPr>
          <w:trHeight w:val="20"/>
        </w:trPr>
        <w:tc>
          <w:tcPr>
            <w:tcW w:w="557" w:type="dxa"/>
            <w:vAlign w:val="center"/>
          </w:tcPr>
          <w:p w14:paraId="0DEE3F1E"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59</w:t>
            </w:r>
          </w:p>
        </w:tc>
        <w:tc>
          <w:tcPr>
            <w:tcW w:w="1418" w:type="dxa"/>
            <w:shd w:val="clear" w:color="auto" w:fill="auto"/>
            <w:vAlign w:val="center"/>
          </w:tcPr>
          <w:p w14:paraId="07F82B2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Bogart and Irvin (2017)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{"citationItems":[{"id":"ITEM-1","itemData":{"DOI":"10.1186/s13023-017-0730-1","ISSN":"17501172","abstract":"BACKGROUND: Twenty-five to 30 million Americans live with a rare disease (RD) and share challenges unique to RD. The majority of research on RDs has focused on etiology, treatment and care, while the limited health-related quality of life (HRQL) research has been restricted to single RDs, small samples, or non-validated measures. This study reports HRQL among adults with diverse RDs, and compares their scores to those of the U.S. population and people with common chronic health conditions.\nMETHODS: We conducted a cross-sectional survey of adults living in the U.S. diagnosed with any RD. Participants were recruited through RD organizations and completed the online survey between December 2016 and May 2017 (n = 1218). HRQL was assessed using the standardized Patient-Reported Outcomes Measurement Information System (PROMIS). RDs were classified into categories defined by Orphanet. Means and 95% confidence intervals were calculated for the main sample and for RD categories and were compared to published U.S. population norms and common chronic disease norms. Intercorrelations were conducted between HRQL, demographics, and RD experiences.\nRESULTS: When compared to the norms for the U.S. population and for those with common chronic diseases, mean HRQL scores were significantly poorer across all six PROMIS domains for the main sample, and were usually poorer when analyzed by sub-sets of specific RD classifications. People with rare systemic and rheumatologic, neurological, and immune diseases had the poorest HRQL. Participants had poorer HRQL if they had multiple RDs, lower income, were female, or older. Having symptoms longer was associated with worse HRQL, however, having a formal diagnosis longer was associated with better HRQL.\nCONCLUSIONS: This study is the first to examine HRQL in a large, heterogeneous sample of RDs using validated measures. There is a significant disparity in HRQL among people with RD compared to the general population and people with common chronic diseases. Poor HRQL could be attributed to challenges accessing diagnoses, medical information, treatment, psychosocial support, and coping with stigma and uncertainty. As most individuals with RDs will not be cured in their lifetimes, identifying ways to improve HRQL is crucial to patient-centered care and should be a funding priority.","author":[{"dropping-particle":"","family":"Bogart","given":"Kathleen R.","non-dropping-particle":"","parse-names":false,"suffix":""},{"dropping-particle":"","family":"Irvin","given":"Veronica L.","non-dropping-particle":"","parse-names":false,"suffix":""}],"container-title":"Orphanet journal of rare diseases","id":"ITEM-1","issue":"1","issued":{"date-parts":[["2017"]]},"title":"Health-related quality of life among adults with diverse rare disorders","type":"article-journal","volume":"12"},"uris":["http://www.mendeley.com/documents/?uuid=67464620-2c71-33da-98e7-d89dc965ff16"]}],"mendeley":{"formattedCitation":"[59]","plainTextFormattedCitation":"[59]","previouslyFormattedCitation":"[59]"},"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[59]</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569D4FE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6C0F936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2C97D17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574C328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213B2C8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(QoL)</w:t>
            </w:r>
          </w:p>
        </w:tc>
        <w:tc>
          <w:tcPr>
            <w:tcW w:w="1418" w:type="dxa"/>
            <w:shd w:val="clear" w:color="auto" w:fill="auto"/>
            <w:vAlign w:val="center"/>
          </w:tcPr>
          <w:p w14:paraId="7627F57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76006F1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0D1C256C" w14:textId="77777777" w:rsidTr="004C3C90">
        <w:trPr>
          <w:trHeight w:val="20"/>
        </w:trPr>
        <w:tc>
          <w:tcPr>
            <w:tcW w:w="557" w:type="dxa"/>
            <w:vAlign w:val="center"/>
          </w:tcPr>
          <w:p w14:paraId="3D5175E1"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60</w:t>
            </w:r>
          </w:p>
        </w:tc>
        <w:tc>
          <w:tcPr>
            <w:tcW w:w="1418" w:type="dxa"/>
            <w:shd w:val="clear" w:color="auto" w:fill="auto"/>
            <w:vAlign w:val="center"/>
          </w:tcPr>
          <w:p w14:paraId="7923FC0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Patriquin et al (2017)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{"citationItems":[{"id":"ITEM-1","itemData":{"DOI":"10.1002/jca.21489","ISSN":"10981101","abstract":"Background: Thrombotic thrombocytopenic purpura (TTP) is a rare disease with 90% mortality if untreated. Since the Canadian Apheresis Group (CAG) trial showed greater survival with therapeutic plasma exchange (TPE) versus plasma infusion, there has been widespread adoption of TPE. Beyond TPE, there is significant practice variation. To characterize this, we developed a survey sent to physicians who might be directly involved in TTP management. Methods: The survey was sent to CAG members as well as hematologists and nephrologists nationwide and addressed areas of controversy or recognized practice heterogeneity. Descriptive statistics were used to summarize responses, and the χ2 test was used to compare respondents who were and were not CAG physicians. We also compared responses by estimated frequency of TTP cases per year. Results: The CAG response rate was 31% (13 of 42). The survey was sent to 665 non-CAG physicians, of whom 41 responded (6.1%). Though not statistically different, CAG and non-CAG respondents varied regarding use of corticosteroids, aspirin, and venous thromboembolism (VTE) prophylaxis. Significant differences were found between CAG and non-CAG groups regarding cryosupernatant as fluid choice (69.2% vs. 22.5%, P =.004) and the use of TPE tapering (84.6% vs. 51.3%, P =.034), respectively. Conclusion: TTP treatment is variable across centres in Canada. Areas of significant variation include the choice of replacement fluid for TPE and whether or not and how to taper TPE. Our survey highlights the practice heterogeneity that exists and identifies areas where more evidence is needed and perhaps where trials should be performed.","author":[{"dropping-particle":"","family":"Patriquin","given":"Christopher J.","non-dropping-particle":"","parse-names":false,"suffix":""},{"dropping-particle":"","family":"Clark","given":"William F.","non-dropping-particle":"","parse-names":false,"suffix":""},{"dropping-particle":"","family":"Pavenski","given":"Katerina","non-dropping-particle":"","parse-names":false,"suffix":""},{"dropping-particle":"","family":"Arnold","given":"Donald M.","non-dropping-particle":"","parse-names":false,"suffix":""},{"dropping-particle":"","family":"Rock","given":"Gail","non-dropping-particle":"","parse-names":false,"suffix":""},{"dropping-particle":"","family":"Foley","given":"Stephen R.","non-dropping-particle":"","parse-names":false,"suffix":""}],"container-title":"Journal of Clinical Apheresis","id":"ITEM-1","issue":"4","issued":{"date-parts":[["2017"]]},"title":"How we treat thrombotic thrombocytopenic purpura: Results of a Canadian TTP practice survey","type":"article-journal","volume":"32"},"uris":["http://www.mendeley.com/documents/?uuid=dc5a136d-091e-39d1-b90a-fc4aa486f251"]}],"mendeley":{"formattedCitation":"[60]","plainTextFormattedCitation":"[60]","previouslyFormattedCitation":"[60]"},"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[60]</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7488505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Clin Apher</w:t>
            </w:r>
          </w:p>
        </w:tc>
        <w:tc>
          <w:tcPr>
            <w:tcW w:w="1711" w:type="dxa"/>
            <w:shd w:val="clear" w:color="auto" w:fill="auto"/>
            <w:vAlign w:val="center"/>
          </w:tcPr>
          <w:p w14:paraId="2C7FE61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(Specialists (Nephrologists, Hematologists))</w:t>
            </w:r>
          </w:p>
        </w:tc>
        <w:tc>
          <w:tcPr>
            <w:tcW w:w="1984" w:type="dxa"/>
            <w:vAlign w:val="center"/>
          </w:tcPr>
          <w:p w14:paraId="41A9CB6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(Canada)</w:t>
            </w:r>
          </w:p>
        </w:tc>
        <w:tc>
          <w:tcPr>
            <w:tcW w:w="1843" w:type="dxa"/>
            <w:shd w:val="clear" w:color="auto" w:fill="auto"/>
            <w:vAlign w:val="center"/>
          </w:tcPr>
          <w:p w14:paraId="29ED153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Thrombotic thrombocytopenic purpura (3B64.14)</w:t>
            </w:r>
          </w:p>
        </w:tc>
        <w:tc>
          <w:tcPr>
            <w:tcW w:w="1559" w:type="dxa"/>
            <w:shd w:val="clear" w:color="auto" w:fill="auto"/>
            <w:vAlign w:val="center"/>
          </w:tcPr>
          <w:p w14:paraId="0753E74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(treatment)</w:t>
            </w:r>
          </w:p>
        </w:tc>
        <w:tc>
          <w:tcPr>
            <w:tcW w:w="1418" w:type="dxa"/>
            <w:shd w:val="clear" w:color="auto" w:fill="auto"/>
            <w:vAlign w:val="center"/>
          </w:tcPr>
          <w:p w14:paraId="38DC51C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773A27F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422E4016" w14:textId="77777777" w:rsidTr="004C3C90">
        <w:trPr>
          <w:trHeight w:val="20"/>
        </w:trPr>
        <w:tc>
          <w:tcPr>
            <w:tcW w:w="557" w:type="dxa"/>
            <w:vAlign w:val="center"/>
          </w:tcPr>
          <w:p w14:paraId="0BD448ED"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61</w:t>
            </w:r>
          </w:p>
        </w:tc>
        <w:tc>
          <w:tcPr>
            <w:tcW w:w="1418" w:type="dxa"/>
            <w:shd w:val="clear" w:color="auto" w:fill="auto"/>
            <w:vAlign w:val="center"/>
          </w:tcPr>
          <w:p w14:paraId="69FE516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Amelot et al (2017)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{"citationItems":[{"id":"ITEM-1","itemData":{"DOI":"10.1007/s40290-017-0201-y","ISSN":"11791993","abstract":"Background: Ethics committees today recommend making the overall results of clinical trials available to the participants of therapeutic trials, and many guidelines have been developed for both general and specific situations. People with rare diseases are known to have expectations of the medical follow-up that may differ from people with non-rare diseases. Objectives: This study was designed to better understand how participants in a rare disease clinical trial and their parents expect to be informed of the results. Methods: Patients with Friedreich’s ataxia, a rare neurodegenerative disease that affects gait and balance, who were involved in a previous randomized controlled trial (ACTFRIE) that took place between December 2008 and April 2013, and their parents, were contacted by email. They were asked to answer a survey questionnaire about their expectations concerning the announcement of results for the whole trial and for individual patients, their opinion about scientific publications, and their willingness to participate in another clinical trial in the future. Results: In total, 28 patients and 35 parents of patients (100%) said they would like to be informed of the whole trial research results. Patients preferred to be informed via a personal email (65.4% “very favorable” and 15.4% “favorable”), and parents preferred via email and face-to-face interview (55.9% “very favorable” and 11.5% “favorable”). Most, but not all, respondents wanted to know their allocation group. A large proportion were interested in scientific articles. Conclusion: Similar to findings with other diseases, respondents in this study preferred to be advised of results for the whole study and of their allocation group. Respondents considered scientific literature to be a source of information, which could be further investigated and addressed in future studies.","author":[{"dropping-particle":"","family":"Amelot","given":"Vincent","non-dropping-particle":"","parse-names":false,"suffix":""},{"dropping-particle":"","family":"Bungener","given":"Catherine","non-dropping-particle":"","parse-names":false,"suffix":""},{"dropping-particle":"","family":"Guilmin-Crepon","given":"Sophie","non-dropping-particle":"","parse-names":false,"suffix":""},{"dropping-particle":"","family":"Schroedt","given":"Julien","non-dropping-particle":"","parse-names":false,"suffix":""},{"dropping-particle":"","family":"Alberti","given":"Corinne","non-dropping-particle":"","parse-names":false,"suffix":""},{"dropping-particle":"","family":"Husson","given":"Isabelle","non-dropping-particle":"","parse-names":false,"suffix":""}],"container-title":"Pharmaceutical Medicine","id":"ITEM-1","issue":"5","issued":{"date-parts":[["2017"]]},"title":"Preferences for Receiving Results from a Rare Disease Clinical Trial: A Survey of Subjects with Friedreich’s Ataxia and their Parents","type":"article-journal","volume":"31"},"uris":["http://www.mendeley.com/documents/?uuid=8bd3b428-dac7-3cbd-8191-c300075eba24"]}],"mendeley":{"formattedCitation":"[61]","plainTextFormattedCitation":"[61]","previouslyFormattedCitation":"[61]"},"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[61]</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5C86148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Pharmaceut Med</w:t>
            </w:r>
          </w:p>
        </w:tc>
        <w:tc>
          <w:tcPr>
            <w:tcW w:w="1711" w:type="dxa"/>
            <w:shd w:val="clear" w:color="auto" w:fill="auto"/>
            <w:vAlign w:val="center"/>
          </w:tcPr>
          <w:p w14:paraId="1ECDF0F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Families)</w:t>
            </w:r>
          </w:p>
        </w:tc>
        <w:tc>
          <w:tcPr>
            <w:tcW w:w="1984" w:type="dxa"/>
            <w:vAlign w:val="center"/>
          </w:tcPr>
          <w:p w14:paraId="5DA1BB2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(France)</w:t>
            </w:r>
          </w:p>
        </w:tc>
        <w:tc>
          <w:tcPr>
            <w:tcW w:w="1843" w:type="dxa"/>
            <w:shd w:val="clear" w:color="auto" w:fill="auto"/>
            <w:vAlign w:val="center"/>
          </w:tcPr>
          <w:p w14:paraId="209579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Friedreich’s ataxia (8A03.10)</w:t>
            </w:r>
          </w:p>
        </w:tc>
        <w:tc>
          <w:tcPr>
            <w:tcW w:w="1559" w:type="dxa"/>
            <w:shd w:val="clear" w:color="auto" w:fill="auto"/>
            <w:vAlign w:val="center"/>
          </w:tcPr>
          <w:p w14:paraId="2174FEC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(expectation concerning the announcement of results for the clinical trial, scientific publication, willingness)</w:t>
            </w:r>
          </w:p>
        </w:tc>
        <w:tc>
          <w:tcPr>
            <w:tcW w:w="1418" w:type="dxa"/>
            <w:shd w:val="clear" w:color="auto" w:fill="auto"/>
            <w:vAlign w:val="center"/>
          </w:tcPr>
          <w:p w14:paraId="205EF06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7539B6F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69FC7644" w14:textId="77777777" w:rsidTr="004C3C90">
        <w:trPr>
          <w:trHeight w:val="20"/>
        </w:trPr>
        <w:tc>
          <w:tcPr>
            <w:tcW w:w="557" w:type="dxa"/>
            <w:vAlign w:val="center"/>
          </w:tcPr>
          <w:p w14:paraId="035D51C1"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62</w:t>
            </w:r>
          </w:p>
        </w:tc>
        <w:tc>
          <w:tcPr>
            <w:tcW w:w="1418" w:type="dxa"/>
            <w:shd w:val="clear" w:color="auto" w:fill="auto"/>
            <w:vAlign w:val="center"/>
          </w:tcPr>
          <w:p w14:paraId="2E1610B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Wiss et al (2017)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{"citationItems":[{"id":"ITEM-1","itemData":{"DOI":"10.1177/0272989X17691744","ISSN":"1552681X","abstract":"Background. Measuring societal preferences for rarity has been proposed to determine whether paying premium prices for orphan drugs is acceptable. Objective. To investigate societal preferences for rarity and how psychological factors affect such preferences. Method. A postal survey containing resource allocation dilemmas involving patients with a rare disease and patients with a common disease, equal in severity, was sent out to a randomly selected sample of the population in Sweden (return rate 42.3%, n = 1270). Results. Overall, we found no evidence of a general preference for prioritizing treatment of patients with rare disease patients over those with common diseases. When treatment costs were equal, most respondents (42.7%) were indifferent between the choice options. Preferences for prioritizing patients with common diseases over those with rare diseases were more frequently displayed (33.3% v. 23.9%). This tendency was, as expected, amplified when the rare disease was costlier to treat. The share of respondents choosing to treat patients with rare diseases increased when presenting the patients in need of treatment in relative rather than absolute terms (proportion dominance). Surprisingly, identifiability did not increase preferences for rarity. Instead, identifying the patient with a rare disease made respondents more willing to prioritize the patients with common diseases. Respondents' levels of education were significantly associated with choice - the lower the level of education, the more likely they were to choose the rare option. Conclusions. We find no support for the existence of a general preference for rarity when setting health care priorities. Psychological effects, especially proportion dominance, are likely to play an important role when preferences for rarity are expressed.","author":[{"dropping-particle":"","family":"Wiss","given":"Johanna","non-dropping-particle":"","parse-names":false,"suffix":""},{"dropping-particle":"","family":"Levin","given":"Lars Ake","non-dropping-particle":"","parse-names":false,"suffix":""},{"dropping-particle":"","family":"Andersson","given":"David","non-dropping-particle":"","parse-names":false,"suffix":""},{"dropping-particle":"","family":"Tinghög","given":"Gustav","non-dropping-particle":"","parse-names":false,"suffix":""}],"container-title":"Medical Decision Making","id":"ITEM-1","issue":"5","issued":{"date-parts":[["2017"]]},"title":"Prioritizing Rare Diseases: Psychological Effects Influencing Medical Decision Making","type":"article-journal","volume":"37"},"uris":["http://www.mendeley.com/documents/?uuid=2428f046-11b2-304c-8cc2-e213f4f853a8"]}],"mendeley":{"formattedCitation":"[62]","plainTextFormattedCitation":"[62]","previouslyFormattedCitation":"[62]"},"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[62]</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1F8BE76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Med Decis Mak</w:t>
            </w:r>
          </w:p>
        </w:tc>
        <w:tc>
          <w:tcPr>
            <w:tcW w:w="1711" w:type="dxa"/>
            <w:shd w:val="clear" w:color="auto" w:fill="auto"/>
            <w:vAlign w:val="center"/>
          </w:tcPr>
          <w:p w14:paraId="5539AA6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3 (Public)</w:t>
            </w:r>
          </w:p>
        </w:tc>
        <w:tc>
          <w:tcPr>
            <w:tcW w:w="1984" w:type="dxa"/>
            <w:vAlign w:val="center"/>
          </w:tcPr>
          <w:p w14:paraId="204BADB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(Sweden)</w:t>
            </w:r>
          </w:p>
        </w:tc>
        <w:tc>
          <w:tcPr>
            <w:tcW w:w="1843" w:type="dxa"/>
            <w:shd w:val="clear" w:color="auto" w:fill="auto"/>
            <w:vAlign w:val="center"/>
          </w:tcPr>
          <w:p w14:paraId="12539C4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2C9EE0A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(treatments)</w:t>
            </w:r>
          </w:p>
        </w:tc>
        <w:tc>
          <w:tcPr>
            <w:tcW w:w="1418" w:type="dxa"/>
            <w:shd w:val="clear" w:color="auto" w:fill="auto"/>
            <w:vAlign w:val="center"/>
          </w:tcPr>
          <w:p w14:paraId="661D3B7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0A7FF59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5EE4EE7D" w14:textId="77777777" w:rsidTr="004C3C90">
        <w:trPr>
          <w:trHeight w:val="20"/>
        </w:trPr>
        <w:tc>
          <w:tcPr>
            <w:tcW w:w="557" w:type="dxa"/>
            <w:vAlign w:val="center"/>
          </w:tcPr>
          <w:p w14:paraId="1552108F"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lastRenderedPageBreak/>
              <w:t>63</w:t>
            </w:r>
          </w:p>
        </w:tc>
        <w:tc>
          <w:tcPr>
            <w:tcW w:w="1418" w:type="dxa"/>
            <w:shd w:val="clear" w:color="auto" w:fill="auto"/>
            <w:vAlign w:val="center"/>
          </w:tcPr>
          <w:p w14:paraId="0851E91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Zurynski et al (2017)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 xml:space="preserve">ADDIN CSL_CITATION {"citationItems":[{"id":"ITEM-1","itemData":{"DOI":"10.1136/bmjpo-2017-000172","ISSN":"23999772","abstract":"Objective To describe the experiences of Australian paediatricians while caring for children with rare diseases, and their educational and resource needs. Design A brief online survey was developed and deployed to a representative sample of 679 paediatricians from the Australian Paediatric Surveillance Unit database. results Of the 679 paediatricians, 242 (36%) completed the survey. The respondents were representative of all states and territories of Australia, urban and rural regions, and hospital and private practice. Almost all respondents (93%) had seen children with one or more of </w:instrText>
            </w:r>
            <w:r w:rsidRPr="004C3C90">
              <w:rPr>
                <w:rFonts w:ascii="바탕" w:eastAsia="바탕" w:hAnsi="바탕" w:cs="바탕" w:hint="eastAsia"/>
                <w:sz w:val="20"/>
                <w:szCs w:val="20"/>
              </w:rPr>
              <w:instrText>≫</w:instrText>
            </w:r>
            <w:r w:rsidRPr="004C3C90">
              <w:rPr>
                <w:rFonts w:ascii="Times New Roman" w:eastAsia="Times New Roman" w:hAnsi="Times New Roman" w:cs="Times New Roman"/>
                <w:sz w:val="20"/>
                <w:szCs w:val="20"/>
              </w:rPr>
              <w:instrText>350 different rare diseases during their career; 74% had seen a new patient with rare disease in the last 6 months. The most common problems encountered while caring for patients were: diagnostic delays (65%), lack of available treatments (40%), clinical guidelines (36%) and uncertainty where to refer for peer support (35%). Few paediatricians said that rare diseases were adequately covered during university (40%) or the Fellowship of the Royal Australasian College of Physicians (50%) training, and 28% felt unprepared to care for patients with rare diseases. Paediatricians wanted lists of specialist referral services (82%) and online educational modules about rare diseases (78%) that could be accessed via one online portal that consolidated multiple resources. Smartphone applications on rare diseases were favoured by paediatricians aged &lt;50 years and by female paediatricians. conclusions An online educational portal should be developed and maintained for accuracy and currency of information to support dissemination of rare disease guidelines, referral pathways and coordination services relevant to Australian paediatricians and other health professionals who care for children with rare diseases.","author":[{"dropping-particle":"","family":"Zurynski","given":"Yvonne","non-dropping-particle":"","parse-names":false,"suffix":""},{"dropping-particle":"","family":"Gonzalez","given":"Aranzazu","non-dropping-particle":"","parse-names":false,"suffix":""},{"dropping-particle":"","family":"Deverell","given":"Marie","non-dropping-particle":"","parse-names":false,"suffix":""},{"dropping-particle":"","family":"Phu","given":"Amy","non-dropping-particle":"","parse-names":false,"suffix":""},{"dropping-particle":"","family":"Leonard","given":"Helen","non-dropping-particle":"","parse-names":false,"suffix":""},{"dropping-particle":"","family":"Christodoulou","given":"John","non-dropping-particle":"","parse-names":false,"suffix":""},{"dropping-particle":"","family":"Elliott","given":"Elizabeth","non-dropping-particle":"","parse-names":false,"suffix":""}],"container-title":"BMJ Paediatrics Open","id":"ITEM-1","issue":"1","issued":{"date-parts":[["2017"]]},"title":"Rare disease: A national survey of paediatricians’ experiences and needs","type":"article-journal","volume":"1"},"uris":["http://www.mendeley.com/documents/?uuid=0c7ce501-13aa-39df-8719-1a9c381d4477"]}],"mendeley":{"formattedCitation":"[63]","plainTextFormattedCitation":"[63]","previouslyFormattedCitation":"[63]"},"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[63]</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4968A2A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BMJ Paediatr Open</w:t>
            </w:r>
          </w:p>
        </w:tc>
        <w:tc>
          <w:tcPr>
            <w:tcW w:w="1711" w:type="dxa"/>
            <w:shd w:val="clear" w:color="auto" w:fill="auto"/>
            <w:vAlign w:val="center"/>
          </w:tcPr>
          <w:p w14:paraId="4E33AA9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(Specialists (Pediatricians))</w:t>
            </w:r>
          </w:p>
        </w:tc>
        <w:tc>
          <w:tcPr>
            <w:tcW w:w="1984" w:type="dxa"/>
            <w:vAlign w:val="center"/>
          </w:tcPr>
          <w:p w14:paraId="2F24543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Oceania (Australia)</w:t>
            </w:r>
          </w:p>
        </w:tc>
        <w:tc>
          <w:tcPr>
            <w:tcW w:w="1843" w:type="dxa"/>
            <w:shd w:val="clear" w:color="auto" w:fill="auto"/>
            <w:vAlign w:val="center"/>
          </w:tcPr>
          <w:p w14:paraId="1FBFE1B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1F43804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(treatment, access to information)</w:t>
            </w:r>
          </w:p>
        </w:tc>
        <w:tc>
          <w:tcPr>
            <w:tcW w:w="1418" w:type="dxa"/>
            <w:shd w:val="clear" w:color="auto" w:fill="auto"/>
            <w:vAlign w:val="center"/>
          </w:tcPr>
          <w:p w14:paraId="7B9DDAB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71DDA3E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7CB89C7D" w14:textId="77777777" w:rsidTr="004C3C90">
        <w:trPr>
          <w:trHeight w:val="20"/>
        </w:trPr>
        <w:tc>
          <w:tcPr>
            <w:tcW w:w="557" w:type="dxa"/>
            <w:vAlign w:val="center"/>
          </w:tcPr>
          <w:p w14:paraId="0F9E2614"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64</w:t>
            </w:r>
          </w:p>
        </w:tc>
        <w:tc>
          <w:tcPr>
            <w:tcW w:w="1418" w:type="dxa"/>
            <w:shd w:val="clear" w:color="auto" w:fill="auto"/>
            <w:vAlign w:val="center"/>
          </w:tcPr>
          <w:p w14:paraId="412779A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Schwartz et al (2017)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{"citationItems":[{"id":"ITEM-1","itemData":{"DOI":"10.1007/s11136-017-1633-2","ISSN":"15732649","abstract":"Background: We sought to understand what distinguishes people who confront health challenges but still manage to thrive. This study investigated whether resilience helps to explain the impact of health challenges on quality of life (QOL) outcomes, and how resilience relates to appraisal. Methods: A web-based survey of rare-disease panel participants included the Centers for Disease Control Healthy Days Core Module, the PROMIS-10, and comorbidities. The QOL Appraisal Profile—v2 assessed cognitive processes underlying QOL. Resilience was operationalized statistically using residual modeling, and hierarchical regressions tested the mediation hypothesis that resilience accounts for a significant amount of the relationship of appraisal to QOL. Results: The study sample (n = 3,324; mean age 50; 86% female; 90% White) represented a range of diagnostic codes, with cancer and diseases of the nervous system being the most prevalent health conditions. After adjusting for comorbidities (catalysts), resilience was associated with better physical and emotional functioning, and different appraisal processes were associated with better or worse physical or emotional functioning. After controlling for catalysts, 62% of the association of Physical Functioning and 23% of the association between Emotional Functioning and appraisal were mediated by resilience. Physical and emotional resilience comprised some of the same appraisal processes, but physically resilient people were characterized by more appraisal processes than their emotionally resilient counterparts. Conclusions: Resilient people employ different appraisal processes than non-resilient people, and these processes differ for physical and emotional outcomes. Resilience was a stronger mediator of the relationship between physical rather than emotional functioning and appraisal.","author":[{"dropping-particle":"","family":"Schwartz","given":"Carolyn E.","non-dropping-particle":"","parse-names":false,"suffix":""},{"dropping-particle":"","family":"Michael","given":"Wesley","non-dropping-particle":"","parse-names":false,"suffix":""},{"dropping-particle":"","family":"Rapkin","given":"Bruce D.","non-dropping-particle":"","parse-names":false,"suffix":""}],"container-title":"Quality of Life Research","id":"ITEM-1","issue":"11","issued":{"date-parts":[["2017"]]},"title":"Resilience to health challenges is related to different ways of thinking: mediators of physical and emotional quality of life in a heterogeneous rare-disease cohort","type":"article-journal","volume":"26"},"uris":["http://www.mendeley.com/documents/?uuid=c0bad34f-3972-3c84-915e-40187d0c96ac"]}],"mendeley":{"formattedCitation":"[64]","plainTextFormattedCitation":"[64]","previouslyFormattedCitation":"[64]"},"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[64]</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2271B6F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Qual Life Res</w:t>
            </w:r>
          </w:p>
        </w:tc>
        <w:tc>
          <w:tcPr>
            <w:tcW w:w="1711" w:type="dxa"/>
            <w:shd w:val="clear" w:color="auto" w:fill="auto"/>
            <w:vAlign w:val="center"/>
          </w:tcPr>
          <w:p w14:paraId="7F859C7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43CF6C0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0770EFD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12ADB8A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(QoL, resilience)</w:t>
            </w:r>
          </w:p>
        </w:tc>
        <w:tc>
          <w:tcPr>
            <w:tcW w:w="1418" w:type="dxa"/>
            <w:shd w:val="clear" w:color="auto" w:fill="auto"/>
            <w:vAlign w:val="center"/>
          </w:tcPr>
          <w:p w14:paraId="2D92160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5863838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0DAEFE70" w14:textId="77777777" w:rsidTr="004C3C90">
        <w:trPr>
          <w:trHeight w:val="20"/>
        </w:trPr>
        <w:tc>
          <w:tcPr>
            <w:tcW w:w="557" w:type="dxa"/>
            <w:vAlign w:val="center"/>
          </w:tcPr>
          <w:p w14:paraId="51586331"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65</w:t>
            </w:r>
          </w:p>
        </w:tc>
        <w:tc>
          <w:tcPr>
            <w:tcW w:w="1418" w:type="dxa"/>
            <w:shd w:val="clear" w:color="auto" w:fill="auto"/>
            <w:vAlign w:val="center"/>
          </w:tcPr>
          <w:p w14:paraId="46E22B5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Lloyd et al (2017)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{"citationItems":[{"id":"ITEM-1","itemData":{"DOI":"10.1080/03007995.2016.1232704","ISSN":"14734877","abstract":"Objective: Fabry disease is a rare inherited lysosomal storage disorder caused by deficiency of α-galactosidase A. Effective enzyme replacement therapies are available that are administered intravenously. However, a new oral treatment is being developed as an alternative option for patients with amenable mutations. This study was designed to understand the value that people place on the different features of treatments for Fabry disease. Research design and methods: A discrete choice experiment (DCE) was designed to assess the importance of different aspects of treatments for Fabry disease. The attributes included overall survival, mode of administration, treatment related reactions, treatment related headaches and risk of antibody formation. Attributes were combined using a published orthogonal array into choice sets. A research panel was used to survey the UK general public. The mixed logit model was used to estimate strength of preference for the attributes and marginal rates of substitution (MRSs). Disutilities were estimated from the DCE data for changes in each attribute. Results: The sample (n = 506) was broadly representative of UK demographics. The logit model revealed that all attributes were significant predictors of choice. Participants were significantly more likely to choose a treatment which meant an increase in their life expectancy by 1 year (odds ratio = 1.574; 95% CI = 1.504–1.647) and significantly less likely to choose self-administered intravenous (IV) treatment compared to an every other day tablet (OR = 0.426 95% CI = 0.384–0.474). Estimated disutilities were −0.0543 (self-administered infusion), treatment related headaches 12 times a year (−0.0361) and infusion reactions six times a year (−0.0202). Conclusions: The survey revealed a significant preference for oral treatment compared with IV even in the context of a treatment that can extend overall survival. MRSs were used as a basis for estimating disutilities associated with changes in attribute levels which could be used to weight QALYs. It is possible that other important treatment attributes are missing from this research which may have provided further insights. It would also be useful to extend this research to include Fabry disease patients so their preferences can be assessed against the societal perspective.","author":[{"dropping-particle":"","family":"Lloyd","given":"Andrew J.","non-dropping-particle":"","parse-names":false,"suffix":""},{"dropping-particle":"","family":"Gallop","given":"Katy","non-dropping-particle":"","parse-names":false,"suffix":""},{"dropping-particle":"","family":"Ali","given":"Shehzad","non-dropping-particle":"","parse-names":false,"suffix":""},{"dropping-particle":"","family":"Hughes","given":"Derralynn","non-dropping-particle":"","parse-names":false,"suffix":""},{"dropping-particle":"","family":"MacCulloch","given":"Alasdair","non-dropping-particle":"","parse-names":false,"suffix":""}],"container-title":"Current Medical Research and Opinion","id":"ITEM-1","issue":"1","issued":{"date-parts":[["2017"]]},"title":"Social preference weights for treatments in Fabry disease in the UK: a discrete choice experiment","type":"article-journal","volume":"33"},"uris":["http://www.mendeley.com/documents/?uuid=9572a784-a44b-3649-8b9f-7ce90c2772d5"]}],"mendeley":{"formattedCitation":"[65]","plainTextFormattedCitation":"[65]","previouslyFormattedCitation":"[65]"},"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[65]</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6DA5689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Curr Med Res Opin</w:t>
            </w:r>
          </w:p>
        </w:tc>
        <w:tc>
          <w:tcPr>
            <w:tcW w:w="1711" w:type="dxa"/>
            <w:shd w:val="clear" w:color="auto" w:fill="auto"/>
            <w:vAlign w:val="center"/>
          </w:tcPr>
          <w:p w14:paraId="7DAA6DB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3 (Public)</w:t>
            </w:r>
          </w:p>
        </w:tc>
        <w:tc>
          <w:tcPr>
            <w:tcW w:w="1984" w:type="dxa"/>
            <w:vAlign w:val="center"/>
          </w:tcPr>
          <w:p w14:paraId="0E3F6E2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(UK)</w:t>
            </w:r>
          </w:p>
        </w:tc>
        <w:tc>
          <w:tcPr>
            <w:tcW w:w="1843" w:type="dxa"/>
            <w:shd w:val="clear" w:color="auto" w:fill="auto"/>
            <w:vAlign w:val="center"/>
          </w:tcPr>
          <w:p w14:paraId="3272A1D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Fabry’s(-Anderson) disease (5C56.01)</w:t>
            </w:r>
          </w:p>
        </w:tc>
        <w:tc>
          <w:tcPr>
            <w:tcW w:w="1559" w:type="dxa"/>
            <w:shd w:val="clear" w:color="auto" w:fill="auto"/>
            <w:vAlign w:val="center"/>
          </w:tcPr>
          <w:p w14:paraId="72B6B73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(treatments)</w:t>
            </w:r>
          </w:p>
        </w:tc>
        <w:tc>
          <w:tcPr>
            <w:tcW w:w="1418" w:type="dxa"/>
            <w:shd w:val="clear" w:color="auto" w:fill="auto"/>
            <w:vAlign w:val="center"/>
          </w:tcPr>
          <w:p w14:paraId="669FFFE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(Discrete choice experiment)</w:t>
            </w:r>
          </w:p>
        </w:tc>
        <w:tc>
          <w:tcPr>
            <w:tcW w:w="709" w:type="dxa"/>
            <w:shd w:val="clear" w:color="auto" w:fill="auto"/>
            <w:vAlign w:val="center"/>
          </w:tcPr>
          <w:p w14:paraId="232997B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0FF25CB5" w14:textId="77777777" w:rsidTr="004C3C90">
        <w:trPr>
          <w:trHeight w:val="20"/>
        </w:trPr>
        <w:tc>
          <w:tcPr>
            <w:tcW w:w="557" w:type="dxa"/>
            <w:vAlign w:val="center"/>
          </w:tcPr>
          <w:p w14:paraId="0D63BAD3"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66</w:t>
            </w:r>
          </w:p>
        </w:tc>
        <w:tc>
          <w:tcPr>
            <w:tcW w:w="1418" w:type="dxa"/>
            <w:shd w:val="clear" w:color="auto" w:fill="auto"/>
            <w:vAlign w:val="center"/>
          </w:tcPr>
          <w:p w14:paraId="4602E39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Bayliss et al (2017)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{"citationItems":[{"id":"ITEM-1","itemData":{"DOI":"10.1186/s13023-016-0564-2","ISSN":"17501172","abstract":"Background: Light chain (AL) amyloidosis is a rare disease characterized by misfolded amyloid protein deposits in tissues and vital organs, and little is known about the burden of AL amyloidosis on health-related quality of life. This study aimed to quantify the burden of AL amyloidosis in terms of health-related quality of life in a diverse, community-based sample of AL amyloidosis patients. Results: The SF-36v2® Health Survey (SF-36v2), a widely used generic measure of health-related quality of life (using physical and mental summary scales and subscales assessing eight aspects of functioning and well-being), was administered as an online survey of AL amyloidosis patients with AL amyloidosis (ClinicalTrials.gov, NCT02574676 ; n = 341). Compared with adjusted general population sample norms, health-related quality of life of AL amyloidosis patients was significantly worse across all SF-36v2 scales and summary measures based on analysis of variance (p &lt; 0.05 for all). The largest decrement in AL amyloidosis patients was related to General Health (Δ = 9.7; p &lt; 0.001). With the exception of Bodily Pain and Mental Health, differences were also clinically meaningful based on established clinically minimal important differences. The burden of AL amyloidosis overall and in key subgroups tended to be greater on physical health than on mental health. Stratified analyses indicated additional burden among patients with recently diagnosed disease and those with cardiac involvement than among their respective counterparts. Conclusion: Understanding the burden of AL amyloidosis highlights the unmet need for treatment, helps physicians identify ancillary treatments and services geared towards improving patients’ functioning, well-being, and overall health-related quality of life. These findings also help to support the use of health-related quality of life end points as important outcome measures in current and future treatment studies. Trial registration: ClinicalTrials.gov, NCT02574676 . Registered October 5, 2015.","author":[{"dropping-particle":"","family":"Bayliss","given":"Martha","non-dropping-particle":"","parse-names":false,"suffix":""},{"dropping-particle":"","family":"McCausland","given":"Kristen L.","non-dropping-particle":"","parse-names":false,"suffix":""},{"dropping-particle":"","family":"Guthrie","given":"Spencer D.","non-dropping-particle":"","parse-names":false,"suffix":""},{"dropping-particle":"","family":"White","given":"Michelle K.","non-dropping-particle":"","parse-names":false,"suffix":""}],"container-title":"Orphanet Journal of Rare Diseases","id":"ITEM-1","issue":"1","issued":{"date-parts":[["2017"]]},"title":"The burden of amyloid light chain amyloidosis on health-related quality of life","type":"article-journal","volume":"12"},"uris":["http://www.mendeley.com/documents/?uuid=84c033bf-8e41-36a7-8eb7-c709512826f5"]}],"mendeley":{"formattedCitation":"[66]","plainTextFormattedCitation":"[66]","previouslyFormattedCitation":"[66]"},"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[66]</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77E2789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4638228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729246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70B9B0C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Light chain amlyoidosis (5D00.0)</w:t>
            </w:r>
          </w:p>
        </w:tc>
        <w:tc>
          <w:tcPr>
            <w:tcW w:w="1559" w:type="dxa"/>
            <w:shd w:val="clear" w:color="auto" w:fill="auto"/>
            <w:vAlign w:val="center"/>
          </w:tcPr>
          <w:p w14:paraId="1EC0632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(QoL, burden of illness)</w:t>
            </w:r>
          </w:p>
        </w:tc>
        <w:tc>
          <w:tcPr>
            <w:tcW w:w="1418" w:type="dxa"/>
            <w:shd w:val="clear" w:color="auto" w:fill="auto"/>
            <w:vAlign w:val="center"/>
          </w:tcPr>
          <w:p w14:paraId="55A83E9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(SF-36)</w:t>
            </w:r>
          </w:p>
        </w:tc>
        <w:tc>
          <w:tcPr>
            <w:tcW w:w="709" w:type="dxa"/>
            <w:shd w:val="clear" w:color="auto" w:fill="auto"/>
            <w:vAlign w:val="center"/>
          </w:tcPr>
          <w:p w14:paraId="3276BB0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36F73F95" w14:textId="77777777" w:rsidTr="004C3C90">
        <w:trPr>
          <w:trHeight w:val="20"/>
        </w:trPr>
        <w:tc>
          <w:tcPr>
            <w:tcW w:w="557" w:type="dxa"/>
            <w:vAlign w:val="center"/>
          </w:tcPr>
          <w:p w14:paraId="5FDB38B6"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67</w:t>
            </w:r>
          </w:p>
        </w:tc>
        <w:tc>
          <w:tcPr>
            <w:tcW w:w="1418" w:type="dxa"/>
            <w:shd w:val="clear" w:color="auto" w:fill="auto"/>
            <w:vAlign w:val="center"/>
          </w:tcPr>
          <w:p w14:paraId="781B775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O’Hara et al (2017)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{"citationItems":[{"id":"ITEM-1","itemData":{"DOI":"10.1186/s13023-017-0660-y","ISSN":"17501172","abstract":"Background: Severe haemophilia is associated with major psychological and economic burden for patients, caregivers, and the wider health care system. This burden has been quantified and documented for a number of European countries in recent years. However, few studies have taken a standardised methodology across multiple countries simultaneously, and sought to amalgamate all three levels of burden for severe disease. The overall aim of the ‘Cost of Haemophilia in Europe: a Socioeconomic Survey' (CHESS) study was to capture the annualised economic and psychosocial burden of severe haemophilia in five European countries. A cross-section of haemophilia specialists (surveyed between January and April 2015) provided demographic and clinical information and 12-month ambulatory and secondary care activity for patients via an online survey. In turn, patients provided corresponding direct and indirect non-medical cost information, including work loss and out-of-pocket expenses, as well as information on quality of life and adherence. The direct and indirect costs for the patient sample were calculated and extrapolated to population level. Results: Clinical reports for a total of 1,285 patients were received. Five hundred and fifty-two patients (43% of the sample) provided information on indirect costs and health-related quality of life via the PSC. The total annual cost of severe haemophilia across the five countries for 2014 was estimated at EUR 1.4 billion, or just under EUR 200,000 per patient. The highest per-patient costs were in Germany (mean EUR 319,024) and the lowest were in the United Kingdom (mean EUR 129,365), with a study average of EUR 199,541. As expected, consumption of clotting factor replacement therapy represented the vast majority of costs (up to 99%). Indirect costs are driven by patient and caregiver work loss. Conclusions: The results of the CHESS study reflect previous research findings suggesting that costs of factor replacement therapy account for the vast majority of the cost burden in severe haemophilia. However, the importance of the indirect impact of haemophilia on the patient and family should not be overlooked. The CHESS study highlights the benefits of observational study methodologies in capturing a ‘snapshot' of information for patients with rare diseases.","author":[{"dropping-particle":"","family":"O'Hara","given":"Jamie","non-dropping-particle":"","parse-names":false,"suffix":""},{"dropping-particle":"","family":"Hughes","given":"David","non-dropping-particle":"","parse-names":false,"suffix":""},{"dropping-particle":"","family":"Camp","given":"Charlotte","non-dropping-particle":"","parse-names":false,"suffix":""},{"dropping-particle":"","family":"Burke","given":"Tom","non-dropping-particle":"","parse-names":false,"suffix":""},{"dropping-particle":"","family":"Carroll","given":"Liz","non-dropping-particle":"","parse-names":false,"suffix":""},{"dropping-particle":"","family":"Diego","given":"Daniel Anibal Garcia","non-dropping-particle":"","parse-names":false,"suffix":""}],"container-title":"Orphanet Journal of Rare Diseases","id":"ITEM-1","issue":"1","issued":{"date-parts":[["2017"]]},"title":"The cost of severe haemophilia in Europe: the CHESS study","type":"article-journal","volume":"12"},"uris":["http://www.mendeley.com/documents/?uuid=2a74feb3-8532-3c7b-b5e1-d15854260996"]}],"mendeley":{"formattedCitation":"[67]","plainTextFormattedCitation":"[67]","previouslyFormattedCitation":"[67]"},"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[67]</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50BEC4B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418D4E4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 Group 2 (Specialists (Haematologists))</w:t>
            </w:r>
          </w:p>
        </w:tc>
        <w:tc>
          <w:tcPr>
            <w:tcW w:w="1984" w:type="dxa"/>
            <w:vAlign w:val="center"/>
          </w:tcPr>
          <w:p w14:paraId="6500398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(France, Germany, Italy, Spain, UK)</w:t>
            </w:r>
          </w:p>
        </w:tc>
        <w:tc>
          <w:tcPr>
            <w:tcW w:w="1843" w:type="dxa"/>
            <w:shd w:val="clear" w:color="auto" w:fill="auto"/>
            <w:vAlign w:val="center"/>
          </w:tcPr>
          <w:p w14:paraId="54AAE98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Haemophilia (3B12)</w:t>
            </w:r>
          </w:p>
        </w:tc>
        <w:tc>
          <w:tcPr>
            <w:tcW w:w="1559" w:type="dxa"/>
            <w:shd w:val="clear" w:color="auto" w:fill="auto"/>
            <w:vAlign w:val="center"/>
          </w:tcPr>
          <w:p w14:paraId="3BCE77F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(burden of illness)</w:t>
            </w:r>
          </w:p>
        </w:tc>
        <w:tc>
          <w:tcPr>
            <w:tcW w:w="1418" w:type="dxa"/>
            <w:shd w:val="clear" w:color="auto" w:fill="auto"/>
            <w:vAlign w:val="center"/>
          </w:tcPr>
          <w:p w14:paraId="7ADD7CA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1E04BDE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55ADCBEB" w14:textId="77777777" w:rsidTr="004C3C90">
        <w:trPr>
          <w:trHeight w:val="20"/>
        </w:trPr>
        <w:tc>
          <w:tcPr>
            <w:tcW w:w="557" w:type="dxa"/>
            <w:vAlign w:val="center"/>
          </w:tcPr>
          <w:p w14:paraId="464F1517"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68</w:t>
            </w:r>
          </w:p>
        </w:tc>
        <w:tc>
          <w:tcPr>
            <w:tcW w:w="1418" w:type="dxa"/>
            <w:shd w:val="clear" w:color="auto" w:fill="auto"/>
            <w:vAlign w:val="center"/>
          </w:tcPr>
          <w:p w14:paraId="62E8E4A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Heuyer et al (2017)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{"citationItems":[{"id":"ITEM-1","itemData":{"DOI":"10.2147/prom.s131033","ISSN":"1179-271X","abstract":"Purpose: A barometer has been set up to provide better knowledge about the daily situation of French rare disease (RD) patients, their families and relatives, in order to contribute to the elaboration of improvement measures. This report focuses on the care and life path of RD patients. Patients and methods: A preliminary survey was carried out with three patients, five parents and three RD experts to identify the main hurdles and disruptions in the life path of RD patients. It was used to design a larger survey comprising 60 questions as well as open fields allowing free expression. Respondents (448) comprised patients, parents of RD children and close relatives of patients. The Percentage of Maximum Deviation, Yates' correction for continuity and Fisher's test were employed to compare the responses between groups. Results: Large disparities in the delays to obtain a diagnosis were identified (&lt;1 year to &gt;20 years), and longer delays were associated with negative perception of care conditions. While good interactions with education teams were reported (59% of respondents), the professional situation of both patients and parents was strongly and negatively impacted by the disease (51% did not work or stopped working). Three hundred respondents expressed various needs and psychological and personal issues were reported by 62% and 75% of respondents, respectively. Interestingly, the medical care path and daily life of RD patients were positively impacted by the follow-up in a specialized consultation, as reflected by changes in scores measured by our barometer (Fisher's test, p&lt;0.05). Conclusion: Some of the main hurdles and sources of disruption in the life path of RD patients were identified, as well as some positive outcomes. These data could serve not only as a background for further studies, but also to better adapt the support to real needs and to improve the synergies between the many people involved in the life path of RD patients. Keywords: rare disease, survey, patients, life path, diagnosis, care","author":[{"dropping-particle":"","family":"Heuyer","given":"Thomas","non-dropping-particle":"","parse-names":false,"suffix":""},{"dropping-particle":"","family":"Pavan","given":"Sonia","non-dropping-particle":"","parse-names":false,"suffix":""},{"dropping-particle":"","family":"Vicard","given":"Christine","non-dropping-particle":"","parse-names":false,"suffix":""}],"container-title":"Patient Related Outcome Measures","id":"ITEM-1","issued":{"date-parts":[["2017"]]},"title":"The health and life path of rare disease patients: results of the 2015 French barometer","type":"article-journal","volume":"Volume 8"},"uris":["http://www.mendeley.com/documents/?uuid=af4bd852-b0af-37de-8e1e-35f708d5c8db"]}],"mendeley":{"formattedCitation":"[68]","plainTextFormattedCitation":"[68]","previouslyFormattedCitation":"[68]"},"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[68]</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1B98B79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 Relat Outcome Meas</w:t>
            </w:r>
          </w:p>
        </w:tc>
        <w:tc>
          <w:tcPr>
            <w:tcW w:w="1711" w:type="dxa"/>
            <w:shd w:val="clear" w:color="auto" w:fill="auto"/>
            <w:vAlign w:val="center"/>
          </w:tcPr>
          <w:p w14:paraId="4CC78B9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Families)</w:t>
            </w:r>
          </w:p>
        </w:tc>
        <w:tc>
          <w:tcPr>
            <w:tcW w:w="1984" w:type="dxa"/>
            <w:vAlign w:val="center"/>
          </w:tcPr>
          <w:p w14:paraId="1E43367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(France)</w:t>
            </w:r>
          </w:p>
        </w:tc>
        <w:tc>
          <w:tcPr>
            <w:tcW w:w="1843" w:type="dxa"/>
            <w:shd w:val="clear" w:color="auto" w:fill="auto"/>
            <w:vAlign w:val="center"/>
          </w:tcPr>
          <w:p w14:paraId="138D2A7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29A278F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(diagnosis, communications)</w:t>
            </w:r>
          </w:p>
        </w:tc>
        <w:tc>
          <w:tcPr>
            <w:tcW w:w="1418" w:type="dxa"/>
            <w:shd w:val="clear" w:color="auto" w:fill="auto"/>
            <w:vAlign w:val="center"/>
          </w:tcPr>
          <w:p w14:paraId="5907408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06430F4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424C6646" w14:textId="77777777" w:rsidTr="004C3C90">
        <w:trPr>
          <w:trHeight w:val="20"/>
        </w:trPr>
        <w:tc>
          <w:tcPr>
            <w:tcW w:w="557" w:type="dxa"/>
            <w:vAlign w:val="center"/>
          </w:tcPr>
          <w:p w14:paraId="0774C7E6"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69</w:t>
            </w:r>
          </w:p>
        </w:tc>
        <w:tc>
          <w:tcPr>
            <w:tcW w:w="1418" w:type="dxa"/>
            <w:shd w:val="clear" w:color="auto" w:fill="auto"/>
            <w:vAlign w:val="center"/>
          </w:tcPr>
          <w:p w14:paraId="262567A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Cacioppo et al (2016)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{"citationItems":[{"id":"ITEM-1","itemData":{"DOI":"10.1002/ajmg.c.31504","ISSN":"15524876","abstract":"There is an abundance of information in the literature on patient experiences with Internet support groups (ISGs). However, studies exploring these experiences in a rare disease population are scarce, even though these families are often at a disadvantage for resources, reliable information, and support. The aim of the current study was to explore the experiences with ISGs for parents of children with Cornelia de Lange syndrome (CdLS), a rare genetic diagnosis, in order to better understand the impact on emotional support and their child's medical care. Focus groups were conducted to inform the design of a large-scale internet survey. The survey asked parents closed- and open-ended questions regarding experiences with ISGs, with a focus on the psychosocial, medical, and logistical aspects. The survey found that 141/170 (82.6%) respondents have visited an Internet-based support group to find support or information about their child's CdLS diagnosis. The majority of respondents (71.7%) reported that ISGs have been helpful in finding emotional support, with the most common areas impacted as a result of ISG participation being behavior toward their children and family dynamic. Regarding medical care, most respondents (63.9%) reported that ISGs have been helpful in finding medical information and support, with the most commonly impacted areas of their child's care including day-to-day management, diet, therapy interventions, and healthcare providers. These findings provide a greater understanding of the role of Internet networking in healthcare and may inform future approaches to medical care and psychosocial support for rare, complex genetic diagnoses. © 2016 Wiley Periodicals, Inc.","author":[{"dropping-particle":"","family":"Cacioppo","given":"Cara N.","non-dropping-particle":"","parse-names":false,"suffix":""},{"dropping-particle":"","family":"Conway","given":"Laura J.","non-dropping-particle":"","parse-names":false,"suffix":""},{"dropping-particle":"","family":"Mehta","given":"Devanshi","non-dropping-particle":"","parse-names":false,"suffix":""},{"dropping-particle":"","family":"Krantz","given":"Ian D.","non-dropping-particle":"","parse-names":false,"suffix":""},{"dropping-particle":"","family":"Noon","given":"Sarah E.","non-dropping-particle":"","parse-names":false,"suffix":""}],"container-title":"American Journal of Medical Genetics, Part C: Seminars in Medical Genetics","id":"ITEM-1","issue":"2","issued":{"date-parts":[["2016"]]},"title":"Attitudes about the use of internet support groups and the impact among parents of children with Cornelia de Lange syndrome","type":"article-journal","volume":"172"},"uris":["http://www.mendeley.com/documents/?uuid=e7622792-4043-3057-9b95-9404575a3030"]}],"mendeley":{"formattedCitation":"[69]","plainTextFormattedCitation":"[69]","previouslyFormattedCitation":"[69]"},"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[69]</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0405FB6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Am J Med Genet Part C Semin Med Genet</w:t>
            </w:r>
          </w:p>
        </w:tc>
        <w:tc>
          <w:tcPr>
            <w:tcW w:w="1711" w:type="dxa"/>
            <w:shd w:val="clear" w:color="auto" w:fill="auto"/>
            <w:vAlign w:val="center"/>
          </w:tcPr>
          <w:p w14:paraId="748AB62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(Families)</w:t>
            </w:r>
          </w:p>
        </w:tc>
        <w:tc>
          <w:tcPr>
            <w:tcW w:w="1984" w:type="dxa"/>
            <w:vAlign w:val="center"/>
          </w:tcPr>
          <w:p w14:paraId="087AA2D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63C55C6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Cornelia de Lange syndrome (LD2F.1Y)</w:t>
            </w:r>
          </w:p>
        </w:tc>
        <w:tc>
          <w:tcPr>
            <w:tcW w:w="1559" w:type="dxa"/>
            <w:shd w:val="clear" w:color="auto" w:fill="auto"/>
            <w:vAlign w:val="center"/>
          </w:tcPr>
          <w:p w14:paraId="2575EC6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(with internet support group)</w:t>
            </w:r>
          </w:p>
        </w:tc>
        <w:tc>
          <w:tcPr>
            <w:tcW w:w="1418" w:type="dxa"/>
            <w:shd w:val="clear" w:color="auto" w:fill="auto"/>
            <w:vAlign w:val="center"/>
          </w:tcPr>
          <w:p w14:paraId="37F9F15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(Questionnaire + Interview)</w:t>
            </w:r>
          </w:p>
        </w:tc>
        <w:tc>
          <w:tcPr>
            <w:tcW w:w="709" w:type="dxa"/>
            <w:shd w:val="clear" w:color="auto" w:fill="auto"/>
            <w:vAlign w:val="center"/>
          </w:tcPr>
          <w:p w14:paraId="0AADA2D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7A028422" w14:textId="77777777" w:rsidTr="004C3C90">
        <w:trPr>
          <w:trHeight w:val="20"/>
        </w:trPr>
        <w:tc>
          <w:tcPr>
            <w:tcW w:w="557" w:type="dxa"/>
            <w:vAlign w:val="center"/>
          </w:tcPr>
          <w:p w14:paraId="07FC5B4F"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70</w:t>
            </w:r>
          </w:p>
        </w:tc>
        <w:tc>
          <w:tcPr>
            <w:tcW w:w="1418" w:type="dxa"/>
            <w:shd w:val="clear" w:color="auto" w:fill="auto"/>
            <w:vAlign w:val="center"/>
          </w:tcPr>
          <w:p w14:paraId="77478A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Engelstad et al (2016)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{"citationItems":[{"id":"ITEM-1","itemData":{"DOI":"10.1093/humrep/dew033","ISSN":"14602350","abstract":"STUDY QUESTION: Among women who carry pathogenic mitochondrial DNA (mtDNA) point mutations and healthy oocyte donors, what are the levels of support for developing oocyte mitochondrial replacement therapy (OMRT) to prevent transmission of mtDNA mutations? SUMMARY ANSWER: The majority of mtDNA carriers and oocyte donors support the development of OMRT techniques to prevent transmission of mtDNA diseases. WHAT IS KNOWN ALREADY: Point mutations of mtDNA cause a variety of maternally inherited human diseases that are frequently disabling and often fatal. Recent developments in (OMRT) as well as pronuclear transfer between embryos offer new potential options to prevent transmission of mtDNA disease. However, it is unclear whether the non-scientific community will approve of embryos that contain DNA from three people. STUDY DESIGN, SIZE, DURATION: Between 1 June 2012 through 12 February 2015, we administered surveys in cross-sectional studies of 92 female carriers of mtDNA point mutations and 112 healthy oocyte donors. PARTICIPANTS/MATERIALS, SETTING, METHODS: The OMRT carrier survey was completed by 92 female carriers of an mtDNA point mutation. Carriers were recruited through the North American Mitochondrial Disease Consortium (NAMDC), the United Mitochondrial Disease Foundation (UMDF), patient support groups, research and private patients followed at the Columbia University Medical Center (CUMC) and patients' referrals of maternal relatives. The OMRT donor survey was completed by 112 women who had donated oocytes through a major in vitro fertilization clinic. MAIN RESULTS AND THE ROLE OF CHANCE: All carriers surveyed were aware that they could transmit the mutation to their offspring, with 78% (35/45) of women, who were of childbearing age, indicating that the risk was sufficient to consider not having children, and 95% (87/92) of all carriers designating that the development of this technique was important and worthwhile. Of the 21 surveyed female carriers considering childbearing, 20 (95%) considered having their own biological offspring somewhat or very important and 16 of the 21 respondents (76%) were willing to donate oocytes for research and development. Of 112 healthy oocyte donors who completed the OMRT donor survey, 97 (87%) indicated that they would donate oocytes for generating a viable embryo through OMRT. LIMITATIONS, REASONS FOR CAUTION: Many of the participants were either patients or relatives of patients who were already enrolled in a rese…","author":[{"dropping-particle":"","family":"Engelstad","given":"Kristin","non-dropping-particle":"","parse-names":false,"suffix":""},{"dropping-particle":"","family":"Sklerov","given":"Miriam","non-dropping-particle":"","parse-names":false,"suffix":""},{"dropping-particle":"","family":"Kriger","given":"Joshua","non-dropping-particle":"","parse-names":false,"suffix":""},{"dropping-particle":"","family":"Sanford","given":"Alexandra","non-dropping-particle":"","parse-names":false,"suffix":""},{"dropping-particle":"","family":"Grier","given":"Johnston","non-dropping-particle":"","parse-names":false,"suffix":""},{"dropping-particle":"","family":"Ash","given":"Daniel","non-dropping-particle":"","parse-names":false,"suffix":""},{"dropping-particle":"","family":"Egli","given":"Dieter","non-dropping-particle":"","parse-names":false,"suffix":""},{"dropping-particle":"","family":"DiMauro","given":"Salvatore","non-dropping-particle":"","parse-names":false,"suffix":""},{"dropping-particle":"","family":"Thompson","given":"John L.P.","non-dropping-particle":"","parse-names":false,"suffix":""},{"dropping-particle":"V.","family":"Sauer","given":"Mark","non-dropping-particle":"","parse-names":false,"suffix":""},{"dropping-particle":"","family":"Hirano","given":"Michio","non-dropping-particle":"","parse-names":false,"suffix":""}],"container-title":"Human Reproduction","id":"ITEM-1","issue":"5","issued":{"date-parts":[["2016"]]},"title":"Attitudes toward prevention of mtDNA-related diseases through oocyte mitochondrial replacement therapy","type":"article-journal","volume":"31"},"uris":["http://www.mendeley.com/documents/?uuid=dfcf16a0-4a87-302d-99f7-a3e0809f26f7"]}],"mendeley":{"formattedCitation":"[70]","plainTextFormattedCitation":"[70]","previouslyFormattedCitation":"[70]"},"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[70]</w:t>
            </w:r>
            <w:r w:rsidRPr="004C3C90">
              <w:rPr>
                <w:rFonts w:ascii="Times New Roman" w:eastAsia="Times New Roman" w:hAnsi="Times New Roman" w:cs="Times New Roman"/>
                <w:sz w:val="20"/>
                <w:szCs w:val="20"/>
              </w:rPr>
              <w:fldChar w:fldCharType="end"/>
            </w:r>
            <w:r w:rsidRPr="004C3C90">
              <w:rPr>
                <w:rFonts w:ascii="Times New Roman" w:eastAsia="Times New Roman" w:hAnsi="Times New Roman" w:cs="Times New Roman"/>
                <w:sz w:val="20"/>
                <w:szCs w:val="20"/>
              </w:rPr>
              <w:t xml:space="preserve"> </w:t>
            </w:r>
          </w:p>
        </w:tc>
        <w:tc>
          <w:tcPr>
            <w:tcW w:w="1701" w:type="dxa"/>
            <w:shd w:val="clear" w:color="auto" w:fill="auto"/>
            <w:vAlign w:val="center"/>
          </w:tcPr>
          <w:p w14:paraId="0EA9FD9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Hum Reprod</w:t>
            </w:r>
          </w:p>
        </w:tc>
        <w:tc>
          <w:tcPr>
            <w:tcW w:w="1711" w:type="dxa"/>
            <w:shd w:val="clear" w:color="auto" w:fill="auto"/>
            <w:vAlign w:val="center"/>
          </w:tcPr>
          <w:p w14:paraId="2A7272F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Families) + Group 3 (Donors)</w:t>
            </w:r>
          </w:p>
        </w:tc>
        <w:tc>
          <w:tcPr>
            <w:tcW w:w="1984" w:type="dxa"/>
            <w:vAlign w:val="center"/>
          </w:tcPr>
          <w:p w14:paraId="03B1DAF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59299F5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2CD227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(treatment)</w:t>
            </w:r>
          </w:p>
        </w:tc>
        <w:tc>
          <w:tcPr>
            <w:tcW w:w="1418" w:type="dxa"/>
            <w:shd w:val="clear" w:color="auto" w:fill="auto"/>
            <w:vAlign w:val="center"/>
          </w:tcPr>
          <w:p w14:paraId="153FF04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50F249B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6CEE1981" w14:textId="77777777" w:rsidTr="004C3C90">
        <w:trPr>
          <w:trHeight w:val="20"/>
        </w:trPr>
        <w:tc>
          <w:tcPr>
            <w:tcW w:w="557" w:type="dxa"/>
            <w:vAlign w:val="center"/>
          </w:tcPr>
          <w:p w14:paraId="4D941552"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71</w:t>
            </w:r>
          </w:p>
        </w:tc>
        <w:tc>
          <w:tcPr>
            <w:tcW w:w="1418" w:type="dxa"/>
            <w:shd w:val="clear" w:color="auto" w:fill="auto"/>
            <w:vAlign w:val="center"/>
          </w:tcPr>
          <w:p w14:paraId="4502C62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Xin et al (2016)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{"citationItems":[{"id":"ITEM-1","itemData":{"DOI":"10.4103/0366-6999.183425","ISSN":"03666999","abstract":"Background: China has not established social security system for rare diseases. Rare diseases could easily impoverish patients and their families. Little research has studied the equity and accessibility of health services for patients with rare diseases in China. This study aimed to explore the factors that influence health expenditure of rare diseases and evaluate its equity. Methods: Questionnaire survey about living conditions and cost burden of patients with rare diseases was conducted. Individual and family information, health expenditure and reimbursement in 2014 of 982 patients were collected. The impact of medical insurance, individual sociodemographic characteristics, family characteristics, and healthcare need on total and out-of-pocket (OOP) health expenditures was analyzed through the generalized linear model. Equity of health expenditure was evaluated by both concentration index and Lorenz curve. Results: Of all the surveyed patients, 11.41% had no medical insurance and 92.10% spent money to seek medical treatment in 2014. It was suggested female (P = 0.048), over 50 years of age (P = 0.062), high-income group (P = 0.021), hospitalization (P = 0.000), and reimbursement ratio (RR) (P = 0.000) were positively correlated with total health expenditure. Diseases not needing long-term treatment (P = 0.000) was negatively correlated with total health expenditure. Over 50 years of age (P = 0.065), high-income group (P = 0.018), hospitalization (P = 0.000) and having Urban Employee Basic Medical Insurance (UEBMI) (P = 0.022) were positively correlated with OOP health expenditure. Patient or the head of the household having received higher education (P = 0.044 and P = 0.081) and reimbursement ratio (P = 0.078) were negatively correlated with OOP health expenditure. The equity evaluation found concentration indexes of health expenditure before and after reimbursement were 0.0550 and 0.0539, respectively. Conclusions: OOP health expenditure of patients with UEBMI was significantly more than that of patients without medical insurance. However, for any other medical insurance, there was no difference between OOP health expenditure of the insured patients and patients without insurance. The current reimbursement policies have increased the equity of health expenditure, but are biased toward high-income people.","author":[{"dropping-particle":"","family":"Xin","given":"Xiao Xiong","non-dropping-particle":"","parse-names":false,"suffix":""},{"dropping-particle":"","family":"Zhao","given":"Liang","non-dropping-particle":"","parse-names":false,"suffix":""},{"dropping-particle":"","family":"Guan","given":"Xiao Dong","non-dropping-particle":"","parse-names":false,"suffix":""},{"dropping-particle":"","family":"Shi","given":"Lu Wen","non-dropping-particle":"","parse-names":false,"suffix":""}],"container-title":"Chinese Medical Journal","id":"ITEM-1","issue":"12","issued":{"date-parts":[["2016"]]},"title":"Determinants and equity evaluation for health expenditure among patients with rare diseases in China","type":"article-journal","volume":"129"},"uris":["http://www.mendeley.com/documents/?uuid=9ad48cfb-5555-33fb-8e21-47b8d61b1249"]}],"mendeley":{"formattedCitation":"[71]","plainTextFormattedCitation":"[71]","previouslyFormattedCitation":"[71]"},"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[71]</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1677A39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Chin Med J (Engl)</w:t>
            </w:r>
          </w:p>
        </w:tc>
        <w:tc>
          <w:tcPr>
            <w:tcW w:w="1711" w:type="dxa"/>
            <w:shd w:val="clear" w:color="auto" w:fill="auto"/>
            <w:vAlign w:val="center"/>
          </w:tcPr>
          <w:p w14:paraId="06CB121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37821EC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Asia (China)</w:t>
            </w:r>
          </w:p>
        </w:tc>
        <w:tc>
          <w:tcPr>
            <w:tcW w:w="1843" w:type="dxa"/>
            <w:shd w:val="clear" w:color="auto" w:fill="auto"/>
            <w:vAlign w:val="center"/>
          </w:tcPr>
          <w:p w14:paraId="15E4708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77BD742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(financial burden)</w:t>
            </w:r>
          </w:p>
        </w:tc>
        <w:tc>
          <w:tcPr>
            <w:tcW w:w="1418" w:type="dxa"/>
            <w:shd w:val="clear" w:color="auto" w:fill="auto"/>
            <w:vAlign w:val="center"/>
          </w:tcPr>
          <w:p w14:paraId="3A1F0F0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5491802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48C3E872" w14:textId="77777777" w:rsidTr="004C3C90">
        <w:trPr>
          <w:trHeight w:val="20"/>
        </w:trPr>
        <w:tc>
          <w:tcPr>
            <w:tcW w:w="557" w:type="dxa"/>
            <w:vAlign w:val="center"/>
          </w:tcPr>
          <w:p w14:paraId="055552B1"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72</w:t>
            </w:r>
          </w:p>
        </w:tc>
        <w:tc>
          <w:tcPr>
            <w:tcW w:w="1418" w:type="dxa"/>
            <w:shd w:val="clear" w:color="auto" w:fill="auto"/>
            <w:vAlign w:val="center"/>
          </w:tcPr>
          <w:p w14:paraId="3552084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Behan et al (2016)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{"citationItems":[{"id":"ITEM-1","itemData":{"DOI":"10.1183/13993003.02018-2015","ISSN":"13993003","abstract":"Primary ciliary dyskinesia (PCD) is a rare genetic disorder characterised by progressive sinopulmonary disease, with symptoms starting soon after birth. A European Respiratory Society (ERS) Task Force aims to address disparities in diagnostics across Europe by providing evidence-based clinical practice guidelines. We aimed to identify challenges faced by patients when referred for PCD diagnostic testing. A patient survey was developed by patient representatives and healthcare specialists to capture experience. Online versions of the survey were translated into nine languages and completed in 25 countries. Of the respondents (n=365), 74% were PCD-positive, 5% PCD-negative and 21% PCDuncertain/ inconclusive. We then interviewed 20 parents/patients. Transcripts were analysed thematically. 35% of respondents visited their doctor more than 40 times with PCD-related symptoms prior to diagnostic referral. Furthermore, the most prominent theme among interviewees was a lack of PCD awareness among medical practitioners and failure to take past history into account, leading to delayed diagnosis. Patients also highlighted the need for improved reporting of results and a solution to the \"inconclusive\" diagnostic status. These findings will be used to advise the ERS Task Force guidelines for diagnosing PCD, and should help stakeholders responsible for improving existing services and expanding provision for diagnosis of this rare disease.","author":[{"dropping-particle":"","family":"Behan","given":"Laura","non-dropping-particle":"","parse-names":false,"suffix":""},{"dropping-particle":"","family":"Galvin","given":"Audrey Dunn","non-dropping-particle":"","parse-names":false,"suffix":""},{"dropping-particle":"","family":"Rubbo","given":"Bruna","non-dropping-particle":"","parse-names":false,"suffix":""},{"dropping-particle":"","family":"Masefield","given":"Sarah","non-dropping-particle":"","parse-names":false,"suffix":""},{"dropping-particle":"","family":"Copeland","given":"Fiona","non-dropping-particle":"","parse-names":false,"suffix":""},{"dropping-particle":"","family":"Manion","given":"Michele","non-dropping-particle":"","parse-names":false,"suffix":""},{"dropping-particle":"","family":"Rindlisbacher","given":"Bernhard","non-dropping-particle":"","parse-names":false,"suffix":""},{"dropping-particle":"","family":"Redfern","given":"Beatrice","non-dropping-particle":"","parse-names":false,"suffix":""},{"dropping-particle":"","family":"Lucas","given":"Jane S.","non-dropping-particle":"","parse-names":false,"suffix":""}],"container-title":"European Respiratory Journal","id":"ITEM-1","issue":"4","issued":{"date-parts":[["2016"]]},"title":"Diagnosing primary ciliary dyskinesia: An international patient perspective","type":"article-journal","volume":"48"},"uris":["http://www.mendeley.com/documents/?uuid=bb2193ce-1cb9-3002-a0b6-fc06e15bbad3"]}],"mendeley":{"formattedCitation":"[72]","plainTextFormattedCitation":"[72]","previouslyFormattedCitation":"[72]"},"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[72]</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2714333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Eur Respir J</w:t>
            </w:r>
          </w:p>
        </w:tc>
        <w:tc>
          <w:tcPr>
            <w:tcW w:w="1711" w:type="dxa"/>
            <w:shd w:val="clear" w:color="auto" w:fill="auto"/>
            <w:vAlign w:val="center"/>
          </w:tcPr>
          <w:p w14:paraId="4CFD408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Families)</w:t>
            </w:r>
          </w:p>
        </w:tc>
        <w:tc>
          <w:tcPr>
            <w:tcW w:w="1984" w:type="dxa"/>
            <w:vAlign w:val="center"/>
          </w:tcPr>
          <w:p w14:paraId="2AA292A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Africa (Algeria, South Africa) + Asia (Iran, Qatar) + Europe (Austria, Belgium, Cyprus, Denmark, France, Germany, Greece, Ireland, Italy, Norway, Poland, </w:t>
            </w:r>
            <w:r w:rsidRPr="004C3C90">
              <w:rPr>
                <w:rFonts w:ascii="Times New Roman" w:eastAsia="Times New Roman" w:hAnsi="Times New Roman" w:cs="Times New Roman"/>
                <w:sz w:val="20"/>
                <w:szCs w:val="20"/>
              </w:rPr>
              <w:lastRenderedPageBreak/>
              <w:t>Portugal, Spain, Switzerland, UK) + North America (Canada, US)  + Oceania (Australia) + South America (Chile)</w:t>
            </w:r>
          </w:p>
        </w:tc>
        <w:tc>
          <w:tcPr>
            <w:tcW w:w="1843" w:type="dxa"/>
            <w:shd w:val="clear" w:color="auto" w:fill="auto"/>
            <w:vAlign w:val="center"/>
          </w:tcPr>
          <w:p w14:paraId="39E0EF4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lastRenderedPageBreak/>
              <w:t>Primary ciliary dyskinesia (LA75.Y)</w:t>
            </w:r>
          </w:p>
        </w:tc>
        <w:tc>
          <w:tcPr>
            <w:tcW w:w="1559" w:type="dxa"/>
            <w:shd w:val="clear" w:color="auto" w:fill="auto"/>
            <w:vAlign w:val="center"/>
          </w:tcPr>
          <w:p w14:paraId="054946A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(diagnosis, treatment)</w:t>
            </w:r>
          </w:p>
        </w:tc>
        <w:tc>
          <w:tcPr>
            <w:tcW w:w="1418" w:type="dxa"/>
            <w:shd w:val="clear" w:color="auto" w:fill="auto"/>
            <w:vAlign w:val="center"/>
          </w:tcPr>
          <w:p w14:paraId="67271FF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(Questionnaire + Interview)</w:t>
            </w:r>
          </w:p>
        </w:tc>
        <w:tc>
          <w:tcPr>
            <w:tcW w:w="709" w:type="dxa"/>
            <w:shd w:val="clear" w:color="auto" w:fill="auto"/>
            <w:vAlign w:val="center"/>
          </w:tcPr>
          <w:p w14:paraId="63016D1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67126A55" w14:textId="77777777" w:rsidTr="004C3C90">
        <w:trPr>
          <w:trHeight w:val="20"/>
        </w:trPr>
        <w:tc>
          <w:tcPr>
            <w:tcW w:w="557" w:type="dxa"/>
            <w:vAlign w:val="center"/>
          </w:tcPr>
          <w:p w14:paraId="1EB9415F"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73</w:t>
            </w:r>
          </w:p>
        </w:tc>
        <w:tc>
          <w:tcPr>
            <w:tcW w:w="1418" w:type="dxa"/>
            <w:shd w:val="clear" w:color="auto" w:fill="auto"/>
            <w:vAlign w:val="center"/>
          </w:tcPr>
          <w:p w14:paraId="440D98D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Karaa et al (2016)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{"citationItems":[{"id":"ITEM-1","itemData":{"DOI":"10.1016/j.ymgme.2016.07.005","ISSN":"10967206","abstract":"Surveys of mitochondrial disease physicians conducted through the Mitochondrial Medicine Society have shown that virtually all providers recommend a variety of dietary supplements as treatments to their patients in an effort to enhance energy production and reduce oxidative stress. In this survey, we asked patients and their parents about their experiences taking these dietary supplements for mitochondrial disease. The survey was disseminated through the North American Mitochondrial Disease Consortium (NAMDC) and the Rare Disease Clinical Research Network (RDCRN) registries and gathered 162 responses. The study ascertained each patient's mitochondrial disease diagnosis, dietary supplements used, adjunct therapy, and effects of the supplements on symptoms and health. Regardless of the specific underlying mitochondrial disease, the majority of the survey respondents stated they are or have been on dietary supplements. Most patients take more than four supplements primarily coenzyme Q10, L-carnitine, and riboflavin. The majority of patients taking supplements reported health benefits from the supplements. The onset of perceived benefits was between 2 weeks to 3 months of initiating intake. Supplements seem to be safe, with only 28% of patients experiencing mild side-effects and only 5.6% discontinuing their intake due to intolerance. Only 9% of patients had insurance coverage for their supplements and when paying out of pocket, 95% of them spend up to $500/month. Despite the use of concomitant therapies (prescribed medications, physical therapy, diet changes and other), 45.5% of patients think that dietary supplements are the only intervention improving their symptoms. Some limitations of this study include the retrospective collection of data probably associated with substantial recall bias, lack of longitudinal follow up to document pre- and post-supplement clinical status and second hand reports by parents for children which may reflect parents’ subjective interpretation of symptoms severity and supplements effect rather than real patients’ experience. More extensive prospective studies will help further elucidate this topic.","author":[{"dropping-particle":"","family":"Karaa","given":"Amel","non-dropping-particle":"","parse-names":false,"suffix":""},{"dropping-particle":"","family":"Kriger","given":"Joshua","non-dropping-particle":"","parse-names":false,"suffix":""},{"dropping-particle":"","family":"Grier","given":"Johnston","non-dropping-particle":"","parse-names":false,"suffix":""},{"dropping-particle":"","family":"Holbert","given":"Amy","non-dropping-particle":"","parse-names":false,"suffix":""},{"dropping-particle":"","family":"Thompson","given":"John L.P.","non-dropping-particle":"","parse-names":false,"suffix":""},{"dropping-particle":"","family":"Parikh","given":"Sumit","non-dropping-particle":"","parse-names":false,"suffix":""},{"dropping-particle":"","family":"Hirano","given":"Michio","non-dropping-particle":"","parse-names":false,"suffix":""}],"container-title":"Molecular Genetics and Metabolism","id":"ITEM-1","issue":"1-2","issued":{"date-parts":[["2016"]]},"title":"Mitochondrial disease patients’ perception of dietary supplements’ use","type":"article-journal","volume":"119"},"uris":["http://www.mendeley.com/documents/?uuid=dc378adf-273b-3f24-9680-0b5bd65fdcdb"]}],"mendeley":{"formattedCitation":"[73]","plainTextFormattedCitation":"[73]","previouslyFormattedCitation":"[73]"},"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[73]</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58ACC32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Mol Genet Metab</w:t>
            </w:r>
          </w:p>
        </w:tc>
        <w:tc>
          <w:tcPr>
            <w:tcW w:w="1711" w:type="dxa"/>
            <w:shd w:val="clear" w:color="auto" w:fill="auto"/>
            <w:vAlign w:val="center"/>
          </w:tcPr>
          <w:p w14:paraId="76C7633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Families)</w:t>
            </w:r>
          </w:p>
        </w:tc>
        <w:tc>
          <w:tcPr>
            <w:tcW w:w="1984" w:type="dxa"/>
            <w:vAlign w:val="center"/>
          </w:tcPr>
          <w:p w14:paraId="5A37249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108320B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118A523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(treatment)</w:t>
            </w:r>
          </w:p>
        </w:tc>
        <w:tc>
          <w:tcPr>
            <w:tcW w:w="1418" w:type="dxa"/>
            <w:shd w:val="clear" w:color="auto" w:fill="auto"/>
            <w:vAlign w:val="center"/>
          </w:tcPr>
          <w:p w14:paraId="027FC92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7B542B6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27436191" w14:textId="77777777" w:rsidTr="004C3C90">
        <w:trPr>
          <w:trHeight w:val="20"/>
        </w:trPr>
        <w:tc>
          <w:tcPr>
            <w:tcW w:w="557" w:type="dxa"/>
            <w:vAlign w:val="center"/>
          </w:tcPr>
          <w:p w14:paraId="48863424"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74</w:t>
            </w:r>
          </w:p>
        </w:tc>
        <w:tc>
          <w:tcPr>
            <w:tcW w:w="1418" w:type="dxa"/>
            <w:shd w:val="clear" w:color="auto" w:fill="auto"/>
            <w:vAlign w:val="center"/>
          </w:tcPr>
          <w:p w14:paraId="5F8B2D2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Serrano-Aguilar et al (2016)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{"citationItems":[{"id":"ITEM-1","itemData":{"DOI":"10.1080/21678707.2016.1182907","ISSN":"21678707","abstract":"Objective: To identify the most relevant self-perceived health problems and unmet needs among adults with inherited retinal dystrophies (IRDs) in order to incorporate patients’ perspective from the initial design of a clinical practice guideline (CPG) for IRDs in Spain. Research design and methods: A systematic review (SR) and a survey according to the Delphi method were carried out. Main Outcome Measures: Self-perceived health problems, unmet needs of care and treatment expectations related to IRDs. Results: From the SR, no information was found regarding unmet health care needs or dissatisfaction with health care services. In the survey, the most significant self-reported health problems were progressive decrease in visual acuity, visual field loss, abnormal sensitivity to light or glare, and night blindness. The main unmet needs were scarcity of disease information, lack of protocols for effective disease management and limited professional empathy. Treatment expectations were focused on the availability of protective and aids devices, easier access to rehabilitative services and psychological support. Conclusion: Patient involvement in CPG development helps to reduce the gap between the drawbacks of the routine clinical management and real-life needs of patients, especially in the context of rare diseases as IRDs where evidence-based therapies are scarce.","author":[{"dropping-particle":"","family":"Serrano-Aguilar","given":"P.","non-dropping-particle":"","parse-names":false,"suffix":""},{"dropping-particle":"","family":"Trujillo-Martin","given":"M. M.","non-dropping-particle":"","parse-names":false,"suffix":""},{"dropping-particle":"","family":"Pino Sedeño","given":"Tasmania","non-dropping-particle":"Del","parse-names":false,"suffix":""},{"dropping-particle":"","family":"Pérez De La Rosa","given":"A.","non-dropping-particle":"","parse-names":false,"suffix":""},{"dropping-particle":"","family":"Pascual y Medina","given":"A. M.","non-dropping-particle":"De","parse-names":false,"suffix":""},{"dropping-particle":"","family":"Perestelo-Pérez","given":"L.","non-dropping-particle":"","parse-names":false,"suffix":""},{"dropping-particle":"","family":"Toledo-Chávarri","given":"A.","non-dropping-particle":"","parse-names":false,"suffix":""},{"dropping-particle":"","family":"La Paz","given":"Manuel Posada","non-dropping-particle":"De","parse-names":false,"suffix":""},{"dropping-particle":"","family":"Sarría Santamera","given":"A.","non-dropping-particle":"","parse-names":false,"suffix":""},{"dropping-particle":"","family":"López-Veiga","given":"Maximino José Abraldes","non-dropping-particle":"","parse-names":false,"suffix":""},{"dropping-particle":"","family":"García","given":"Carmen Ayuso","non-dropping-particle":"","parse-names":false,"suffix":""},{"dropping-particle":"","family":"Marano","given":"Ricardo Pedro Casaroli","non-dropping-particle":"","parse-names":false,"suffix":""},{"dropping-particle":"","family":"Coco Martín","given":"Rosa M.","non-dropping-particle":"","parse-names":false,"suffix":""},{"dropping-particle":"","family":"Codina","given":"Benito","non-dropping-particle":"","parse-names":false,"suffix":""},{"dropping-particle":"","family":"Ribes","given":"Miguel García","non-dropping-particle":"","parse-names":false,"suffix":""},{"dropping-particle":"","family":"Millán Salvador","given":"José M.","non-dropping-particle":"","parse-names":false,"suffix":""},{"dropping-particle":"","family":"Navarro","given":"Rafael","non-dropping-particle":"","parse-names":false,"suffix":""},{"dropping-particle":"","family":"Ríos","given":"Alicia Pareja","non-dropping-particle":"","parse-names":false,"suffix":""},{"dropping-particle":"","family":"Lozano","given":"Isabel Pinilla","non-dropping-particle":"","parse-names":false,"suffix":""},{"dropping-particle":"","family":"Rodríguez","given":"Teresa Rivera","non-dropping-particle":"","parse-names":false,"suffix":""},{"dropping-particle":"","family":"Neila","given":"Elena Rodríguez","non-dropping-particle":"","parse-names":false,"suffix":""},{"dropping-particle":"","family":"La Rúa Franch","given":"Enrique Rodríguez","non-dropping-particle":"De","parse-names":false,"suffix":""},{"dropping-particle":"","family":"Ruiz-Colmenares","given":"Ma Rosa Sanabria","non-dropping-particle":"","parse-names":false,"suffix":""},{"dropping-particle":"","family":"Aguilar","given":"Pedro Serrano","non-dropping-particle":"","parse-names":false,"suffix":""},{"dropping-particle":"","family":"Lloveras","given":"Inmaculada Torre","non-dropping-particle":"","parse-names":false,"suffix":""},{"dropping-particle":"","family":"Mar Trujillo Martín","given":"M.","non-dropping-particle":"Del","parse-names":false,"suffix":""},{"dropping-particle":"","family":"Soler","given":"Concepción Vilela","non-dropping-particle":"","parse-names":false,"suffix":""},{"dropping-particle":"","family":"Victori","given":"Miguel Zapata","non-dropping-particle":"","parse-names":false,"suffix":""}],"container-title":"Expert Opinion on Orphan Drugs","id":"ITEM-1","issue":"7","issued":{"date-parts":[["2016"]]},"title":"Patient participation in the development of a clinical guideline for inherited retinal dystrophies","type":"article","volume":"4"},"uris":["http://www.mendeley.com/documents/?uuid=06debc23-e9af-3cc7-bf27-2dfd42e632f0"]}],"mendeley":{"formattedCitation":"[74]","plainTextFormattedCitation":"[74]","previouslyFormattedCitation":"[74]"},"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[74]</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7951315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Expert Opin. Orphan Drugs</w:t>
            </w:r>
          </w:p>
        </w:tc>
        <w:tc>
          <w:tcPr>
            <w:tcW w:w="1711" w:type="dxa"/>
            <w:shd w:val="clear" w:color="auto" w:fill="auto"/>
            <w:vAlign w:val="center"/>
          </w:tcPr>
          <w:p w14:paraId="3ADE216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76B46E1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(Spain)</w:t>
            </w:r>
          </w:p>
        </w:tc>
        <w:tc>
          <w:tcPr>
            <w:tcW w:w="1843" w:type="dxa"/>
            <w:shd w:val="clear" w:color="auto" w:fill="auto"/>
            <w:vAlign w:val="center"/>
          </w:tcPr>
          <w:p w14:paraId="02F15ED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 hereditary retinal dystrophy (9B70)</w:t>
            </w:r>
          </w:p>
        </w:tc>
        <w:tc>
          <w:tcPr>
            <w:tcW w:w="1559" w:type="dxa"/>
            <w:shd w:val="clear" w:color="auto" w:fill="auto"/>
            <w:vAlign w:val="center"/>
          </w:tcPr>
          <w:p w14:paraId="00D07EA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(health problems, access to information, treatment)</w:t>
            </w:r>
          </w:p>
        </w:tc>
        <w:tc>
          <w:tcPr>
            <w:tcW w:w="1418" w:type="dxa"/>
            <w:shd w:val="clear" w:color="auto" w:fill="auto"/>
            <w:vAlign w:val="center"/>
          </w:tcPr>
          <w:p w14:paraId="5998968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(Delphi technique + Literature review)</w:t>
            </w:r>
          </w:p>
        </w:tc>
        <w:tc>
          <w:tcPr>
            <w:tcW w:w="709" w:type="dxa"/>
            <w:shd w:val="clear" w:color="auto" w:fill="auto"/>
            <w:vAlign w:val="center"/>
          </w:tcPr>
          <w:p w14:paraId="4DD2B3A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3C0B4DEC" w14:textId="77777777" w:rsidTr="004C3C90">
        <w:trPr>
          <w:trHeight w:val="20"/>
        </w:trPr>
        <w:tc>
          <w:tcPr>
            <w:tcW w:w="557" w:type="dxa"/>
            <w:vAlign w:val="center"/>
          </w:tcPr>
          <w:p w14:paraId="5F02C53A"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75</w:t>
            </w:r>
          </w:p>
        </w:tc>
        <w:tc>
          <w:tcPr>
            <w:tcW w:w="1418" w:type="dxa"/>
            <w:shd w:val="clear" w:color="auto" w:fill="auto"/>
            <w:vAlign w:val="center"/>
          </w:tcPr>
          <w:p w14:paraId="08551BD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Darquy et al (2016)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{"citationItems":[{"id":"ITEM-1","itemData":{"DOI":"10.1038/ejhg.2015.115","ISSN":"14765438","abstract":"The purpose of this study was to explore patient and family views on the sharing of their medical data in the context of compiling a European leukodystrophies database. A survey questionnaire was delivered with help from referral centers and the European Leukodystrophies Association, and the questionnaires returned were both quantitatively and qualitatively analyzed. This study found that patients/families were strongly in favor of participating. Patients/families hold great hope and trust in the development of this type of research. They have a strong need for information and transparency on database governance, the conditions framing access to data, all research conducted, partnerships with the pharmaceutical industry, and they also need access to results. Our findings bring ethics-driven arguments for a process combining initial broad consent with ongoing information. On both, we propose key item-deliverables to database participants.","author":[{"dropping-particle":"","family":"Darquy","given":"Sylviane","non-dropping-particle":"","parse-names":false,"suffix":""},{"dropping-particle":"","family":"Moutel","given":"Grégoire","non-dropping-particle":"","parse-names":false,"suffix":""},{"dropping-particle":"","family":"Lapointe","given":"Anne Sophie","non-dropping-particle":"","parse-names":false,"suffix":""},{"dropping-particle":"","family":"D'Audiffret","given":"Diane","non-dropping-particle":"","parse-names":false,"suffix":""},{"dropping-particle":"","family":"Champagnat","given":"Julie","non-dropping-particle":"","parse-names":false,"suffix":""},{"dropping-particle":"","family":"Guerroui","given":"Samia","non-dropping-particle":"","parse-names":false,"suffix":""},{"dropping-particle":"","family":"Vendeville","given":"Marie Louise","non-dropping-particle":"","parse-names":false,"suffix":""},{"dropping-particle":"","family":"Boespflug-Tanguy","given":"Odile","non-dropping-particle":"","parse-names":false,"suffix":""},{"dropping-particle":"","family":"Duchange","given":"Nathalie","non-dropping-particle":"","parse-names":false,"suffix":""}],"container-title":"European Journal of Human Genetics","id":"ITEM-1","issue":"3","issued":{"date-parts":[["2016"]]},"title":"Patient/family views on data sharing in rare diseases: Study in the European LeukoTreat project","type":"article-journal","volume":"24"},"uris":["http://www.mendeley.com/documents/?uuid=2fa470f2-257e-3b0d-9724-416f6d7a16c0"]}],"mendeley":{"formattedCitation":"[75]","plainTextFormattedCitation":"[75]","previouslyFormattedCitation":"[75]"},"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[75]</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4419AB7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Eur J Hum Genet</w:t>
            </w:r>
          </w:p>
        </w:tc>
        <w:tc>
          <w:tcPr>
            <w:tcW w:w="1711" w:type="dxa"/>
            <w:shd w:val="clear" w:color="auto" w:fill="auto"/>
            <w:vAlign w:val="center"/>
          </w:tcPr>
          <w:p w14:paraId="27D311E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Families)</w:t>
            </w:r>
          </w:p>
        </w:tc>
        <w:tc>
          <w:tcPr>
            <w:tcW w:w="1984" w:type="dxa"/>
            <w:vAlign w:val="center"/>
          </w:tcPr>
          <w:p w14:paraId="67637EF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(Belgium, France, Germany, Italy, Spain)</w:t>
            </w:r>
          </w:p>
        </w:tc>
        <w:tc>
          <w:tcPr>
            <w:tcW w:w="1843" w:type="dxa"/>
            <w:shd w:val="clear" w:color="auto" w:fill="auto"/>
            <w:vAlign w:val="center"/>
          </w:tcPr>
          <w:p w14:paraId="6F09FF8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Leukodystrophies (8A44)</w:t>
            </w:r>
          </w:p>
        </w:tc>
        <w:tc>
          <w:tcPr>
            <w:tcW w:w="1559" w:type="dxa"/>
            <w:shd w:val="clear" w:color="auto" w:fill="auto"/>
            <w:vAlign w:val="center"/>
          </w:tcPr>
          <w:p w14:paraId="6D9DA4C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(data sharing)</w:t>
            </w:r>
          </w:p>
        </w:tc>
        <w:tc>
          <w:tcPr>
            <w:tcW w:w="1418" w:type="dxa"/>
            <w:shd w:val="clear" w:color="auto" w:fill="auto"/>
            <w:vAlign w:val="center"/>
          </w:tcPr>
          <w:p w14:paraId="53C851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46FB918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11272704" w14:textId="77777777" w:rsidTr="004C3C90">
        <w:trPr>
          <w:trHeight w:val="20"/>
        </w:trPr>
        <w:tc>
          <w:tcPr>
            <w:tcW w:w="557" w:type="dxa"/>
            <w:vAlign w:val="center"/>
          </w:tcPr>
          <w:p w14:paraId="18B93B11"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76</w:t>
            </w:r>
          </w:p>
        </w:tc>
        <w:tc>
          <w:tcPr>
            <w:tcW w:w="1418" w:type="dxa"/>
            <w:shd w:val="clear" w:color="auto" w:fill="auto"/>
            <w:vAlign w:val="center"/>
          </w:tcPr>
          <w:p w14:paraId="151BB6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Morel et al (2016)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{"citationItems":[{"id":"ITEM-1","itemData":{"DOI":"10.1186/s13023-016-0444-9","ISSN":"17501172","abstract":"Background: Rare disease patients and caregivers face uncommon, serious, debilitating conditions often characterised by poor prognosis and limited treatment options. This study aimed to explore what they consider of value when choosing between hypothetical therapeutic options and to quantify both their benefit-risk preferences and the influence of disease context. Methods: A mixed-methods survey with patients and caregivers was conducted in the United Kingdom across a range of rare diseases. Discrete-choice experiments that compared hypothetical treatment profiles of benefits and risks were used to measure respondent preferences across a set of seven attributes related to health outcomes, safety, and process of care. Bespoke questions on current disease management and the joint use of the 12-item WHODAS 2.0 questionnaire and of two Likert scales capturing self- and proxy-assessed disease-induced threat to life and impairment were implemented to describe disease context. Additionally, qualitative insights on the definitions of value and risk were collected from respondents. Results: Final study sample included 721 patients and 152 informal caregivers, across 52 rare diseases. When choosing between hypothetical novel treatments for rare diseases, respondents attributed most importance to drug response, risk of serious side effects, and the ability to conduct usual activities while on treatment. In contrast, attributes related to treatment modalities were the least important. Respondents expressed a willingness to accept risks in hopes of finding some benefit, such as a higher chance of drug response or greater health improvement potential. Increasing disease severity, impairment or disability, and the lack of effective therapeutic options were shown to raise significantly the willingness to gain benefit through increased risk. Conclusions: This is the first study performing a quantitative discrete choice experiment amongst patients and caregivers across 52 rare conditions. It enables a more detailed understanding of the relationship between disease context, treatment attributes and the degree of risk respondents are willing to take to gain a specific degree of benefit. Researchers of novel therapeutics for rare diseases should be encouraged to invest in preference elicitation studies to generate rigorous patient evidence and specific regulatory guidance should be issued to acknowledge their importance and their use in marketing authorisations.","author":[{"dropping-particle":"","family":"Morel","given":"T.","non-dropping-particle":"","parse-names":false,"suffix":""},{"dropping-particle":"","family":"Aymé","given":"S.","non-dropping-particle":"","parse-names":false,"suffix":""},{"dropping-particle":"","family":"Cassiman","given":"D.","non-dropping-particle":"","parse-names":false,"suffix":""},{"dropping-particle":"","family":"Simoens","given":"S.","non-dropping-particle":"","parse-names":false,"suffix":""},{"dropping-particle":"","family":"Morgan","given":"M.","non-dropping-particle":"","parse-names":false,"suffix":""},{"dropping-particle":"","family":"Vandebroek","given":"M.","non-dropping-particle":"","parse-names":false,"suffix":""}],"container-title":"Orphanet Journal of Rare Diseases","id":"ITEM-1","issue":"1","issued":{"date-parts":[["2016"]]},"title":"Quantifying benefit-risk preferences for new medicines in rare disease patients and caregivers","type":"article-journal","volume":"11"},"uris":["http://www.mendeley.com/documents/?uuid=2904f85d-2025-3e6a-b2f8-b41f6429ca46"]}],"mendeley":{"formattedCitation":"[76]","plainTextFormattedCitation":"[76]","previouslyFormattedCitation":"[76]"},"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[76]</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63471FF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3AA2E2D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Caregivers)</w:t>
            </w:r>
          </w:p>
        </w:tc>
        <w:tc>
          <w:tcPr>
            <w:tcW w:w="1984" w:type="dxa"/>
            <w:vAlign w:val="center"/>
          </w:tcPr>
          <w:p w14:paraId="15E5E35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(UK)</w:t>
            </w:r>
          </w:p>
        </w:tc>
        <w:tc>
          <w:tcPr>
            <w:tcW w:w="1843" w:type="dxa"/>
            <w:shd w:val="clear" w:color="auto" w:fill="auto"/>
            <w:vAlign w:val="center"/>
          </w:tcPr>
          <w:p w14:paraId="2F5077F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3D184C3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(preference in treatment)</w:t>
            </w:r>
          </w:p>
        </w:tc>
        <w:tc>
          <w:tcPr>
            <w:tcW w:w="1418" w:type="dxa"/>
            <w:shd w:val="clear" w:color="auto" w:fill="auto"/>
            <w:vAlign w:val="center"/>
          </w:tcPr>
          <w:p w14:paraId="683117B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(Discrete choice experiment)</w:t>
            </w:r>
          </w:p>
        </w:tc>
        <w:tc>
          <w:tcPr>
            <w:tcW w:w="709" w:type="dxa"/>
            <w:shd w:val="clear" w:color="auto" w:fill="auto"/>
            <w:vAlign w:val="center"/>
          </w:tcPr>
          <w:p w14:paraId="3E67049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2FBD967A" w14:textId="77777777" w:rsidTr="004C3C90">
        <w:trPr>
          <w:trHeight w:val="20"/>
        </w:trPr>
        <w:tc>
          <w:tcPr>
            <w:tcW w:w="557" w:type="dxa"/>
            <w:vAlign w:val="center"/>
          </w:tcPr>
          <w:p w14:paraId="26106CFE"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77</w:t>
            </w:r>
          </w:p>
        </w:tc>
        <w:tc>
          <w:tcPr>
            <w:tcW w:w="1418" w:type="dxa"/>
            <w:shd w:val="clear" w:color="auto" w:fill="auto"/>
            <w:vAlign w:val="center"/>
          </w:tcPr>
          <w:p w14:paraId="5F320A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Delisle et al (2016)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{"citationItems":[{"id":"ITEM-1","itemData":{"ISSN":"1593098X","abstract":"Objective. Peer-led support groups are an important resource for people living with many rare diseases, including scleroderma (systemic sclerosis, SSc). Little is known, however, about the accessibility of SSc support groups and factors that may discourage people from participating in these groups. The objective of this study was to identify reasons why people with SSc do not participate in SSc support groups. Methods. Canadians with SSc were recruited to complete the Canadian Scleroderma Patient Survey of Health Concerns and Research Priorities. Data from respondents who answered the question \"Have you participated in SSc support groups?\" with \"No\" were analysed. Frequencies of participants who responded (1) I'm not interested, (2) None are easily available, and (3) Other (please specify) were tallied. A content analysis approach was used to code the open-ended responses to this question. Results. A total of 280 respondents provided a reason for non-participation in SSc support groups. Key reasons for not participating in support groups included: (1) Not interested or no perceived need (36%); (2) No local support group available (35%); (3) Lack of awareness of the existence of SSc support groups (13%); (4) Practical barriers (6%); (5) Emotional factors (4%); (6) Uncertainty about whether to attend (4%); and (7) Negative perceptions about support groups (3%). Conclusion. SSc organisations may be able to address current limitations in the accessibility and effectiveness of SSc support groups by implementing online support groups, as well as by providing support group leaders training to help establish and sustain successful SSc support groups.","author":[{"dropping-particle":"","family":"Delisle","given":"Vanessa C.","non-dropping-particle":"","parse-names":false,"suffix":""},{"dropping-particle":"","family":"Gumuchian","given":"Stephanie T.","non-dropping-particle":"","parse-names":false,"suffix":""},{"dropping-particle":"","family":"Peláez","given":"Sandra","non-dropping-particle":"","parse-names":false,"suffix":""},{"dropping-particle":"","family":"Malcarne","given":"Vanessa L.","non-dropping-particle":"","parse-names":false,"suffix":""},{"dropping-particle":"","family":"El-Baalbaki","given":"Ghassan","non-dropping-particle":"","parse-names":false,"suffix":""},{"dropping-particle":"","family":"Körner","given":"Annett","non-dropping-particle":"","parse-names":false,"suffix":""},{"dropping-particle":"","family":"Hudson","given":"Marie","non-dropping-particle":"","parse-names":false,"suffix":""},{"dropping-particle":"","family":"Baron","given":"Murray","non-dropping-particle":"","parse-names":false,"suffix":""},{"dropping-particle":"","family":"Thombs","given":"Brett D.","non-dropping-particle":"","parse-names":false,"suffix":""},{"dropping-particle":"","family":"Connolly","given":"Kerri","non-dropping-particle":"","parse-names":false,"suffix":""},{"dropping-particle":"","family":"Dyas","given":"Laura","non-dropping-particle":"","parse-names":false,"suffix":""},{"dropping-particle":"","family":"Elrod","given":"Stephen","non-dropping-particle":"","parse-names":false,"suffix":""},{"dropping-particle":"","family":"Fortune","given":"Catherine","non-dropping-particle":"","parse-names":false,"suffix":""},{"dropping-particle":"","family":"Gottesman","given":"Karen","non-dropping-particle":"","parse-names":false,"suffix":""},{"dropping-particle":"","family":"McCusker","given":"Anna","non-dropping-particle":"","parse-names":false,"suffix":""},{"dropping-particle":"","family":"Richard","given":"Michelle","non-dropping-particle":"","parse-names":false,"suffix":""},{"dropping-particle":"","family":"Riggs","given":"Robert","non-dropping-particle":"","parse-names":false,"suffix":""},{"dropping-particle":"","family":"Sauve","given":"Maureen","non-dropping-particle":"","parse-names":false,"suffix":""},{"dropping-particle":"","family":"Stephens","given":"Nancy","non-dropping-particle":"","parse-names":false,"suffix":""}],"container-title":"Clinical and Experimental Rheumatology","id":"ITEM-1","issued":{"date-parts":[["2016"]]},"title":"Reasons for non-participation in scleroderma support groups","type":"article-journal","volume":"34"},"uris":["http://www.mendeley.com/documents/?uuid=aa8594fb-6df2-332a-b69c-70bac17116c0"]}],"mendeley":{"formattedCitation":"[77]","plainTextFormattedCitation":"[77]","previouslyFormattedCitation":"[77]"},"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[77]</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1DB708B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Clin Exp Rheumatol</w:t>
            </w:r>
          </w:p>
        </w:tc>
        <w:tc>
          <w:tcPr>
            <w:tcW w:w="1711" w:type="dxa"/>
            <w:shd w:val="clear" w:color="auto" w:fill="auto"/>
            <w:vAlign w:val="center"/>
          </w:tcPr>
          <w:p w14:paraId="11D5C5A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510C262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(Canada)</w:t>
            </w:r>
          </w:p>
        </w:tc>
        <w:tc>
          <w:tcPr>
            <w:tcW w:w="1843" w:type="dxa"/>
            <w:shd w:val="clear" w:color="auto" w:fill="auto"/>
            <w:vAlign w:val="center"/>
          </w:tcPr>
          <w:p w14:paraId="5A1F9C0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Scleroderma (EB61.Y)</w:t>
            </w:r>
          </w:p>
        </w:tc>
        <w:tc>
          <w:tcPr>
            <w:tcW w:w="1559" w:type="dxa"/>
            <w:shd w:val="clear" w:color="auto" w:fill="auto"/>
            <w:vAlign w:val="center"/>
          </w:tcPr>
          <w:p w14:paraId="09B087F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(engagement)</w:t>
            </w:r>
          </w:p>
        </w:tc>
        <w:tc>
          <w:tcPr>
            <w:tcW w:w="1418" w:type="dxa"/>
            <w:shd w:val="clear" w:color="auto" w:fill="auto"/>
            <w:vAlign w:val="center"/>
          </w:tcPr>
          <w:p w14:paraId="545BD72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6259F29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30D03010" w14:textId="77777777" w:rsidTr="004C3C90">
        <w:trPr>
          <w:trHeight w:val="20"/>
        </w:trPr>
        <w:tc>
          <w:tcPr>
            <w:tcW w:w="557" w:type="dxa"/>
            <w:vAlign w:val="center"/>
          </w:tcPr>
          <w:p w14:paraId="1742A28F"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78</w:t>
            </w:r>
          </w:p>
        </w:tc>
        <w:tc>
          <w:tcPr>
            <w:tcW w:w="1418" w:type="dxa"/>
            <w:shd w:val="clear" w:color="auto" w:fill="auto"/>
            <w:vAlign w:val="center"/>
          </w:tcPr>
          <w:p w14:paraId="7263126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Péntek et al (2016)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{"citationItems":[{"id":"ITEM-1","itemData":{"DOI":"10.1007/s10198-016-0787-0","ISSN":"16187601","abstract":"Objectives: To assess the health-related quality of life (HRQOL) of patients with mucopolysaccharidosis (MPS) and their caregivers and to quantify the disease-related costs from a societal perspective. Methods: In the context of a multi-country study of rare diseases (BURQOL-RD project), a cross-sectional survey was performed among MPS patients in seven European countries. Data on demographic characteristics, health resource utilization, informal care, and loss of labor productivity were collected. The EQ-5D, Barthel index (BI), and Zarit burden interview (ZBI) questionnaires were used to assess patients’ and their informal caregivers’ quality of life, patients’ functional ability, and caregivers’ burden, respectively. Results: Altogether, 120 patients (children 62 %, females 40 %) and 66 caregivers completed the questionnaire. Patients’ mean age was 16.5 years and median age at diagnosis was 3 years. Adult patients’ average EQ-5D and EQ VAS scores varied across countries from 0.13 to 0.43 and 30.0 to 62.2, respectively, mean BI was 46.7, and ZBI was 32.7. Mean informal care time was 51.3 h/week. The mean total annual cost per patient (reference year 2012) was €24,520 in Hungary, €25,993 in France, €84,921 in Italy, €94,384 in Spain, and €209,420 in Germany. Costs are also shown to differ between children and adults. Direct costs accounted for most of the costs in all five countries (80, 100, 99, 98, and 93 %, respectively). Conclusions: MPS patients experience substantial loss of HRQOL and their families take a remarkable part in their care. Although utilization of health and social care resources varies significantly across countries, MPS incurs considerable societal costs in all the countries studied.","author":[{"dropping-particle":"","family":"Péntek","given":"Márta","non-dropping-particle":"","parse-names":false,"suffix":""},{"dropping-particle":"","family":"Gulácsi","given":"László","non-dropping-particle":"","parse-names":false,"suffix":""},{"dropping-particle":"","family":"Brodszky","given":"Valentin","non-dropping-particle":"","parse-names":false,"suffix":""},{"dropping-particle":"","family":"Baji","given":"Petra","non-dropping-particle":"","parse-names":false,"suffix":""},{"dropping-particle":"","family":"Boncz","given":"Imre","non-dropping-particle":"","parse-names":false,"suffix":""},{"dropping-particle":"","family":"Pogány","given":"Gábor","non-dropping-particle":"","parse-names":false,"suffix":""},{"dropping-particle":"","family":"López-Bastida","given":"Julio","non-dropping-particle":"","parse-names":false,"suffix":""},{"dropping-particle":"","family":"Linertová","given":"Renata","non-dropping-particle":"","parse-names":false,"suffix":""},{"dropping-particle":"","family":"Oliva-Moreno","given":"Juan","non-dropping-particle":"","parse-names":false,"suffix":""},{"dropping-particle":"","family":"Serrano-Aguilar","given":"Pedro","non-dropping-particle":"","parse-names":false,"suffix":""},{"dropping-particle":"","family":"Posada-de-la-Paz","given":"Manuel","non-dropping-particle":"","parse-names":false,"suffix":""},{"dropping-particle":"","family":"Taruscio","given":"Domenica","non-dropping-particle":"","parse-names":false,"suffix":""},{"dropping-particle":"","family":"Iskrov","given":"Georgi","non-dropping-particle":"","parse-names":false,"suffix":""},{"dropping-particle":"","family":"Schieppati","given":"Arrigo","non-dropping-particle":"","parse-names":false,"suffix":""},{"dropping-particle":"","family":"Schulenburg","given":"Johann Matthias Graf","non-dropping-particle":"von der","parse-names":false,"suffix":""},{"dropping-particle":"","family":"Kanavos","given":"Panos","non-dropping-particle":"","parse-names":false,"suffix":""},{"dropping-particle":"","family":"Chevreul","given":"Karine","non-dropping-particle":"","parse-names":false,"suffix":""},{"dropping-particle":"","family":"Persson","given":"Ulf","non-dropping-particle":"","parse-names":false,"suffix":""},{"dropping-particle":"","family":"Fattore","given":"Giovanni","non-dropping-particle":"","parse-names":false,"suffix":""}],"container-title":"European Journal of Health Economics","id":"ITEM-1","issued":{"date-parts":[["2016"]]},"title":"Social/economic costs and health-related quality of life of mucopolysaccharidosis patients and their caregivers in Europe","type":"article-journal","volume":"17"},"uris":["http://www.mendeley.com/documents/?uuid=ccee1b47-8151-3fbd-9be3-f938276df99d"]}],"mendeley":{"formattedCitation":"[78]","plainTextFormattedCitation":"[78]","previouslyFormattedCitation":"[78]"},"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[78]</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5DC6CE9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Eur J Heal Econ</w:t>
            </w:r>
          </w:p>
        </w:tc>
        <w:tc>
          <w:tcPr>
            <w:tcW w:w="1711" w:type="dxa"/>
            <w:shd w:val="clear" w:color="auto" w:fill="auto"/>
            <w:vAlign w:val="center"/>
          </w:tcPr>
          <w:p w14:paraId="2EEF6AF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Caregivers)</w:t>
            </w:r>
          </w:p>
        </w:tc>
        <w:tc>
          <w:tcPr>
            <w:tcW w:w="1984" w:type="dxa"/>
            <w:vAlign w:val="center"/>
          </w:tcPr>
          <w:p w14:paraId="31E75AD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(Bulgaria, France, Germany, Hungary, Italy, Spain, Sweden)</w:t>
            </w:r>
          </w:p>
        </w:tc>
        <w:tc>
          <w:tcPr>
            <w:tcW w:w="1843" w:type="dxa"/>
            <w:shd w:val="clear" w:color="auto" w:fill="auto"/>
            <w:vAlign w:val="center"/>
          </w:tcPr>
          <w:p w14:paraId="13951DD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Mucopolysaccharidosis   (5C56.3)</w:t>
            </w:r>
          </w:p>
        </w:tc>
        <w:tc>
          <w:tcPr>
            <w:tcW w:w="1559" w:type="dxa"/>
            <w:shd w:val="clear" w:color="auto" w:fill="auto"/>
            <w:vAlign w:val="center"/>
          </w:tcPr>
          <w:p w14:paraId="5AA7516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(QoL)</w:t>
            </w:r>
          </w:p>
        </w:tc>
        <w:tc>
          <w:tcPr>
            <w:tcW w:w="1418" w:type="dxa"/>
            <w:shd w:val="clear" w:color="auto" w:fill="auto"/>
            <w:vAlign w:val="center"/>
          </w:tcPr>
          <w:p w14:paraId="5FEA6CA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3F5812A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40F9D26C" w14:textId="77777777" w:rsidTr="004C3C90">
        <w:trPr>
          <w:trHeight w:val="20"/>
        </w:trPr>
        <w:tc>
          <w:tcPr>
            <w:tcW w:w="557" w:type="dxa"/>
            <w:vAlign w:val="center"/>
          </w:tcPr>
          <w:p w14:paraId="3DD0B3C6"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79</w:t>
            </w:r>
          </w:p>
        </w:tc>
        <w:tc>
          <w:tcPr>
            <w:tcW w:w="1418" w:type="dxa"/>
            <w:shd w:val="clear" w:color="auto" w:fill="auto"/>
            <w:vAlign w:val="center"/>
          </w:tcPr>
          <w:p w14:paraId="0A8D843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Senger et al (2016)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{"citationItems":[{"id":"ITEM-1","itemData":{"DOI":"10.1016/j.apnr.2015.03.010","ISSN":"08971897","abstract":"Mitochondrial disease comprises a group of rare, genetic, life-limiting, neurodegenerative disorders known to affect children. Little is known about disease-related challenges, parental stress, and coping when caring for a child with a mitochondrial disease. Purpose: This study explored disease-related characteristics and parental stressors and coping behaviors related to caring for a child with mitochondrial disease. Methods: Internet surveys were posted on known mitochondrial disease websites for parent completion. Surveys included demographic items and two questionnaires: Coping Inventory for Parents (CHIP) and Pediatric Inventory for Parents (PIP). Descriptive data were collected and correlations used to determine relationships between parenting stress, coping, and demographic variables. Results: The majority of participants (n = 231) were mothers (95%) of children with mitochondrial disease around the age of 10 years (M = 9.85). On average, children had 6 organs involved (M = 6.02) and saw 7 different specialists (M = 7.49); 61% were hospitalized in the past year. Significant correlations (p &lt; 0.05) were found between parenting stress and parent age, parent income, parent education, child age, child age at diagnosis, presence of developmental delays, number of hospitalizations, number of medical visits, number of organs involved, and number of specialists seen. Significant correlations were also found between parenting stress and coping behaviors such as family integration, social support and understanding health care. Conclusions: The ability to identify disease-related challenges, stressors, and coping strategies in parents of children with mitochondrial disease is novel and can assist nurses to provide disease-sensitive, family-focused care and improve child health outcomes.","author":[{"dropping-particle":"","family":"Senger","given":"Brenda A.","non-dropping-particle":"","parse-names":false,"suffix":""},{"dropping-particle":"","family":"Ward","given":"Linda D.","non-dropping-particle":"","parse-names":false,"suffix":""},{"dropping-particle":"","family":"Barbosa-Leiker","given":"Celestina","non-dropping-particle":"","parse-names":false,"suffix":""},{"dropping-particle":"","family":"Bindler","given":"Ruth C.","non-dropping-particle":"","parse-names":false,"suffix":""}],"container-title":"Applied Nursing Research","id":"ITEM-1","issued":{"date-parts":[["2016"]]},"title":"Stress and coping of parents caring for a child with mitochondrial disease","type":"article-journal","volume":"29"},"uris":["http://www.mendeley.com/documents/?uuid=2bd5ee37-4926-3757-b4f5-db31dcbea2fd"]}],"mendeley":{"formattedCitation":"[79]","plainTextFormattedCitation":"[79]","previouslyFormattedCitation":"[79]"},"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[79]</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721681F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Appl Nurs Res</w:t>
            </w:r>
          </w:p>
        </w:tc>
        <w:tc>
          <w:tcPr>
            <w:tcW w:w="1711" w:type="dxa"/>
            <w:shd w:val="clear" w:color="auto" w:fill="auto"/>
            <w:vAlign w:val="center"/>
          </w:tcPr>
          <w:p w14:paraId="64855D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(Families)</w:t>
            </w:r>
          </w:p>
        </w:tc>
        <w:tc>
          <w:tcPr>
            <w:tcW w:w="1984" w:type="dxa"/>
            <w:vAlign w:val="center"/>
          </w:tcPr>
          <w:p w14:paraId="6B4E2C6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310A765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796A921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(stress, coping)</w:t>
            </w:r>
          </w:p>
        </w:tc>
        <w:tc>
          <w:tcPr>
            <w:tcW w:w="1418" w:type="dxa"/>
            <w:shd w:val="clear" w:color="auto" w:fill="auto"/>
            <w:vAlign w:val="center"/>
          </w:tcPr>
          <w:p w14:paraId="087355D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4BB02EA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76306273" w14:textId="77777777" w:rsidTr="004C3C90">
        <w:trPr>
          <w:trHeight w:val="20"/>
        </w:trPr>
        <w:tc>
          <w:tcPr>
            <w:tcW w:w="557" w:type="dxa"/>
            <w:vAlign w:val="center"/>
          </w:tcPr>
          <w:p w14:paraId="4B0A3D58"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80</w:t>
            </w:r>
          </w:p>
        </w:tc>
        <w:tc>
          <w:tcPr>
            <w:tcW w:w="1418" w:type="dxa"/>
            <w:shd w:val="clear" w:color="auto" w:fill="auto"/>
            <w:vAlign w:val="center"/>
          </w:tcPr>
          <w:p w14:paraId="62E0371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Molster et al (2016)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{"citationItems":[{"id":"ITEM-1","itemData":{"DOI":"10.1186/s13023-016-0409-z","ISSN":"17501172","abstract":"Background: Few studies have examined whether the healthcare needs of people living with rare diseases are being met. This study explores the experiences of Australian adults living with rare diseases in relation to diagnosis, information provision at the time of diagnosis, use of health and support services and involvement in research on their condition. Methods: The survey respondents are self-selected from the population of Australian residents aged 18 years and over who are living with a rare disease. An online survey was implemented between July-August 2014. Purposive snowballing sampling was used. The results are reported as percentages with significant differences between sub-groups assessed using chi-squared analyses. Results: Eight hundred ten responses were obtained from adults living with a rare disease. 92.1 % had a confirmed diagnosis, of which 30.0 % waited five or more years for a diagnosis, 66.2 % had seen three or more doctors to get a diagnosis and 45.9 % had received at least one incorrect diagnosis. Almost three quarters (72.1 %) received no or not enough information at the time of diagnosis. In the 12 months prior to the survey, over 80 % of respondents had used the services of a general practitioner and a medical specialist while around a third had been inpatients at a hospital or had visited an emergency department. Only 15.4 % of respondents had ever used paediatric services, 52.8 % of these had experienced problems in the transition from paediatric to adult services. Only 20.3 % knew of a patient registry for their condition and 24.8 % were informed of clinical trials. Conclusions: These findings suggest that not all healthcare needs of people living with rare diseases are being met. Structural changes to Australian healthcare systems may be required to improve the integration and coordination of diagnosis and care. Health professionals may need greater awareness of rare diseases to improve the diagnostic process and support to meet the information requirements of people newly diagnosed with rare diseases. Health service use is likely higher than for the general population and further epidemiological studies are needed on the impact of rare diseases on the healthcare system.","author":[{"dropping-particle":"","family":"Molster","given":"Caron","non-dropping-particle":"","parse-names":false,"suffix":""},{"dropping-particle":"","family":"Urwin","given":"Debra","non-dropping-particle":"","parse-names":false,"suffix":""},{"dropping-particle":"","family":"Pietro","given":"Louisa","non-dropping-particle":"Di","parse-names":false,"suffix":""},{"dropping-particle":"","family":"Fookes","given":"Megan","non-dropping-particle":"","parse-names":false,"suffix":""},{"dropping-particle":"","family":"Petrie","given":"Dianne","non-dropping-particle":"","parse-names":false,"suffix":""},{"dropping-particle":"","family":"Laan","given":"Sharon","non-dropping-particle":"Van Der","parse-names":false,"suffix":""},{"dropping-particle":"","family":"Dawkins","given":"Hugh","non-dropping-particle":"","parse-names":false,"suffix":""}],"container-title":"Orphanet Journal of Rare Diseases","id":"ITEM-1","issue":"1","issued":{"date-parts":[["2016"]]},"title":"Survey of healthcare experiences of Australian adults living with rare diseases","type":"article-journal","volume":"11"},"uris":["http://www.mendeley.com/documents/?uuid=9e6d142c-d594-324c-af84-6d04d3e50dfb"]}],"mendeley":{"formattedCitation":"[80]","plainTextFormattedCitation":"[80]","previouslyFormattedCitation":"[80]"},"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[80]</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4EADD98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7E7DD82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3CDACD3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Oceania (Australia)</w:t>
            </w:r>
          </w:p>
        </w:tc>
        <w:tc>
          <w:tcPr>
            <w:tcW w:w="1843" w:type="dxa"/>
            <w:shd w:val="clear" w:color="auto" w:fill="auto"/>
            <w:vAlign w:val="center"/>
          </w:tcPr>
          <w:p w14:paraId="30FF06C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42B4C82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(diagnosis, access to information, support service)</w:t>
            </w:r>
          </w:p>
        </w:tc>
        <w:tc>
          <w:tcPr>
            <w:tcW w:w="1418" w:type="dxa"/>
            <w:shd w:val="clear" w:color="auto" w:fill="auto"/>
            <w:vAlign w:val="center"/>
          </w:tcPr>
          <w:p w14:paraId="2C70612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6E4C0A3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3D578C4A" w14:textId="77777777" w:rsidTr="004C3C90">
        <w:trPr>
          <w:trHeight w:val="20"/>
        </w:trPr>
        <w:tc>
          <w:tcPr>
            <w:tcW w:w="557" w:type="dxa"/>
            <w:vAlign w:val="center"/>
          </w:tcPr>
          <w:p w14:paraId="393DD5D5"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lastRenderedPageBreak/>
              <w:t>81</w:t>
            </w:r>
          </w:p>
        </w:tc>
        <w:tc>
          <w:tcPr>
            <w:tcW w:w="1418" w:type="dxa"/>
            <w:shd w:val="clear" w:color="auto" w:fill="auto"/>
            <w:vAlign w:val="center"/>
          </w:tcPr>
          <w:p w14:paraId="1441103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Merkel et al (2016)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{"citationItems":[{"id":"ITEM-1","itemData":{"DOI":"10.1186/s13023-016-0445-8","ISSN":"17501172","abstract":"Background: Among the unique features of the Rare Diseases Clinical Research Network (RDCRN) Program is the requirement for each Consortium to include patient advocacy groups (PAGs) as research partners. This development has transformed the work of the RDCRN and is a model for collaborative research. This article outlines the roles patients and PAGs play in the RDCRN and reports on the PAGs' impact on the Network's success. Methods: Principal Investigators from the 17 RDCRN Consortia and 28 representatives from 76 PAGs affiliated with these Consortia were contacted by email to provide feedback via an online RDCRN survey. Impact was measured in the key areas of 1) Research logistics; 2) Outreach and communication; and 3) Funding and in-kind support. Rating choices were: 1-very negative, 2-somewhat negative, 3-no impact, 4-somewhat positive, and 5-very positive. Results: Twenty-seven of the PAGs (96 %) disseminate information about the RDCRN within the patient community. The Consortium Principal Investigators also reported high levels of PAG involvement. Sixteen (94 %) Consortium Principal Investigators and 25 PAGs (89 %) reported PAGs participation in protocol review, study design, Consortium conference calls, attending Consortium meetings, or helping with patient recruitment. Conclusions: PAGs are actively involved in shaping Consortia's research agendas, help ensure the feasibility and success of research protocols by assisting with study design and patient recruitment, and support training programs. This extensive PAG-Investigator partnership in the RDCRN has had a strongly positive impact on the success of the Network.","author":[{"dropping-particle":"","family":"Merkel","given":"Peter A.","non-dropping-particle":"","parse-names":false,"suffix":""},{"dropping-particle":"","family":"Manion","given":"Michele","non-dropping-particle":"","parse-names":false,"suffix":""},{"dropping-particle":"","family":"Gopal-Srivastava","given":"Rashmi","non-dropping-particle":"","parse-names":false,"suffix":""},{"dropping-particle":"","family":"Groft","given":"Stephen","non-dropping-particle":"","parse-names":false,"suffix":""},{"dropping-particle":"","family":"Jinnah","given":"H. A.","non-dropping-particle":"","parse-names":false,"suffix":""},{"dropping-particle":"","family":"Robertson","given":"David","non-dropping-particle":"","parse-names":false,"suffix":""},{"dropping-particle":"","family":"Krischer","given":"Jeffrey P.","non-dropping-particle":"","parse-names":false,"suffix":""}],"container-title":"Orphanet Journal of Rare Diseases","id":"ITEM-1","issue":"1","issued":{"date-parts":[["2016"]]},"title":"The partnership of patient advocacy groups and clinical investigators in the rare diseases clinical research network","type":"article-journal","volume":"11"},"uris":["http://www.mendeley.com/documents/?uuid=c0ae6741-dade-3c36-acdf-b61739c4bb72"]}],"mendeley":{"formattedCitation":"[81]","plainTextFormattedCitation":"[81]","previouslyFormattedCitation":"[81]"},"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[81]</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1F16EA0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4D1D4AF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 organizations)</w:t>
            </w:r>
          </w:p>
        </w:tc>
        <w:tc>
          <w:tcPr>
            <w:tcW w:w="1984" w:type="dxa"/>
            <w:vAlign w:val="center"/>
          </w:tcPr>
          <w:p w14:paraId="77D29F1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662DB3E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025CA06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(engagement, network)</w:t>
            </w:r>
          </w:p>
        </w:tc>
        <w:tc>
          <w:tcPr>
            <w:tcW w:w="1418" w:type="dxa"/>
            <w:shd w:val="clear" w:color="auto" w:fill="auto"/>
            <w:vAlign w:val="center"/>
          </w:tcPr>
          <w:p w14:paraId="3683762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6C596A7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11967429" w14:textId="77777777" w:rsidTr="004C3C90">
        <w:trPr>
          <w:trHeight w:val="20"/>
        </w:trPr>
        <w:tc>
          <w:tcPr>
            <w:tcW w:w="557" w:type="dxa"/>
            <w:vAlign w:val="center"/>
          </w:tcPr>
          <w:p w14:paraId="62ADB9FD"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82</w:t>
            </w:r>
          </w:p>
        </w:tc>
        <w:tc>
          <w:tcPr>
            <w:tcW w:w="1418" w:type="dxa"/>
            <w:shd w:val="clear" w:color="auto" w:fill="auto"/>
            <w:vAlign w:val="center"/>
          </w:tcPr>
          <w:p w14:paraId="3DC5073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Carpenter et al (2016)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{"citationItems":[{"id":"ITEM-1","itemData":{"DOI":"10.2174/1573397112666160719163145","ISSN":"15733971","abstract":"Our goals were to describe the balance of social support to negative social interactions (i.e. social constraint) for autoimmune disease patients and determine whether support and constraint from spouses and non-spousal family and friends interact to influence patients' psychological adjustment. Using crosssectional survey data from 109 married vasculitis and lupus patients, we found that patients reported that spouses and family/friends provided more social support than social constraint. In regression models, constraint from spouses (β= -0.45, p&lt;0.01) and family/friends (β= -0.89, p&lt;0.001) were associated with worse patient psychological adjustment. A significant 3-way interaction revealed that patients with low spousal support had worse psychological adjustment as the levels of family and friend support increased. In contrast, patients with high levels of spousal support reported better psychological adjustment as family and friend support increased. Future longitudinal studies may help to elucidate the complex interplay between constraint and support from spouses, family, and friends.","author":[{"dropping-particle":"","family":"Carpenter","given":"Delesha M.","non-dropping-particle":"","parse-names":false,"suffix":""},{"dropping-particle":"","family":"Thorpe","given":"Carolyn T.","non-dropping-particle":"","parse-names":false,"suffix":""},{"dropping-particle":"","family":"Alexander","given":"Dayna S.","non-dropping-particle":"","parse-names":false,"suffix":""},{"dropping-particle":"","family":"Sage","given":"Adam J.","non-dropping-particle":"","parse-names":false,"suffix":""},{"dropping-particle":"","family":"Lewis","given":"Megan","non-dropping-particle":"","parse-names":false,"suffix":""},{"dropping-particle":"","family":"Hogan","given":"Susan L.","non-dropping-particle":"","parse-names":false,"suffix":""},{"dropping-particle":"","family":"Geryk","given":"Lorie L.","non-dropping-particle":"","parse-names":false,"suffix":""},{"dropping-particle":"","family":"DeVellis","given":"Robert F.","non-dropping-particle":"","parse-names":false,"suffix":""}],"container-title":"Current Rheumatology Reviews","id":"ITEM-1","issue":"3","issued":{"date-parts":[["2016"]]},"title":"The Relationship Between Social Support, Social Constraint, and Psychological Adjustment for Patients with Rare Autoimmune Disease","type":"article-journal","volume":"12"},"uris":["http://www.mendeley.com/documents/?uuid=b1c407bd-c045-3059-8a86-51fb31d2cd22"]}],"mendeley":{"formattedCitation":"[82]","plainTextFormattedCitation":"[82]","previouslyFormattedCitation":"[82]"},"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[82]</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4AB2767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Curr Rheumatol Rev</w:t>
            </w:r>
          </w:p>
        </w:tc>
        <w:tc>
          <w:tcPr>
            <w:tcW w:w="1711" w:type="dxa"/>
            <w:shd w:val="clear" w:color="auto" w:fill="auto"/>
            <w:vAlign w:val="center"/>
          </w:tcPr>
          <w:p w14:paraId="3B77708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70248E7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457B01A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Vasculitis (4A44), Lupus (4A40.Z)</w:t>
            </w:r>
          </w:p>
        </w:tc>
        <w:tc>
          <w:tcPr>
            <w:tcW w:w="1559" w:type="dxa"/>
            <w:shd w:val="clear" w:color="auto" w:fill="auto"/>
            <w:vAlign w:val="center"/>
          </w:tcPr>
          <w:p w14:paraId="1AFBAFB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(support, constraint)</w:t>
            </w:r>
          </w:p>
        </w:tc>
        <w:tc>
          <w:tcPr>
            <w:tcW w:w="1418" w:type="dxa"/>
            <w:shd w:val="clear" w:color="auto" w:fill="auto"/>
            <w:vAlign w:val="center"/>
          </w:tcPr>
          <w:p w14:paraId="449030C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6AAD335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2B2C5669" w14:textId="77777777" w:rsidTr="004C3C90">
        <w:trPr>
          <w:trHeight w:val="20"/>
        </w:trPr>
        <w:tc>
          <w:tcPr>
            <w:tcW w:w="557" w:type="dxa"/>
            <w:vAlign w:val="center"/>
          </w:tcPr>
          <w:p w14:paraId="53F2F22E"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83</w:t>
            </w:r>
          </w:p>
        </w:tc>
        <w:tc>
          <w:tcPr>
            <w:tcW w:w="1418" w:type="dxa"/>
            <w:shd w:val="clear" w:color="auto" w:fill="auto"/>
            <w:vAlign w:val="center"/>
          </w:tcPr>
          <w:p w14:paraId="2A41ABC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Pelentsov et al (2016)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{"citationItems":[{"id":"ITEM-1","itemData":{"DOI":"10.1186/s12875-016-0488-x","ISSN":"14712296","abstract":"Background: Parents caring for a child affected by a rare disease have unmet needs, the origins of which are complex and varied. Our aim was to determine the supportive care needs of parents caring for a child with a rare disease. Methods: An online survey was developed consisting of 45 questions (108 items) and separated into six domains. The survey included questions about perceived level of satisfaction with receiving care, experiences and needs of providing daily care, the impacts of disease on relationships, the emotional and psychological burdens of disease, and parents overall satisfaction with the support received. Results: Three-hundred and one parents from Australia and New Zealand completed the survey; 91 % (n = 275/301) were mothers, with 132 distinct rare diseases being reported. Fifty-four percent (n = 140/259) of parents were dissatisfied with health professionals' level of knowledge and awareness of disease; 71 % (n = 130/183) of parents felt they received less support compared to other parents. Information regarding present (60 %, n = 146/240) and future services (72 %, n = 174/240) available for their child were considered important. Almost half of parents (45 %, n = 106/236) struggled financially, 38 % (n = 99/236) reduced their working hours and 34 % (n = 79/236) ceased paid employment. Forty-two percent (n = 99/223) of parents had no access to a disease specific support group, and 58 % (n = 134/230) stated that their number of friends had reduced since the birth of their child; 75 % (n = 173/230) had no contact with other parents with a child with a similar disease, and 46 % (n = 106/230) reported feeling socially isolated and desperately lonely. Most frequent emotions expressed by parents in the week prior to completing the survey were anxiety and fear (53 %, n = 119/223), anger and frustration (46 %, n = 103/223) and uncertainty (39 %, n = 88/223). Conclusion: This study is the first to develop an online survey specifically for use with parents to investigate their supportive care needs across a large and diverse group of rare diseases. The findings highlight that parents with a child with a rare disease have common unmet needs regardless of what disease their child has. Such information may allow health providers to improve child outcomes through improving parental supportive care.","author":[{"dropping-particle":"","family":"Pelentsov","given":"Lemuel J.","non-dropping-particle":"","parse-names":false,"suffix":""},{"dropping-particle":"","family":"Fielder","given":"Andrea L.","non-dropping-particle":"","parse-names":false,"suffix":""},{"dropping-particle":"","family":"Laws","given":"Thomas A.","non-dropping-particle":"","parse-names":false,"suffix":""},{"dropping-particle":"","family":"Esterman","given":"Adrian J.","non-dropping-particle":"","parse-names":false,"suffix":""}],"container-title":"BMC Family Practice","id":"ITEM-1","issue":"1","issued":{"date-parts":[["2016"]]},"title":"The supportive care needs of parents with a child with a rare disease: Results of an online survey","type":"article","volume":"17"},"uris":["http://www.mendeley.com/documents/?uuid=edb9cf00-ab39-3326-acc5-697afb8541c3"]}],"mendeley":{"formattedCitation":"[83]","plainTextFormattedCitation":"[83]","previouslyFormattedCitation":"[83]"},"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[83]</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3467955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BMC Fam. Pract</w:t>
            </w:r>
          </w:p>
        </w:tc>
        <w:tc>
          <w:tcPr>
            <w:tcW w:w="1711" w:type="dxa"/>
            <w:shd w:val="clear" w:color="auto" w:fill="auto"/>
            <w:vAlign w:val="center"/>
          </w:tcPr>
          <w:p w14:paraId="04D8C5E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(Families)</w:t>
            </w:r>
          </w:p>
        </w:tc>
        <w:tc>
          <w:tcPr>
            <w:tcW w:w="1984" w:type="dxa"/>
            <w:vAlign w:val="center"/>
          </w:tcPr>
          <w:p w14:paraId="0B2C271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Oceania (Australia, New Zealand)</w:t>
            </w:r>
          </w:p>
        </w:tc>
        <w:tc>
          <w:tcPr>
            <w:tcW w:w="1843" w:type="dxa"/>
            <w:shd w:val="clear" w:color="auto" w:fill="auto"/>
            <w:vAlign w:val="center"/>
          </w:tcPr>
          <w:p w14:paraId="37E3D1A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39EFC88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(satisfaction with care, needs of providing daily care)</w:t>
            </w:r>
          </w:p>
        </w:tc>
        <w:tc>
          <w:tcPr>
            <w:tcW w:w="1418" w:type="dxa"/>
            <w:shd w:val="clear" w:color="auto" w:fill="auto"/>
            <w:vAlign w:val="center"/>
          </w:tcPr>
          <w:p w14:paraId="3EEC54A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0B788FA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2D0E970B" w14:textId="77777777" w:rsidTr="004C3C90">
        <w:trPr>
          <w:trHeight w:val="20"/>
        </w:trPr>
        <w:tc>
          <w:tcPr>
            <w:tcW w:w="557" w:type="dxa"/>
            <w:vAlign w:val="center"/>
          </w:tcPr>
          <w:p w14:paraId="5EFBB1F7"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84</w:t>
            </w:r>
          </w:p>
        </w:tc>
        <w:tc>
          <w:tcPr>
            <w:tcW w:w="1418" w:type="dxa"/>
            <w:shd w:val="clear" w:color="auto" w:fill="auto"/>
            <w:vAlign w:val="center"/>
          </w:tcPr>
          <w:p w14:paraId="78E736E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Bosch et al (2015)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{"citationItems":[{"id":"ITEM-1","itemData":{"DOI":"10.1186/s13023-015-0294-x","ISSN":"17501172","abstract":"Background: The strict and demanding dietary treatment and mild cognitive abnormalities seen in PKU treated from a young age can be expected to affect the health-related quality of life (HRQoL) of patients and their families. Our aim was to describe the HRQoL of patients with PKU from a large international study, using generic HRQoL measures and an innovative PKU-specific HRQoL questionnaire (PKU-QOL). Analyses were exploratory, performed post-hoc on data collected primarily to validate the PKU-QOL. Methods: A multicentre, prospective, non-interventional, observational study conducted in France, Germany, Italy, The Netherlands, Spain, Turkey and the UK. Patients diagnosed with PKU aged ≥9 years old and treated with a Phe-restricted diet and/or Phe-free amino acid protein supplements and/or pharmacological therapy were included in the study; parents of at least one patient with PKU aged &lt;18 years were also included. HRQoL was assessed by generic measures (Pediatric Quality-of-Life Inventory; Medical Outcome Survey 36 item Short Form; Child Health Questionnaire 28 item Parent Form) and the newly developed PKU-QOL. Mean generic domain scores were interpreted using published reference values from the general population. PKU-QOL domain scores were described overall and in different subgroups of patients defined according to severity of PKU, overall assessment of patient's health status by the investigator and treatment with tetrahydrobiopterin (BH&lt;inf&gt;4&lt;/inf&gt;). Results: Data from 559 subjects were analysed: 306 patients (92 children, 110 adolescents, 104 adults) and 253 parents. Mean domain scores of generic measures in the study were comparable to the general population. The highest PKU-QOL impact scores (indicating greater impact) were for emotional impact of PKU, anxiety about blood Phe levels, guilt regarding poor adherence to dietary restrictions or Phe-free amino acid supplement intake and anxiety regarding blood Phe levels during pregnancy. Patients with mild/moderate PKU and those receiving BH&lt;inf&gt;4&lt;/inf&gt; reported lower practical and emotional impacts of the diet and Phe-free amino acid supplement intake. Conclusion: Patients with PKU showed good HRQoL in the study, both with the generic and PKU-specific measures. Negative impacts of PKU on a patient's life, including the emotional impact of PKU and its management, was delineated by the PKU-QOLs across all age groups.","author":[{"dropping-particle":"","family":"Bosch","given":"Annet M.","non-dropping-particle":"","parse-names":false,"suffix":""},{"dropping-particle":"","family":"Burlina","given":"Alberto","non-dropping-particle":"","parse-names":false,"suffix":""},{"dropping-particle":"","family":"Cunningham","given":"Amy","non-dropping-particle":"","parse-names":false,"suffix":""},{"dropping-particle":"","family":"Bettiol","given":"Esther","non-dropping-particle":"","parse-names":false,"suffix":""},{"dropping-particle":"","family":"Moreau-Stucker","given":"Flavie","non-dropping-particle":"","parse-names":false,"suffix":""},{"dropping-particle":"","family":"Koledova","given":"Ekaterina","non-dropping-particle":"","parse-names":false,"suffix":""},{"dropping-particle":"","family":"Benmedjahed","given":"Khadra","non-dropping-particle":"","parse-names":false,"suffix":""},{"dropping-particle":"","family":"Regnault","given":"Antoine","non-dropping-particle":"","parse-names":false,"suffix":""}],"container-title":"Orphanet Journal of Rare Diseases","id":"ITEM-1","issue":"1","issued":{"date-parts":[["2015"]]},"title":"Assessment of the impact of phenylketonuria and its treatment on quality of life of patients and parents from seven European countries","type":"article-journal","volume":"10"},"uris":["http://www.mendeley.com/documents/?uuid=5558d735-6645-323f-a76e-734349591e8b"]}],"mendeley":{"formattedCitation":"[84]","plainTextFormattedCitation":"[84]","previouslyFormattedCitation":"[84]"},"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[84]</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59333F5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Orphanet J Rare Dis</w:t>
            </w:r>
          </w:p>
        </w:tc>
        <w:tc>
          <w:tcPr>
            <w:tcW w:w="1711" w:type="dxa"/>
            <w:shd w:val="clear" w:color="auto" w:fill="auto"/>
            <w:vAlign w:val="center"/>
          </w:tcPr>
          <w:p w14:paraId="1E13038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Families)</w:t>
            </w:r>
          </w:p>
        </w:tc>
        <w:tc>
          <w:tcPr>
            <w:tcW w:w="1984" w:type="dxa"/>
            <w:vAlign w:val="center"/>
          </w:tcPr>
          <w:p w14:paraId="5A7BB1C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Asia (Turkey) + Europe (France, Germany, Italy, Netherlands, Spain, UK)</w:t>
            </w:r>
          </w:p>
        </w:tc>
        <w:tc>
          <w:tcPr>
            <w:tcW w:w="1843" w:type="dxa"/>
            <w:shd w:val="clear" w:color="auto" w:fill="auto"/>
            <w:vAlign w:val="center"/>
          </w:tcPr>
          <w:p w14:paraId="566007A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Phenylketonuria (5C50.0)</w:t>
            </w:r>
          </w:p>
        </w:tc>
        <w:tc>
          <w:tcPr>
            <w:tcW w:w="1559" w:type="dxa"/>
            <w:shd w:val="clear" w:color="auto" w:fill="auto"/>
            <w:vAlign w:val="center"/>
          </w:tcPr>
          <w:p w14:paraId="3D1305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(QoL)</w:t>
            </w:r>
          </w:p>
        </w:tc>
        <w:tc>
          <w:tcPr>
            <w:tcW w:w="1418" w:type="dxa"/>
            <w:shd w:val="clear" w:color="auto" w:fill="auto"/>
            <w:vAlign w:val="center"/>
          </w:tcPr>
          <w:p w14:paraId="1DD7815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6F8A709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782F26B7" w14:textId="77777777" w:rsidTr="004C3C90">
        <w:trPr>
          <w:trHeight w:val="20"/>
        </w:trPr>
        <w:tc>
          <w:tcPr>
            <w:tcW w:w="557" w:type="dxa"/>
            <w:vAlign w:val="center"/>
          </w:tcPr>
          <w:p w14:paraId="23C54568"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85</w:t>
            </w:r>
          </w:p>
        </w:tc>
        <w:tc>
          <w:tcPr>
            <w:tcW w:w="1418" w:type="dxa"/>
            <w:shd w:val="clear" w:color="auto" w:fill="auto"/>
            <w:vAlign w:val="center"/>
          </w:tcPr>
          <w:p w14:paraId="62047A6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Dragojlovic et al (2015)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{"citationItems":[{"id":"ITEM-1","itemData":{"DOI":"10.1007/s40271-014-0109-5","ISSN":"11781661","abstract":"Background: Expensive drugs for rare diseases (i.e. orphan drugs) often do not meet traditional cost-effectiveness criteria and thus put further strain on limited healthcare budgets. Failing to provide medically necessary care to patients, however, violates one of the underlying tenets of most public health insurance systems—equity. This has led payers to consider the value that society places on the treatment of rare diseases, given the opportunity cost, when deciding on whether to fund specific treatments.\nAims: In this article we aim to illustrate two factors that make the measurement of societal value in this area particularly difficult: the low level of public awareness of, and engagement with, the orphan-drug issue, and the ‘zero-sum’ framing commonly used to describe the policy challenge posed by orphan drugs.\nMethod: We illustrate these challenges using data from an original survey of 2,005 Canadian adults. Respondents completed two tasks in which they were asked to choose between funding the treatment of patients suffering from either rare or common diseases.\nResults: Respondents were more likely to display choice aversion and unstable preferences if they had not completed a university degree and when a ‘zero-sum’ frame was used to introduce the choice sets.\nConclusions: The results suggest that studies in which the stated opportunity costs of funding orphan drugs focus exclusively on reductions in funding for other drugs or treatments may only provide a limited understanding of citizens’ policy preferences in the area of rare diseases.","author":[{"dropping-particle":"","family":"Dragojlovic","given":"Nick","non-dropping-particle":"","parse-names":false,"suffix":""},{"dropping-particle":"","family":"Rizzardo","given":"Shirin","non-dropping-particle":"","parse-names":false,"suffix":""},{"dropping-particle":"","family":"Bansback","given":"Nick","non-dropping-particle":"","parse-names":false,"suffix":""},{"dropping-particle":"","family":"Mitton","given":"Craig","non-dropping-particle":"","parse-names":false,"suffix":""},{"dropping-particle":"","family":"Marra","given":"Carlo A.","non-dropping-particle":"","parse-names":false,"suffix":""},{"dropping-particle":"","family":"Lynd","given":"Larry D.","non-dropping-particle":"","parse-names":false,"suffix":""}],"container-title":"Patient","id":"ITEM-1","issue":"1","issued":{"date-parts":[["2015"]]},"title":"Challenges in Measuring the Societal Value of Orphan Drugs: Insights from a Canadian Stated Preference Survey","type":"article","volume":"8"},"uris":["http://www.mendeley.com/documents/?uuid=df149355-b6e3-3b89-8611-d87008bea9cb"]}],"mendeley":{"formattedCitation":"[85]","plainTextFormattedCitation":"[85]","previouslyFormattedCitation":"[85]"},"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[85]</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60D8902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w:t>
            </w:r>
          </w:p>
        </w:tc>
        <w:tc>
          <w:tcPr>
            <w:tcW w:w="1711" w:type="dxa"/>
            <w:shd w:val="clear" w:color="auto" w:fill="auto"/>
            <w:vAlign w:val="center"/>
          </w:tcPr>
          <w:p w14:paraId="6F1F97C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3 (Public)</w:t>
            </w:r>
          </w:p>
        </w:tc>
        <w:tc>
          <w:tcPr>
            <w:tcW w:w="1984" w:type="dxa"/>
            <w:vAlign w:val="center"/>
          </w:tcPr>
          <w:p w14:paraId="2A0EF5E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(Canada)</w:t>
            </w:r>
          </w:p>
        </w:tc>
        <w:tc>
          <w:tcPr>
            <w:tcW w:w="1843" w:type="dxa"/>
            <w:shd w:val="clear" w:color="auto" w:fill="auto"/>
            <w:vAlign w:val="center"/>
          </w:tcPr>
          <w:p w14:paraId="1AFB75F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3BE8FAD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(funds)</w:t>
            </w:r>
          </w:p>
        </w:tc>
        <w:tc>
          <w:tcPr>
            <w:tcW w:w="1418" w:type="dxa"/>
            <w:shd w:val="clear" w:color="auto" w:fill="auto"/>
            <w:vAlign w:val="center"/>
          </w:tcPr>
          <w:p w14:paraId="73EBE4D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3BB70B0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0B289964" w14:textId="77777777" w:rsidTr="004C3C90">
        <w:trPr>
          <w:trHeight w:val="20"/>
        </w:trPr>
        <w:tc>
          <w:tcPr>
            <w:tcW w:w="557" w:type="dxa"/>
            <w:vAlign w:val="center"/>
          </w:tcPr>
          <w:p w14:paraId="43ED4180"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86</w:t>
            </w:r>
          </w:p>
        </w:tc>
        <w:tc>
          <w:tcPr>
            <w:tcW w:w="1418" w:type="dxa"/>
            <w:shd w:val="clear" w:color="auto" w:fill="auto"/>
            <w:vAlign w:val="center"/>
          </w:tcPr>
          <w:p w14:paraId="7FF6B1A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Ramalle-Gõmara et al (2015)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{"citationItems":[{"id":"ITEM-1","itemData":{"DOI":"10.1111/jep.12281","ISSN":"13652753","abstract":"Rationale, aims and objectives The debate about whether to dedicate funds to rare diseases (RD) may hinge on the existence of a societal preference for prioritizing rarity. There are scarce studies about the interest of doctors and general society in RD. Method Four groups of future health and non-health professionals were surveyed in a region of Spain to evaluate their opinion on RD. Questions of the study were organized into four groups: general knowledge on RD, prioritization of research of RD, willingness to assign resources to RD and real distribution of resources to RD. Results A total of 234 students were surveyed. The mean age of the whole study population was 24.0 years and the 83.3% were female. Only around 25% of the survey sample knew the definitions of RD and orphan drugs. Questions related to willingness to assign resources to RD did not reveal statistically significant differences between study groups. Seventy-three per cent considered that the majority of the budget should be used to treat common diseases. However, resident doctors recognized that they have neither experience nor time to diagnose and treat RD. Conclusion Although resident doctors have a little more general knowledge on RD than other surveyed groups, health and non-health future professionals have a low general knowledge on this topic and none of them prioritized the assignment of funds to RD.","author":[{"dropping-particle":"","family":"Ramalle-Gõmara","given":"Enrique","non-dropping-particle":"","parse-names":false,"suffix":""},{"dropping-particle":"","family":"Ruiz","given":"Elena","non-dropping-particle":"","parse-names":false,"suffix":""},{"dropping-particle":"","family":"Quiñones","given":"Carmen","non-dropping-particle":"","parse-names":false,"suffix":""},{"dropping-particle":"","family":"Andrés","given":"Sergio","non-dropping-particle":"","parse-names":false,"suffix":""},{"dropping-particle":"","family":"Iruzubieta","given":"Javier","non-dropping-particle":"","parse-names":false,"suffix":""},{"dropping-particle":"","family":"Gil-De-Gõmez","given":"Josefa","non-dropping-particle":"","parse-names":false,"suffix":""}],"container-title":"Journal of Evaluation in Clinical Practice","id":"ITEM-1","issue":"2","issued":{"date-parts":[["2015"]]},"title":"General knowledge and opinion of future health care and non-health care professionals on rare diseases","type":"article-journal","volume":"21"},"uris":["http://www.mendeley.com/documents/?uuid=6922bd0a-8aec-32be-9e7d-1e2c8a805e20"]}],"mendeley":{"formattedCitation":"[86]","plainTextFormattedCitation":"[86]","previouslyFormattedCitation":"[86]"},"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[86]</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3609371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Eval Clin Pract</w:t>
            </w:r>
          </w:p>
        </w:tc>
        <w:tc>
          <w:tcPr>
            <w:tcW w:w="1711" w:type="dxa"/>
            <w:shd w:val="clear" w:color="auto" w:fill="auto"/>
            <w:vAlign w:val="center"/>
          </w:tcPr>
          <w:p w14:paraId="1A926F6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(GPs) + Group 3 (University students, vocational health education students, nursing students)</w:t>
            </w:r>
          </w:p>
        </w:tc>
        <w:tc>
          <w:tcPr>
            <w:tcW w:w="1984" w:type="dxa"/>
            <w:vAlign w:val="center"/>
          </w:tcPr>
          <w:p w14:paraId="7EC88F4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(Spain)</w:t>
            </w:r>
          </w:p>
        </w:tc>
        <w:tc>
          <w:tcPr>
            <w:tcW w:w="1843" w:type="dxa"/>
            <w:shd w:val="clear" w:color="auto" w:fill="auto"/>
            <w:vAlign w:val="center"/>
          </w:tcPr>
          <w:p w14:paraId="6F2E180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565C67A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Knowledge</w:t>
            </w:r>
          </w:p>
        </w:tc>
        <w:tc>
          <w:tcPr>
            <w:tcW w:w="1418" w:type="dxa"/>
            <w:shd w:val="clear" w:color="auto" w:fill="auto"/>
            <w:vAlign w:val="center"/>
          </w:tcPr>
          <w:p w14:paraId="320285C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25D22D8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4B48DD1D" w14:textId="77777777" w:rsidTr="004C3C90">
        <w:trPr>
          <w:trHeight w:val="20"/>
        </w:trPr>
        <w:tc>
          <w:tcPr>
            <w:tcW w:w="557" w:type="dxa"/>
            <w:vAlign w:val="center"/>
          </w:tcPr>
          <w:p w14:paraId="2F91378B"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87</w:t>
            </w:r>
          </w:p>
        </w:tc>
        <w:tc>
          <w:tcPr>
            <w:tcW w:w="1418" w:type="dxa"/>
            <w:shd w:val="clear" w:color="auto" w:fill="auto"/>
            <w:vAlign w:val="center"/>
          </w:tcPr>
          <w:p w14:paraId="710C9B6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Melo et al (2015)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{"citationItems":[{"id":"ITEM-1","itemData":{"DOI":"10.1007/s12687-015-0224-6","ISSN":"18686001","abstract":"As discoveries regarding the genetic contribution to disease have grown rapidly, health care professionals are expected to incorporate genetic and genomic perspectives into health education and practice. Genetic competencies common to all health professionals have been identified by the US National Coalition for Health Professional Education in Genetics (NCHPEG), which defined the knowledge, skills, and attitudes required to achieve these competencies. The aim of this study is to analyze genetic competencies of primary health care professionals in Brazil. It is a descriptive survey study, whereby doctors, nurses, and dentists were invited to participate by answering a questionnaire including 11 issues based on competencies established by the NCHPEG. Data were presented as percentages. Differences between groups of participants were assessed by the Fisher exact test, with the level of significance set at p &lt; 0.05. Results showed that concerning knowledge, about 80 % of the participants recognized basic genetics terminology, but practitioners had difficulty in identifying patterns of inheritance. Regarding clinical skills, practitioners were able to recognize facial dysmorphias and identify situations where referral of patients to specialists was necessary. Nevertheless, there were challenges in the process of valuing and gathering information about family history. Regarding attitudes, 68.9 % of the participants thought about the comprehensiveness of care but faced challenges in counselling parents. The results of this study may contribute to developing an ongoing education program for primary health care professionals, leading to a strategy to overcome the challenges of including genetics in the Brazilian Unified Health System.","author":[{"dropping-particle":"","family":"Melo","given":"Débora Gusmão","non-dropping-particle":"","parse-names":false,"suffix":""},{"dropping-particle":"","family":"Paula","given":"Pamela Karen","non-dropping-particle":"de","parse-names":false,"suffix":""},{"dropping-particle":"","family":"Araujo Rodrigues","given":"Stephania","non-dropping-particle":"de","parse-names":false,"suffix":""},{"dropping-particle":"","family":"Silva de Avó","given":"Lucimar Retto","non-dropping-particle":"da","parse-names":false,"suffix":""},{"dropping-particle":"","family":"Germano","given":"Carla Maria Ramos","non-dropping-particle":"","parse-names":false,"suffix":""},{"dropping-particle":"","family":"Demarzo","given":"Marcelo Marcos Piva","non-dropping-particle":"","parse-names":false,"suffix":""}],"container-title":"Journal of Community Genetics","id":"ITEM-1","issue":"3","issued":{"date-parts":[["2015"]]},"title":"Genetics in primary health care and the National Policy on Comprehensive Care for People with Rare Diseases in Brazil: opportunities and challenges for professional education","type":"article-journal","volume":"6"},"uris":["http://www.mendeley.com/documents/?uuid=a70027b6-d3e2-3a23-8baa-fccd8405165e"]}],"mendeley":{"formattedCitation":"[87]","plainTextFormattedCitation":"[87]","previouslyFormattedCitation":"[87]"},"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[87]</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0BB271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Community Genet</w:t>
            </w:r>
          </w:p>
        </w:tc>
        <w:tc>
          <w:tcPr>
            <w:tcW w:w="1711" w:type="dxa"/>
            <w:shd w:val="clear" w:color="auto" w:fill="auto"/>
            <w:vAlign w:val="center"/>
          </w:tcPr>
          <w:p w14:paraId="57CB0FB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(GPs, Other HCPs (Nurses, Dentists))</w:t>
            </w:r>
          </w:p>
        </w:tc>
        <w:tc>
          <w:tcPr>
            <w:tcW w:w="1984" w:type="dxa"/>
            <w:vAlign w:val="center"/>
          </w:tcPr>
          <w:p w14:paraId="2427749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South America (Brazil)</w:t>
            </w:r>
          </w:p>
        </w:tc>
        <w:tc>
          <w:tcPr>
            <w:tcW w:w="1843" w:type="dxa"/>
            <w:shd w:val="clear" w:color="auto" w:fill="auto"/>
            <w:vAlign w:val="center"/>
          </w:tcPr>
          <w:p w14:paraId="18AFAD4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2697450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Knowledge</w:t>
            </w:r>
          </w:p>
        </w:tc>
        <w:tc>
          <w:tcPr>
            <w:tcW w:w="1418" w:type="dxa"/>
            <w:shd w:val="clear" w:color="auto" w:fill="auto"/>
            <w:vAlign w:val="center"/>
          </w:tcPr>
          <w:p w14:paraId="143FD4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6FD7F7C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1A05C2C3" w14:textId="77777777" w:rsidTr="004C3C90">
        <w:trPr>
          <w:trHeight w:val="20"/>
        </w:trPr>
        <w:tc>
          <w:tcPr>
            <w:tcW w:w="557" w:type="dxa"/>
            <w:vAlign w:val="center"/>
          </w:tcPr>
          <w:p w14:paraId="45578351"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88</w:t>
            </w:r>
          </w:p>
        </w:tc>
        <w:tc>
          <w:tcPr>
            <w:tcW w:w="1418" w:type="dxa"/>
            <w:shd w:val="clear" w:color="auto" w:fill="auto"/>
            <w:vAlign w:val="center"/>
          </w:tcPr>
          <w:p w14:paraId="495595D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Tosi et al (2015)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{"citationItems":[{"id":"ITEM-1","itemData":{"DOI":"10.1186/s13023-015-0362-2","ISSN":"17501172","abstract":"Background: A better understanding of the natural history of osteogenesis imperfecta (OI) in adulthood should improve health care for patients with this rare condition. Methods: The Osteogenesis Imperfecta Foundation established the Adult Natural History Initiative (ANHI) in 2010 to give voice to the health concerns of the adult OI community and to begin to address existing knowledge gaps for this condition. Using a web-based platform, 959 adults with self-reported OI, representing a wide range of self-reported disease severity, reported symptoms and health conditions, estimated the impact of these concerns on present and future health-related quality of life (QoL) and completed a Patient-Reported Outcomes Measurement Information System (PROMIS®) survey of health issues. Results: Adults with OI report lower general physical health status (p &lt; .0001), exhibit a higher prevalence of auditory (58 % of sample versus 2-16 % of normalized population) and musculoskeletal (64 % of sample versus 1-3 % of normalized population) concerns than the general population, but report generally similar mental health status. Musculoskeletal, auditory, pulmonary, endocrine, and gastrointestinal issues are particular future health-related QoL concerns for these adults. Numerous other statistically significant differences exist among adults with OI as well as between adults with OI and the referent PROMIS® population, but the clinical significance of these differences is uncertain. Conclusions: Adults with OI report lower general health status but are otherwise more similar to the general population than might have been expected. While reassuring, further analysis of the extensive OI-ANHI databank should help identify areas of unique clinical concern and for future research. The OI-ANHI survey experience supports an internet-based strategy for successful patient-centered outcomes research in rare disease populations.","author":[{"dropping-particle":"","family":"Tosi","given":"Laura L.","non-dropping-particle":"","parse-names":false,"suffix":""},{"dropping-particle":"","family":"Oetgen","given":"Matthew E.","non-dropping-particle":"","parse-names":false,"suffix":""},{"dropping-particle":"","family":"Floor","given":"Marianne K.","non-dropping-particle":"","parse-names":false,"suffix":""},{"dropping-particle":"","family":"Huber","given":"Mary Beth","non-dropping-particle":"","parse-names":false,"suffix":""},{"dropping-particle":"","family":"Kennelly","given":"Ann M.","non-dropping-particle":"","parse-names":false,"suffix":""},{"dropping-particle":"","family":"McCarter","given":"Robert J.","non-dropping-particle":"","parse-names":false,"suffix":""},{"dropping-particle":"","family":"Rak","given":"Melanie F.","non-dropping-particle":"","parse-names":false,"suffix":""},{"dropping-particle":"","family":"Simmonds","given":"Barbara J.","non-dropping-particle":"","parse-names":false,"suffix":""},{"dropping-particle":"","family":"Simpson","given":"Melissa D.","non-dropping-particle":"","parse-names":false,"suffix":""},{"dropping-particle":"","family":"Tucker","given":"Carole A.","non-dropping-particle":"","parse-names":false,"suffix":""},{"dropping-particle":"","family":"McKiernan","given":"Fergus E.","non-dropping-particle":"","parse-names":false,"suffix":""}],"container-title":"Orphanet Journal of Rare Diseases","id":"ITEM-1","issue":"1","issued":{"date-parts":[["2015"]]},"title":"Initial report of the osteogenesis imperfecta adult natural history initiative","type":"article-journal","volume":"10"},"uris":["http://www.mendeley.com/documents/?uuid=513a5816-7759-3f41-8b8c-f4ae9fd6e508"]}],"mendeley":{"formattedCitation":"[88]","plainTextFormattedCitation":"[88]","previouslyFormattedCitation":"[88]"},"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[88]</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736223A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16FED9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49FCD55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039120B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Osteogenesis imperfecta (LD24.K0)</w:t>
            </w:r>
          </w:p>
        </w:tc>
        <w:tc>
          <w:tcPr>
            <w:tcW w:w="1559" w:type="dxa"/>
            <w:shd w:val="clear" w:color="auto" w:fill="auto"/>
            <w:vAlign w:val="center"/>
          </w:tcPr>
          <w:p w14:paraId="71A078C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(epidemiological features)</w:t>
            </w:r>
          </w:p>
        </w:tc>
        <w:tc>
          <w:tcPr>
            <w:tcW w:w="1418" w:type="dxa"/>
            <w:shd w:val="clear" w:color="auto" w:fill="auto"/>
            <w:vAlign w:val="center"/>
          </w:tcPr>
          <w:p w14:paraId="3446268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0241311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54F0C761" w14:textId="77777777" w:rsidTr="004C3C90">
        <w:trPr>
          <w:trHeight w:val="20"/>
        </w:trPr>
        <w:tc>
          <w:tcPr>
            <w:tcW w:w="557" w:type="dxa"/>
            <w:vAlign w:val="center"/>
          </w:tcPr>
          <w:p w14:paraId="6A0D602C"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89</w:t>
            </w:r>
          </w:p>
        </w:tc>
        <w:tc>
          <w:tcPr>
            <w:tcW w:w="1418" w:type="dxa"/>
            <w:shd w:val="clear" w:color="auto" w:fill="auto"/>
            <w:vAlign w:val="center"/>
          </w:tcPr>
          <w:p w14:paraId="1E2F64B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Oliveira et al (2015)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{"citationItems":[{"id":"ITEM-1","itemData":{"DOI":"10.1186/s13023-015-0257-2","ISSN":"17501172","abstract":"We provide the first empirical exploration of disease-related innovation by patients and their caregivers. Our aims were to explore to what degree do patients develop innovative solutions; how many of these are unique developments; and do these solutions have positive perceived impact on the patients' overall quality of life? In addition, we explored the factors associated with patient innovation development, and sharing of the solutions that the patients developed. Methods: We administered a questionnaire via telephone interviewing to a sample of 500 rare disease patients and caregivers. The solutions reported were pre-screened by the authors for their fit with the self-developed innovation aim of the study. All the reported solutions were then validated for their novelty by two medical professionals. Logistic regression models were used to test the relationships between our key variables, patient innovation and solution sharing. Results: 263 (53%) of our survey respondents reported developing and using a solution to improve management of their diseases. An initial screening removed 81 (16%) solutions for being an obvious misfit to the self-developed innovation aim of the study. This lowered the sample of potentially innovative solutions to 182 (36%). Assessment of novelty and usefulness of the solutions, conducted by two medical evaluators, confirmed that 40 solutions (8%) were indeed novel, while the remaining 142 (28%) were already known to medicine. The likelihood of patient innovation increased as the education level increased (OR 2, p &lt; 0.05), and as their perception of limitations imposed by their disease increased (OR 1.3, p &lt; 0.05). 55 individuals diffused their solutions to some degree, with 50 of these sharing via direct diffusion to other patients. There is a positive relationship between the impact of a solution on the respondents' overall quality of life and likelihood of solution sharing. Conclusions: Given that hundreds of millions of people worldwide are afflicted by rare diseases, patient and their caregivers can be a tremendous source of innovation for many who are similarly afflicted. Our findings suggest that many patients could be greatly assisted by improved diffusion of known solutions and best practices to and among patients and their caregivers.","author":[{"dropping-particle":"","family":"Oliveira","given":"Pedro","non-dropping-particle":"","parse-names":false,"suffix":""},{"dropping-particle":"","family":"Zejnilovic","given":"Leid","non-dropping-particle":"","parse-names":false,"suffix":""},{"dropping-particle":"","family":"Canhão","given":"Helena","non-dropping-particle":"","parse-names":false,"suffix":""},{"dropping-particle":"","family":"Hippel","given":"Eric","non-dropping-particle":"Von","parse-names":false,"suffix":""}],"container-title":"Orphanet Journal of Rare Diseases","id":"ITEM-1","issue":"1","issued":{"date-parts":[["2015"]]},"title":"Innovation by patients with rare diseases and chronic needs","type":"article-journal","volume":"10"},"uris":["http://www.mendeley.com/documents/?uuid=21408768-bb81-3cd0-9620-250b8ebf8b58"]}],"mendeley":{"formattedCitation":"[89]","plainTextFormattedCitation":"[89]","previouslyFormattedCitation":"[89]"},"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[89]</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1B373CB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3121CEF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Caregivers)</w:t>
            </w:r>
          </w:p>
        </w:tc>
        <w:tc>
          <w:tcPr>
            <w:tcW w:w="1984" w:type="dxa"/>
            <w:vAlign w:val="center"/>
          </w:tcPr>
          <w:p w14:paraId="790E9FD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(Portugal)</w:t>
            </w:r>
          </w:p>
        </w:tc>
        <w:tc>
          <w:tcPr>
            <w:tcW w:w="1843" w:type="dxa"/>
            <w:shd w:val="clear" w:color="auto" w:fill="auto"/>
            <w:vAlign w:val="center"/>
          </w:tcPr>
          <w:p w14:paraId="411601F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045585D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(innovative solutions)</w:t>
            </w:r>
          </w:p>
        </w:tc>
        <w:tc>
          <w:tcPr>
            <w:tcW w:w="1418" w:type="dxa"/>
            <w:shd w:val="clear" w:color="auto" w:fill="auto"/>
            <w:vAlign w:val="center"/>
          </w:tcPr>
          <w:p w14:paraId="5FFC7CA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(Questionnaire + Interview)</w:t>
            </w:r>
          </w:p>
        </w:tc>
        <w:tc>
          <w:tcPr>
            <w:tcW w:w="709" w:type="dxa"/>
            <w:shd w:val="clear" w:color="auto" w:fill="auto"/>
            <w:vAlign w:val="center"/>
          </w:tcPr>
          <w:p w14:paraId="7446A33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15842002" w14:textId="77777777" w:rsidTr="004C3C90">
        <w:trPr>
          <w:trHeight w:val="20"/>
        </w:trPr>
        <w:tc>
          <w:tcPr>
            <w:tcW w:w="557" w:type="dxa"/>
            <w:vAlign w:val="center"/>
          </w:tcPr>
          <w:p w14:paraId="341DAFE0"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90</w:t>
            </w:r>
          </w:p>
        </w:tc>
        <w:tc>
          <w:tcPr>
            <w:tcW w:w="1418" w:type="dxa"/>
            <w:shd w:val="clear" w:color="auto" w:fill="auto"/>
            <w:vAlign w:val="center"/>
          </w:tcPr>
          <w:p w14:paraId="71F103D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Shin et al (2015)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{"citationItems":[{"id":"ITEM-1","itemData":{"DOI":"10.4143/crt.2014.086","ISSN":"20059256","abstract":"Purpose In response to the challenges and difficulties imposed by rare cancers, multi-stakeholder initiatives dedicated to improving rare cancer care was launched, and several recommendations were made by professional societies. However, these primarily reflect the view of the advocates and supporters, and may not represent the views of the \"average\" clinician or researcher. In this study, we sought to investigate perceived difficulties with regard to rare cancer care and potential solutions endorsed by oncologists. Materials and Methods A representative sample of 420 oncologists recruited in 13 cancer centers participated in a nationwide survey. Results Oncologists faced various difficulties in treatment of patients with rare cancers, including the lack of clinical practice guidelines (65.7%) and personal experience (65.2%), lack of approved treatment options (39.8%), and reimbursement issues (44.5%). They were generally supportive of recent recommendations by multi-stakeholder initiatives as well as professional societies for development of clear clinical practice guidelines (66.0%), flexible reimbursement guidelines (52.9%), and a national rare cancer registry (47.4%). However, there was only moderate endorsement for referrals to high-volume centers (35.5%) and encouragement of off-label treatments (21.0%). Conclusion Insights into the general attitudes of oncologists gained through our nationwide survey of representative samples would be helpful in development of clinical practices and public health policies in rare cancer treatment and research.","author":[{"dropping-particle":"","family":"Shin","given":"Dong Wook","non-dropping-particle":"","parse-names":false,"suffix":""},{"dropping-particle":"","family":"Cho","given":"Juhee","non-dropping-particle":"","parse-names":false,"suffix":""},{"dropping-particle":"","family":"Yang","given":"Hyung Kook","non-dropping-particle":"","parse-names":false,"suffix":""},{"dropping-particle":"","family":"Kim","given":"So Young","non-dropping-particle":"","parse-names":false,"suffix":""},{"dropping-particle":"","family":"Lee","given":"Su Hyun","non-dropping-particle":"","parse-names":false,"suffix":""},{"dropping-particle":"","family":"Suh","given":"Beomseok","non-dropping-particle":"","parse-names":false,"suffix":""},{"dropping-particle":"","family":"Shin","given":"Hee Young","non-dropping-particle":"","parse-names":false,"suffix":""},{"dropping-particle":"","family":"Lee","given":"Hyun Joo","non-dropping-particle":"","parse-names":false,"suffix":""},{"dropping-particle":"","family":"Kim","given":"Dae Ghon","non-dropping-particle":"","parse-names":false,"suffix":""},{"dropping-particle":"","family":"Park","given":"Jong Hyock","non-dropping-particle":"","parse-names":false,"suffix":""}],"container-title":"Cancer Research and Treatment","id":"ITEM-1","issue":"4","issued":{"date-parts":[["2015"]]},"title":"Oncologist perspectives on rare cancer care: A nationwide survey","type":"article-journal","volume":"47"},"uris":["http://www.mendeley.com/documents/?uuid=8ebe9991-6d5a-372e-a8ea-e58f7615fb27"]}],"mendeley":{"formattedCitation":"[90]","plainTextFormattedCitation":"[90]","previouslyFormattedCitation":"[90]"},"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[90]</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462CEBF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Cancer Res Treat</w:t>
            </w:r>
          </w:p>
        </w:tc>
        <w:tc>
          <w:tcPr>
            <w:tcW w:w="1711" w:type="dxa"/>
            <w:shd w:val="clear" w:color="auto" w:fill="auto"/>
            <w:vAlign w:val="center"/>
          </w:tcPr>
          <w:p w14:paraId="4464C6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(Specialists (Oncologists))</w:t>
            </w:r>
          </w:p>
        </w:tc>
        <w:tc>
          <w:tcPr>
            <w:tcW w:w="1984" w:type="dxa"/>
            <w:vAlign w:val="center"/>
          </w:tcPr>
          <w:p w14:paraId="693089C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Asia (South Korea)</w:t>
            </w:r>
          </w:p>
        </w:tc>
        <w:tc>
          <w:tcPr>
            <w:tcW w:w="1843" w:type="dxa"/>
            <w:shd w:val="clear" w:color="auto" w:fill="auto"/>
            <w:vAlign w:val="center"/>
          </w:tcPr>
          <w:p w14:paraId="06217D2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Rare cancer diseases (No code, Neoplasms)</w:t>
            </w:r>
          </w:p>
        </w:tc>
        <w:tc>
          <w:tcPr>
            <w:tcW w:w="1559" w:type="dxa"/>
            <w:shd w:val="clear" w:color="auto" w:fill="auto"/>
            <w:vAlign w:val="center"/>
          </w:tcPr>
          <w:p w14:paraId="4DCB9C1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(treatment)</w:t>
            </w:r>
          </w:p>
        </w:tc>
        <w:tc>
          <w:tcPr>
            <w:tcW w:w="1418" w:type="dxa"/>
            <w:shd w:val="clear" w:color="auto" w:fill="auto"/>
            <w:vAlign w:val="center"/>
          </w:tcPr>
          <w:p w14:paraId="1730AE9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41A5ED0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7A65D635" w14:textId="77777777" w:rsidTr="004C3C90">
        <w:trPr>
          <w:trHeight w:val="20"/>
        </w:trPr>
        <w:tc>
          <w:tcPr>
            <w:tcW w:w="557" w:type="dxa"/>
            <w:vAlign w:val="center"/>
          </w:tcPr>
          <w:p w14:paraId="08CCB21D"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lastRenderedPageBreak/>
              <w:t>91</w:t>
            </w:r>
          </w:p>
        </w:tc>
        <w:tc>
          <w:tcPr>
            <w:tcW w:w="1418" w:type="dxa"/>
            <w:shd w:val="clear" w:color="auto" w:fill="auto"/>
            <w:vAlign w:val="center"/>
          </w:tcPr>
          <w:p w14:paraId="2FD9BDA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Samoutis and Samoutis (2015)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author":[{"dropping-particle":"","family":"Samoutis","given":"GA","non-dropping-particle":"","parse-names":false,"suffix":""},{"dropping-particle":"","family":"Samoutis","given":"AA","non-dropping-particle":"","parse-names":false,"suffix":""}],"container-title":"International Journal of Caring Sciences","id":"ITEM-1","issue":"1","issued":{"date-parts":[["2015"]]},"page":"36-44","title":"Paget Disease of Bone in Cyprus: Prevalence, Clinical Characteristics and Physicians' Awareness","type":"article-journal","volume":"8"},"uris":["http://www.mendeley.com/documents/?uuid=b2431485-c694-3e79-aa49-614bdc765ab7"]}],"mendeley":{"formattedCitation":"[91]","plainTextFormattedCitation":"[91]","previouslyFormattedCitation":"[91]"},"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[91]</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4F4D95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Int J Caring Sci</w:t>
            </w:r>
          </w:p>
        </w:tc>
        <w:tc>
          <w:tcPr>
            <w:tcW w:w="1711" w:type="dxa"/>
            <w:shd w:val="clear" w:color="auto" w:fill="auto"/>
            <w:vAlign w:val="center"/>
          </w:tcPr>
          <w:p w14:paraId="6E6FDD1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(Specialists (Orthopedics, Rheumatologists))</w:t>
            </w:r>
          </w:p>
        </w:tc>
        <w:tc>
          <w:tcPr>
            <w:tcW w:w="1984" w:type="dxa"/>
            <w:vAlign w:val="center"/>
          </w:tcPr>
          <w:p w14:paraId="5481165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(Cyprus)</w:t>
            </w:r>
          </w:p>
        </w:tc>
        <w:tc>
          <w:tcPr>
            <w:tcW w:w="1843" w:type="dxa"/>
            <w:shd w:val="clear" w:color="auto" w:fill="auto"/>
            <w:vAlign w:val="center"/>
          </w:tcPr>
          <w:p w14:paraId="7742EBE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Paget's disease (FB85.Z)</w:t>
            </w:r>
          </w:p>
        </w:tc>
        <w:tc>
          <w:tcPr>
            <w:tcW w:w="1559" w:type="dxa"/>
            <w:shd w:val="clear" w:color="auto" w:fill="auto"/>
            <w:vAlign w:val="center"/>
          </w:tcPr>
          <w:p w14:paraId="5D6211F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Prevalence</w:t>
            </w:r>
          </w:p>
        </w:tc>
        <w:tc>
          <w:tcPr>
            <w:tcW w:w="1418" w:type="dxa"/>
            <w:shd w:val="clear" w:color="auto" w:fill="auto"/>
            <w:vAlign w:val="center"/>
          </w:tcPr>
          <w:p w14:paraId="1658A23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61544EF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3DBCA294" w14:textId="77777777" w:rsidTr="004C3C90">
        <w:trPr>
          <w:trHeight w:val="20"/>
        </w:trPr>
        <w:tc>
          <w:tcPr>
            <w:tcW w:w="557" w:type="dxa"/>
            <w:vAlign w:val="center"/>
          </w:tcPr>
          <w:p w14:paraId="2FD79ADA"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92</w:t>
            </w:r>
          </w:p>
        </w:tc>
        <w:tc>
          <w:tcPr>
            <w:tcW w:w="1418" w:type="dxa"/>
            <w:shd w:val="clear" w:color="auto" w:fill="auto"/>
            <w:vAlign w:val="center"/>
          </w:tcPr>
          <w:p w14:paraId="7D5C70B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Forsythe et al (2015)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{"citationItems":[{"id":"ITEM-1","itemData":{"DOI":"10.2217/cer.14.52","ISSN":"20426313","abstract":"Aims: Describe and compare patient and primary care clinician attitudes about comparative effectiveness research (CER) and inclusion of patients and clinicians as partners in clinical research. Materials &amp; methods: Online survey of patients (n = 900) and primary care clinicians (n = 750) from opt-in survey panels. Results: Nearly half (45%) of clinicians were not familiar with CER, but after reviewing a definition of CER, most (76%) agreed that it can improve patient care. Patients and clinicians indicated interest in engagement as research partners (66% and 55%, respectively). Lack of time was the most commonly endorsed barrier. Conclusion: Attitudes toward CER and engagement in clinical research were generally favorable. Identified facilitators and barriers point to strategies for enhancing patient and clinician engagement in research.","author":[{"dropping-particle":"","family":"Forsythe","given":"Laura P.","non-dropping-particle":"","parse-names":false,"suffix":""},{"dropping-particle":"","family":"Frank","given":"Lori","non-dropping-particle":"","parse-names":false,"suffix":""},{"dropping-particle":"","family":"Walker","given":"Kara Odom","non-dropping-particle":"","parse-names":false,"suffix":""},{"dropping-particle":"","family":"Anise","given":"Ayodola","non-dropping-particle":"","parse-names":false,"suffix":""},{"dropping-particle":"","family":"Wegener","given":"Natalie","non-dropping-particle":"","parse-names":false,"suffix":""},{"dropping-particle":"","family":"Weisman","given":"Harlan","non-dropping-particle":"","parse-names":false,"suffix":""},{"dropping-particle":"","family":"Hunt","given":"Gail","non-dropping-particle":"","parse-names":false,"suffix":""},{"dropping-particle":"","family":"Beal","given":"Anne","non-dropping-particle":"","parse-names":false,"suffix":""}],"container-title":"Journal of Comparative Effectiveness Research","id":"ITEM-1","issue":"1","issued":{"date-parts":[["2015"]]},"title":"Patient and clinician views on comparative effectiveness research and engagement in research","type":"article-journal","volume":"4"},"uris":["http://www.mendeley.com/documents/?uuid=9ea10675-2a4d-3e25-b1cd-9253b4826834"]}],"mendeley":{"formattedCitation":"[92]","plainTextFormattedCitation":"[92]","previouslyFormattedCitation":"[92]"},"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[92]</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5E5DF0C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Comp Eff Res</w:t>
            </w:r>
          </w:p>
        </w:tc>
        <w:tc>
          <w:tcPr>
            <w:tcW w:w="1711" w:type="dxa"/>
            <w:shd w:val="clear" w:color="auto" w:fill="auto"/>
            <w:vAlign w:val="center"/>
          </w:tcPr>
          <w:p w14:paraId="54EBE94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 Group 2 (GPs)</w:t>
            </w:r>
          </w:p>
        </w:tc>
        <w:tc>
          <w:tcPr>
            <w:tcW w:w="1984" w:type="dxa"/>
            <w:vAlign w:val="center"/>
          </w:tcPr>
          <w:p w14:paraId="7961057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1A1C44D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498970A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(comparative effectiveness research, engagement)</w:t>
            </w:r>
          </w:p>
        </w:tc>
        <w:tc>
          <w:tcPr>
            <w:tcW w:w="1418" w:type="dxa"/>
            <w:shd w:val="clear" w:color="auto" w:fill="auto"/>
            <w:vAlign w:val="center"/>
          </w:tcPr>
          <w:p w14:paraId="38B479C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7EAFEA4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2510E574" w14:textId="77777777" w:rsidTr="004C3C90">
        <w:trPr>
          <w:trHeight w:val="20"/>
        </w:trPr>
        <w:tc>
          <w:tcPr>
            <w:tcW w:w="557" w:type="dxa"/>
            <w:vAlign w:val="center"/>
          </w:tcPr>
          <w:p w14:paraId="08B5E581"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93</w:t>
            </w:r>
          </w:p>
        </w:tc>
        <w:tc>
          <w:tcPr>
            <w:tcW w:w="1418" w:type="dxa"/>
            <w:shd w:val="clear" w:color="auto" w:fill="auto"/>
            <w:vAlign w:val="center"/>
          </w:tcPr>
          <w:p w14:paraId="4532424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Johnson et al (2015)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{"citationItems":[{"id":"ITEM-1","itemData":{"DOI":"10.1002/mus.24333","ISSN":"10974598","abstract":"Introduction: This study aims to assess the frequency, location, severity, duration, and fluctuation over time of muscle cramps in Charcot-Marie-Tooth disease (CMT). Methods: Inherited Neuropathies Consortium Contact Registry participants recorded the occurrence and characteristics of muscle cramps using an 11-question survey administered 3 times over 8 weeks. Results: A total of 110 adult patients with CMT completed the survey. Weekly cramp frequency was 9.3 (SD 12.3), and 23% had daily muscle cramps. Twenty-two percent reported a significant impact on quality of life. Over 8 weeks, the daily frequency and severity of muscle cramps did not change significantly. Conclusions: Patients with CMT have muscle cramps that vary little over an 8-week period, and they may interfere with quality of life. These data may be useful in the planning of clinical trials of agents to treat adults with CMT-associated muscle cramps.","author":[{"dropping-particle":"","family":"Johnson","given":"Nicholas E.","non-dropping-particle":"","parse-names":false,"suffix":""},{"dropping-particle":"","family":"Sowden","given":"Janet","non-dropping-particle":"","parse-names":false,"suffix":""},{"dropping-particle":"","family":"Dilek","given":"Nuran","non-dropping-particle":"","parse-names":false,"suffix":""},{"dropping-particle":"","family":"Eichinger","given":"Katy","non-dropping-particle":"","parse-names":false,"suffix":""},{"dropping-particle":"","family":"Burns","given":"Joshua","non-dropping-particle":"","parse-names":false,"suffix":""},{"dropping-particle":"","family":"Mcdermott","given":"Michael P.","non-dropping-particle":"","parse-names":false,"suffix":""},{"dropping-particle":"","family":"Shy","given":"Michael E.","non-dropping-particle":"","parse-names":false,"suffix":""},{"dropping-particle":"","family":"Herrmann","given":"David N.","non-dropping-particle":"","parse-names":false,"suffix":""}],"container-title":"Muscle and Nerve","id":"ITEM-1","issue":"4","issued":{"date-parts":[["2015"]]},"title":"Prospective study of muscle cramps in Charcot-Marie-Tooth disease","type":"article-journal","volume":"51"},"uris":["http://www.mendeley.com/documents/?uuid=15471018-adff-35dc-9f6d-e8646967932e"]}],"mendeley":{"formattedCitation":"[93]","plainTextFormattedCitation":"[93]","previouslyFormattedCitation":"[93]"},"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[93]</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3424A0E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Muscle Nerve</w:t>
            </w:r>
          </w:p>
        </w:tc>
        <w:tc>
          <w:tcPr>
            <w:tcW w:w="1711" w:type="dxa"/>
            <w:shd w:val="clear" w:color="auto" w:fill="auto"/>
            <w:vAlign w:val="center"/>
          </w:tcPr>
          <w:p w14:paraId="7C3D062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4C229A6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668B3CB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Charcot-Marie-tooth disease (8C21.Z)</w:t>
            </w:r>
          </w:p>
        </w:tc>
        <w:tc>
          <w:tcPr>
            <w:tcW w:w="1559" w:type="dxa"/>
            <w:shd w:val="clear" w:color="auto" w:fill="auto"/>
            <w:vAlign w:val="center"/>
          </w:tcPr>
          <w:p w14:paraId="06A4E84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Prevalence (frequency, location, severity, duration)</w:t>
            </w:r>
          </w:p>
        </w:tc>
        <w:tc>
          <w:tcPr>
            <w:tcW w:w="1418" w:type="dxa"/>
            <w:shd w:val="clear" w:color="auto" w:fill="auto"/>
            <w:vAlign w:val="center"/>
          </w:tcPr>
          <w:p w14:paraId="7F700E0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08D66C9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32C223AE" w14:textId="77777777" w:rsidTr="004C3C90">
        <w:trPr>
          <w:trHeight w:val="20"/>
        </w:trPr>
        <w:tc>
          <w:tcPr>
            <w:tcW w:w="557" w:type="dxa"/>
            <w:vAlign w:val="center"/>
          </w:tcPr>
          <w:p w14:paraId="143F4BA4"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94</w:t>
            </w:r>
          </w:p>
        </w:tc>
        <w:tc>
          <w:tcPr>
            <w:tcW w:w="1418" w:type="dxa"/>
            <w:shd w:val="clear" w:color="auto" w:fill="auto"/>
            <w:vAlign w:val="center"/>
          </w:tcPr>
          <w:p w14:paraId="5B45846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Houyez et al (2014)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{"citationItems":[{"id":"ITEM-1","itemData":{"DOI":"10.2196/ijmr.2867","ISSN":"1929-073X","abstract":"BACKGROUND: Information on rare diseases are often complex to understand, or difficult to access and additional support is often necessary. Rare diseases helplines work together across Europe to respond to calls and emails from the public at large, including patients, health care professionals, families, and students. Measuring the activity of helplines can help decision makers to allocate adequate funds when deciding to create or expand an equivalent service. OBJECTIVE: Data presented are referred to a monthly user profile analysis, which is one of the activities that each helpline has to carry out to be part of the network. This survey aimed to explore the information requests and characteristics of users of rare diseases helplines in different European countries. Another aim was to analyze these data with respect to users' characteristics, helpline characteristics, topics of the inquiries, and technologies used to provide information. With this survey, we measure data that are key for planning information services on rare diseases in the context of the development of national plans for rare diseases. METHODS: A survey was conducted based on all calls, emails, visits, or letters received from November 1 to 30, 2012 to monitor the activity represented by 12 helplines. Data were collected by a common standardized form, using ORPHA Codes for rare diseases, when applicable. No personal data identifying the inquirer were collected. It was a descriptive approach documenting on the number and purpose of inquiries, the number of respondents, the mode of contact, the category of the inquirer in relation to the patient, the inquirer's gender, age and region of residence, the patient's age when applicable, the type and duration of response, and the satisfaction as scored by the respondents. RESULTS: A total of 1676 calls, emails, or letters were received from November 1 to 30, 2012. Inquiries were mostly about specific diseases. An average of 23 minutes was spent for each inquiry. The inquirer was a patient in 571/1676 inquiries (ie, 34.07% of all cases; 95% CI 31.8-36.3). Other inquirers included relatives (520/1676, 31.03%; 95% CI 28.9-33.3), health care professionals (354/1676, 21.12%; 95% CI 19.2-23.1), and miscellaneous inquirers (230/1676, 13.72%; 95% CI 12.1-15.4). Telephone remained the main mode of contact (988/1676, 58.95%; 95% CI 56.6-61.3), followed by emails (609/1676, 36.34%; 95% CI 34.0-38.6). The three main reasons of inquiries were to acquire ab…","author":[{"dropping-particle":"","family":"Houyez","given":"Francois","non-dropping-particle":"","parse-names":false,"suffix":""},{"dropping-particle":"","family":"Sanchez de Vega","given":"Rosa","non-dropping-particle":"","parse-names":false,"suffix":""},{"dropping-particle":"","family":"Brignol","given":"Tuy Nga","non-dropping-particle":"","parse-names":false,"suffix":""},{"dropping-particle":"","family":"Mazzucato","given":"Monica","non-dropping-particle":"","parse-names":false,"suffix":""},{"dropping-particle":"","family":"Polizzi","given":"Agata","non-dropping-particle":"","parse-names":false,"suffix":""}],"container-title":"interactive Journal of Medical Research","id":"ITEM-1","issue":"2","issued":{"date-parts":[["2014"]]},"title":"A European Network of Email and Telephone Help Lines Providing Information and Support on Rare Diseases: Results From a 1-Month Activity Survey","type":"article-journal","volume":"3"},"uris":["http://www.mendeley.com/documents/?uuid=ec30d4a1-b386-31b8-8db4-6bbc5857ea94"]}],"mendeley":{"formattedCitation":"[94]","plainTextFormattedCitation":"[94]","previouslyFormattedCitation":"[94]"},"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[94]</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14F55B9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Interact J Med Res</w:t>
            </w:r>
          </w:p>
        </w:tc>
        <w:tc>
          <w:tcPr>
            <w:tcW w:w="1711" w:type="dxa"/>
            <w:shd w:val="clear" w:color="auto" w:fill="auto"/>
            <w:vAlign w:val="center"/>
          </w:tcPr>
          <w:p w14:paraId="23C80A4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Families) + Group 2 (Other HCPs) + Group 3 (Public)</w:t>
            </w:r>
          </w:p>
        </w:tc>
        <w:tc>
          <w:tcPr>
            <w:tcW w:w="1984" w:type="dxa"/>
            <w:vAlign w:val="center"/>
          </w:tcPr>
          <w:p w14:paraId="4C3EE56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(Bulgaria, Croatia, Denmark, France, Italy, Portugal, Romania, Spain)</w:t>
            </w:r>
          </w:p>
        </w:tc>
        <w:tc>
          <w:tcPr>
            <w:tcW w:w="1843" w:type="dxa"/>
            <w:shd w:val="clear" w:color="auto" w:fill="auto"/>
            <w:vAlign w:val="center"/>
          </w:tcPr>
          <w:p w14:paraId="23F3E0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5DE5980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(access to information)</w:t>
            </w:r>
          </w:p>
        </w:tc>
        <w:tc>
          <w:tcPr>
            <w:tcW w:w="1418" w:type="dxa"/>
            <w:shd w:val="clear" w:color="auto" w:fill="auto"/>
            <w:vAlign w:val="center"/>
          </w:tcPr>
          <w:p w14:paraId="4C05FC3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1CA9A24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7351BEB0" w14:textId="77777777" w:rsidTr="004C3C90">
        <w:trPr>
          <w:trHeight w:val="20"/>
        </w:trPr>
        <w:tc>
          <w:tcPr>
            <w:tcW w:w="557" w:type="dxa"/>
            <w:vAlign w:val="center"/>
          </w:tcPr>
          <w:p w14:paraId="5CDF870D"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95</w:t>
            </w:r>
          </w:p>
        </w:tc>
        <w:tc>
          <w:tcPr>
            <w:tcW w:w="1418" w:type="dxa"/>
            <w:shd w:val="clear" w:color="auto" w:fill="auto"/>
            <w:vAlign w:val="center"/>
          </w:tcPr>
          <w:p w14:paraId="064CEA7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McClain et al (2014)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{"citationItems":[{"id":"ITEM-1","itemData":{"DOI":"10.1177/0009922814528035","ISSN":"19382707","abstract":"Objectives. To assess primary care pediatric providers' comfort with co-managing patients with rare conditions. Methods. A survey was sent via an electronic link to pediatricians and family practitioners. Chi-square test of significance and Fisher's exact test were used for categorical variable comparisons and the Student's t test was used for continuous variable comparisons. Results. Most of the providers believed that care decisions are most frequently made by the specialist with consultation with the primary care clinician. The most common source of information is direct communication from the specialist. The most effective tool to increase clarity and comfort about provider roles was an active care plan identifying current care needs, who will act on the plan, and when the action should be completed. Conclusions. Coordinated co-management in which caregiving roles are explicitly defined and tools are available for the timely exchange of information among all key participants warrants further study. © The Author(s) 2014.","author":[{"dropping-particle":"","family":"McClain","given":"Monica R.","non-dropping-particle":"","parse-names":false,"suffix":""},{"dropping-particle":"","family":"Cooley","given":"W. Carl","non-dropping-particle":"","parse-names":false,"suffix":""},{"dropping-particle":"","family":"Keirns","given":"Tracy","non-dropping-particle":"","parse-names":false,"suffix":""},{"dropping-particle":"","family":"Smith","given":"Andrew","non-dropping-particle":"","parse-names":false,"suffix":""}],"container-title":"Clinical Pediatrics","id":"ITEM-1","issue":"6","issued":{"date-parts":[["2014"]]},"title":"A survey of the preferences of primary care physicians regarding the comanagement with specialists of children with rare or complex conditions","type":"article","volume":"53"},"uris":["http://www.mendeley.com/documents/?uuid=f8b2e4ed-e54d-3a09-abb9-6ff69ec8e9a1"]}],"mendeley":{"formattedCitation":"[95]","plainTextFormattedCitation":"[95]","previouslyFormattedCitation":"[95]"},"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[95]</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4FCAE06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Clin. Pediatr. (Phila)</w:t>
            </w:r>
          </w:p>
        </w:tc>
        <w:tc>
          <w:tcPr>
            <w:tcW w:w="1711" w:type="dxa"/>
            <w:shd w:val="clear" w:color="auto" w:fill="auto"/>
            <w:vAlign w:val="center"/>
          </w:tcPr>
          <w:p w14:paraId="350F596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(GPs)</w:t>
            </w:r>
          </w:p>
        </w:tc>
        <w:tc>
          <w:tcPr>
            <w:tcW w:w="1984" w:type="dxa"/>
            <w:vAlign w:val="center"/>
          </w:tcPr>
          <w:p w14:paraId="28E4E48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701F3C3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795721B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(care)</w:t>
            </w:r>
          </w:p>
        </w:tc>
        <w:tc>
          <w:tcPr>
            <w:tcW w:w="1418" w:type="dxa"/>
            <w:shd w:val="clear" w:color="auto" w:fill="auto"/>
            <w:vAlign w:val="center"/>
          </w:tcPr>
          <w:p w14:paraId="1EB63C6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503744A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028D1E4A" w14:textId="77777777" w:rsidTr="004C3C90">
        <w:trPr>
          <w:trHeight w:val="20"/>
        </w:trPr>
        <w:tc>
          <w:tcPr>
            <w:tcW w:w="557" w:type="dxa"/>
            <w:vAlign w:val="center"/>
          </w:tcPr>
          <w:p w14:paraId="220D6817"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96</w:t>
            </w:r>
          </w:p>
        </w:tc>
        <w:tc>
          <w:tcPr>
            <w:tcW w:w="1418" w:type="dxa"/>
            <w:shd w:val="clear" w:color="auto" w:fill="auto"/>
            <w:vAlign w:val="center"/>
          </w:tcPr>
          <w:p w14:paraId="775F017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Hendriksz et al (2014)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{"citationItems":[{"id":"ITEM-1","itemData":{"DOI":"10.1186/1750-1172-9-32","ISSN":"17501172","abstract":"Background: Morquio A syndrome (or mucopolysaccharidosis IVa) is an ultra-rare multi-organ disease, resulting in significantly impaired functional capacity, mobility and quality of life (QoL). Methods. This patient-reported outcomes survey evaluated the global burden of Morquio A among adults (≥18 years, N = 27) and children (7-17 years, N = 36), including the impact on mobility, QoL, pain and fatigue. QoL was assessed using the general Health-Related Quality of Life (HRQoL) questionnaire (the EuroQol [EQ]-5D-5L). Pain and pain interference with daily activities were assessed using the Brief Pain Inventory Short Form (BPI-SF) in adults and the Adolescent Pediatric Pain Tool (APPT) in children. Fatigue was assessed by questioning the patients on the number of evenings in a week they felt extremely tired. Results: The clinical data showed a wide heterogeneity in clinical manifestations between patients, with the majority of patients showing differing levels of endurance, short stature, bone and joint abnormalities, abnormal gait and eye problems. Mobility was considerably impaired: 44.4% of children and 85.2% of adult patients were using a wheelchair. High wheelchair reliance significantly reduced QoL. This was mainly driven by reduced scores in the Mobility, Self-care, and Usual Activity domains. The HRQoL utility values were 0.846, 0.582 and 0.057 respectively in adults not using a wheelchair, using a wheelchair only when needed and always using a wheelchair; values were 0.534, 0.664 and -0.180 respectively in children. Employed adult patients had a better HRQoL than unemployed patients (HRQoL utility value 0.640 vs. 0.275, respectively). 64% of children and 74% of adult patients had joint pain; fatigue was reported by 69% of children and 63% of adults. Overall, increased mobility was associated with more severe and widespread pain and more fatigue. Conclusions: The HRQoL of Morquio A patients is mainly driven by the ability to remain independently mobile without becoming wheelchair dependent. Their QoL reduces dramatically if they always have to use their wheelchair. Even a slightly better mobility (wheelchair use only when needed) greatly improves QoL. Maintenance of functional capacity and mobility paired with better pain management are likely to improve QoL. © 2014 Hendriksz et al.; licensee BioMed Central Ltd.","author":[{"dropping-particle":"","family":"Hendriksz","given":"Christian J.","non-dropping-particle":"","parse-names":false,"suffix":""},{"dropping-particle":"","family":"Lavery","given":"Christine","non-dropping-particle":"","parse-names":false,"suffix":""},{"dropping-particle":"","family":"Coker","given":"Mahmut","non-dropping-particle":"","parse-names":false,"suffix":""},{"dropping-particle":"","family":"Ucar","given":"Sema Kalkan","non-dropping-particle":"","parse-names":false,"suffix":""},{"dropping-particle":"","family":"Jain","given":"Mohit","non-dropping-particle":"","parse-names":false,"suffix":""},{"dropping-particle":"","family":"Bell","given":"Lisa","non-dropping-particle":"","parse-names":false,"suffix":""},{"dropping-particle":"","family":"Lampe","given":"Christina","non-dropping-particle":"","parse-names":false,"suffix":""}],"container-title":"Orphanet Journal of Rare Diseases","id":"ITEM-1","issue":"1","issued":{"date-parts":[["2014"]]},"title":"Burden of disease in patients with Morquio A syndrome: Results from an international patient-reported outcomes survey","type":"article","volume":"9"},"uris":["http://www.mendeley.com/documents/?uuid=c625260d-0c7d-3945-98c8-194abf1c0a51"]}],"mendeley":{"formattedCitation":"[96]","plainTextFormattedCitation":"[96]","previouslyFormattedCitation":"[96]"},"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[96]</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12C7F42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1BEEE97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Caregivers)</w:t>
            </w:r>
          </w:p>
        </w:tc>
        <w:tc>
          <w:tcPr>
            <w:tcW w:w="1984" w:type="dxa"/>
            <w:vAlign w:val="center"/>
          </w:tcPr>
          <w:p w14:paraId="377F5DE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Asia (Turkey) + Europe (Germany, Spain, UK) +South America (Brazil, Columbia)</w:t>
            </w:r>
          </w:p>
        </w:tc>
        <w:tc>
          <w:tcPr>
            <w:tcW w:w="1843" w:type="dxa"/>
            <w:shd w:val="clear" w:color="auto" w:fill="auto"/>
            <w:vAlign w:val="center"/>
          </w:tcPr>
          <w:p w14:paraId="2C41974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Morquio syndrome (5C56.32)</w:t>
            </w:r>
          </w:p>
        </w:tc>
        <w:tc>
          <w:tcPr>
            <w:tcW w:w="1559" w:type="dxa"/>
            <w:shd w:val="clear" w:color="auto" w:fill="auto"/>
            <w:vAlign w:val="center"/>
          </w:tcPr>
          <w:p w14:paraId="6B5508A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(burden of illness, QoL)</w:t>
            </w:r>
          </w:p>
        </w:tc>
        <w:tc>
          <w:tcPr>
            <w:tcW w:w="1418" w:type="dxa"/>
            <w:shd w:val="clear" w:color="auto" w:fill="auto"/>
            <w:vAlign w:val="center"/>
          </w:tcPr>
          <w:p w14:paraId="383AFA8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49A964C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3682F672" w14:textId="77777777" w:rsidTr="004C3C90">
        <w:trPr>
          <w:trHeight w:val="20"/>
        </w:trPr>
        <w:tc>
          <w:tcPr>
            <w:tcW w:w="557" w:type="dxa"/>
            <w:vAlign w:val="center"/>
          </w:tcPr>
          <w:p w14:paraId="7ACF9C20"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97</w:t>
            </w:r>
          </w:p>
        </w:tc>
        <w:tc>
          <w:tcPr>
            <w:tcW w:w="1418" w:type="dxa"/>
            <w:shd w:val="clear" w:color="auto" w:fill="auto"/>
            <w:vAlign w:val="center"/>
          </w:tcPr>
          <w:p w14:paraId="09A56E0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Smorti et al (2014)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{"citationItems":[{"id":"ITEM-1","itemData":{"DOI":"10.1080/13548506.2013.802357","ISSN":"13548506","abstract":"Background: Amyloidosis is a rare disease group. AL amyloidosis represents the most common type of systemic amyloidosis and cardiac involvement determines prognosis. Although some studies have revealed that amyloidosis patients present high levels of depression, few data are available about depression-contributing factors. No investigations have been conducted about the coping strategies that AL amyloidosis patients use to face the disease and there is little research on patients with cardiac symptoms that are strongly related to the prognosis. Objectives: to examine coping strategies (avoidance, social support seeking and problem-solving) as potential mediator in the relationship between cardiac symptom severity (independent variable) and depressive symptoms (dependent variable) in AL cardiologic patients. Method: Thirty-four AL patients with cardiac-related symptoms were administered the Coping Strategy Indicator and the Centre for Epidemiological Study-Depression Scale. Clinical variables such as months since cardiac symptom onset and cardiac symptom severity were collected. Results: According to questionnaire normative values, all patients presented clinical depression. Moreover, out of the coping strategies, avoidance and social support seeking mediated the link between cardiac symptom severity and depressive symptoms. No mediational effect was found for problem-solving. Discussion: As cardiac symptoms have low severity, AL patients can avoid the disease. However, as cardiac symptoms proceed and interfere with daily activities, they can no longer ignore their signs thus perceiving the severity of their medical condition. This status makes individuals prone to seek less social support and thus to prefer social isolation. Results suggest the need for early psychological support on coping strategies for AL cardiologic patients. © 2013 Taylor &amp; Francis.","author":[{"dropping-particle":"","family":"Smorti","given":"Martina","non-dropping-particle":"","parse-names":false,"suffix":""},{"dropping-particle":"","family":"Cappelli","given":"Francesco","non-dropping-particle":"","parse-names":false,"suffix":""},{"dropping-particle":"","family":"Guarnieri","given":"Silvia","non-dropping-particle":"","parse-names":false,"suffix":""},{"dropping-particle":"","family":"Bergesio","given":"Franco","non-dropping-particle":"","parse-names":false,"suffix":""},{"dropping-particle":"","family":"Perfetto","given":"Federico","non-dropping-particle":"","parse-names":false,"suffix":""}],"container-title":"Psychology, Health and Medicine","id":"ITEM-1","issue":"3","issued":{"date-parts":[["2014"]]},"title":"Depression and cardiac symptoms among AL amyloidosis patients: The mediating role of coping strategies","type":"article-journal","volume":"19"},"uris":["http://www.mendeley.com/documents/?uuid=c02fbc7c-1a7b-399c-95c2-4e29b9321945"]}],"mendeley":{"formattedCitation":"[97]","plainTextFormattedCitation":"[97]","previouslyFormattedCitation":"[97]"},"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[97]</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2A7A59B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Psychol Heal Med</w:t>
            </w:r>
          </w:p>
        </w:tc>
        <w:tc>
          <w:tcPr>
            <w:tcW w:w="1711" w:type="dxa"/>
            <w:shd w:val="clear" w:color="auto" w:fill="auto"/>
            <w:vAlign w:val="center"/>
          </w:tcPr>
          <w:p w14:paraId="32D04ED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7C6C8E8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(Italy)</w:t>
            </w:r>
          </w:p>
        </w:tc>
        <w:tc>
          <w:tcPr>
            <w:tcW w:w="1843" w:type="dxa"/>
            <w:shd w:val="clear" w:color="auto" w:fill="auto"/>
            <w:vAlign w:val="center"/>
          </w:tcPr>
          <w:p w14:paraId="6BA3B7E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Light chain amyloidosis (5D00.0)</w:t>
            </w:r>
          </w:p>
        </w:tc>
        <w:tc>
          <w:tcPr>
            <w:tcW w:w="1559" w:type="dxa"/>
            <w:shd w:val="clear" w:color="auto" w:fill="auto"/>
            <w:vAlign w:val="center"/>
          </w:tcPr>
          <w:p w14:paraId="02D2752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(depression, cardiac symptoms)</w:t>
            </w:r>
          </w:p>
        </w:tc>
        <w:tc>
          <w:tcPr>
            <w:tcW w:w="1418" w:type="dxa"/>
            <w:shd w:val="clear" w:color="auto" w:fill="auto"/>
            <w:vAlign w:val="center"/>
          </w:tcPr>
          <w:p w14:paraId="5EE626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3E72005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5F5F173A" w14:textId="77777777" w:rsidTr="004C3C90">
        <w:trPr>
          <w:trHeight w:val="20"/>
        </w:trPr>
        <w:tc>
          <w:tcPr>
            <w:tcW w:w="557" w:type="dxa"/>
            <w:vAlign w:val="center"/>
          </w:tcPr>
          <w:p w14:paraId="59355724"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98</w:t>
            </w:r>
          </w:p>
        </w:tc>
        <w:tc>
          <w:tcPr>
            <w:tcW w:w="1418" w:type="dxa"/>
            <w:shd w:val="clear" w:color="auto" w:fill="auto"/>
            <w:vAlign w:val="center"/>
          </w:tcPr>
          <w:p w14:paraId="6E5CF73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Johnson et al (2014)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{"citationItems":[{"id":"ITEM-1","itemData":{"DOI":"10.1016/j.nmd.2014.06.433","ISSN":"18732364","abstract":"This study determines the impact of symptoms associated with Charcot-Marie-Tooth disease on quality-of-life. Charcot-Marie-Tooth patients in the Inherited Neuropathies Consortium Rare Diseases Clinical Research Network Contact Registry were surveyed. The survey inquired about 214 symptoms and 20 themes previously identified as important to Charcot-Marie-Tooth patients through patient interviews. Symptom population impact was calculated as the prevalence multiplied by the relative importance of each symptom identified. Prevalence and symptom impact were analyzed by age, symptom duration, gender, Charcot-Marie-Tooth type, and employment status. 407 participants returned the survey, identifying foot and ankle weakness (99.7%) and impaired balance (98.6%) as the most prevalent themes. Foot and ankle weakness and limitations with mobility were the themes with the highest impact. Both symptom prevalence and impact gradually increased with age and symptom duration. Several themes were more prevalent in women with Charcot-Marie-Tooth, including activity limitations, pain, fatigue, hip-thigh weakness, and gastrointestinal issues. All of the themes, except emotional or body image issues, were more prevalent among unemployed individuals. There were minimal differences in symptom prevalence between Charcot-Marie-Tooth types. There are multiple symptoms that impact Charcot-Marie-Tooth quality-of-life in adults. These symptoms have different levels of importance, are readily recognized by patients, and represent critical areas of Charcot-Marie-Tooth health.","author":[{"dropping-particle":"","family":"Johnson","given":"Nicholas E.","non-dropping-particle":"","parse-names":false,"suffix":""},{"dropping-particle":"","family":"Heatwole","given":"Chad R.","non-dropping-particle":"","parse-names":false,"suffix":""},{"dropping-particle":"","family":"Dilek","given":"Nuran","non-dropping-particle":"","parse-names":false,"suffix":""},{"dropping-particle":"","family":"Sowden","given":"Janet","non-dropping-particle":"","parse-names":false,"suffix":""},{"dropping-particle":"","family":"Kirk","given":"Callyn A.","non-dropping-particle":"","parse-names":false,"suffix":""},{"dropping-particle":"","family":"Shereff","given":"Denise","non-dropping-particle":"","parse-names":false,"suffix":""},{"dropping-particle":"","family":"Shy","given":"Michael E.","non-dropping-particle":"","parse-names":false,"suffix":""},{"dropping-particle":"","family":"Herrmann","given":"David N.","non-dropping-particle":"","parse-names":false,"suffix":""}],"container-title":"Neuromuscular Disorders","id":"ITEM-1","issue":"11","issued":{"date-parts":[["2014"]]},"title":"Quality-of-life in Charcot-Marie-Tooth disease: The patient's perspective","type":"article-journal","volume":"24"},"uris":["http://www.mendeley.com/documents/?uuid=495b879f-bcb0-302d-84d2-b813cc5aa7ab"]}],"mendeley":{"formattedCitation":"[98]","plainTextFormattedCitation":"[98]","previouslyFormattedCitation":"[98]"},"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[98]</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7F84CB7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Neuromuscul Disord</w:t>
            </w:r>
          </w:p>
        </w:tc>
        <w:tc>
          <w:tcPr>
            <w:tcW w:w="1711" w:type="dxa"/>
            <w:shd w:val="clear" w:color="auto" w:fill="auto"/>
            <w:vAlign w:val="center"/>
          </w:tcPr>
          <w:p w14:paraId="247EE0B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327F746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(Italy, UK) + Oceania (Australia) + North America (US)</w:t>
            </w:r>
          </w:p>
        </w:tc>
        <w:tc>
          <w:tcPr>
            <w:tcW w:w="1843" w:type="dxa"/>
            <w:shd w:val="clear" w:color="auto" w:fill="auto"/>
            <w:vAlign w:val="center"/>
          </w:tcPr>
          <w:p w14:paraId="5EA1FF9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Charcot-Marie-tooth disease (8C21.Z)</w:t>
            </w:r>
          </w:p>
        </w:tc>
        <w:tc>
          <w:tcPr>
            <w:tcW w:w="1559" w:type="dxa"/>
            <w:shd w:val="clear" w:color="auto" w:fill="auto"/>
            <w:vAlign w:val="center"/>
          </w:tcPr>
          <w:p w14:paraId="07D7321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(symptoms, QoL)</w:t>
            </w:r>
          </w:p>
        </w:tc>
        <w:tc>
          <w:tcPr>
            <w:tcW w:w="1418" w:type="dxa"/>
            <w:shd w:val="clear" w:color="auto" w:fill="auto"/>
            <w:vAlign w:val="center"/>
          </w:tcPr>
          <w:p w14:paraId="65A8E42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(Questionnaire + Interview)</w:t>
            </w:r>
          </w:p>
        </w:tc>
        <w:tc>
          <w:tcPr>
            <w:tcW w:w="709" w:type="dxa"/>
            <w:shd w:val="clear" w:color="auto" w:fill="auto"/>
            <w:vAlign w:val="center"/>
          </w:tcPr>
          <w:p w14:paraId="1B45C9E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69425874" w14:textId="77777777" w:rsidTr="004C3C90">
        <w:trPr>
          <w:trHeight w:val="20"/>
        </w:trPr>
        <w:tc>
          <w:tcPr>
            <w:tcW w:w="557" w:type="dxa"/>
            <w:vAlign w:val="center"/>
          </w:tcPr>
          <w:p w14:paraId="5E0AFF62"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99</w:t>
            </w:r>
          </w:p>
        </w:tc>
        <w:tc>
          <w:tcPr>
            <w:tcW w:w="1418" w:type="dxa"/>
            <w:shd w:val="clear" w:color="auto" w:fill="auto"/>
            <w:vAlign w:val="center"/>
          </w:tcPr>
          <w:p w14:paraId="66F4415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Greulich et al (2013)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{"citationItems":[{"id":"ITEM-1","itemData":{"DOI":"10.1016/j.rmed.2013.04.023","ISSN":"09546111","abstract":"Background Alpha1-antitrypsin (AAT) deficiency, although largely under-diagnosed, is the underlying cause of approximately 1% of COPD cases. Lack of awareness leads to long delays in diagnostic testing. Subsequently, lifestyle and treatment choices with potentially positive effects on prognosis may be postponed. Methods Data on the testing and diagnostic practices for AAT deficiency were derived from the University of Pavia, Italy, and the University of Marburg, Germany. In addition, a survey of physicians was undertaken to explore their awareness and attitudes toward AAT deficiency. Results In Pavia and Marburg, 125 and 729 patients, respectively, were identified with severe AAT deficiency between July 2006 and June 2011. The median time interval between the onset of symptoms and diagnosis was 6 years (interquartile range [IQR], 11; range, 0-40) and 7 years (IQR, 13; range, 0-73), respectively. Augmentation therapy was initiated almost immediately in Germany while treatment was delayed by 3 months in Italy (IQR, 5.25; range, 1-118). Survey data (Italy, n = 181; Germany, n = 180) revealed that pulmonologists had greater knowledge of AAT deficiency than internists and general practitioners, however, overall, only 18-25% of physicians tested all COPD patients. One-third of the respondents stated that they \"sometimes\" offered augmentation therapy to patients diagnosed with AAT deficiency. Conclusions Major obstacles to AAT deficiency testing are physicians' attitudes and lack of understanding of the condition. A greater adherence to the guidelines that recommend diagnostic testing of all COPD patients, coupled with simpler testing protocols, may decrease delays and positively impact patient outcomes. © 2013 Elsevier Ltd. All rights reserved.","author":[{"dropping-particle":"","family":"Greulich","given":"Timm","non-dropping-particle":"","parse-names":false,"suffix":""},{"dropping-particle":"","family":"Ottaviani","given":"Stefania","non-dropping-particle":"","parse-names":false,"suffix":""},{"dropping-particle":"","family":"Bals","given":"Robert","non-dropping-particle":"","parse-names":false,"suffix":""},{"dropping-particle":"","family":"Lepper","given":"Philipp M.","non-dropping-particle":"","parse-names":false,"suffix":""},{"dropping-particle":"","family":"Vogelmeier","given":"Claus","non-dropping-particle":"","parse-names":false,"suffix":""},{"dropping-particle":"","family":"Luisetti","given":"Maurizio","non-dropping-particle":"","parse-names":false,"suffix":""},{"dropping-particle":"","family":"Ferrarotti","given":"Ilaria","non-dropping-particle":"","parse-names":false,"suffix":""}],"container-title":"Respiratory Medicine","id":"ITEM-1","issue":"9","issued":{"date-parts":[["2013"]]},"title":"Alpha1-antitrypsin deficiency - Diagnostic testing and disease awareness in Germany and Italy","type":"article-journal","volume":"107"},"uris":["http://www.mendeley.com/documents/?uuid=9a47d336-121c-36d7-80d4-b772aa05be16"]}],"mendeley":{"formattedCitation":"[99]","plainTextFormattedCitation":"[99]","previouslyFormattedCitation":"[99]"},"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[99]</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437BB8A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Respir Med</w:t>
            </w:r>
          </w:p>
        </w:tc>
        <w:tc>
          <w:tcPr>
            <w:tcW w:w="1711" w:type="dxa"/>
            <w:shd w:val="clear" w:color="auto" w:fill="auto"/>
            <w:vAlign w:val="center"/>
          </w:tcPr>
          <w:p w14:paraId="7C67461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(Specialists (Pulmonologists, Internal medicine specialists), GPs)</w:t>
            </w:r>
          </w:p>
        </w:tc>
        <w:tc>
          <w:tcPr>
            <w:tcW w:w="1984" w:type="dxa"/>
            <w:vAlign w:val="center"/>
          </w:tcPr>
          <w:p w14:paraId="20F8CA6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(Germany, Italy)</w:t>
            </w:r>
          </w:p>
        </w:tc>
        <w:tc>
          <w:tcPr>
            <w:tcW w:w="1843" w:type="dxa"/>
            <w:shd w:val="clear" w:color="auto" w:fill="auto"/>
            <w:vAlign w:val="center"/>
          </w:tcPr>
          <w:p w14:paraId="0378C5F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α-1-Antitrypsin deficiency (5C5A)</w:t>
            </w:r>
          </w:p>
        </w:tc>
        <w:tc>
          <w:tcPr>
            <w:tcW w:w="1559" w:type="dxa"/>
            <w:shd w:val="clear" w:color="auto" w:fill="auto"/>
            <w:vAlign w:val="center"/>
          </w:tcPr>
          <w:p w14:paraId="4B4FE06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Knowledge</w:t>
            </w:r>
          </w:p>
        </w:tc>
        <w:tc>
          <w:tcPr>
            <w:tcW w:w="1418" w:type="dxa"/>
            <w:shd w:val="clear" w:color="auto" w:fill="auto"/>
            <w:vAlign w:val="center"/>
          </w:tcPr>
          <w:p w14:paraId="5260044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(Questionnaire + Patient records analysis)</w:t>
            </w:r>
          </w:p>
        </w:tc>
        <w:tc>
          <w:tcPr>
            <w:tcW w:w="709" w:type="dxa"/>
            <w:shd w:val="clear" w:color="auto" w:fill="auto"/>
            <w:vAlign w:val="center"/>
          </w:tcPr>
          <w:p w14:paraId="4890776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19922181" w14:textId="77777777" w:rsidTr="004C3C90">
        <w:trPr>
          <w:trHeight w:val="20"/>
        </w:trPr>
        <w:tc>
          <w:tcPr>
            <w:tcW w:w="557" w:type="dxa"/>
            <w:vAlign w:val="center"/>
          </w:tcPr>
          <w:p w14:paraId="31483B66"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lastRenderedPageBreak/>
              <w:t>100</w:t>
            </w:r>
          </w:p>
        </w:tc>
        <w:tc>
          <w:tcPr>
            <w:tcW w:w="1418" w:type="dxa"/>
            <w:shd w:val="clear" w:color="auto" w:fill="auto"/>
            <w:vAlign w:val="center"/>
          </w:tcPr>
          <w:p w14:paraId="3B1B890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Zhou et al (2013)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{"citationItems":[{"id":"ITEM-1","itemData":{"DOI":"10.1111/opo.12023","ISSN":"02755408","abstract":"Purpose: To examine the prevalence of systemic and ocular disease among choroideremia patients and carriers. Methods: A cross-sectional analysis was performed on responses from affected males with choroideremia, female carriers, and unaffected brothers to an Internet-based survey made available from September 2009 to November 2010. Affected males were classified into two groups, those with or without functional vision. Carrier females were classified into those with and without symptoms. Comparisons were made between these groups. Results: There was a higher prevalence of dry eye in our respondents than the North American population. The prevalence of dry eye, cataract, hypertension, diabetes, psychological problems and hypercholesterolemia were higher in choroideremia males without functional vision compared to those with functional vision. Likewise, statin intake was more prevalent among the affected males without functional vision than those with functional vision. After age adjustment, any differences between the two subgroups of male patients (with and without functional vision) were not significant. Conclusion: Age plays an important role in determining the onset of severe visual impairment with loss of functional vision in male subjects affected by choroideremia. Although Internet surveys have limitations such as the use of self-reported diagnoses and the possibility that the responses may not be representative of the population as a whole, this study shows that such surveys can provide data quickly and easily, and for rare diseases such as choroideremia, with relatively large numbers of responses. © 2013 The College of Optometrists.","author":[{"dropping-particle":"","family":"Zhou","given":"Qi","non-dropping-particle":"","parse-names":false,"suffix":""},{"dropping-particle":"","family":"Weis","given":"Ekekiel","non-dropping-particle":"","parse-names":false,"suffix":""},{"dropping-particle":"","family":"Ye","given":"Ming","non-dropping-particle":"","parse-names":false,"suffix":""},{"dropping-particle":"","family":"Benjaminy","given":"Shelly","non-dropping-particle":"","parse-names":false,"suffix":""},{"dropping-particle":"","family":"MacDonald","given":"Ian M.","non-dropping-particle":"","parse-names":false,"suffix":""}],"container-title":"Ophthalmic and Physiological Optics","id":"ITEM-1","issue":"2","issued":{"date-parts":[["2013"]]},"title":"An internet-based health survey on the co-morbidities of choroideremia patients","type":"article-journal","volume":"33"},"uris":["http://www.mendeley.com/documents/?uuid=e3bf4e06-7073-32ce-83d0-529f9ab62a5c"]}],"mendeley":{"formattedCitation":"[100]","plainTextFormattedCitation":"[100]","previouslyFormattedCitation":"[100]"},"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[100]</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2A659F2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Ophthalmic Physiol Opt</w:t>
            </w:r>
          </w:p>
        </w:tc>
        <w:tc>
          <w:tcPr>
            <w:tcW w:w="1711" w:type="dxa"/>
            <w:shd w:val="clear" w:color="auto" w:fill="auto"/>
            <w:vAlign w:val="center"/>
          </w:tcPr>
          <w:p w14:paraId="17965B9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Carriers)</w:t>
            </w:r>
          </w:p>
        </w:tc>
        <w:tc>
          <w:tcPr>
            <w:tcW w:w="1984" w:type="dxa"/>
            <w:vAlign w:val="center"/>
          </w:tcPr>
          <w:p w14:paraId="7E44052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(UK) + North America (Canada, US)</w:t>
            </w:r>
          </w:p>
        </w:tc>
        <w:tc>
          <w:tcPr>
            <w:tcW w:w="1843" w:type="dxa"/>
            <w:shd w:val="clear" w:color="auto" w:fill="auto"/>
            <w:vAlign w:val="center"/>
          </w:tcPr>
          <w:p w14:paraId="1286481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Choroideremia (9B61)</w:t>
            </w:r>
          </w:p>
        </w:tc>
        <w:tc>
          <w:tcPr>
            <w:tcW w:w="1559" w:type="dxa"/>
            <w:shd w:val="clear" w:color="auto" w:fill="auto"/>
            <w:vAlign w:val="center"/>
          </w:tcPr>
          <w:p w14:paraId="44895B2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Prevalence</w:t>
            </w:r>
          </w:p>
        </w:tc>
        <w:tc>
          <w:tcPr>
            <w:tcW w:w="1418" w:type="dxa"/>
            <w:shd w:val="clear" w:color="auto" w:fill="auto"/>
            <w:vAlign w:val="center"/>
          </w:tcPr>
          <w:p w14:paraId="6479A54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29C5852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7C33EE27" w14:textId="77777777" w:rsidTr="004C3C90">
        <w:trPr>
          <w:trHeight w:val="20"/>
        </w:trPr>
        <w:tc>
          <w:tcPr>
            <w:tcW w:w="557" w:type="dxa"/>
            <w:vAlign w:val="center"/>
          </w:tcPr>
          <w:p w14:paraId="161C20C4"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101</w:t>
            </w:r>
          </w:p>
        </w:tc>
        <w:tc>
          <w:tcPr>
            <w:tcW w:w="1418" w:type="dxa"/>
            <w:shd w:val="clear" w:color="auto" w:fill="auto"/>
            <w:vAlign w:val="center"/>
          </w:tcPr>
          <w:p w14:paraId="5021BCF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Anderson et al (2013)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{"citationItems":[{"id":"ITEM-1","itemData":{"DOI":"10.1186/s13023-017-0622-4","ISSN":"17501172","abstract":"Background: Children and families living with rare disease often experience significant health, psychosocial, economic burdens and diagnostic delays. Experiences appear to be constant, regardless of the specific rare disease diagnosis. Systematically collected Australian data to support policy response on rare diseases are scarce. We address this gap by providing survey results about 462 children aged &lt;19 years living with approximately 200 different rare diseases. Results: Of 462 children, 96% were born in Australia, 55% were male, median age was 8.9 years (0-18.2). Four-hundred-and-twenty-eight (93%) had received a definitive diagnosis but 29 (7%) remained undiagnosed. Before receiving the correct diagnosis 38% consulted ≥ 6 different doctors. Among those with a diagnosis, 37% believed the diagnosis was delayed and 27% initially received a wrong diagnosis. Consequences of delayed diagnosis include anxiety, loss of reproductive confidence because of an ill-defined genetic risk, frustration and stress (54%), disease progression (37%), delays in treatment (25%) and inappropriate treatments (10%). Perceived reasons for diagnostic delays included lack of knowledge about the disease among health professionals (69.2%), lack of symptom awareness by the family (21.2%) and difficulties accessing tests (17.9%). Children with inborn errors of metabolism were less likely to have a delayed diagnosis compared with other disease groups (Chi-Sq = 17.1; P &lt; 0.0001), most likely due to well-established and accessible biochemical screening processes. Diagnosis was given in person in 74% of cases, telephone in 18.5% and via a letter in 3.5%. Some families (16%) were dissatisfied with the way the diagnosis was delivered, citing lack of empathy and lack of information from health professionals. Psychological support at diagnosis was provided to 47.5%, but 86.2% believed that it should always be provided. Although 74.9% of parents believed that the diagnosis could have an impact on future family planning, only 44.8% received genetic counselling. Conclusion: Parents of children living with rare chronic and complex diseases have called for better education, resourcing of health professionals to prevent avoidable diagnostic delays, and to facilitate access to early interventions and treatments. Access to psychological support and genetic counselling should be available to all parents receiving a life-changing diagnosis for their child.","author":[{"dropping-particle":"","family":"Zurynski","given":"Yvonne","non-dropping-particle":"","parse-names":false,"suffix":""},{"dropping-particle":"","family":"Deverell","given":"Marie","non-dropping-particle":"","parse-names":false,"suffix":""},{"dropping-particle":"","family":"Dalkeith","given":"Troy","non-dropping-particle":"","parse-names":false,"suffix":""},{"dropping-particle":"","family":"Johnson","given":"Sandra","non-dropping-particle":"","parse-names":false,"suffix":""},{"dropping-particle":"","family":"Christodoulou","given":"John","non-dropping-particle":"","parse-names":false,"suffix":""},{"dropping-particle":"","family":"Leonard","given":"Helen","non-dropping-particle":"","parse-names":false,"suffix":""},{"dropping-particle":"","family":"Elliott","given":"Elizabeth J.","non-dropping-particle":"","parse-names":false,"suffix":""}],"container-title":"Orphanet Journal of Rare Diseases","id":"ITEM-1","issue":"1","issued":{"date-parts":[["2017"]]},"title":"Australian children living with rare diseases: experiences of diagnosis and perceived consequences of diagnostic delays","type":"article-journal","volume":"12"},"uris":["http://www.mendeley.com/documents/?uuid=5d1786bb-b073-3939-bdef-ac3f3fa8459e"]}],"mendeley":{"formattedCitation":"[101]","plainTextFormattedCitation":"[101]","previouslyFormattedCitation":"[101]"},"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[101]</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395A5D2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5AB4F88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(Families, Caregivers)</w:t>
            </w:r>
          </w:p>
        </w:tc>
        <w:tc>
          <w:tcPr>
            <w:tcW w:w="1984" w:type="dxa"/>
            <w:vAlign w:val="center"/>
          </w:tcPr>
          <w:p w14:paraId="6BAE94C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Oceania (Australia)</w:t>
            </w:r>
          </w:p>
        </w:tc>
        <w:tc>
          <w:tcPr>
            <w:tcW w:w="1843" w:type="dxa"/>
            <w:shd w:val="clear" w:color="auto" w:fill="auto"/>
            <w:vAlign w:val="center"/>
          </w:tcPr>
          <w:p w14:paraId="238E724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Lysosomal storage disease (5C56.Z), Unspecified</w:t>
            </w:r>
          </w:p>
        </w:tc>
        <w:tc>
          <w:tcPr>
            <w:tcW w:w="1559" w:type="dxa"/>
            <w:shd w:val="clear" w:color="auto" w:fill="auto"/>
            <w:vAlign w:val="center"/>
          </w:tcPr>
          <w:p w14:paraId="2AC3F64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(diagnosis, healthcare service use)</w:t>
            </w:r>
          </w:p>
        </w:tc>
        <w:tc>
          <w:tcPr>
            <w:tcW w:w="1418" w:type="dxa"/>
            <w:shd w:val="clear" w:color="auto" w:fill="auto"/>
            <w:vAlign w:val="center"/>
          </w:tcPr>
          <w:p w14:paraId="3ACBB06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333B122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3C3C22FF" w14:textId="77777777" w:rsidTr="004C3C90">
        <w:trPr>
          <w:trHeight w:val="20"/>
        </w:trPr>
        <w:tc>
          <w:tcPr>
            <w:tcW w:w="557" w:type="dxa"/>
            <w:vAlign w:val="center"/>
          </w:tcPr>
          <w:p w14:paraId="6F4450C4"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102</w:t>
            </w:r>
          </w:p>
        </w:tc>
        <w:tc>
          <w:tcPr>
            <w:tcW w:w="1418" w:type="dxa"/>
            <w:shd w:val="clear" w:color="auto" w:fill="auto"/>
            <w:vAlign w:val="center"/>
          </w:tcPr>
          <w:p w14:paraId="2ADB601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Calvert et al (2013)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{"citationItems":[{"id":"ITEM-1","itemData":{"DOI":"10.1007/s11136-012-0269-5","ISSN":"09629343","abstract":"Purpose: Rare long-term neurological conditions (rLTNCs) may have significant impact on patients' health-related quality of life (HRQL); however, evidence is sparse. We assessed HRQL and access to supportive care in patients with rLTNCs. Methods: Survey of patients with rare rLTNCs (motor neurone disease, Huntington's disease, cerebellar ataxia, progressive supranuclear palsy, multiple system atrophy, Charcot-Marie-Tooth disease and postpolio syndrome) to assess current access to health and social care, and HRQL using the Euroqol EQ-5D. Results: A total of 266 participants with rLTNCs completed the survey. The HRQL of patients is substantially reduced compared to the general population. Many patients reported pain, were anxious or depressed and experienced problems with mobility, self-care and usual activities (mean EQ-5D index scores ranged from 0.2 to 0.44). Although some patients have accessed rehabilitative services, results suggest care coordination could be improved. Conclusions: Rare long-term neurological conditions have a significant impact on HRQL. Many patients with rLTNCs do not seem to be accessing the level of health and social care services that could improve their HRQL. © 2012 Springer Science+Business Media B.V.","author":[{"dropping-particle":"","family":"Calvert","given":"Melanie","non-dropping-particle":"","parse-names":false,"suffix":""},{"dropping-particle":"","family":"Pall","given":"Hardev","non-dropping-particle":"","parse-names":false,"suffix":""},{"dropping-particle":"","family":"Hoppitt","given":"Thomas","non-dropping-particle":"","parse-names":false,"suffix":""},{"dropping-particle":"","family":"Eaton","given":"Benjamin","non-dropping-particle":"","parse-names":false,"suffix":""},{"dropping-particle":"","family":"Savill","given":"Edward","non-dropping-particle":"","parse-names":false,"suffix":""},{"dropping-particle":"","family":"Sackley","given":"Catherine","non-dropping-particle":"","parse-names":false,"suffix":""}],"container-title":"Quality of Life Research","id":"ITEM-1","issue":"6","issued":{"date-parts":[["2013"]]},"title":"Health-related quality of life and supportive care in patients with rare long-term neurological conditions","type":"article-journal","volume":"22"},"uris":["http://www.mendeley.com/documents/?uuid=d23b1832-aed1-3b40-85bb-2556f25fdee3"]}],"mendeley":{"formattedCitation":"[102]","plainTextFormattedCitation":"[102]","previouslyFormattedCitation":"[102]"},"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[102]</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3D0354E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Qual Life Res</w:t>
            </w:r>
          </w:p>
        </w:tc>
        <w:tc>
          <w:tcPr>
            <w:tcW w:w="1711" w:type="dxa"/>
            <w:shd w:val="clear" w:color="auto" w:fill="auto"/>
            <w:vAlign w:val="center"/>
          </w:tcPr>
          <w:p w14:paraId="43DD4BB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1BAE292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Oceania (Australia)</w:t>
            </w:r>
          </w:p>
        </w:tc>
        <w:tc>
          <w:tcPr>
            <w:tcW w:w="1843" w:type="dxa"/>
            <w:shd w:val="clear" w:color="auto" w:fill="auto"/>
            <w:vAlign w:val="center"/>
          </w:tcPr>
          <w:p w14:paraId="036DCB8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Charcot-Marie-tooth disease (8C21.Z) + Huntington’s disease (8A01.10) + Motor neuron disease (8B60.Z) + Multiple system atrophy (8D87.0Z) + Post Polio syndrome (8B62) + Progressive supranuclear palsy (8A00.10) + Ataxia (MB45.0)</w:t>
            </w:r>
          </w:p>
        </w:tc>
        <w:tc>
          <w:tcPr>
            <w:tcW w:w="1559" w:type="dxa"/>
            <w:shd w:val="clear" w:color="auto" w:fill="auto"/>
            <w:vAlign w:val="center"/>
          </w:tcPr>
          <w:p w14:paraId="2625FEB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(QoL)</w:t>
            </w:r>
          </w:p>
        </w:tc>
        <w:tc>
          <w:tcPr>
            <w:tcW w:w="1418" w:type="dxa"/>
            <w:shd w:val="clear" w:color="auto" w:fill="auto"/>
            <w:vAlign w:val="center"/>
          </w:tcPr>
          <w:p w14:paraId="1AAA8CC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1BE85CC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6B12CFB1" w14:textId="77777777" w:rsidTr="004C3C90">
        <w:trPr>
          <w:trHeight w:val="20"/>
        </w:trPr>
        <w:tc>
          <w:tcPr>
            <w:tcW w:w="557" w:type="dxa"/>
            <w:vAlign w:val="center"/>
          </w:tcPr>
          <w:p w14:paraId="6A176F45"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103</w:t>
            </w:r>
          </w:p>
        </w:tc>
        <w:tc>
          <w:tcPr>
            <w:tcW w:w="1418" w:type="dxa"/>
            <w:shd w:val="clear" w:color="auto" w:fill="auto"/>
            <w:vAlign w:val="center"/>
          </w:tcPr>
          <w:p w14:paraId="201493B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Desser (2013)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{"citationItems":[{"id":"ITEM-1","itemData":{"DOI":"10.1016/j.socscimed.2013.06.019","ISSN":"02779536","abstract":"Understanding doctors' preferences for prioritizing treatment of rare diseases can provide an important context for policy makers who must decide whether to exempt rare disease treatments, which are often quite expensive, from standard cost-effectiveness criteria. We surveyed a random sample of 551 Norwegian doctors in November 2011 and compared results to a similar survey of the Norwegian population. Respondents chose whether to prioritize treatment of patients with rare versus common diseases and then decided how to allocate funds between the two groups for each of two scenarios: (1) equal costs per person and (2) higher costs for the rare disease. Respondents were randomized to treatment costs for the rare disease in the second scenario that were either 8 or 25 times higher than treating the common disease. Except for different prevalence, the diseases were described identically. Doctors displayed no general preference for prioritizing treatment of rare diseases, but a large number favored the principle of reserving a small share of funds for rare disease patients. Doctors' responses differed significantly from those of the general population when the rare disease was more costly to treat. A larger share of doctors prioritized the common disease group for treatment while a smaller share expressed indifference. When dividing funds between the two patient groups, doctors allocated a smaller share of funds to the rare disease. Doctors were much less likely than the general population to divide funds equally between the groups. This study indicates that there is little support among Norwegian doctors for prioritizing the treatment of rare diseases. © 2013 Elsevier Ltd.","author":[{"dropping-particle":"","family":"Desser","given":"Arna S.","non-dropping-particle":"","parse-names":false,"suffix":""}],"container-title":"Social Science and Medicine","id":"ITEM-1","issued":{"date-parts":[["2013"]]},"title":"Prioritizing treatment of rare diseases: A survey of preferences ofNorwegian doctors","type":"article-journal","volume":"94"},"uris":["http://www.mendeley.com/documents/?uuid=f949846a-2ab8-3712-a0c0-31d684736e3e"]}],"mendeley":{"formattedCitation":"[103]","plainTextFormattedCitation":"[103]","previouslyFormattedCitation":"[103]"},"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[103]</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5073B1A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Soc Sci Med</w:t>
            </w:r>
          </w:p>
        </w:tc>
        <w:tc>
          <w:tcPr>
            <w:tcW w:w="1711" w:type="dxa"/>
            <w:shd w:val="clear" w:color="auto" w:fill="auto"/>
            <w:vAlign w:val="center"/>
          </w:tcPr>
          <w:p w14:paraId="0173ACF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(Specialists, GPs)</w:t>
            </w:r>
          </w:p>
        </w:tc>
        <w:tc>
          <w:tcPr>
            <w:tcW w:w="1984" w:type="dxa"/>
            <w:vAlign w:val="center"/>
          </w:tcPr>
          <w:p w14:paraId="4DBF29E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Oceania (Australia)</w:t>
            </w:r>
          </w:p>
        </w:tc>
        <w:tc>
          <w:tcPr>
            <w:tcW w:w="1843" w:type="dxa"/>
            <w:shd w:val="clear" w:color="auto" w:fill="auto"/>
            <w:vAlign w:val="center"/>
          </w:tcPr>
          <w:p w14:paraId="39B7D9F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5D31A38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(treatment)</w:t>
            </w:r>
          </w:p>
        </w:tc>
        <w:tc>
          <w:tcPr>
            <w:tcW w:w="1418" w:type="dxa"/>
            <w:shd w:val="clear" w:color="auto" w:fill="auto"/>
            <w:vAlign w:val="center"/>
          </w:tcPr>
          <w:p w14:paraId="545A96B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3254677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2D6E84A6" w14:textId="77777777" w:rsidTr="004C3C90">
        <w:trPr>
          <w:trHeight w:val="20"/>
        </w:trPr>
        <w:tc>
          <w:tcPr>
            <w:tcW w:w="557" w:type="dxa"/>
            <w:vAlign w:val="center"/>
          </w:tcPr>
          <w:p w14:paraId="4BB6BCBA"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104</w:t>
            </w:r>
          </w:p>
        </w:tc>
        <w:tc>
          <w:tcPr>
            <w:tcW w:w="1418" w:type="dxa"/>
            <w:shd w:val="clear" w:color="auto" w:fill="auto"/>
            <w:vAlign w:val="center"/>
          </w:tcPr>
          <w:p w14:paraId="3C72F62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Tozzi et al (2013)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{"citationItems":[{"id":"ITEM-1","itemData":{"DOI":"10.1186/1750-1172-8-76","ISSN":"17501172","abstract":"Background: The use of the Internet for searching and sharing health information and for health care interactions may have a great potential for families of children affected with rare diseases. We conducted an online survey among Italian families of patients with rare diseases with the objective to describe their Internet user profile, and to explore how Internet use affects their health decisions. Methods. All members of UNIAMIO FIMR, a federation of associations of patients with rare diseases, were invited via mail to participate in an online questionnaire including questions on socio-demographic and clinical information, Internet use with a specific focus on health, and impact of web information on health behaviors. Logistic regression models were used to explore the effect of socio-demographic variables and Internet user profile on dependent variables representing the impact of web information on health behaviors. Multiple imputation by chained equations was applied. Results: A total of 516 parents of patients with rare diseases completed the online questionnaire. Mean age was 43 years. 87% of respondents accessed the Internet daily, 40% through their smartphones. 99% had an email account, 71% had a Facebook account. 66% participate in an online forum on health. 99% searched for information on disease characteristics, 93% on therapy, 89% on diagnosis, 63% on alternative therapies, 62% on nutrition and 54% on future pregnancies. 82% stated that web information increased comprehension of the disease, 65% that it improved management of the disease. For 52% web information increased his or her anxiety. 62% recognized diagnosis, 69% discussed online information with their physician. People participating in forums more frequently stated that Internet information was useful for recognizing their child's disease (OR 1.68; 95%CI 1.08-2.63) and for improving its management (OR 1.77; 95%CI 1.11-2.81). Conclusion: Italian parents of patients with rare diseases are active Internet users, engaged in information search and in online communities.Physicians, health care facilities and health agencies have a great opportunity to engage in online interactions for empowering families of patients of children affected with rare diseases. © 2013 Tozzi et al.; licensee BioMed Central Ltd.","author":[{"dropping-particle":"","family":"Tozzi","given":"Alberto E.","non-dropping-particle":"","parse-names":false,"suffix":""},{"dropping-particle":"","family":"Mingarelli","given":"Rita","non-dropping-particle":"","parse-names":false,"suffix":""},{"dropping-particle":"","family":"Agricola","given":"Eleonora","non-dropping-particle":"","parse-names":false,"suffix":""},{"dropping-particle":"","family":"Gonfiantini","given":"Michaela","non-dropping-particle":"","parse-names":false,"suffix":""},{"dropping-particle":"","family":"Pandolfi","given":"Elisabetta","non-dropping-particle":"","parse-names":false,"suffix":""},{"dropping-particle":"","family":"Carloni","given":"Emanuela","non-dropping-particle":"","parse-names":false,"suffix":""},{"dropping-particle":"","family":"Gesualdo","given":"Francesco","non-dropping-particle":"","parse-names":false,"suffix":""},{"dropping-particle":"","family":"Dallapiccola","given":"Bruno","non-dropping-particle":"","parse-names":false,"suffix":""}],"container-title":"Orphanet Journal of Rare Diseases","id":"ITEM-1","issue":"1","issued":{"date-parts":[["2013"]]},"title":"The internet user profile of Italian families of patients with rare diseases: A web survey","type":"article","volume":"8"},"uris":["http://www.mendeley.com/documents/?uuid=3c277254-65ed-38e5-82be-213c45e76668"]}],"mendeley":{"formattedCitation":"[104]","plainTextFormattedCitation":"[104]","previouslyFormattedCitation":"[104]"},"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[104]</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2158F93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Orphanet J. Rare Dis</w:t>
            </w:r>
          </w:p>
        </w:tc>
        <w:tc>
          <w:tcPr>
            <w:tcW w:w="1711" w:type="dxa"/>
            <w:shd w:val="clear" w:color="auto" w:fill="auto"/>
            <w:vAlign w:val="center"/>
          </w:tcPr>
          <w:p w14:paraId="6D5CEF9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(Families)</w:t>
            </w:r>
          </w:p>
        </w:tc>
        <w:tc>
          <w:tcPr>
            <w:tcW w:w="1984" w:type="dxa"/>
            <w:vAlign w:val="center"/>
          </w:tcPr>
          <w:p w14:paraId="2161754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(Italy)</w:t>
            </w:r>
          </w:p>
        </w:tc>
        <w:tc>
          <w:tcPr>
            <w:tcW w:w="1843" w:type="dxa"/>
            <w:shd w:val="clear" w:color="auto" w:fill="auto"/>
            <w:vAlign w:val="center"/>
          </w:tcPr>
          <w:p w14:paraId="32DD592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70B1C24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(internet use- access to information, online communities)</w:t>
            </w:r>
          </w:p>
        </w:tc>
        <w:tc>
          <w:tcPr>
            <w:tcW w:w="1418" w:type="dxa"/>
            <w:shd w:val="clear" w:color="auto" w:fill="auto"/>
            <w:vAlign w:val="center"/>
          </w:tcPr>
          <w:p w14:paraId="6E77BFF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030D39C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0BC6C8A1" w14:textId="77777777" w:rsidTr="004C3C90">
        <w:trPr>
          <w:trHeight w:val="20"/>
        </w:trPr>
        <w:tc>
          <w:tcPr>
            <w:tcW w:w="557" w:type="dxa"/>
            <w:vAlign w:val="center"/>
          </w:tcPr>
          <w:p w14:paraId="03E3A9BB"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105</w:t>
            </w:r>
          </w:p>
        </w:tc>
        <w:tc>
          <w:tcPr>
            <w:tcW w:w="1418" w:type="dxa"/>
            <w:shd w:val="clear" w:color="auto" w:fill="auto"/>
            <w:vAlign w:val="center"/>
          </w:tcPr>
          <w:p w14:paraId="4FF311B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Motil et al (2012)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{"citationItems":[{"id":"ITEM-1","itemData":{"DOI":"10.1097/MPG.0b013e31824b6159","ISSN":"02772116","abstract":"Objective: We conducted a nationwide survey to determine the prevalence of common gastrointestinal and nutritional disorders in Rett syndrome (RTT) based on parental reporting and related the occurrence of these problems to age and methyl-CpG-binding protein 2 (MECP2) gene status. Methods: We designed a questionnaire that probed symptoms, diagnoses, diagnostic tests, and treatment interventions related to gastrointestinal and nutritional problems in RTT. The International Rett Syndrome Foundation distributed the questionnaire to 1666 family-based members and forwarded their responses for our review. We interrogated the Rare Disease Clinical Research Network database to supplement findings related to medications used to treat gastrointestinal problems in RTT. Results: Parents of 983 female patients with RTT (59%) responded and identified symptoms and diagnoses associated with gastrointestinal dysmotility (92%), chewing and swallowing difficulties (81%), weight deficits or excess (47%), growth deficits (45%), low bone mineral content or fractures (37%), and biliary tract disorders (3%). Height-for-age, weight-for-age, and body mass index z scores decreased significantly with age; height-and weight-, but not body mass index-for-age z scores were significantly lower in female subjects with MECP2 mutations than in those without. Vomiting, nighttime awakening, gastroesophageal reflux, chewing difficulty, and choking with feeding were significantly less likely to occur with increasing age. Short stature, low bone mineral content, fractures, and gastrostomy placement were significantly more likely to occur with increasing age. Chewing difficulty, choking with feeding, and nighttime awakening were significantly less likely to occur, whereas short stature was significantly more likely to occur, in female subjects with MECP2 mutations than in those without. Diagnostic evaluations and therapeutic interventions were used less frequently than the occurrence of symptoms or diagnoses in the RTT cohort. Conclusions: Gastrointestinal and nutritional problems perceived by parents are prevalent throughout life in girls and women with RTT and may pose a substantial medical burden for their caregivers. Physician awareness of these features of RTT may improve the health and quality of life of individuals affected with this disorder. © 2012 by European Society for Pediatric Gastroenterology, Hepatology, and Nutrition and North American Society for Pediatric Gastroenterology, H…","author":[{"dropping-particle":"","family":"Motil","given":"Kathleen J.","non-dropping-particle":"","parse-names":false,"suffix":""},{"dropping-particle":"","family":"Caeg","given":"Erwin","non-dropping-particle":"","parse-names":false,"suffix":""},{"dropping-particle":"","family":"Barrish","given":"Judy O.","non-dropping-particle":"","parse-names":false,"suffix":""},{"dropping-particle":"","family":"Geerts","given":"Suzanne","non-dropping-particle":"","parse-names":false,"suffix":""},{"dropping-particle":"","family":"Lane","given":"Jane B.","non-dropping-particle":"","parse-names":false,"suffix":""},{"dropping-particle":"","family":"Percy","given":"Alan K.","non-dropping-particle":"","parse-names":false,"suffix":""},{"dropping-particle":"","family":"Annese","given":"Fran","non-dropping-particle":"","parse-names":false,"suffix":""},{"dropping-particle":"","family":"McNair","given":"Lauren","non-dropping-particle":"","parse-names":false,"suffix":""},{"dropping-particle":"","family":"Skinner","given":"Steven A.","non-dropping-particle":"","parse-names":false,"suffix":""},{"dropping-particle":"","family":"Lee","given":"Hye Seung","non-dropping-particle":"","parse-names":false,"suffix":""},{"dropping-particle":"","family":"Neul","given":"Jeffrey L.","non-dropping-particle":"","parse-names":false,"suffix":""},{"dropping-particle":"","family":"Glaze","given":"Daniel G.","non-dropping-particle":"","parse-names":false,"suffix":""}],"container-title":"Journal of Pediatric Gastroenterology and Nutrition","id":"ITEM-1","issue":"3","issued":{"date-parts":[["2012"]]},"title":"Gastrointestinal and nutritional problems occur frequently throughout life in girls and women with rett syndrome","type":"article-journal","volume":"55"},"uris":["http://www.mendeley.com/documents/?uuid=54b91b49-d37b-35af-8b2f-e5a83c10a509"]}],"mendeley":{"formattedCitation":"[105]","plainTextFormattedCitation":"[105]","previouslyFormattedCitation":"[105]"},"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[105]</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3AFCA9A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Pediatr Gastroenterol Nutr</w:t>
            </w:r>
          </w:p>
        </w:tc>
        <w:tc>
          <w:tcPr>
            <w:tcW w:w="1711" w:type="dxa"/>
            <w:shd w:val="clear" w:color="auto" w:fill="auto"/>
            <w:vAlign w:val="center"/>
          </w:tcPr>
          <w:p w14:paraId="0A060AC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(Families)</w:t>
            </w:r>
          </w:p>
        </w:tc>
        <w:tc>
          <w:tcPr>
            <w:tcW w:w="1984" w:type="dxa"/>
            <w:vAlign w:val="center"/>
          </w:tcPr>
          <w:p w14:paraId="24D8E96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(Canada, US)</w:t>
            </w:r>
          </w:p>
        </w:tc>
        <w:tc>
          <w:tcPr>
            <w:tcW w:w="1843" w:type="dxa"/>
            <w:shd w:val="clear" w:color="auto" w:fill="auto"/>
            <w:vAlign w:val="center"/>
          </w:tcPr>
          <w:p w14:paraId="307E341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Rett’s syndrome (LD90.4)</w:t>
            </w:r>
          </w:p>
        </w:tc>
        <w:tc>
          <w:tcPr>
            <w:tcW w:w="1559" w:type="dxa"/>
            <w:shd w:val="clear" w:color="auto" w:fill="auto"/>
            <w:vAlign w:val="center"/>
          </w:tcPr>
          <w:p w14:paraId="74A00D0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Prevalence (gastrointestinal and nutritional disorders)</w:t>
            </w:r>
          </w:p>
        </w:tc>
        <w:tc>
          <w:tcPr>
            <w:tcW w:w="1418" w:type="dxa"/>
            <w:shd w:val="clear" w:color="auto" w:fill="auto"/>
            <w:vAlign w:val="center"/>
          </w:tcPr>
          <w:p w14:paraId="3B20766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676AEB0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2374F9CE" w14:textId="77777777" w:rsidTr="004C3C90">
        <w:trPr>
          <w:trHeight w:val="20"/>
        </w:trPr>
        <w:tc>
          <w:tcPr>
            <w:tcW w:w="557" w:type="dxa"/>
            <w:vAlign w:val="center"/>
          </w:tcPr>
          <w:p w14:paraId="640B8999"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106</w:t>
            </w:r>
          </w:p>
        </w:tc>
        <w:tc>
          <w:tcPr>
            <w:tcW w:w="1418" w:type="dxa"/>
            <w:shd w:val="clear" w:color="auto" w:fill="auto"/>
            <w:vAlign w:val="center"/>
          </w:tcPr>
          <w:p w14:paraId="29AAACD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Carpenter et al (2012)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{"citationItems":[{"id":"ITEM-1","itemData":{"DOI":"10.1331/JAPhA.2012.12047","ISSN":"15443450","abstract":"Objectives: To determine whether patients with a rare illness (1) use pharmacists for medication information more or less frequently than physicians and the Internet, (2) perceive pharmacists as a more or less credible medical information resource than physicians and the Internet, and (3) obtain different types of medication information from pharmacists, physicians, and the Internet. Design: Cross-sectional survey. Setting: Online data collected between 2008 and 2009. Patients: Adult, English-proficient vasculitis patients (n = 232) who were taking at least one medication to treat their vasculitis. Intervention: Administration of online survey. Main outcome measures: Patient use of pharmacists, physicians, and the Internet for medication information; perceived credibility of pharmacists, physicians, and the Internet as sources of medication information; and types of medication information obtained from pharmacists, physicians, and the Internet. Results: Participants consulted physicians and the Internet more than pharmacists for medication information; only 96 participants (41.4%) ever used pharmacists for vasculitis medication information. Females and participants who used community pharmacies were significantly more likely to consult pharmacists for medication information as compared with males and patients who did not use community pharmacies. Participants perceived pharmacists were a less credible source of medication information than physicians and the Internet. Participants used physicians and/or the Internet more than pharmacists for five of eight types of medication information, including adverse effects and drug effectiveness. Conclusion: Vasculitis patients consulted sources other than pharmacists for medication information. Several factors, including perceived pharmacist credibility and a noncommunity-based pharmacy, may contribute to infrequent patient use of pharmacists as a medication information source. Future qualitative research should document how patients with rare disease perceive and interact with pharmacists to understand why many view pharmacists as only moderately credible sources of medication information.","author":[{"dropping-particle":"","family":"Carpenter","given":"Delesha M.","non-dropping-particle":"","parse-names":false,"suffix":""},{"dropping-particle":"","family":"Blalock","given":"Susan J.","non-dropping-particle":"","parse-names":false,"suffix":""},{"dropping-particle":"","family":"DeVellis","given":"Robert F.","non-dropping-particle":"","parse-names":false,"suffix":""}],"container-title":"Journal of the American Pharmacists Association","id":"ITEM-1","issue":"6","issued":{"date-parts":[["2012"]]},"title":"Patients with rare diseases using pharmacists for medication information","type":"article-journal","volume":"52"},"uris":["http://www.mendeley.com/documents/?uuid=1f3df20a-0eb5-3eb1-a461-71982cf923fb"]}],"mendeley":{"formattedCitation":"[106]","plainTextFormattedCitation":"[106]","previouslyFormattedCitation":"[106]"},"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[106]</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13B684E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Am Pharm Assoc</w:t>
            </w:r>
          </w:p>
        </w:tc>
        <w:tc>
          <w:tcPr>
            <w:tcW w:w="1711" w:type="dxa"/>
            <w:shd w:val="clear" w:color="auto" w:fill="auto"/>
            <w:vAlign w:val="center"/>
          </w:tcPr>
          <w:p w14:paraId="5C15A45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454E018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(Unspecified) + Oceania (Australia) + North America (Canada, US)</w:t>
            </w:r>
          </w:p>
        </w:tc>
        <w:tc>
          <w:tcPr>
            <w:tcW w:w="1843" w:type="dxa"/>
            <w:shd w:val="clear" w:color="auto" w:fill="auto"/>
            <w:vAlign w:val="center"/>
          </w:tcPr>
          <w:p w14:paraId="5C9CADA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Vasculitis (4A44)</w:t>
            </w:r>
          </w:p>
        </w:tc>
        <w:tc>
          <w:tcPr>
            <w:tcW w:w="1559" w:type="dxa"/>
            <w:shd w:val="clear" w:color="auto" w:fill="auto"/>
            <w:vAlign w:val="center"/>
          </w:tcPr>
          <w:p w14:paraId="01BE6F7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(source of knowledge)</w:t>
            </w:r>
          </w:p>
        </w:tc>
        <w:tc>
          <w:tcPr>
            <w:tcW w:w="1418" w:type="dxa"/>
            <w:shd w:val="clear" w:color="auto" w:fill="auto"/>
            <w:vAlign w:val="center"/>
          </w:tcPr>
          <w:p w14:paraId="01C781A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5DC681F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0B92EC50" w14:textId="77777777" w:rsidTr="004C3C90">
        <w:trPr>
          <w:trHeight w:val="20"/>
        </w:trPr>
        <w:tc>
          <w:tcPr>
            <w:tcW w:w="557" w:type="dxa"/>
            <w:vAlign w:val="center"/>
          </w:tcPr>
          <w:p w14:paraId="59A0298D"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lastRenderedPageBreak/>
              <w:t>107</w:t>
            </w:r>
          </w:p>
        </w:tc>
        <w:tc>
          <w:tcPr>
            <w:tcW w:w="1418" w:type="dxa"/>
            <w:shd w:val="clear" w:color="auto" w:fill="auto"/>
            <w:vAlign w:val="center"/>
          </w:tcPr>
          <w:p w14:paraId="7066FEA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Henschke (2012)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{"citationItems":[{"id":"ITEM-1","itemData":{"DOI":"10.1016/j.healthpol.2012.01.013","ISSN":"01688510","abstract":"Objective: The regulations for financing assistive technology devices (ATDs) are complex and fragmented and, thus, might influence adequate provision of these devices to people who need multiple ATDs. This study aims to explore and analyze patients' problems with the provision and financing of ATDs for the following two rare diseases: amyotrophic lateral sclerosis (ALS) and Duchenne muscular dystrophy (DMD). Methods: A survey was conducted by means of semi-standardized questionnaires addressing the issues of coverage decisions for ATDs and problems with provision of ATDs. Information was retrieved from ALS (n= 19) and DMD (n= 14) patients. Conducted interviews were transcribed verbatim and analyzed using qualitative content analysis. Results: Respondents experienced difficulties with the provision and financing of ATDs. They underlined problems such as long approval processes and a serious bureaucratic burden, which induced inadequate provision of ATDs. Experiences of ALS and DMD respondents frequently were similar, especially regarding financing decisions and the process of decision making by sickness funds. Conclusion: The results suggest that difficulties in receiving and financing ATDs are common problems among ALS and DMD patients. There is a need for an interdisciplinary approach in the provision of ATDs and their financing, which should be coordinated by case managers. © 2012 Elsevier Ireland Ltd.","author":[{"dropping-particle":"","family":"Henschke","given":"Cornelia","non-dropping-particle":"","parse-names":false,"suffix":""}],"container-title":"Health Policy","id":"ITEM-1","issue":"2-3","issued":{"date-parts":[["2012"]]},"title":"Provision and financing of assistive technology devices in Germany: A bureaucratic odyssey? The case of amyotrophic lateral sclerosis and Duchenne muscular dystrophy","type":"article-journal","volume":"105"},"uris":["http://www.mendeley.com/documents/?uuid=bb6f4c48-0676-35d1-a5ea-59b46ce72d75"]}],"mendeley":{"formattedCitation":"[107]","plainTextFormattedCitation":"[107]","previouslyFormattedCitation":"[107]"},"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[107]</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3A4362B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Health Policy (New York)</w:t>
            </w:r>
          </w:p>
        </w:tc>
        <w:tc>
          <w:tcPr>
            <w:tcW w:w="1711" w:type="dxa"/>
            <w:shd w:val="clear" w:color="auto" w:fill="auto"/>
            <w:vAlign w:val="center"/>
          </w:tcPr>
          <w:p w14:paraId="462F0CF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1611AE6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(Germany)</w:t>
            </w:r>
          </w:p>
        </w:tc>
        <w:tc>
          <w:tcPr>
            <w:tcW w:w="1843" w:type="dxa"/>
            <w:shd w:val="clear" w:color="auto" w:fill="auto"/>
            <w:vAlign w:val="center"/>
          </w:tcPr>
          <w:p w14:paraId="3F5BBE1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Duchenne muscular dystrophy (8C70.1), Amyotrophic lateral sclerosis (8B60.5)</w:t>
            </w:r>
          </w:p>
        </w:tc>
        <w:tc>
          <w:tcPr>
            <w:tcW w:w="1559" w:type="dxa"/>
            <w:shd w:val="clear" w:color="auto" w:fill="auto"/>
            <w:vAlign w:val="center"/>
          </w:tcPr>
          <w:p w14:paraId="3D98660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(financial burden, financial supports/regulations)</w:t>
            </w:r>
          </w:p>
        </w:tc>
        <w:tc>
          <w:tcPr>
            <w:tcW w:w="1418" w:type="dxa"/>
            <w:shd w:val="clear" w:color="auto" w:fill="auto"/>
            <w:vAlign w:val="center"/>
          </w:tcPr>
          <w:p w14:paraId="1A8FD79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(Questionnaire + Interview)</w:t>
            </w:r>
          </w:p>
        </w:tc>
        <w:tc>
          <w:tcPr>
            <w:tcW w:w="709" w:type="dxa"/>
            <w:shd w:val="clear" w:color="auto" w:fill="auto"/>
            <w:vAlign w:val="center"/>
          </w:tcPr>
          <w:p w14:paraId="1B4D9D2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1C7FAAB3" w14:textId="77777777" w:rsidTr="004C3C90">
        <w:trPr>
          <w:trHeight w:val="20"/>
        </w:trPr>
        <w:tc>
          <w:tcPr>
            <w:tcW w:w="557" w:type="dxa"/>
            <w:vAlign w:val="center"/>
          </w:tcPr>
          <w:p w14:paraId="1E80784E"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108</w:t>
            </w:r>
          </w:p>
        </w:tc>
        <w:tc>
          <w:tcPr>
            <w:tcW w:w="1418" w:type="dxa"/>
            <w:shd w:val="clear" w:color="auto" w:fill="auto"/>
            <w:vAlign w:val="center"/>
          </w:tcPr>
          <w:p w14:paraId="4194078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Zhao et al (2012)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{"citationItems":[{"id":"ITEM-1","itemData":{"DOI":"10.5582/irdr.2012.v1.4.161","ISSN":"2186361x","abstract":"As the world's most populous country, China has the world's largest number of rare disease groups in terms of prevalence. However, the country has no system of registering cases of most rare diseases, so there is very little documented information on the epidemiology of those diseases. The purpose of this study was to study the state of rare disease research and survey doctors in Shandong Province regarding their level of awareness of rare diseases. Types of rare diseases and numbers of cases were tallied and their geographical distribution over the decades was analyzed. Eight hundred and twentyfour doctors in tertiary hospitals and maternity and child care hospitals were surveyed by questionnaire. Data were descriptively analyzed and a map of disease distribution was created. Articles about rare diseases were retrieved from the Chinese Biomedical Literature Database to provide pertinent data. This study yielded 5,749 cases of 323 different types of rare diseases. The survey found that doctors lack awareness of research on rare diseases. An authoritative and information-rich platform for rare disease research is urgently needed. Key steps are to study epidemiological and statistical techniques and then obtain available data to provide a basis for the definition and regulation of rare diseases in China. © 2012, International Research and Cooperation Association for Bio &amp; Socio-Sciences Advancement. All rights reserved.","author":[{"dropping-particle":"","family":"Zhao","given":"Heng","non-dropping-particle":"","parse-names":false,"suffix":""},{"dropping-particle":"","family":"Cui","given":"Yazhou","non-dropping-particle":"","parse-names":false,"suffix":""},{"dropping-particle":"","family":"Zhou","given":"Xiaoyan","non-dropping-particle":"","parse-names":false,"suffix":""},{"dropping-particle":"","family":"Pang","given":"Jingxiang","non-dropping-particle":"","parse-names":false,"suffix":""},{"dropping-particle":"","family":"Xu","given":"Shuangqing","non-dropping-particle":"","parse-names":false,"suffix":""},{"dropping-particle":"","family":"Han","given":"Jinxiang","non-dropping-particle":"","parse-names":false,"suffix":""},{"dropping-particle":"","family":"Zhang","given":"Xiumei","non-dropping-particle":"","parse-names":false,"suffix":""},{"dropping-particle":"","family":"Zhao","given":"Heng","non-dropping-particle":"","parse-names":false,"suffix":""}],"container-title":"Intractable and Rare Diseases Research","id":"ITEM-1","issue":"4","issued":{"date-parts":[["2012"]]},"title":"Study and Analysis of the State of Rare Disease Research in Shandong Province, China","type":"article-journal","volume":"1"},"uris":["http://www.mendeley.com/documents/?uuid=84de286e-eab6-3e35-936a-1fa14ba8fc38"]}],"mendeley":{"formattedCitation":"[108]","plainTextFormattedCitation":"[108]","previouslyFormattedCitation":"[108]"},"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[108]</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66F0980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Intractable Rare Dis Res</w:t>
            </w:r>
          </w:p>
        </w:tc>
        <w:tc>
          <w:tcPr>
            <w:tcW w:w="1711" w:type="dxa"/>
            <w:shd w:val="clear" w:color="auto" w:fill="auto"/>
            <w:vAlign w:val="center"/>
          </w:tcPr>
          <w:p w14:paraId="37065A2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2 (Specialists (Maternal and Child Health))</w:t>
            </w:r>
          </w:p>
        </w:tc>
        <w:tc>
          <w:tcPr>
            <w:tcW w:w="1984" w:type="dxa"/>
            <w:vAlign w:val="center"/>
          </w:tcPr>
          <w:p w14:paraId="09BC864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Asia (China)</w:t>
            </w:r>
          </w:p>
        </w:tc>
        <w:tc>
          <w:tcPr>
            <w:tcW w:w="1843" w:type="dxa"/>
            <w:shd w:val="clear" w:color="auto" w:fill="auto"/>
            <w:vAlign w:val="center"/>
          </w:tcPr>
          <w:p w14:paraId="2078D11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Polyostotic fibrous dysplasia (FB80.0), Marfan’s syndrome (LD28.0), Haemophilia (3B12), Osteogenesis imperfecta (LD24.K0), Classical phenylketonuria (5C50.00), Neurofibromatosis (LD2D.1Z)</w:t>
            </w:r>
          </w:p>
        </w:tc>
        <w:tc>
          <w:tcPr>
            <w:tcW w:w="1559" w:type="dxa"/>
            <w:shd w:val="clear" w:color="auto" w:fill="auto"/>
            <w:vAlign w:val="center"/>
          </w:tcPr>
          <w:p w14:paraId="55F999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Knowledge</w:t>
            </w:r>
          </w:p>
        </w:tc>
        <w:tc>
          <w:tcPr>
            <w:tcW w:w="1418" w:type="dxa"/>
            <w:shd w:val="clear" w:color="auto" w:fill="auto"/>
            <w:vAlign w:val="center"/>
          </w:tcPr>
          <w:p w14:paraId="6394B7A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Mixed (Questionnaire + Literature review)</w:t>
            </w:r>
          </w:p>
        </w:tc>
        <w:tc>
          <w:tcPr>
            <w:tcW w:w="709" w:type="dxa"/>
            <w:shd w:val="clear" w:color="auto" w:fill="auto"/>
            <w:vAlign w:val="center"/>
          </w:tcPr>
          <w:p w14:paraId="5B56657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618BF235" w14:textId="77777777" w:rsidTr="004C3C90">
        <w:trPr>
          <w:trHeight w:val="20"/>
        </w:trPr>
        <w:tc>
          <w:tcPr>
            <w:tcW w:w="557" w:type="dxa"/>
            <w:vAlign w:val="center"/>
          </w:tcPr>
          <w:p w14:paraId="68C46366"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109</w:t>
            </w:r>
          </w:p>
        </w:tc>
        <w:tc>
          <w:tcPr>
            <w:tcW w:w="1418" w:type="dxa"/>
            <w:shd w:val="clear" w:color="auto" w:fill="auto"/>
            <w:vAlign w:val="center"/>
          </w:tcPr>
          <w:p w14:paraId="5126401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Wicks et al (2010)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{"citationItems":[{"id":"ITEM-1","itemData":{"DOI":"10.2196/jmir.1549","ISSN":"14388871","abstract":"Background: PatientsLikeMe is an online quantitative personal research platform for patients with life-changing illnesses to share their experience using patient-reported outcomes, find other patients like them matched on demographic and clinical characteristics, and learn from the aggregated data reports of others to improve their outcomes. The goal of the website is to help patients answer the question: \"Given my status, what is the best outcome I can hope to achieve, and how do I get there?\" Objective: Using a cross-sectional online survey, we sought to describe the potential benefits of PatientsLikeMe in terms of treatment decisions, symptom management, clinical management, and outcomes. Methods: Almost 7,000 members from six PatientsLikeMe communities (amyotrophic lateral sclerosis [ALS], Multiple Sclerosis [MS], Parkinson's Disease, human immunodeficiency virus [HIV], fibromyalgia, and mood disorders) were sent a survey invitation using an internal survey tool (PatientsLikeMe Lens). Results: Complete responses were received from 1323 participants (19% of invited members). Between-group demographics varied according to disease community. Users perceived the greatest benefit in learning about a symptom they had experienced; 72% (952 of 1323) rated the site \"moderately\" or \"very helpful.\" Patients also found the site helpful for understanding the side effects of their treatments (n = 757, 57%). Nearly half of patients (n = 559, 42%) agreed that the site had helped them find another patient who had helped them understand what it was like to take a specific treatment for their condition. More patients found the site helpful with decisions to start a medication (n = 496, 37%) than to change a medication (n = 359, 27%), change a dosage (n = 336, 25%), or stop a medication (n = 290, 22%). Almost all participants (n = 1,249, 94%) were diagnosed when they joined the site. Most (n = 824, 62%) experienced no change in their confidence in that diagnosis or had an increased level of confidence (n = 456, 34%). Use of the site was associated with increasing levels of comfort in sharing personal health information among those who had initially been uncomfortable. Overall, 12% of patients (n = 151 of 1320) changed their physician as a result of using the site; this figure was doubled in patients with fibromyalgia (21%, n = 33 of 150). Patients reported community-specific benefits: 41% of HIV patients (n = 72 of 177) agreed they had reduced risky behaviors and 22% o…","author":[{"dropping-particle":"","family":"Wicks","given":"Paul","non-dropping-particle":"","parse-names":false,"suffix":""},{"dropping-particle":"","family":"Massagli","given":"Michael","non-dropping-particle":"","parse-names":false,"suffix":""},{"dropping-particle":"","family":"Frost","given":"Jeana","non-dropping-particle":"","parse-names":false,"suffix":""},{"dropping-particle":"","family":"Brownstein","given":"Catherine","non-dropping-particle":"","parse-names":false,"suffix":""},{"dropping-particle":"","family":"Okun","given":"Sally","non-dropping-particle":"","parse-names":false,"suffix":""},{"dropping-particle":"","family":"Vaughan","given":"Timothy","non-dropping-particle":"","parse-names":false,"suffix":""},{"dropping-particle":"","family":"Bradley","given":"Richard","non-dropping-particle":"","parse-names":false,"suffix":""},{"dropping-particle":"","family":"Heywood","given":"James","non-dropping-particle":"","parse-names":false,"suffix":""}],"container-title":"Journal of Medical Internet Research","id":"ITEM-1","issue":"2","issued":{"date-parts":[["2010"]]},"title":"Sharing health data for better outcomes on patientslikeme","type":"article-journal","volume":"12"},"uris":["http://www.mendeley.com/documents/?uuid=a68dd7a8-fadc-3bdc-a1fb-0e51fe363807"]}],"mendeley":{"formattedCitation":"[109]","plainTextFormattedCitation":"[109]","previouslyFormattedCitation":"[109]"},"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[109]</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437635E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Intractable Rare Dis Res</w:t>
            </w:r>
          </w:p>
        </w:tc>
        <w:tc>
          <w:tcPr>
            <w:tcW w:w="1711" w:type="dxa"/>
            <w:shd w:val="clear" w:color="auto" w:fill="auto"/>
            <w:vAlign w:val="center"/>
          </w:tcPr>
          <w:p w14:paraId="28FEE6E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55ED6C7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1067A3D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7305644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(access to information)</w:t>
            </w:r>
          </w:p>
        </w:tc>
        <w:tc>
          <w:tcPr>
            <w:tcW w:w="1418" w:type="dxa"/>
            <w:shd w:val="clear" w:color="auto" w:fill="auto"/>
            <w:vAlign w:val="center"/>
          </w:tcPr>
          <w:p w14:paraId="30E56E6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6CC8770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o</w:t>
            </w:r>
          </w:p>
        </w:tc>
      </w:tr>
      <w:tr w:rsidR="004C3C90" w:rsidRPr="004C3C90" w14:paraId="56625741" w14:textId="77777777" w:rsidTr="004C3C90">
        <w:trPr>
          <w:trHeight w:val="20"/>
        </w:trPr>
        <w:tc>
          <w:tcPr>
            <w:tcW w:w="557" w:type="dxa"/>
            <w:vAlign w:val="center"/>
          </w:tcPr>
          <w:p w14:paraId="50D7B5FE"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110</w:t>
            </w:r>
          </w:p>
        </w:tc>
        <w:tc>
          <w:tcPr>
            <w:tcW w:w="1418" w:type="dxa"/>
            <w:shd w:val="clear" w:color="auto" w:fill="auto"/>
            <w:vAlign w:val="center"/>
          </w:tcPr>
          <w:p w14:paraId="7E6DA9D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Desser et al (2010)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{"citationItems":[{"id":"ITEM-1","itemData":{"DOI":"10.1136/bmj.c4715","ISSN":"17561833","abstract":"Objective: To determine whether a general societal preference for prioritising treatment of rare diseases over common ones exists and could provide a justification for accepting higher cost effectiveness thresholds for orphan drugs. Design: Cross sectional survey using a web based questionnaire. Setting: Norway. Participants: Random sample of 1547 Norwegians aged 40-67. Main outcome measure: Choice between funding treatment for a rare disease versus a common disease and how funds should be allocated if it were not possible to treat all patients, for each of two scenarios: identical treatment costs per patient and higher costs for the rare disease. Respondents rated five statements concerning attitudes to equity on a five point Likert scale (5=completely agree). Results: For the equal cost scenario, 11.2% (9.6% to 12.8%) of respondents favoured treating the rare disease, 24.9% (21.7% to 26.0%) the common disease, and 64.9% (62.6% to 67.3%) were indifferent. When the rare disease was four times more costly to treat, the results were, respectively, 7.4% (6.1% to 8.7%), 45.3% (42.8% to 47.8%), and 47.3% (44.8% to 49.8%). Rankings for attitude on a Likert scale indicated strong support for the statements \"rare disease patients should have the right to treatment even if more expensive\" (mean score 4.5, SD 0.86) and \"resources should be used to provide the greatest possible health benefits\" (3.9, 1.23). Conclusions: Despite strong general support for statements expressing a desire for equal treatment rights for patients with rare diseases, there was little evidence that a societal preference for rarity exists if treatment of patients with rare diseases is at the expense of treatment of those with common diseases.","author":[{"dropping-particle":"","family":"Desser","given":"Arna S.","non-dropping-particle":"","parse-names":false,"suffix":""},{"dropping-particle":"","family":"Gyrd-Hansen","given":"Dorte","non-dropping-particle":"","parse-names":false,"suffix":""},{"dropping-particle":"","family":"Olsen","given":"Jan Abel","non-dropping-particle":"","parse-names":false,"suffix":""},{"dropping-particle":"","family":"Grepperud","given":"Sverre","non-dropping-particle":"","parse-names":false,"suffix":""},{"dropping-particle":"","family":"Kristiansen","given":"Ivar Sønbø","non-dropping-particle":"","parse-names":false,"suffix":""}],"container-title":"BMJ (Online)","id":"ITEM-1","issue":"7774","issued":{"date-parts":[["2010"]]},"title":"Societal views on orphan drugs: Cross sectional survey of Norwegians aged 40 to 67","type":"article-journal","volume":"341"},"uris":["http://www.mendeley.com/documents/?uuid=49087983-feb4-35b3-8995-936883da0988"]}],"mendeley":{"formattedCitation":"[110]","plainTextFormattedCitation":"[110]","previouslyFormattedCitation":"[110]"},"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[110]</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50196B6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BMJ (Online)</w:t>
            </w:r>
          </w:p>
        </w:tc>
        <w:tc>
          <w:tcPr>
            <w:tcW w:w="1711" w:type="dxa"/>
            <w:shd w:val="clear" w:color="auto" w:fill="auto"/>
            <w:vAlign w:val="center"/>
          </w:tcPr>
          <w:p w14:paraId="7A3A479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3 (Public)</w:t>
            </w:r>
          </w:p>
        </w:tc>
        <w:tc>
          <w:tcPr>
            <w:tcW w:w="1984" w:type="dxa"/>
            <w:vAlign w:val="center"/>
          </w:tcPr>
          <w:p w14:paraId="28D8C79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(Norway)</w:t>
            </w:r>
          </w:p>
        </w:tc>
        <w:tc>
          <w:tcPr>
            <w:tcW w:w="1843" w:type="dxa"/>
            <w:shd w:val="clear" w:color="auto" w:fill="auto"/>
            <w:vAlign w:val="center"/>
          </w:tcPr>
          <w:p w14:paraId="1F6DC8F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Unspecified</w:t>
            </w:r>
          </w:p>
        </w:tc>
        <w:tc>
          <w:tcPr>
            <w:tcW w:w="1559" w:type="dxa"/>
            <w:shd w:val="clear" w:color="auto" w:fill="auto"/>
            <w:vAlign w:val="center"/>
          </w:tcPr>
          <w:p w14:paraId="51C489A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Opinion (funds)</w:t>
            </w:r>
          </w:p>
        </w:tc>
        <w:tc>
          <w:tcPr>
            <w:tcW w:w="1418" w:type="dxa"/>
            <w:shd w:val="clear" w:color="auto" w:fill="auto"/>
            <w:vAlign w:val="center"/>
          </w:tcPr>
          <w:p w14:paraId="7BE162D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1098F10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198D3CBF" w14:textId="77777777" w:rsidTr="004C3C90">
        <w:trPr>
          <w:trHeight w:val="20"/>
        </w:trPr>
        <w:tc>
          <w:tcPr>
            <w:tcW w:w="557" w:type="dxa"/>
            <w:vAlign w:val="center"/>
          </w:tcPr>
          <w:p w14:paraId="15BA32AE"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111</w:t>
            </w:r>
          </w:p>
        </w:tc>
        <w:tc>
          <w:tcPr>
            <w:tcW w:w="1418" w:type="dxa"/>
            <w:shd w:val="clear" w:color="auto" w:fill="auto"/>
            <w:vAlign w:val="center"/>
          </w:tcPr>
          <w:p w14:paraId="2336FD6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Imrie et al (2009)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{"citationItems":[{"id":"ITEM-1","itemData":{"DOI":"10.3111/13696990903245863","ISSN":"13696998","abstract":"Objective: Niemann-Pick disease type C (NP-C) is a rare and devastating genetic disorder characterised by a range of progressive neurological symptoms, which imposes a burden on patients, family members, the healthcare system and society overall. The objective of this study was to assess direct and indirect costs associated with NP-C in the UK. Methods: This was a non-interventional, retrospective, cross-sectional cohort study based on responses from patients and/or their carers/guardians recruited from a UK NP-C database. Resource use and direct medical, direct non-medical and indirect costs were evaluated using data collected via postal survey in October 2007, which included a Medical Resource Use questionnaire. Total annual costs per patient were estimated. Results: In total, 18 Medical Resource Use questionnaires (29% response rate) were received and analysed. The mean total annual cost (SD) of NP-C per patient was £39,168 (£50,315); 46% were direct medical costs, to which home visits and residential care contributed 68% and 15%, respectively. Direct non-medical costs accounted for 24% of the average annual cost per patient, mainly due to specialist education, and indirect costs 30%. If only direct medical costs were considered, the mean annual cost (SD) per patient was reduced to £18,012 (£46,536). Conclusions: The direct annual per-patient cost of NP-C illness in 2007 appears moderate when compared with other rare and severely disabling diseases. However, cost estimates may be conservative, since findings are limited by a small sample size, low survey response rate and potential recall bias. As demonstrated by this study, a substantial proportion of the cost is shifted from the healthcare system to the patient, family and non-medical providers. These findings highlight the need for treatments that can slow or stop disease progression in NP-C. © Informa UK Ltd 2009.","author":[{"dropping-particle":"","family":"Imrie","given":"Jackie","non-dropping-particle":"","parse-names":false,"suffix":""},{"dropping-particle":"","family":"Galani","given":"Carmen","non-dropping-particle":"","parse-names":false,"suffix":""},{"dropping-particle":"","family":"Gairy","given":"Kerry","non-dropping-particle":"","parse-names":false,"suffix":""},{"dropping-particle":"","family":"Lock","given":"Kevin","non-dropping-particle":"","parse-names":false,"suffix":""},{"dropping-particle":"","family":"Hunsche","given":"Elke","non-dropping-particle":"","parse-names":false,"suffix":""}],"container-title":"Journal of Medical Economics","id":"ITEM-1","issue":"3","issued":{"date-parts":[["2009"]]},"title":"Cost of illness associated with Niemann-Pick disease type C in the UK","type":"article-journal","volume":"12"},"uris":["http://www.mendeley.com/documents/?uuid=d57380e3-32d6-340c-9cbc-5ba1c40f4e6f"]}],"mendeley":{"formattedCitation":"[111]","plainTextFormattedCitation":"[111]","previouslyFormattedCitation":"[111]"},"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[111]</w:t>
            </w:r>
            <w:r w:rsidRPr="004C3C90">
              <w:rPr>
                <w:rFonts w:ascii="Times New Roman" w:eastAsia="Times New Roman" w:hAnsi="Times New Roman" w:cs="Times New Roman"/>
                <w:sz w:val="20"/>
                <w:szCs w:val="20"/>
              </w:rPr>
              <w:fldChar w:fldCharType="end"/>
            </w:r>
            <w:r w:rsidRPr="004C3C90">
              <w:rPr>
                <w:rFonts w:ascii="Times New Roman" w:eastAsia="Times New Roman" w:hAnsi="Times New Roman" w:cs="Times New Roman"/>
                <w:sz w:val="20"/>
                <w:szCs w:val="20"/>
              </w:rPr>
              <w:t xml:space="preserve"> </w:t>
            </w:r>
          </w:p>
        </w:tc>
        <w:tc>
          <w:tcPr>
            <w:tcW w:w="1701" w:type="dxa"/>
            <w:shd w:val="clear" w:color="auto" w:fill="auto"/>
            <w:vAlign w:val="center"/>
          </w:tcPr>
          <w:p w14:paraId="0FA50BA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Med Econ</w:t>
            </w:r>
          </w:p>
        </w:tc>
        <w:tc>
          <w:tcPr>
            <w:tcW w:w="1711" w:type="dxa"/>
            <w:shd w:val="clear" w:color="auto" w:fill="auto"/>
            <w:vAlign w:val="center"/>
          </w:tcPr>
          <w:p w14:paraId="49BBC87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 Families, Caregivers)</w:t>
            </w:r>
          </w:p>
        </w:tc>
        <w:tc>
          <w:tcPr>
            <w:tcW w:w="1984" w:type="dxa"/>
            <w:vAlign w:val="center"/>
          </w:tcPr>
          <w:p w14:paraId="4406B18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(UK)</w:t>
            </w:r>
          </w:p>
        </w:tc>
        <w:tc>
          <w:tcPr>
            <w:tcW w:w="1843" w:type="dxa"/>
            <w:shd w:val="clear" w:color="auto" w:fill="auto"/>
            <w:vAlign w:val="center"/>
          </w:tcPr>
          <w:p w14:paraId="4FD4A31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Niemann-Pick disease type C (5C56.0Y)</w:t>
            </w:r>
          </w:p>
        </w:tc>
        <w:tc>
          <w:tcPr>
            <w:tcW w:w="1559" w:type="dxa"/>
            <w:shd w:val="clear" w:color="auto" w:fill="auto"/>
            <w:vAlign w:val="center"/>
          </w:tcPr>
          <w:p w14:paraId="2B82760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(economic burden, healthcare use)</w:t>
            </w:r>
          </w:p>
        </w:tc>
        <w:tc>
          <w:tcPr>
            <w:tcW w:w="1418" w:type="dxa"/>
            <w:shd w:val="clear" w:color="auto" w:fill="auto"/>
            <w:vAlign w:val="center"/>
          </w:tcPr>
          <w:p w14:paraId="46F723B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122110C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778C2B5D" w14:textId="77777777" w:rsidTr="004C3C90">
        <w:trPr>
          <w:trHeight w:val="20"/>
        </w:trPr>
        <w:tc>
          <w:tcPr>
            <w:tcW w:w="557" w:type="dxa"/>
            <w:vAlign w:val="center"/>
          </w:tcPr>
          <w:p w14:paraId="5A60236F"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112</w:t>
            </w:r>
          </w:p>
        </w:tc>
        <w:tc>
          <w:tcPr>
            <w:tcW w:w="1418" w:type="dxa"/>
            <w:shd w:val="clear" w:color="auto" w:fill="auto"/>
            <w:vAlign w:val="center"/>
          </w:tcPr>
          <w:p w14:paraId="353C2E1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Abularrage et al (2008)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{"citationItems":[{"id":"ITEM-1","itemData":{"DOI":"10.1016/j.jvs.2007.09.044","ISSN":"07415214","abstract":"Objective: Takayasu's arteritis (TA) is a chronic immune vasculitis that causes inflammation of the aorta and its branches and is clinically characterized by exacerbations and remissions. This study examined the quality of life (QoL) of patients with TA using the Medical Outcomes Study Short Form 36 (SF-36) Health Survey, a validated health related QoL questionnaire. Methods: Questionnaires that included the SF-36 and demographic related variables were mailed to 392 patients enrolled in the Takayasu's Arteritis Research Association. Raw SF-36 scores, as well as Physical Health Summary (PHS) and Mental Health Summary (MHS) scores, were calculated according to standard protocols. Data were analyzed for predictors of superior QoL using univariate and stepwise logistic regression analysis. SF-36 scores were also compared with those of other chronic diseases associated with peripheral vascular disease (PVD) published in the literature. Results are reported as mean ± standard error of the mean. Results: A total of 158 patients (144 women, 14 men) with average age of 42.2 ± 1.1 years responded to the questionnaire. Mean onset of symptoms occurred at 30.5 ± 1.2 years, with a mean age at diagnosis of 34.7 ± 1.2, and a median of four doctors were seen before diagnosis. The group underwent 299 TA-related surgical procedures (1.9 ± 0.3), including coronary (38%), carotid (35%), upper extremity (30%), and lower extremity (26%) revascularization. PHS and MHS summary scores (39.2 ± 1.0 and 44.5 ± 1.0, respectively) were worse than mean scores for an age-matched healthy population as well as nationally reported scores for diabetes mellitus, hypertension, and coronary artery disease (all P &lt; .0001). Multivariate predictors of better physical QoL were younger age (P = .003) and remission of the disease (P = .0002). The use of immunomodulating medications was associated with inferior physical QoL (P = .02). The sole predictor of better mental QoL was remission of disease (P = .002). Conclusion: TA is a rare disease with profound consequences on QoL. Scores for physical and mental health are worse compared with many other chronic diseases associated with PVD. Superior physical QoL is seen in younger patients, whereas inferior physical QoL is encountered in those who take immunomodulating medications. Because the only factor to influence positively both physical and mental QoL is disease remission, every effort should be directed to attenuate disease activity. © 2008 The So…","author":[{"dropping-particle":"","family":"Abularrage","given":"Christopher J.","non-dropping-particle":"","parse-names":false,"suffix":""},{"dropping-particle":"","family":"Slidell","given":"Mark B.","non-dropping-particle":"","parse-names":false,"suffix":""},{"dropping-particle":"","family":"Sidawy","given":"Anton N.","non-dropping-particle":"","parse-names":false,"suffix":""},{"dropping-particle":"","family":"Kreishman","given":"Peter","non-dropping-particle":"","parse-names":false,"suffix":""},{"dropping-particle":"","family":"Amdur","given":"Richard L.","non-dropping-particle":"","parse-names":false,"suffix":""},{"dropping-particle":"","family":"Arora","given":"Subodh","non-dropping-particle":"","parse-names":false,"suffix":""}],"container-title":"Journal of Vascular Surgery","id":"ITEM-1","issue":"1","issued":{"date-parts":[["2008"]]},"title":"Quality of life of patients with Takayasu's arteritis","type":"article-journal","volume":"47"},"uris":["http://www.mendeley.com/documents/?uuid=525bc1f8-82d0-3739-898a-255066ba2ce0"]}],"mendeley":{"formattedCitation":"[112]","plainTextFormattedCitation":"[112]","previouslyFormattedCitation":"[112]"},"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[112]</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60C02CB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J Vasc Surg</w:t>
            </w:r>
          </w:p>
        </w:tc>
        <w:tc>
          <w:tcPr>
            <w:tcW w:w="1711" w:type="dxa"/>
            <w:shd w:val="clear" w:color="auto" w:fill="auto"/>
            <w:vAlign w:val="center"/>
          </w:tcPr>
          <w:p w14:paraId="47809A4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2BABBDA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7696C4E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Takayasu's arteritis (4A44.1)</w:t>
            </w:r>
          </w:p>
        </w:tc>
        <w:tc>
          <w:tcPr>
            <w:tcW w:w="1559" w:type="dxa"/>
            <w:shd w:val="clear" w:color="auto" w:fill="auto"/>
            <w:vAlign w:val="center"/>
          </w:tcPr>
          <w:p w14:paraId="110C654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(QoL)</w:t>
            </w:r>
          </w:p>
        </w:tc>
        <w:tc>
          <w:tcPr>
            <w:tcW w:w="1418" w:type="dxa"/>
            <w:shd w:val="clear" w:color="auto" w:fill="auto"/>
            <w:vAlign w:val="center"/>
          </w:tcPr>
          <w:p w14:paraId="23951CF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(SF-36)</w:t>
            </w:r>
          </w:p>
        </w:tc>
        <w:tc>
          <w:tcPr>
            <w:tcW w:w="709" w:type="dxa"/>
            <w:shd w:val="clear" w:color="auto" w:fill="auto"/>
            <w:vAlign w:val="center"/>
          </w:tcPr>
          <w:p w14:paraId="2A8626D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0A49F24C" w14:textId="77777777" w:rsidTr="004C3C90">
        <w:trPr>
          <w:trHeight w:val="20"/>
        </w:trPr>
        <w:tc>
          <w:tcPr>
            <w:tcW w:w="557" w:type="dxa"/>
            <w:vAlign w:val="center"/>
          </w:tcPr>
          <w:p w14:paraId="57689043"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113</w:t>
            </w:r>
          </w:p>
        </w:tc>
        <w:tc>
          <w:tcPr>
            <w:tcW w:w="1418" w:type="dxa"/>
            <w:shd w:val="clear" w:color="auto" w:fill="auto"/>
            <w:vAlign w:val="center"/>
          </w:tcPr>
          <w:p w14:paraId="61732F6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Galéra (2006)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{"citationItems":[{"id":"ITEM-1","itemData":{"DOI":"10.1002/ajmg.a.31169","ISSN":"15524825","abstract":"Costello syndrome (CS) is a rare genetic condition due to germline mutations in HRAS proto-oncogene and characterized by increased birth weight, postnatal growth retardation, distinctive facial appearance, typical medical problems (including feeding problems in the neonatal period), cutaneous anomalies, and developmental delay. Outgoing personality has often been noted in case reports, but few studies have focused specifically on the behavioral aspects of CS. A preliminary survey described irritability in younger patients with improvement between age 2 and 4, but a standardized psychometric tool was not used. A second study using the Child Behavior Checklist (CBCL) showed relatively high (albeit subclinical) levels of internalizing problems. These descriptive investigations lacked a control group. We describe a comparative survey to evaluate the behavioral and temperamental features of children with CS. We conducted a cross-sectional assessment using the CBCL and the Emotionality. Activity, Shyness. Sociability (EAS) temperament questionnaire to evaluate behavior and temperament in 11 CS children (2 years 5 months to 9 years) comparing them to 33 gender- and age-matched children without disability. The results suggest that the high levels of internalizing problems found before age 4 in CS patients might decrease with age. They also point to possible \"hyperemotionality.\" Further studies using a larger sample size and IQ-matched control groups are needed to more accurately characterize individuals with this rare syndrome. © 2006 Wiley-Liss, Inc.","author":[{"dropping-particle":"","family":"Galéra","given":"Cédric","non-dropping-particle":"","parse-names":false,"suffix":""},{"dropping-particle":"","family":"Delrue","given":"Marie Ange","non-dropping-particle":"","parse-names":false,"suffix":""},{"dropping-particle":"","family":"Goizet","given":"Cyril","non-dropping-particle":"","parse-names":false,"suffix":""},{"dropping-particle":"","family":"Etchegoyhen","given":"Kattalin","non-dropping-particle":"","parse-names":false,"suffix":""},{"dropping-particle":"","family":"Taupiac","given":"Emmanuelle","non-dropping-particle":"","parse-names":false,"suffix":""},{"dropping-particle":"","family":"Sigaudy","given":"Sabine","non-dropping-particle":"","parse-names":false,"suffix":""},{"dropping-particle":"","family":"Arveiler","given":"Benoît","non-dropping-particle":"","parse-names":false,"suffix":""},{"dropping-particle":"","family":"Philip","given":"Nicole","non-dropping-particle":"","parse-names":false,"suffix":""},{"dropping-particle":"","family":"Bouvard","given":"Manuel","non-dropping-particle":"","parse-names":false,"suffix":""},{"dropping-particle":"","family":"Lacombe","given":"Didier","non-dropping-particle":"","parse-names":false,"suffix":""}],"container-title":"American Journal of Medical Genetics","id":"ITEM-1","issue":"9","issued":{"date-parts":[["2006"]]},"title":"Behavioral and temperamental features of children with Costello syndrome","type":"article-journal","volume":"140 A"},"uris":["http://www.mendeley.com/documents/?uuid=5986491d-e074-36d0-afce-426d542c5a50"]}],"mendeley":{"formattedCitation":"[113]","plainTextFormattedCitation":"[113]","previouslyFormattedCitation":"[113]"},"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[113]</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1AEDA2A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Am J Med Genet</w:t>
            </w:r>
          </w:p>
        </w:tc>
        <w:tc>
          <w:tcPr>
            <w:tcW w:w="1711" w:type="dxa"/>
            <w:shd w:val="clear" w:color="auto" w:fill="auto"/>
            <w:vAlign w:val="center"/>
          </w:tcPr>
          <w:p w14:paraId="298601F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1507238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w:t>
            </w:r>
          </w:p>
        </w:tc>
        <w:tc>
          <w:tcPr>
            <w:tcW w:w="1843" w:type="dxa"/>
            <w:shd w:val="clear" w:color="auto" w:fill="auto"/>
            <w:vAlign w:val="center"/>
          </w:tcPr>
          <w:p w14:paraId="4DEA92A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Costello syndrome (LD2F.1Y)</w:t>
            </w:r>
          </w:p>
        </w:tc>
        <w:tc>
          <w:tcPr>
            <w:tcW w:w="1559" w:type="dxa"/>
            <w:shd w:val="clear" w:color="auto" w:fill="auto"/>
            <w:vAlign w:val="center"/>
          </w:tcPr>
          <w:p w14:paraId="3B08519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Prevalence (Behavioral aspects, temperamental features)</w:t>
            </w:r>
          </w:p>
        </w:tc>
        <w:tc>
          <w:tcPr>
            <w:tcW w:w="1418" w:type="dxa"/>
            <w:shd w:val="clear" w:color="auto" w:fill="auto"/>
            <w:vAlign w:val="center"/>
          </w:tcPr>
          <w:p w14:paraId="492E76D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16926C1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50C7EE0A" w14:textId="77777777" w:rsidTr="004C3C90">
        <w:trPr>
          <w:trHeight w:val="20"/>
        </w:trPr>
        <w:tc>
          <w:tcPr>
            <w:tcW w:w="557" w:type="dxa"/>
            <w:vAlign w:val="center"/>
          </w:tcPr>
          <w:p w14:paraId="51E100B6"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114</w:t>
            </w:r>
          </w:p>
        </w:tc>
        <w:tc>
          <w:tcPr>
            <w:tcW w:w="1418" w:type="dxa"/>
            <w:shd w:val="clear" w:color="auto" w:fill="auto"/>
            <w:vAlign w:val="center"/>
          </w:tcPr>
          <w:p w14:paraId="3FE51B5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Pasculli et al (2004)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{"citationItems":[{"id":"ITEM-1","itemData":{"DOI":"10.1007/s11136-004-7865-y","ISSN":"09629343","abstract":"The levels of the health-related quality of life (HR-QoL) were analyzed in hereditary hemorrhagic telangiectasia (HHT) patients. The Short Form-36 Health Survey (SF-36) was administered to 50 HHT patients and scores were compared to a cohort of 2301 normal subjects. Clinical variables were patient age, illness duration, number of epistaxis episodes in the previous year and hemoglobin levels. Physical functioning, physical role limitations, bodily pain, social functioning, emotional role limitations and the physical component scores were lower among females. In multivariable analyses increasing age was related to lower physical functioning (P &lt; 0.04), physical role limitations (P &lt; 0.008), bodily pain (P &lt; 0.05) and emotional role limitations (P &lt; 0.01), while higher hemoglobin levels improved physical functioning (P &lt; 0.03). The number of epistaxis episodes was negatively associated with physical role limitations (P &lt; 0.009), vitality (P &lt; 0.002), social functioning (P &lt; 0.001), physical component summary (P &lt; 0.001) and bodily pain (P &lt; 0.01). Illness duration was negatively related to the mental component summary (P &lt; 0.004). HHT patients had a lower HR-QoL with respect to normal controls in all domains except for bodily pain. Females had lower scores for several domains. Epistaxis was the most important clinical variable. © 2004 Kluwer Academic Publishers.","author":[{"dropping-particle":"","family":"Pasculli","given":"Giovanna","non-dropping-particle":"","parse-names":false,"suffix":""},{"dropping-particle":"","family":"Resta","given":"Francesco","non-dropping-particle":"","parse-names":false,"suffix":""},{"dropping-particle":"","family":"Guastamacchia","given":"Edoardo","non-dropping-particle":"","parse-names":false,"suffix":""},{"dropping-particle":"","family":"Gennaro","given":"Leonardo","non-dropping-particle":"Di","parse-names":false,"suffix":""},{"dropping-particle":"","family":"Suppressa","given":"Patrizia","non-dropping-particle":"","parse-names":false,"suffix":""},{"dropping-particle":"","family":"Sabbà","given":"Carlo","non-dropping-particle":"","parse-names":false,"suffix":""}],"container-title":"Quality of Life Research","id":"ITEM-1","issue":"10","issued":{"date-parts":[["2004"]]},"title":"Health-related quality of life in a rare disease: Hereditary hemorrhagic telangiectasia (HHT) or Rendu-Osler-Weber Disease","type":"article-journal","volume":"13"},"uris":["http://www.mendeley.com/documents/?uuid=0711467b-a298-3fd6-bc18-8b9f19479f4f"]}],"mendeley":{"formattedCitation":"[114]","plainTextFormattedCitation":"[114]","previouslyFormattedCitation":"[114]"},"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[114]</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535593B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Qual Life Res</w:t>
            </w:r>
          </w:p>
        </w:tc>
        <w:tc>
          <w:tcPr>
            <w:tcW w:w="1711" w:type="dxa"/>
            <w:shd w:val="clear" w:color="auto" w:fill="auto"/>
            <w:vAlign w:val="center"/>
          </w:tcPr>
          <w:p w14:paraId="150FE00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(Patients)</w:t>
            </w:r>
          </w:p>
        </w:tc>
        <w:tc>
          <w:tcPr>
            <w:tcW w:w="1984" w:type="dxa"/>
            <w:vAlign w:val="center"/>
          </w:tcPr>
          <w:p w14:paraId="1D11D6D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 (Italy)</w:t>
            </w:r>
          </w:p>
        </w:tc>
        <w:tc>
          <w:tcPr>
            <w:tcW w:w="1843" w:type="dxa"/>
            <w:shd w:val="clear" w:color="auto" w:fill="auto"/>
            <w:vAlign w:val="center"/>
          </w:tcPr>
          <w:p w14:paraId="506ACFD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Hereditary haemorrhagic </w:t>
            </w:r>
            <w:r w:rsidRPr="004C3C90">
              <w:rPr>
                <w:rFonts w:ascii="Times New Roman" w:eastAsia="Times New Roman" w:hAnsi="Times New Roman" w:cs="Times New Roman"/>
                <w:sz w:val="20"/>
                <w:szCs w:val="20"/>
              </w:rPr>
              <w:lastRenderedPageBreak/>
              <w:t>telangiectasia (LA90.00), Rendu-Osler-Weber disease (LA90.00)</w:t>
            </w:r>
          </w:p>
        </w:tc>
        <w:tc>
          <w:tcPr>
            <w:tcW w:w="1559" w:type="dxa"/>
            <w:shd w:val="clear" w:color="auto" w:fill="auto"/>
            <w:vAlign w:val="center"/>
          </w:tcPr>
          <w:p w14:paraId="2CB442A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lastRenderedPageBreak/>
              <w:t>Experience (QoL)</w:t>
            </w:r>
          </w:p>
        </w:tc>
        <w:tc>
          <w:tcPr>
            <w:tcW w:w="1418" w:type="dxa"/>
            <w:shd w:val="clear" w:color="auto" w:fill="auto"/>
            <w:vAlign w:val="center"/>
          </w:tcPr>
          <w:p w14:paraId="1A6CAD9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(SF-36)</w:t>
            </w:r>
          </w:p>
        </w:tc>
        <w:tc>
          <w:tcPr>
            <w:tcW w:w="709" w:type="dxa"/>
            <w:shd w:val="clear" w:color="auto" w:fill="auto"/>
            <w:vAlign w:val="center"/>
          </w:tcPr>
          <w:p w14:paraId="564C864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r w:rsidR="004C3C90" w:rsidRPr="004C3C90" w14:paraId="5ACA3B2D" w14:textId="77777777" w:rsidTr="004C3C90">
        <w:trPr>
          <w:trHeight w:val="20"/>
        </w:trPr>
        <w:tc>
          <w:tcPr>
            <w:tcW w:w="557" w:type="dxa"/>
            <w:vAlign w:val="center"/>
          </w:tcPr>
          <w:p w14:paraId="2103E1D5"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115</w:t>
            </w:r>
          </w:p>
        </w:tc>
        <w:tc>
          <w:tcPr>
            <w:tcW w:w="1418" w:type="dxa"/>
            <w:shd w:val="clear" w:color="auto" w:fill="auto"/>
            <w:vAlign w:val="center"/>
          </w:tcPr>
          <w:p w14:paraId="2CFB66F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Robey et al (2003) </w:t>
            </w:r>
            <w:r w:rsidRPr="004C3C90">
              <w:rPr>
                <w:rFonts w:ascii="Times New Roman" w:eastAsia="Times New Roman" w:hAnsi="Times New Roman" w:cs="Times New Roman"/>
                <w:sz w:val="20"/>
                <w:szCs w:val="20"/>
              </w:rPr>
              <w:fldChar w:fldCharType="begin" w:fldLock="1"/>
            </w:r>
            <w:r w:rsidRPr="004C3C90">
              <w:rPr>
                <w:rFonts w:ascii="Times New Roman" w:eastAsia="Times New Roman" w:hAnsi="Times New Roman" w:cs="Times New Roman"/>
                <w:sz w:val="20"/>
                <w:szCs w:val="20"/>
              </w:rPr>
              <w:instrText>ADDIN CSL_CITATION {"citationItems":[{"id":"ITEM-1","itemData":{"DOI":"10.1017/S001216220300032X","ISSN":"00121622","abstract":"Lesch-Nyhan disease (LND) is a rare X-linked recessive genetic disorder associated with cognitive impairment, choreoathetosis, hyperuricemia, and the hallmark symptom of severe and involuntary self-mutilation. This study examines data gathered from a survey of 64 families in the USA and abroad regarding the self-injury of their family members who have LND. The individuals with LND ranged in age from 1 to 40 years (mean 16 years 7 months, SD 11 years 2 months) and, with the exception of one, were males. The most common initial mode of self-mutilation, and the most frequently cited part or current behavior, was biting of lips and/or fingers. Other behaviors, in order of frequency, included head banging, extension of arms when being wheeled through doorways, tipping of wheelchairs, eye-poking, fingers in wheelchair spokes, and rubbing behaviors. Hierarchical cluster analysis identified patterns of association among the types of self-mutilation. Modes of self-mutilation of which external surfaces (such as a wheelchair component) served as instruments of self-injury tended to co-occur, as did biting of lips and fingers.","author":[{"dropping-particle":"","family":"Robey","given":"Kenneth L.","non-dropping-particle":"","parse-names":false,"suffix":""},{"dropping-particle":"","family":"Reck","given":"John F.","non-dropping-particle":"","parse-names":false,"suffix":""},{"dropping-particle":"","family":"Giacomini","given":"Karen D.","non-dropping-particle":"","parse-names":false,"suffix":""},{"dropping-particle":"","family":"Barabas","given":"Gabor","non-dropping-particle":"","parse-names":false,"suffix":""},{"dropping-particle":"","family":"Eddey","given":"Gary E.","non-dropping-particle":"","parse-names":false,"suffix":""}],"container-title":"Developmental Medicine and Child Neurology","id":"ITEM-1","issue":"3","issued":{"date-parts":[["2003"]]},"title":"Modes and patterns of self-mutilation in persons with Lesch-Nyhan disease","type":"article-journal","volume":"45"},"uris":["http://www.mendeley.com/documents/?uuid=7381cba3-e577-34c4-8fee-99108c12fa4d"]}],"mendeley":{"formattedCitation":"[115]","plainTextFormattedCitation":"[115]"},"properties":{"noteIndex":0},"schema":"https://github.com/citation-style-language/schema/raw/master/csl-citation.json"}</w:instrText>
            </w:r>
            <w:r w:rsidRPr="004C3C90">
              <w:rPr>
                <w:rFonts w:ascii="Times New Roman" w:eastAsia="Times New Roman" w:hAnsi="Times New Roman" w:cs="Times New Roman"/>
                <w:sz w:val="20"/>
                <w:szCs w:val="20"/>
              </w:rPr>
              <w:fldChar w:fldCharType="separate"/>
            </w:r>
            <w:r w:rsidRPr="004C3C90">
              <w:rPr>
                <w:rFonts w:ascii="Times New Roman" w:eastAsia="Times New Roman" w:hAnsi="Times New Roman" w:cs="Times New Roman"/>
                <w:noProof/>
                <w:sz w:val="20"/>
                <w:szCs w:val="20"/>
              </w:rPr>
              <w:t>[115]</w:t>
            </w:r>
            <w:r w:rsidRPr="004C3C90">
              <w:rPr>
                <w:rFonts w:ascii="Times New Roman" w:eastAsia="Times New Roman" w:hAnsi="Times New Roman" w:cs="Times New Roman"/>
                <w:sz w:val="20"/>
                <w:szCs w:val="20"/>
              </w:rPr>
              <w:fldChar w:fldCharType="end"/>
            </w:r>
          </w:p>
        </w:tc>
        <w:tc>
          <w:tcPr>
            <w:tcW w:w="1701" w:type="dxa"/>
            <w:shd w:val="clear" w:color="auto" w:fill="auto"/>
            <w:vAlign w:val="center"/>
          </w:tcPr>
          <w:p w14:paraId="43A91F1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hAnsi="Times New Roman" w:cs="Times New Roman"/>
                <w:noProof/>
                <w:sz w:val="20"/>
                <w:szCs w:val="20"/>
              </w:rPr>
              <w:t>Dev Med Child Neurol</w:t>
            </w:r>
          </w:p>
        </w:tc>
        <w:tc>
          <w:tcPr>
            <w:tcW w:w="1711" w:type="dxa"/>
            <w:shd w:val="clear" w:color="auto" w:fill="auto"/>
            <w:vAlign w:val="center"/>
          </w:tcPr>
          <w:p w14:paraId="4A1A92A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Group 1 (Families)</w:t>
            </w:r>
          </w:p>
        </w:tc>
        <w:tc>
          <w:tcPr>
            <w:tcW w:w="1984" w:type="dxa"/>
            <w:vAlign w:val="center"/>
          </w:tcPr>
          <w:p w14:paraId="78787CE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North America (US)</w:t>
            </w:r>
          </w:p>
        </w:tc>
        <w:tc>
          <w:tcPr>
            <w:tcW w:w="1843" w:type="dxa"/>
            <w:shd w:val="clear" w:color="auto" w:fill="auto"/>
            <w:vAlign w:val="center"/>
          </w:tcPr>
          <w:p w14:paraId="415BEC1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Lesch-Nyhan syndrome (5C55.01)</w:t>
            </w:r>
          </w:p>
        </w:tc>
        <w:tc>
          <w:tcPr>
            <w:tcW w:w="1559" w:type="dxa"/>
            <w:shd w:val="clear" w:color="auto" w:fill="auto"/>
            <w:vAlign w:val="center"/>
          </w:tcPr>
          <w:p w14:paraId="7E7D80F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(psychological distress, self-mutilation)</w:t>
            </w:r>
          </w:p>
        </w:tc>
        <w:tc>
          <w:tcPr>
            <w:tcW w:w="1418" w:type="dxa"/>
            <w:shd w:val="clear" w:color="auto" w:fill="auto"/>
            <w:vAlign w:val="center"/>
          </w:tcPr>
          <w:p w14:paraId="2FC9E75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(Questionnaire)</w:t>
            </w:r>
          </w:p>
        </w:tc>
        <w:tc>
          <w:tcPr>
            <w:tcW w:w="709" w:type="dxa"/>
            <w:shd w:val="clear" w:color="auto" w:fill="auto"/>
            <w:vAlign w:val="center"/>
          </w:tcPr>
          <w:p w14:paraId="6FBDAE0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p>
        </w:tc>
      </w:tr>
    </w:tbl>
    <w:p w14:paraId="17A02F3E" w14:textId="77777777" w:rsidR="00CF0C6C" w:rsidRPr="004C3C90" w:rsidRDefault="00CF0C6C" w:rsidP="00CF0C6C">
      <w:pPr>
        <w:rPr>
          <w:rFonts w:ascii="Times New Roman" w:hAnsi="Times New Roman" w:cs="Times New Roman"/>
          <w:sz w:val="20"/>
          <w:szCs w:val="20"/>
        </w:rPr>
      </w:pPr>
    </w:p>
    <w:p w14:paraId="5018DEA0" w14:textId="2C745D64" w:rsidR="00EE50CE" w:rsidRPr="004C3C90" w:rsidRDefault="002C0923" w:rsidP="00B012A8">
      <w:pPr>
        <w:spacing w:line="480" w:lineRule="auto"/>
        <w:rPr>
          <w:rFonts w:ascii="Times New Roman" w:hAnsi="Times New Roman" w:cs="Times New Roman"/>
          <w:b/>
          <w:sz w:val="20"/>
          <w:szCs w:val="20"/>
        </w:rPr>
        <w:sectPr w:rsidR="00EE50CE" w:rsidRPr="004C3C90">
          <w:pgSz w:w="15840" w:h="12240" w:orient="landscape"/>
          <w:pgMar w:top="1440" w:right="1440" w:bottom="1440" w:left="1440" w:header="720" w:footer="720" w:gutter="0"/>
          <w:cols w:space="720"/>
        </w:sectPr>
      </w:pPr>
      <w:r w:rsidRPr="004C3C90">
        <w:rPr>
          <w:rFonts w:ascii="Times New Roman" w:hAnsi="Times New Roman" w:cs="Times New Roman"/>
          <w:sz w:val="20"/>
          <w:szCs w:val="20"/>
        </w:rPr>
        <w:t xml:space="preserve">*In determining the order of numbers of the 115 seleted studies, we used the </w:t>
      </w:r>
      <w:r w:rsidR="00A01A9C" w:rsidRPr="004C3C90">
        <w:rPr>
          <w:rFonts w:ascii="Times New Roman" w:hAnsi="Times New Roman" w:cs="Times New Roman"/>
          <w:sz w:val="20"/>
          <w:szCs w:val="20"/>
        </w:rPr>
        <w:t xml:space="preserve">publichation </w:t>
      </w:r>
      <w:r w:rsidRPr="004C3C90">
        <w:rPr>
          <w:rFonts w:ascii="Times New Roman" w:hAnsi="Times New Roman" w:cs="Times New Roman"/>
          <w:sz w:val="20"/>
          <w:szCs w:val="20"/>
        </w:rPr>
        <w:t xml:space="preserve">year as a </w:t>
      </w:r>
      <w:r w:rsidR="00A01A9C" w:rsidRPr="004C3C90">
        <w:rPr>
          <w:rFonts w:ascii="Times New Roman" w:hAnsi="Times New Roman" w:cs="Times New Roman"/>
          <w:sz w:val="20"/>
          <w:szCs w:val="20"/>
        </w:rPr>
        <w:t>criterion (by descending order)</w:t>
      </w:r>
      <w:r w:rsidR="00AD03D1" w:rsidRPr="004C3C90">
        <w:rPr>
          <w:rFonts w:ascii="Times New Roman" w:hAnsi="Times New Roman" w:cs="Times New Roman"/>
          <w:sz w:val="20"/>
          <w:szCs w:val="20"/>
        </w:rPr>
        <w:t>.</w:t>
      </w:r>
      <w:r w:rsidRPr="004C3C90">
        <w:rPr>
          <w:rFonts w:ascii="Times New Roman" w:hAnsi="Times New Roman" w:cs="Times New Roman"/>
          <w:sz w:val="20"/>
          <w:szCs w:val="20"/>
        </w:rPr>
        <w:t xml:space="preserve"> </w:t>
      </w:r>
      <w:r w:rsidR="00AD03D1" w:rsidRPr="004C3C90">
        <w:rPr>
          <w:rFonts w:ascii="Times New Roman" w:hAnsi="Times New Roman" w:cs="Times New Roman"/>
          <w:sz w:val="20"/>
          <w:szCs w:val="20"/>
        </w:rPr>
        <w:t xml:space="preserve">The article number </w:t>
      </w:r>
      <w:r w:rsidRPr="004C3C90">
        <w:rPr>
          <w:rFonts w:ascii="Times New Roman" w:hAnsi="Times New Roman" w:cs="Times New Roman"/>
          <w:sz w:val="20"/>
          <w:szCs w:val="20"/>
        </w:rPr>
        <w:t xml:space="preserve">is </w:t>
      </w:r>
      <w:r w:rsidR="00AD03D1" w:rsidRPr="004C3C90">
        <w:rPr>
          <w:rFonts w:ascii="Times New Roman" w:hAnsi="Times New Roman" w:cs="Times New Roman"/>
          <w:sz w:val="20"/>
          <w:szCs w:val="20"/>
        </w:rPr>
        <w:t xml:space="preserve">aligned with </w:t>
      </w:r>
      <w:r w:rsidRPr="004C3C90">
        <w:rPr>
          <w:rFonts w:ascii="Times New Roman" w:hAnsi="Times New Roman" w:cs="Times New Roman"/>
          <w:sz w:val="20"/>
          <w:szCs w:val="20"/>
        </w:rPr>
        <w:t>the following tables (</w:t>
      </w:r>
      <w:r w:rsidR="00B134E0" w:rsidRPr="004C3C90">
        <w:rPr>
          <w:rFonts w:ascii="Times New Roman" w:hAnsi="Times New Roman" w:cs="Times New Roman"/>
          <w:sz w:val="20"/>
          <w:szCs w:val="20"/>
        </w:rPr>
        <w:t>Supplementary t</w:t>
      </w:r>
      <w:r w:rsidRPr="004C3C90">
        <w:rPr>
          <w:rFonts w:ascii="Times New Roman" w:hAnsi="Times New Roman" w:cs="Times New Roman"/>
          <w:sz w:val="20"/>
          <w:szCs w:val="20"/>
        </w:rPr>
        <w:t>able 3</w:t>
      </w:r>
      <w:r w:rsidR="00AD03D1" w:rsidRPr="004C3C90">
        <w:rPr>
          <w:rFonts w:ascii="Times New Roman" w:hAnsi="Times New Roman" w:cs="Times New Roman"/>
          <w:sz w:val="20"/>
          <w:szCs w:val="20"/>
        </w:rPr>
        <w:t>-</w:t>
      </w:r>
      <w:r w:rsidRPr="004C3C90">
        <w:rPr>
          <w:rFonts w:ascii="Times New Roman" w:hAnsi="Times New Roman" w:cs="Times New Roman"/>
          <w:sz w:val="20"/>
          <w:szCs w:val="20"/>
        </w:rPr>
        <w:t>7).</w:t>
      </w:r>
      <w:r w:rsidR="00036CEB" w:rsidRPr="004C3C90">
        <w:rPr>
          <w:rFonts w:ascii="Times New Roman" w:hAnsi="Times New Roman" w:cs="Times New Roman"/>
          <w:b/>
          <w:sz w:val="20"/>
          <w:szCs w:val="20"/>
        </w:rPr>
        <w:t xml:space="preserve"> </w:t>
      </w:r>
      <w:r w:rsidR="002464AE" w:rsidRPr="004C3C90">
        <w:rPr>
          <w:rFonts w:ascii="Times New Roman" w:eastAsia="Times New Roman" w:hAnsi="Times New Roman" w:cs="Times New Roman"/>
          <w:sz w:val="20"/>
          <w:szCs w:val="20"/>
        </w:rPr>
        <w:t>T/A</w:t>
      </w:r>
      <w:r w:rsidR="00900F7C" w:rsidRPr="004C3C90">
        <w:rPr>
          <w:rFonts w:ascii="Times New Roman" w:eastAsia="Times New Roman" w:hAnsi="Times New Roman" w:cs="Times New Roman"/>
          <w:sz w:val="20"/>
          <w:szCs w:val="20"/>
        </w:rPr>
        <w:t>: Thematic Analysis using NVivo</w:t>
      </w:r>
    </w:p>
    <w:p w14:paraId="6330F6EC" w14:textId="48D9234F" w:rsidR="00900F7C" w:rsidRPr="004C3C90" w:rsidRDefault="00E1479D" w:rsidP="006A28A7">
      <w:pPr>
        <w:pStyle w:val="a4"/>
        <w:keepNext/>
        <w:spacing w:line="480" w:lineRule="auto"/>
        <w:rPr>
          <w:rFonts w:ascii="Times New Roman" w:hAnsi="Times New Roman" w:cs="Times New Roman"/>
          <w:b/>
          <w:i w:val="0"/>
          <w:color w:val="auto"/>
          <w:sz w:val="20"/>
          <w:szCs w:val="20"/>
        </w:rPr>
      </w:pPr>
      <w:r w:rsidRPr="004C3C90">
        <w:rPr>
          <w:rFonts w:ascii="Times New Roman" w:hAnsi="Times New Roman" w:cs="Times New Roman"/>
          <w:b/>
          <w:i w:val="0"/>
          <w:color w:val="auto"/>
          <w:sz w:val="20"/>
          <w:szCs w:val="20"/>
        </w:rPr>
        <w:lastRenderedPageBreak/>
        <w:t xml:space="preserve">Supplementary </w:t>
      </w:r>
      <w:r w:rsidR="00227049" w:rsidRPr="004C3C90">
        <w:rPr>
          <w:rFonts w:ascii="Times New Roman" w:hAnsi="Times New Roman" w:cs="Times New Roman"/>
          <w:b/>
          <w:i w:val="0"/>
          <w:color w:val="auto"/>
          <w:sz w:val="20"/>
          <w:szCs w:val="20"/>
        </w:rPr>
        <w:t>t</w:t>
      </w:r>
      <w:r w:rsidRPr="004C3C90">
        <w:rPr>
          <w:rFonts w:ascii="Times New Roman" w:hAnsi="Times New Roman" w:cs="Times New Roman"/>
          <w:b/>
          <w:i w:val="0"/>
          <w:color w:val="auto"/>
          <w:sz w:val="20"/>
          <w:szCs w:val="20"/>
        </w:rPr>
        <w:t>able 2</w:t>
      </w:r>
      <w:r w:rsidR="00900F7C" w:rsidRPr="004C3C90">
        <w:rPr>
          <w:rFonts w:ascii="Times New Roman" w:hAnsi="Times New Roman" w:cs="Times New Roman"/>
          <w:b/>
          <w:i w:val="0"/>
          <w:color w:val="auto"/>
          <w:sz w:val="20"/>
          <w:szCs w:val="20"/>
        </w:rPr>
        <w:t>. Exclusion criteria</w:t>
      </w:r>
    </w:p>
    <w:tbl>
      <w:tblPr>
        <w:tblW w:w="9356" w:type="dxa"/>
        <w:tblLayout w:type="fixed"/>
        <w:tblLook w:val="0400" w:firstRow="0" w:lastRow="0" w:firstColumn="0" w:lastColumn="0" w:noHBand="0" w:noVBand="1"/>
      </w:tblPr>
      <w:tblGrid>
        <w:gridCol w:w="720"/>
        <w:gridCol w:w="556"/>
        <w:gridCol w:w="5387"/>
        <w:gridCol w:w="1559"/>
        <w:gridCol w:w="1134"/>
      </w:tblGrid>
      <w:tr w:rsidR="008C40C7" w:rsidRPr="004C3C90" w14:paraId="22B5EDBE" w14:textId="77777777" w:rsidTr="002F2419">
        <w:trPr>
          <w:trHeight w:val="118"/>
        </w:trPr>
        <w:tc>
          <w:tcPr>
            <w:tcW w:w="720" w:type="dxa"/>
            <w:tcBorders>
              <w:top w:val="single" w:sz="8" w:space="0" w:color="000000"/>
              <w:bottom w:val="single" w:sz="4" w:space="0" w:color="000000"/>
              <w:right w:val="nil"/>
            </w:tcBorders>
            <w:shd w:val="clear" w:color="auto" w:fill="auto"/>
            <w:vAlign w:val="center"/>
          </w:tcPr>
          <w:p w14:paraId="687DB27E" w14:textId="5E4E4238" w:rsidR="00900F7C" w:rsidRPr="004C3C90" w:rsidRDefault="00900F7C" w:rsidP="00B012A8">
            <w:pPr>
              <w:spacing w:line="276" w:lineRule="auto"/>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N</w:t>
            </w:r>
            <w:r w:rsidR="00AD03D1" w:rsidRPr="004C3C90">
              <w:rPr>
                <w:rFonts w:ascii="Times New Roman" w:eastAsia="Times New Roman" w:hAnsi="Times New Roman" w:cs="Times New Roman"/>
                <w:b/>
                <w:sz w:val="20"/>
                <w:szCs w:val="20"/>
              </w:rPr>
              <w:t>o</w:t>
            </w:r>
            <w:r w:rsidRPr="004C3C90">
              <w:rPr>
                <w:rFonts w:ascii="Times New Roman" w:eastAsia="Times New Roman" w:hAnsi="Times New Roman" w:cs="Times New Roman"/>
                <w:b/>
                <w:sz w:val="20"/>
                <w:szCs w:val="20"/>
              </w:rPr>
              <w:t>.</w:t>
            </w:r>
          </w:p>
        </w:tc>
        <w:tc>
          <w:tcPr>
            <w:tcW w:w="5943" w:type="dxa"/>
            <w:gridSpan w:val="2"/>
            <w:tcBorders>
              <w:top w:val="single" w:sz="8" w:space="0" w:color="000000"/>
              <w:left w:val="nil"/>
              <w:bottom w:val="single" w:sz="4" w:space="0" w:color="000000"/>
              <w:right w:val="nil"/>
            </w:tcBorders>
            <w:shd w:val="clear" w:color="auto" w:fill="auto"/>
            <w:vAlign w:val="center"/>
          </w:tcPr>
          <w:p w14:paraId="39358828" w14:textId="77777777" w:rsidR="00900F7C" w:rsidRPr="004C3C90" w:rsidRDefault="00900F7C" w:rsidP="00B012A8">
            <w:pPr>
              <w:spacing w:line="276" w:lineRule="auto"/>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Exclusion criteria</w:t>
            </w:r>
          </w:p>
        </w:tc>
        <w:tc>
          <w:tcPr>
            <w:tcW w:w="2693" w:type="dxa"/>
            <w:gridSpan w:val="2"/>
            <w:tcBorders>
              <w:top w:val="single" w:sz="8" w:space="0" w:color="000000"/>
              <w:left w:val="nil"/>
              <w:bottom w:val="single" w:sz="4" w:space="0" w:color="000000"/>
            </w:tcBorders>
            <w:shd w:val="clear" w:color="auto" w:fill="auto"/>
            <w:vAlign w:val="center"/>
          </w:tcPr>
          <w:p w14:paraId="55B52E16" w14:textId="77777777" w:rsidR="00900F7C" w:rsidRPr="004C3C90" w:rsidRDefault="00900F7C" w:rsidP="00B012A8">
            <w:pPr>
              <w:spacing w:line="276" w:lineRule="auto"/>
              <w:jc w:val="right"/>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Number of studies (%)</w:t>
            </w:r>
          </w:p>
        </w:tc>
      </w:tr>
      <w:tr w:rsidR="008C40C7" w:rsidRPr="004C3C90" w14:paraId="246A3BB5" w14:textId="77777777" w:rsidTr="006A28A7">
        <w:trPr>
          <w:trHeight w:val="288"/>
        </w:trPr>
        <w:tc>
          <w:tcPr>
            <w:tcW w:w="720" w:type="dxa"/>
            <w:tcBorders>
              <w:top w:val="nil"/>
              <w:bottom w:val="dotted" w:sz="4" w:space="0" w:color="000000"/>
              <w:right w:val="nil"/>
            </w:tcBorders>
            <w:shd w:val="clear" w:color="auto" w:fill="auto"/>
            <w:vAlign w:val="center"/>
          </w:tcPr>
          <w:p w14:paraId="386E4D25"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5943" w:type="dxa"/>
            <w:gridSpan w:val="2"/>
            <w:tcBorders>
              <w:top w:val="single" w:sz="4" w:space="0" w:color="000000"/>
              <w:left w:val="nil"/>
              <w:bottom w:val="dotted" w:sz="4" w:space="0" w:color="000000"/>
              <w:right w:val="nil"/>
            </w:tcBorders>
            <w:shd w:val="clear" w:color="auto" w:fill="auto"/>
            <w:vAlign w:val="center"/>
          </w:tcPr>
          <w:p w14:paraId="7A9243FA"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Non-English surveys</w:t>
            </w:r>
          </w:p>
        </w:tc>
        <w:tc>
          <w:tcPr>
            <w:tcW w:w="1559" w:type="dxa"/>
            <w:tcBorders>
              <w:top w:val="nil"/>
              <w:left w:val="nil"/>
              <w:bottom w:val="dotted" w:sz="4" w:space="0" w:color="000000"/>
              <w:right w:val="nil"/>
            </w:tcBorders>
            <w:shd w:val="clear" w:color="auto" w:fill="auto"/>
            <w:vAlign w:val="center"/>
          </w:tcPr>
          <w:p w14:paraId="5846CF38"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1134" w:type="dxa"/>
            <w:tcBorders>
              <w:top w:val="nil"/>
              <w:left w:val="nil"/>
              <w:bottom w:val="dotted" w:sz="4" w:space="0" w:color="000000"/>
            </w:tcBorders>
            <w:shd w:val="clear" w:color="auto" w:fill="auto"/>
            <w:vAlign w:val="center"/>
          </w:tcPr>
          <w:p w14:paraId="2F888BDC"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(0.6)</w:t>
            </w:r>
          </w:p>
        </w:tc>
      </w:tr>
      <w:tr w:rsidR="008C40C7" w:rsidRPr="004C3C90" w14:paraId="16655CB2" w14:textId="77777777" w:rsidTr="006A28A7">
        <w:trPr>
          <w:trHeight w:val="288"/>
        </w:trPr>
        <w:tc>
          <w:tcPr>
            <w:tcW w:w="720" w:type="dxa"/>
            <w:tcBorders>
              <w:top w:val="nil"/>
              <w:bottom w:val="dotted" w:sz="4" w:space="0" w:color="000000"/>
              <w:right w:val="nil"/>
            </w:tcBorders>
            <w:shd w:val="clear" w:color="auto" w:fill="auto"/>
            <w:vAlign w:val="center"/>
          </w:tcPr>
          <w:p w14:paraId="1A815EDB"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5943" w:type="dxa"/>
            <w:gridSpan w:val="2"/>
            <w:tcBorders>
              <w:top w:val="dotted" w:sz="4" w:space="0" w:color="000000"/>
              <w:left w:val="nil"/>
              <w:bottom w:val="dotted" w:sz="4" w:space="0" w:color="000000"/>
              <w:right w:val="nil"/>
            </w:tcBorders>
            <w:shd w:val="clear" w:color="auto" w:fill="auto"/>
            <w:vAlign w:val="center"/>
          </w:tcPr>
          <w:p w14:paraId="7020B1B3"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Non-rare disease surveys</w:t>
            </w:r>
          </w:p>
        </w:tc>
        <w:tc>
          <w:tcPr>
            <w:tcW w:w="1559" w:type="dxa"/>
            <w:tcBorders>
              <w:top w:val="nil"/>
              <w:left w:val="nil"/>
              <w:bottom w:val="dotted" w:sz="4" w:space="0" w:color="000000"/>
              <w:right w:val="nil"/>
            </w:tcBorders>
            <w:shd w:val="clear" w:color="auto" w:fill="auto"/>
            <w:vAlign w:val="center"/>
          </w:tcPr>
          <w:p w14:paraId="314E1E6F"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106</w:t>
            </w:r>
          </w:p>
        </w:tc>
        <w:tc>
          <w:tcPr>
            <w:tcW w:w="1134" w:type="dxa"/>
            <w:tcBorders>
              <w:top w:val="nil"/>
              <w:left w:val="nil"/>
              <w:bottom w:val="dotted" w:sz="4" w:space="0" w:color="000000"/>
            </w:tcBorders>
            <w:shd w:val="clear" w:color="auto" w:fill="auto"/>
            <w:vAlign w:val="center"/>
          </w:tcPr>
          <w:p w14:paraId="1CF24C49"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(10.1)</w:t>
            </w:r>
          </w:p>
        </w:tc>
      </w:tr>
      <w:tr w:rsidR="008C40C7" w:rsidRPr="004C3C90" w14:paraId="03679141" w14:textId="77777777" w:rsidTr="006A28A7">
        <w:trPr>
          <w:trHeight w:val="288"/>
        </w:trPr>
        <w:tc>
          <w:tcPr>
            <w:tcW w:w="720" w:type="dxa"/>
            <w:tcBorders>
              <w:top w:val="nil"/>
              <w:bottom w:val="dotted" w:sz="4" w:space="0" w:color="000000"/>
              <w:right w:val="nil"/>
            </w:tcBorders>
            <w:shd w:val="clear" w:color="auto" w:fill="auto"/>
            <w:vAlign w:val="center"/>
          </w:tcPr>
          <w:p w14:paraId="49A1D9C7"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5943" w:type="dxa"/>
            <w:gridSpan w:val="2"/>
            <w:tcBorders>
              <w:top w:val="dotted" w:sz="4" w:space="0" w:color="000000"/>
              <w:left w:val="nil"/>
              <w:bottom w:val="dotted" w:sz="4" w:space="0" w:color="000000"/>
              <w:right w:val="nil"/>
            </w:tcBorders>
            <w:shd w:val="clear" w:color="auto" w:fill="auto"/>
            <w:vAlign w:val="center"/>
          </w:tcPr>
          <w:p w14:paraId="612C7B36"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Non-human stakeholder surveys</w:t>
            </w:r>
          </w:p>
        </w:tc>
        <w:tc>
          <w:tcPr>
            <w:tcW w:w="1559" w:type="dxa"/>
            <w:tcBorders>
              <w:top w:val="nil"/>
              <w:left w:val="nil"/>
              <w:bottom w:val="dotted" w:sz="4" w:space="0" w:color="000000"/>
              <w:right w:val="nil"/>
            </w:tcBorders>
            <w:shd w:val="clear" w:color="auto" w:fill="auto"/>
            <w:vAlign w:val="center"/>
          </w:tcPr>
          <w:p w14:paraId="027FB13F"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55</w:t>
            </w:r>
          </w:p>
        </w:tc>
        <w:tc>
          <w:tcPr>
            <w:tcW w:w="1134" w:type="dxa"/>
            <w:tcBorders>
              <w:top w:val="nil"/>
              <w:left w:val="nil"/>
              <w:bottom w:val="dotted" w:sz="4" w:space="0" w:color="000000"/>
            </w:tcBorders>
            <w:shd w:val="clear" w:color="auto" w:fill="auto"/>
            <w:vAlign w:val="center"/>
          </w:tcPr>
          <w:p w14:paraId="77BF5D34"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(5.3)</w:t>
            </w:r>
          </w:p>
        </w:tc>
      </w:tr>
      <w:tr w:rsidR="008C40C7" w:rsidRPr="004C3C90" w14:paraId="09060710" w14:textId="77777777" w:rsidTr="002F2419">
        <w:trPr>
          <w:trHeight w:val="288"/>
        </w:trPr>
        <w:tc>
          <w:tcPr>
            <w:tcW w:w="720" w:type="dxa"/>
            <w:vMerge w:val="restart"/>
            <w:tcBorders>
              <w:top w:val="nil"/>
              <w:bottom w:val="dotted" w:sz="4" w:space="0" w:color="000000"/>
              <w:right w:val="nil"/>
            </w:tcBorders>
            <w:shd w:val="clear" w:color="auto" w:fill="auto"/>
          </w:tcPr>
          <w:p w14:paraId="373C0A4F"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5943" w:type="dxa"/>
            <w:gridSpan w:val="2"/>
            <w:tcBorders>
              <w:top w:val="dotted" w:sz="4" w:space="0" w:color="000000"/>
              <w:left w:val="nil"/>
              <w:bottom w:val="dotted" w:sz="4" w:space="0" w:color="000000"/>
              <w:right w:val="nil"/>
            </w:tcBorders>
            <w:shd w:val="clear" w:color="auto" w:fill="auto"/>
            <w:vAlign w:val="center"/>
          </w:tcPr>
          <w:p w14:paraId="15644C2C"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Non-Peer Reviewed Journal</w:t>
            </w:r>
          </w:p>
        </w:tc>
        <w:tc>
          <w:tcPr>
            <w:tcW w:w="1559" w:type="dxa"/>
            <w:tcBorders>
              <w:top w:val="nil"/>
              <w:left w:val="nil"/>
              <w:bottom w:val="dotted" w:sz="4" w:space="0" w:color="000000"/>
              <w:right w:val="nil"/>
            </w:tcBorders>
            <w:shd w:val="clear" w:color="auto" w:fill="auto"/>
            <w:vAlign w:val="center"/>
          </w:tcPr>
          <w:p w14:paraId="43CAF4CC"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722</w:t>
            </w:r>
          </w:p>
        </w:tc>
        <w:tc>
          <w:tcPr>
            <w:tcW w:w="1134" w:type="dxa"/>
            <w:tcBorders>
              <w:top w:val="nil"/>
              <w:left w:val="nil"/>
              <w:bottom w:val="dotted" w:sz="4" w:space="0" w:color="000000"/>
            </w:tcBorders>
            <w:shd w:val="clear" w:color="auto" w:fill="auto"/>
            <w:vAlign w:val="center"/>
          </w:tcPr>
          <w:p w14:paraId="5C1E1485"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(69.0)</w:t>
            </w:r>
          </w:p>
        </w:tc>
      </w:tr>
      <w:tr w:rsidR="008C40C7" w:rsidRPr="004C3C90" w14:paraId="768FADA5" w14:textId="77777777" w:rsidTr="006A28A7">
        <w:trPr>
          <w:trHeight w:val="288"/>
        </w:trPr>
        <w:tc>
          <w:tcPr>
            <w:tcW w:w="720" w:type="dxa"/>
            <w:vMerge/>
            <w:tcBorders>
              <w:top w:val="nil"/>
              <w:bottom w:val="dotted" w:sz="4" w:space="0" w:color="000000"/>
              <w:right w:val="nil"/>
            </w:tcBorders>
            <w:shd w:val="clear" w:color="auto" w:fill="auto"/>
            <w:vAlign w:val="center"/>
          </w:tcPr>
          <w:p w14:paraId="4749B4FF" w14:textId="77777777" w:rsidR="00900F7C" w:rsidRPr="004C3C90" w:rsidRDefault="00900F7C" w:rsidP="00B012A8">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56" w:type="dxa"/>
            <w:tcBorders>
              <w:top w:val="nil"/>
              <w:left w:val="nil"/>
              <w:bottom w:val="dotted" w:sz="4" w:space="0" w:color="000000"/>
              <w:right w:val="nil"/>
            </w:tcBorders>
            <w:shd w:val="clear" w:color="auto" w:fill="auto"/>
            <w:vAlign w:val="center"/>
          </w:tcPr>
          <w:p w14:paraId="71B17FB6"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4-1</w:t>
            </w:r>
          </w:p>
        </w:tc>
        <w:tc>
          <w:tcPr>
            <w:tcW w:w="5387" w:type="dxa"/>
            <w:tcBorders>
              <w:top w:val="nil"/>
              <w:left w:val="nil"/>
              <w:bottom w:val="dotted" w:sz="4" w:space="0" w:color="000000"/>
              <w:right w:val="nil"/>
            </w:tcBorders>
            <w:shd w:val="clear" w:color="auto" w:fill="auto"/>
            <w:vAlign w:val="center"/>
          </w:tcPr>
          <w:p w14:paraId="417D6A98"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Conference/Meeting abstract</w:t>
            </w:r>
          </w:p>
        </w:tc>
        <w:tc>
          <w:tcPr>
            <w:tcW w:w="1559" w:type="dxa"/>
            <w:tcBorders>
              <w:top w:val="nil"/>
              <w:left w:val="nil"/>
              <w:bottom w:val="dotted" w:sz="4" w:space="0" w:color="000000"/>
              <w:right w:val="nil"/>
            </w:tcBorders>
            <w:shd w:val="clear" w:color="auto" w:fill="auto"/>
            <w:vAlign w:val="center"/>
          </w:tcPr>
          <w:p w14:paraId="036F1E44"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(456)</w:t>
            </w:r>
          </w:p>
        </w:tc>
        <w:tc>
          <w:tcPr>
            <w:tcW w:w="1134" w:type="dxa"/>
            <w:tcBorders>
              <w:top w:val="nil"/>
              <w:left w:val="nil"/>
              <w:bottom w:val="dotted" w:sz="4" w:space="0" w:color="000000"/>
            </w:tcBorders>
            <w:shd w:val="clear" w:color="auto" w:fill="auto"/>
            <w:vAlign w:val="center"/>
          </w:tcPr>
          <w:p w14:paraId="58E8D066" w14:textId="0FCF97E0" w:rsidR="00900F7C" w:rsidRPr="004C3C90" w:rsidRDefault="00900F7C" w:rsidP="00B012A8">
            <w:pPr>
              <w:spacing w:line="276" w:lineRule="auto"/>
              <w:jc w:val="right"/>
              <w:rPr>
                <w:rFonts w:ascii="Times New Roman" w:eastAsia="Times New Roman" w:hAnsi="Times New Roman" w:cs="Times New Roman"/>
                <w:sz w:val="20"/>
                <w:szCs w:val="20"/>
              </w:rPr>
            </w:pPr>
          </w:p>
        </w:tc>
      </w:tr>
      <w:tr w:rsidR="008C40C7" w:rsidRPr="004C3C90" w14:paraId="2E974F12" w14:textId="77777777" w:rsidTr="006A28A7">
        <w:trPr>
          <w:trHeight w:val="288"/>
        </w:trPr>
        <w:tc>
          <w:tcPr>
            <w:tcW w:w="720" w:type="dxa"/>
            <w:vMerge/>
            <w:tcBorders>
              <w:top w:val="nil"/>
              <w:bottom w:val="dotted" w:sz="4" w:space="0" w:color="000000"/>
              <w:right w:val="nil"/>
            </w:tcBorders>
            <w:shd w:val="clear" w:color="auto" w:fill="auto"/>
            <w:vAlign w:val="center"/>
          </w:tcPr>
          <w:p w14:paraId="010595EC" w14:textId="77777777" w:rsidR="00900F7C" w:rsidRPr="004C3C90" w:rsidRDefault="00900F7C" w:rsidP="00B012A8">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56" w:type="dxa"/>
            <w:tcBorders>
              <w:top w:val="nil"/>
              <w:left w:val="nil"/>
              <w:bottom w:val="dotted" w:sz="4" w:space="0" w:color="000000"/>
              <w:right w:val="nil"/>
            </w:tcBorders>
            <w:shd w:val="clear" w:color="auto" w:fill="auto"/>
            <w:vAlign w:val="center"/>
          </w:tcPr>
          <w:p w14:paraId="4E551F54"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4-2</w:t>
            </w:r>
          </w:p>
        </w:tc>
        <w:tc>
          <w:tcPr>
            <w:tcW w:w="5387" w:type="dxa"/>
            <w:tcBorders>
              <w:top w:val="nil"/>
              <w:left w:val="nil"/>
              <w:bottom w:val="dotted" w:sz="4" w:space="0" w:color="000000"/>
              <w:right w:val="nil"/>
            </w:tcBorders>
            <w:shd w:val="clear" w:color="auto" w:fill="auto"/>
            <w:vAlign w:val="center"/>
          </w:tcPr>
          <w:p w14:paraId="329FB3E2"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Comment/Review/Editorial/Discussion/Letter</w:t>
            </w:r>
          </w:p>
        </w:tc>
        <w:tc>
          <w:tcPr>
            <w:tcW w:w="1559" w:type="dxa"/>
            <w:tcBorders>
              <w:top w:val="nil"/>
              <w:left w:val="nil"/>
              <w:bottom w:val="dotted" w:sz="4" w:space="0" w:color="000000"/>
              <w:right w:val="nil"/>
            </w:tcBorders>
            <w:shd w:val="clear" w:color="auto" w:fill="auto"/>
            <w:vAlign w:val="center"/>
          </w:tcPr>
          <w:p w14:paraId="33C4A64A"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(66)</w:t>
            </w:r>
          </w:p>
        </w:tc>
        <w:tc>
          <w:tcPr>
            <w:tcW w:w="1134" w:type="dxa"/>
            <w:tcBorders>
              <w:top w:val="nil"/>
              <w:left w:val="nil"/>
              <w:bottom w:val="dotted" w:sz="4" w:space="0" w:color="000000"/>
            </w:tcBorders>
            <w:shd w:val="clear" w:color="auto" w:fill="auto"/>
            <w:vAlign w:val="center"/>
          </w:tcPr>
          <w:p w14:paraId="1A2C3FC6" w14:textId="2A0212F7" w:rsidR="00900F7C" w:rsidRPr="004C3C90" w:rsidRDefault="00900F7C" w:rsidP="00B012A8">
            <w:pPr>
              <w:spacing w:line="276" w:lineRule="auto"/>
              <w:jc w:val="right"/>
              <w:rPr>
                <w:rFonts w:ascii="Times New Roman" w:eastAsia="Times New Roman" w:hAnsi="Times New Roman" w:cs="Times New Roman"/>
                <w:sz w:val="20"/>
                <w:szCs w:val="20"/>
              </w:rPr>
            </w:pPr>
          </w:p>
        </w:tc>
      </w:tr>
      <w:tr w:rsidR="008C40C7" w:rsidRPr="004C3C90" w14:paraId="3426E8CD" w14:textId="77777777" w:rsidTr="006A28A7">
        <w:trPr>
          <w:trHeight w:val="288"/>
        </w:trPr>
        <w:tc>
          <w:tcPr>
            <w:tcW w:w="720" w:type="dxa"/>
            <w:vMerge/>
            <w:tcBorders>
              <w:top w:val="nil"/>
              <w:bottom w:val="dotted" w:sz="4" w:space="0" w:color="000000"/>
              <w:right w:val="nil"/>
            </w:tcBorders>
            <w:shd w:val="clear" w:color="auto" w:fill="auto"/>
            <w:vAlign w:val="center"/>
          </w:tcPr>
          <w:p w14:paraId="7DC12B98" w14:textId="77777777" w:rsidR="00900F7C" w:rsidRPr="004C3C90" w:rsidRDefault="00900F7C" w:rsidP="00B012A8">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56" w:type="dxa"/>
            <w:tcBorders>
              <w:top w:val="nil"/>
              <w:left w:val="nil"/>
              <w:bottom w:val="dotted" w:sz="4" w:space="0" w:color="000000"/>
              <w:right w:val="nil"/>
            </w:tcBorders>
            <w:shd w:val="clear" w:color="auto" w:fill="auto"/>
            <w:vAlign w:val="center"/>
          </w:tcPr>
          <w:p w14:paraId="76B2600D"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4-3</w:t>
            </w:r>
          </w:p>
        </w:tc>
        <w:tc>
          <w:tcPr>
            <w:tcW w:w="5387" w:type="dxa"/>
            <w:tcBorders>
              <w:top w:val="nil"/>
              <w:left w:val="nil"/>
              <w:bottom w:val="dotted" w:sz="4" w:space="0" w:color="000000"/>
              <w:right w:val="nil"/>
            </w:tcBorders>
            <w:shd w:val="clear" w:color="auto" w:fill="auto"/>
            <w:vAlign w:val="center"/>
          </w:tcPr>
          <w:p w14:paraId="341BBA0D"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Case Report</w:t>
            </w:r>
          </w:p>
        </w:tc>
        <w:tc>
          <w:tcPr>
            <w:tcW w:w="1559" w:type="dxa"/>
            <w:tcBorders>
              <w:top w:val="nil"/>
              <w:left w:val="nil"/>
              <w:bottom w:val="dotted" w:sz="4" w:space="0" w:color="000000"/>
              <w:right w:val="nil"/>
            </w:tcBorders>
            <w:shd w:val="clear" w:color="auto" w:fill="auto"/>
            <w:vAlign w:val="center"/>
          </w:tcPr>
          <w:p w14:paraId="26BD4AC8"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(72)</w:t>
            </w:r>
          </w:p>
        </w:tc>
        <w:tc>
          <w:tcPr>
            <w:tcW w:w="1134" w:type="dxa"/>
            <w:tcBorders>
              <w:top w:val="nil"/>
              <w:left w:val="nil"/>
              <w:bottom w:val="dotted" w:sz="4" w:space="0" w:color="000000"/>
            </w:tcBorders>
            <w:shd w:val="clear" w:color="auto" w:fill="auto"/>
            <w:vAlign w:val="center"/>
          </w:tcPr>
          <w:p w14:paraId="46EAAE20" w14:textId="2C9E561D" w:rsidR="00900F7C" w:rsidRPr="004C3C90" w:rsidRDefault="00900F7C" w:rsidP="00B012A8">
            <w:pPr>
              <w:spacing w:line="276" w:lineRule="auto"/>
              <w:jc w:val="right"/>
              <w:rPr>
                <w:rFonts w:ascii="Times New Roman" w:eastAsia="Times New Roman" w:hAnsi="Times New Roman" w:cs="Times New Roman"/>
                <w:sz w:val="20"/>
                <w:szCs w:val="20"/>
              </w:rPr>
            </w:pPr>
          </w:p>
        </w:tc>
      </w:tr>
      <w:tr w:rsidR="008C40C7" w:rsidRPr="004C3C90" w14:paraId="4332A23B" w14:textId="77777777" w:rsidTr="006A28A7">
        <w:trPr>
          <w:trHeight w:val="288"/>
        </w:trPr>
        <w:tc>
          <w:tcPr>
            <w:tcW w:w="720" w:type="dxa"/>
            <w:vMerge/>
            <w:tcBorders>
              <w:top w:val="nil"/>
              <w:bottom w:val="dotted" w:sz="4" w:space="0" w:color="000000"/>
              <w:right w:val="nil"/>
            </w:tcBorders>
            <w:shd w:val="clear" w:color="auto" w:fill="auto"/>
            <w:vAlign w:val="center"/>
          </w:tcPr>
          <w:p w14:paraId="53BDDEE2" w14:textId="77777777" w:rsidR="00900F7C" w:rsidRPr="004C3C90" w:rsidRDefault="00900F7C" w:rsidP="00B012A8">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56" w:type="dxa"/>
            <w:tcBorders>
              <w:top w:val="nil"/>
              <w:left w:val="nil"/>
              <w:bottom w:val="dotted" w:sz="4" w:space="0" w:color="000000"/>
              <w:right w:val="nil"/>
            </w:tcBorders>
            <w:shd w:val="clear" w:color="auto" w:fill="auto"/>
            <w:vAlign w:val="center"/>
          </w:tcPr>
          <w:p w14:paraId="361C58D9"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4-4</w:t>
            </w:r>
          </w:p>
        </w:tc>
        <w:tc>
          <w:tcPr>
            <w:tcW w:w="5387" w:type="dxa"/>
            <w:tcBorders>
              <w:top w:val="nil"/>
              <w:left w:val="nil"/>
              <w:bottom w:val="dotted" w:sz="4" w:space="0" w:color="000000"/>
              <w:right w:val="nil"/>
            </w:tcBorders>
            <w:shd w:val="clear" w:color="auto" w:fill="auto"/>
            <w:vAlign w:val="center"/>
          </w:tcPr>
          <w:p w14:paraId="78894103"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Paper</w:t>
            </w:r>
          </w:p>
        </w:tc>
        <w:tc>
          <w:tcPr>
            <w:tcW w:w="1559" w:type="dxa"/>
            <w:tcBorders>
              <w:top w:val="nil"/>
              <w:left w:val="nil"/>
              <w:bottom w:val="dotted" w:sz="4" w:space="0" w:color="000000"/>
              <w:right w:val="nil"/>
            </w:tcBorders>
            <w:shd w:val="clear" w:color="auto" w:fill="auto"/>
            <w:vAlign w:val="center"/>
          </w:tcPr>
          <w:p w14:paraId="44901B88"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(125)</w:t>
            </w:r>
          </w:p>
        </w:tc>
        <w:tc>
          <w:tcPr>
            <w:tcW w:w="1134" w:type="dxa"/>
            <w:tcBorders>
              <w:top w:val="nil"/>
              <w:left w:val="nil"/>
              <w:bottom w:val="dotted" w:sz="4" w:space="0" w:color="000000"/>
            </w:tcBorders>
            <w:shd w:val="clear" w:color="auto" w:fill="auto"/>
            <w:vAlign w:val="center"/>
          </w:tcPr>
          <w:p w14:paraId="677D0B98" w14:textId="515A5BD8" w:rsidR="00900F7C" w:rsidRPr="004C3C90" w:rsidRDefault="00900F7C" w:rsidP="00B012A8">
            <w:pPr>
              <w:spacing w:line="276" w:lineRule="auto"/>
              <w:jc w:val="right"/>
              <w:rPr>
                <w:rFonts w:ascii="Times New Roman" w:eastAsia="Times New Roman" w:hAnsi="Times New Roman" w:cs="Times New Roman"/>
                <w:sz w:val="20"/>
                <w:szCs w:val="20"/>
              </w:rPr>
            </w:pPr>
          </w:p>
        </w:tc>
      </w:tr>
      <w:tr w:rsidR="008C40C7" w:rsidRPr="004C3C90" w14:paraId="6AF59E30" w14:textId="77777777" w:rsidTr="006A28A7">
        <w:trPr>
          <w:trHeight w:val="288"/>
        </w:trPr>
        <w:tc>
          <w:tcPr>
            <w:tcW w:w="720" w:type="dxa"/>
            <w:vMerge/>
            <w:tcBorders>
              <w:top w:val="nil"/>
              <w:bottom w:val="dotted" w:sz="4" w:space="0" w:color="000000"/>
              <w:right w:val="nil"/>
            </w:tcBorders>
            <w:shd w:val="clear" w:color="auto" w:fill="auto"/>
            <w:vAlign w:val="center"/>
          </w:tcPr>
          <w:p w14:paraId="08868D60" w14:textId="77777777" w:rsidR="00900F7C" w:rsidRPr="004C3C90" w:rsidRDefault="00900F7C" w:rsidP="00B012A8">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56" w:type="dxa"/>
            <w:tcBorders>
              <w:top w:val="nil"/>
              <w:left w:val="nil"/>
              <w:bottom w:val="dotted" w:sz="4" w:space="0" w:color="000000"/>
              <w:right w:val="nil"/>
            </w:tcBorders>
            <w:shd w:val="clear" w:color="auto" w:fill="auto"/>
            <w:vAlign w:val="center"/>
          </w:tcPr>
          <w:p w14:paraId="2CEA4A7B"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4-5</w:t>
            </w:r>
          </w:p>
        </w:tc>
        <w:tc>
          <w:tcPr>
            <w:tcW w:w="5387" w:type="dxa"/>
            <w:tcBorders>
              <w:top w:val="nil"/>
              <w:left w:val="nil"/>
              <w:bottom w:val="dotted" w:sz="4" w:space="0" w:color="000000"/>
              <w:right w:val="nil"/>
            </w:tcBorders>
            <w:shd w:val="clear" w:color="auto" w:fill="auto"/>
            <w:vAlign w:val="center"/>
          </w:tcPr>
          <w:p w14:paraId="333829C6"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Book/Dissertation</w:t>
            </w:r>
          </w:p>
        </w:tc>
        <w:tc>
          <w:tcPr>
            <w:tcW w:w="1559" w:type="dxa"/>
            <w:tcBorders>
              <w:top w:val="nil"/>
              <w:left w:val="nil"/>
              <w:bottom w:val="dotted" w:sz="4" w:space="0" w:color="000000"/>
              <w:right w:val="nil"/>
            </w:tcBorders>
            <w:shd w:val="clear" w:color="auto" w:fill="auto"/>
            <w:vAlign w:val="center"/>
          </w:tcPr>
          <w:p w14:paraId="0CA769A6"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1134" w:type="dxa"/>
            <w:tcBorders>
              <w:top w:val="nil"/>
              <w:left w:val="nil"/>
              <w:bottom w:val="dotted" w:sz="4" w:space="0" w:color="000000"/>
            </w:tcBorders>
            <w:shd w:val="clear" w:color="auto" w:fill="auto"/>
            <w:vAlign w:val="center"/>
          </w:tcPr>
          <w:p w14:paraId="0D8CBB2E" w14:textId="128247FC" w:rsidR="00900F7C" w:rsidRPr="004C3C90" w:rsidRDefault="00900F7C" w:rsidP="00B012A8">
            <w:pPr>
              <w:spacing w:line="276" w:lineRule="auto"/>
              <w:jc w:val="right"/>
              <w:rPr>
                <w:rFonts w:ascii="Times New Roman" w:eastAsia="Times New Roman" w:hAnsi="Times New Roman" w:cs="Times New Roman"/>
                <w:sz w:val="20"/>
                <w:szCs w:val="20"/>
              </w:rPr>
            </w:pPr>
          </w:p>
        </w:tc>
      </w:tr>
      <w:tr w:rsidR="008C40C7" w:rsidRPr="004C3C90" w14:paraId="08C652D1" w14:textId="77777777" w:rsidTr="006A28A7">
        <w:trPr>
          <w:trHeight w:val="288"/>
        </w:trPr>
        <w:tc>
          <w:tcPr>
            <w:tcW w:w="720" w:type="dxa"/>
            <w:tcBorders>
              <w:top w:val="nil"/>
              <w:bottom w:val="dotted" w:sz="4" w:space="0" w:color="000000"/>
              <w:right w:val="nil"/>
            </w:tcBorders>
            <w:shd w:val="clear" w:color="auto" w:fill="auto"/>
            <w:vAlign w:val="center"/>
          </w:tcPr>
          <w:p w14:paraId="6BC28667"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5943" w:type="dxa"/>
            <w:gridSpan w:val="2"/>
            <w:tcBorders>
              <w:top w:val="dotted" w:sz="4" w:space="0" w:color="000000"/>
              <w:left w:val="nil"/>
              <w:bottom w:val="dotted" w:sz="4" w:space="0" w:color="000000"/>
              <w:right w:val="nil"/>
            </w:tcBorders>
            <w:shd w:val="clear" w:color="auto" w:fill="auto"/>
            <w:vAlign w:val="center"/>
          </w:tcPr>
          <w:p w14:paraId="20AB1E12"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Surveys aiming to establish clinical trial protocols</w:t>
            </w:r>
          </w:p>
        </w:tc>
        <w:tc>
          <w:tcPr>
            <w:tcW w:w="1559" w:type="dxa"/>
            <w:tcBorders>
              <w:top w:val="nil"/>
              <w:left w:val="nil"/>
              <w:bottom w:val="dotted" w:sz="4" w:space="0" w:color="000000"/>
              <w:right w:val="nil"/>
            </w:tcBorders>
            <w:shd w:val="clear" w:color="auto" w:fill="auto"/>
            <w:vAlign w:val="center"/>
          </w:tcPr>
          <w:p w14:paraId="5FAD6DBB"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101</w:t>
            </w:r>
          </w:p>
        </w:tc>
        <w:tc>
          <w:tcPr>
            <w:tcW w:w="1134" w:type="dxa"/>
            <w:tcBorders>
              <w:top w:val="nil"/>
              <w:left w:val="nil"/>
              <w:bottom w:val="dotted" w:sz="4" w:space="0" w:color="000000"/>
            </w:tcBorders>
            <w:shd w:val="clear" w:color="auto" w:fill="auto"/>
            <w:vAlign w:val="center"/>
          </w:tcPr>
          <w:p w14:paraId="1B578CEE"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(9.6)</w:t>
            </w:r>
          </w:p>
        </w:tc>
      </w:tr>
      <w:tr w:rsidR="008C40C7" w:rsidRPr="004C3C90" w14:paraId="452A9D21" w14:textId="77777777" w:rsidTr="006A28A7">
        <w:trPr>
          <w:trHeight w:val="288"/>
        </w:trPr>
        <w:tc>
          <w:tcPr>
            <w:tcW w:w="720" w:type="dxa"/>
            <w:tcBorders>
              <w:top w:val="nil"/>
              <w:bottom w:val="dotted" w:sz="4" w:space="0" w:color="000000"/>
              <w:right w:val="nil"/>
            </w:tcBorders>
            <w:shd w:val="clear" w:color="auto" w:fill="auto"/>
            <w:vAlign w:val="center"/>
          </w:tcPr>
          <w:p w14:paraId="3B63D2EC"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5943" w:type="dxa"/>
            <w:gridSpan w:val="2"/>
            <w:tcBorders>
              <w:top w:val="dotted" w:sz="4" w:space="0" w:color="000000"/>
              <w:left w:val="nil"/>
              <w:bottom w:val="dotted" w:sz="4" w:space="0" w:color="000000"/>
              <w:right w:val="nil"/>
            </w:tcBorders>
            <w:shd w:val="clear" w:color="auto" w:fill="auto"/>
            <w:vAlign w:val="center"/>
          </w:tcPr>
          <w:p w14:paraId="7F9F8E02"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Secondary data analysis studies</w:t>
            </w:r>
          </w:p>
        </w:tc>
        <w:tc>
          <w:tcPr>
            <w:tcW w:w="1559" w:type="dxa"/>
            <w:tcBorders>
              <w:top w:val="nil"/>
              <w:left w:val="nil"/>
              <w:bottom w:val="dotted" w:sz="4" w:space="0" w:color="000000"/>
              <w:right w:val="nil"/>
            </w:tcBorders>
            <w:shd w:val="clear" w:color="auto" w:fill="auto"/>
            <w:vAlign w:val="center"/>
          </w:tcPr>
          <w:p w14:paraId="2717E09C"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37</w:t>
            </w:r>
          </w:p>
        </w:tc>
        <w:tc>
          <w:tcPr>
            <w:tcW w:w="1134" w:type="dxa"/>
            <w:tcBorders>
              <w:top w:val="nil"/>
              <w:left w:val="nil"/>
              <w:bottom w:val="dotted" w:sz="4" w:space="0" w:color="000000"/>
            </w:tcBorders>
            <w:shd w:val="clear" w:color="auto" w:fill="auto"/>
            <w:vAlign w:val="center"/>
          </w:tcPr>
          <w:p w14:paraId="5A107A24"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(3.5)</w:t>
            </w:r>
          </w:p>
        </w:tc>
      </w:tr>
      <w:tr w:rsidR="008C40C7" w:rsidRPr="004C3C90" w14:paraId="6C0A2C2F" w14:textId="77777777" w:rsidTr="006A28A7">
        <w:trPr>
          <w:trHeight w:val="288"/>
        </w:trPr>
        <w:tc>
          <w:tcPr>
            <w:tcW w:w="720" w:type="dxa"/>
            <w:tcBorders>
              <w:top w:val="nil"/>
              <w:bottom w:val="dotted" w:sz="4" w:space="0" w:color="000000"/>
              <w:right w:val="nil"/>
            </w:tcBorders>
            <w:shd w:val="clear" w:color="auto" w:fill="auto"/>
            <w:vAlign w:val="center"/>
          </w:tcPr>
          <w:p w14:paraId="0EDAE3F7"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7</w:t>
            </w:r>
          </w:p>
        </w:tc>
        <w:tc>
          <w:tcPr>
            <w:tcW w:w="5943" w:type="dxa"/>
            <w:gridSpan w:val="2"/>
            <w:tcBorders>
              <w:top w:val="dotted" w:sz="4" w:space="0" w:color="000000"/>
              <w:left w:val="nil"/>
              <w:bottom w:val="dotted" w:sz="4" w:space="0" w:color="000000"/>
              <w:right w:val="nil"/>
            </w:tcBorders>
            <w:shd w:val="clear" w:color="auto" w:fill="auto"/>
            <w:vAlign w:val="center"/>
          </w:tcPr>
          <w:p w14:paraId="7E68408F"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Published before 2002</w:t>
            </w:r>
          </w:p>
        </w:tc>
        <w:tc>
          <w:tcPr>
            <w:tcW w:w="1559" w:type="dxa"/>
            <w:tcBorders>
              <w:top w:val="nil"/>
              <w:left w:val="nil"/>
              <w:bottom w:val="dotted" w:sz="4" w:space="0" w:color="000000"/>
              <w:right w:val="nil"/>
            </w:tcBorders>
            <w:shd w:val="clear" w:color="auto" w:fill="auto"/>
            <w:vAlign w:val="center"/>
          </w:tcPr>
          <w:p w14:paraId="0081B93F"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15</w:t>
            </w:r>
          </w:p>
        </w:tc>
        <w:tc>
          <w:tcPr>
            <w:tcW w:w="1134" w:type="dxa"/>
            <w:tcBorders>
              <w:top w:val="nil"/>
              <w:left w:val="nil"/>
              <w:bottom w:val="dotted" w:sz="4" w:space="0" w:color="000000"/>
            </w:tcBorders>
            <w:shd w:val="clear" w:color="auto" w:fill="auto"/>
            <w:vAlign w:val="center"/>
          </w:tcPr>
          <w:p w14:paraId="0BAC4CC7"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(1.4)</w:t>
            </w:r>
          </w:p>
        </w:tc>
      </w:tr>
      <w:tr w:rsidR="008C40C7" w:rsidRPr="004C3C90" w14:paraId="5A59D3D3" w14:textId="77777777" w:rsidTr="006A28A7">
        <w:trPr>
          <w:trHeight w:val="288"/>
        </w:trPr>
        <w:tc>
          <w:tcPr>
            <w:tcW w:w="720" w:type="dxa"/>
            <w:tcBorders>
              <w:top w:val="nil"/>
              <w:bottom w:val="single" w:sz="4" w:space="0" w:color="000000"/>
              <w:right w:val="nil"/>
            </w:tcBorders>
            <w:shd w:val="clear" w:color="auto" w:fill="auto"/>
            <w:vAlign w:val="center"/>
          </w:tcPr>
          <w:p w14:paraId="5D4DEDC3"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8</w:t>
            </w:r>
          </w:p>
        </w:tc>
        <w:tc>
          <w:tcPr>
            <w:tcW w:w="5943" w:type="dxa"/>
            <w:gridSpan w:val="2"/>
            <w:tcBorders>
              <w:top w:val="dotted" w:sz="4" w:space="0" w:color="000000"/>
              <w:left w:val="nil"/>
              <w:bottom w:val="single" w:sz="4" w:space="0" w:color="000000"/>
              <w:right w:val="nil"/>
            </w:tcBorders>
            <w:shd w:val="clear" w:color="auto" w:fill="auto"/>
            <w:vAlign w:val="center"/>
          </w:tcPr>
          <w:p w14:paraId="11A73C9E" w14:textId="77777777" w:rsidR="00900F7C" w:rsidRPr="004C3C90" w:rsidRDefault="00900F7C" w:rsidP="00B012A8">
            <w:pPr>
              <w:spacing w:line="276"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Full text unavailable</w:t>
            </w:r>
          </w:p>
        </w:tc>
        <w:tc>
          <w:tcPr>
            <w:tcW w:w="1559" w:type="dxa"/>
            <w:tcBorders>
              <w:top w:val="nil"/>
              <w:left w:val="nil"/>
              <w:bottom w:val="single" w:sz="4" w:space="0" w:color="000000"/>
              <w:right w:val="nil"/>
            </w:tcBorders>
            <w:shd w:val="clear" w:color="auto" w:fill="auto"/>
            <w:vAlign w:val="center"/>
          </w:tcPr>
          <w:p w14:paraId="57CD26A7"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1134" w:type="dxa"/>
            <w:tcBorders>
              <w:top w:val="nil"/>
              <w:left w:val="nil"/>
              <w:bottom w:val="single" w:sz="4" w:space="0" w:color="000000"/>
            </w:tcBorders>
            <w:shd w:val="clear" w:color="auto" w:fill="auto"/>
            <w:vAlign w:val="center"/>
          </w:tcPr>
          <w:p w14:paraId="7450C9C7"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(0.5)</w:t>
            </w:r>
          </w:p>
        </w:tc>
      </w:tr>
      <w:tr w:rsidR="008C40C7" w:rsidRPr="004C3C90" w14:paraId="6290BDB4" w14:textId="77777777" w:rsidTr="006A28A7">
        <w:trPr>
          <w:trHeight w:val="288"/>
        </w:trPr>
        <w:tc>
          <w:tcPr>
            <w:tcW w:w="6663" w:type="dxa"/>
            <w:gridSpan w:val="3"/>
            <w:tcBorders>
              <w:top w:val="single" w:sz="4" w:space="0" w:color="000000"/>
              <w:bottom w:val="single" w:sz="8" w:space="0" w:color="000000"/>
              <w:right w:val="nil"/>
            </w:tcBorders>
            <w:shd w:val="clear" w:color="auto" w:fill="auto"/>
            <w:vAlign w:val="center"/>
          </w:tcPr>
          <w:p w14:paraId="43201B4C" w14:textId="77777777" w:rsidR="00900F7C" w:rsidRPr="004C3C90" w:rsidRDefault="00900F7C" w:rsidP="00B012A8">
            <w:pPr>
              <w:spacing w:line="276" w:lineRule="auto"/>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Total</w:t>
            </w:r>
          </w:p>
        </w:tc>
        <w:tc>
          <w:tcPr>
            <w:tcW w:w="1559" w:type="dxa"/>
            <w:tcBorders>
              <w:top w:val="nil"/>
              <w:left w:val="nil"/>
              <w:bottom w:val="single" w:sz="8" w:space="0" w:color="000000"/>
              <w:right w:val="nil"/>
            </w:tcBorders>
            <w:shd w:val="clear" w:color="auto" w:fill="auto"/>
            <w:vAlign w:val="center"/>
          </w:tcPr>
          <w:p w14:paraId="41C3FDB0" w14:textId="77777777" w:rsidR="00900F7C" w:rsidRPr="004C3C90" w:rsidRDefault="00900F7C" w:rsidP="00B012A8">
            <w:pPr>
              <w:spacing w:line="276" w:lineRule="auto"/>
              <w:jc w:val="right"/>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1,047</w:t>
            </w:r>
          </w:p>
        </w:tc>
        <w:tc>
          <w:tcPr>
            <w:tcW w:w="1134" w:type="dxa"/>
            <w:tcBorders>
              <w:top w:val="nil"/>
              <w:left w:val="nil"/>
              <w:bottom w:val="single" w:sz="8" w:space="0" w:color="000000"/>
            </w:tcBorders>
            <w:shd w:val="clear" w:color="auto" w:fill="auto"/>
            <w:vAlign w:val="center"/>
          </w:tcPr>
          <w:p w14:paraId="16E822EE" w14:textId="77777777" w:rsidR="00900F7C" w:rsidRPr="004C3C90" w:rsidRDefault="00900F7C" w:rsidP="00B012A8">
            <w:pPr>
              <w:spacing w:line="276" w:lineRule="auto"/>
              <w:jc w:val="right"/>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(100.0)</w:t>
            </w:r>
          </w:p>
        </w:tc>
      </w:tr>
    </w:tbl>
    <w:p w14:paraId="3952D9F2" w14:textId="77777777" w:rsidR="00334911" w:rsidRPr="004C3C90" w:rsidRDefault="00334911" w:rsidP="00900F7C">
      <w:pPr>
        <w:rPr>
          <w:rFonts w:ascii="Times New Roman" w:hAnsi="Times New Roman" w:cs="Times New Roman"/>
          <w:sz w:val="20"/>
          <w:szCs w:val="20"/>
        </w:rPr>
      </w:pPr>
    </w:p>
    <w:p w14:paraId="65CA99E6" w14:textId="643DFE54" w:rsidR="00900F7C" w:rsidRPr="004C3C90" w:rsidRDefault="00900F7C" w:rsidP="00900F7C">
      <w:pPr>
        <w:rPr>
          <w:rFonts w:ascii="Times New Roman" w:hAnsi="Times New Roman" w:cs="Times New Roman"/>
          <w:sz w:val="20"/>
          <w:szCs w:val="20"/>
        </w:rPr>
      </w:pPr>
      <w:r w:rsidRPr="004C3C90">
        <w:rPr>
          <w:rFonts w:ascii="Times New Roman" w:hAnsi="Times New Roman" w:cs="Times New Roman"/>
          <w:sz w:val="20"/>
          <w:szCs w:val="20"/>
        </w:rPr>
        <w:br w:type="page"/>
      </w:r>
    </w:p>
    <w:p w14:paraId="16197DBA" w14:textId="77777777" w:rsidR="00900F7C" w:rsidRPr="004C3C90" w:rsidRDefault="00900F7C" w:rsidP="00900F7C">
      <w:pPr>
        <w:rPr>
          <w:rFonts w:ascii="Times New Roman" w:hAnsi="Times New Roman" w:cs="Times New Roman"/>
          <w:sz w:val="20"/>
          <w:szCs w:val="20"/>
        </w:rPr>
        <w:sectPr w:rsidR="00900F7C" w:rsidRPr="004C3C90" w:rsidSect="00EE50CE">
          <w:pgSz w:w="12240" w:h="15840"/>
          <w:pgMar w:top="1440" w:right="1440" w:bottom="1440" w:left="1440" w:header="720" w:footer="720" w:gutter="0"/>
          <w:cols w:space="720"/>
          <w:docGrid w:linePitch="326"/>
        </w:sectPr>
      </w:pPr>
    </w:p>
    <w:p w14:paraId="5D4EEC5D" w14:textId="3B8FCAAD" w:rsidR="00EB2C84" w:rsidRPr="004C3C90" w:rsidRDefault="00E1479D" w:rsidP="002F2419">
      <w:pPr>
        <w:spacing w:line="480" w:lineRule="auto"/>
        <w:jc w:val="both"/>
        <w:rPr>
          <w:rFonts w:ascii="Times New Roman" w:hAnsi="Times New Roman" w:cs="Times New Roman"/>
          <w:b/>
          <w:sz w:val="20"/>
          <w:szCs w:val="20"/>
        </w:rPr>
      </w:pPr>
      <w:r w:rsidRPr="004C3C90">
        <w:rPr>
          <w:rFonts w:ascii="Times New Roman" w:hAnsi="Times New Roman" w:cs="Times New Roman"/>
          <w:b/>
          <w:iCs/>
          <w:sz w:val="20"/>
          <w:szCs w:val="20"/>
        </w:rPr>
        <w:lastRenderedPageBreak/>
        <w:t xml:space="preserve">Supplementary </w:t>
      </w:r>
      <w:r w:rsidR="00227049" w:rsidRPr="004C3C90">
        <w:rPr>
          <w:rFonts w:ascii="Times New Roman" w:hAnsi="Times New Roman" w:cs="Times New Roman"/>
          <w:b/>
          <w:iCs/>
          <w:sz w:val="20"/>
          <w:szCs w:val="20"/>
        </w:rPr>
        <w:t>t</w:t>
      </w:r>
      <w:r w:rsidRPr="004C3C90">
        <w:rPr>
          <w:rFonts w:ascii="Times New Roman" w:hAnsi="Times New Roman" w:cs="Times New Roman"/>
          <w:b/>
          <w:iCs/>
          <w:sz w:val="20"/>
          <w:szCs w:val="20"/>
        </w:rPr>
        <w:t>able 3</w:t>
      </w:r>
      <w:r w:rsidR="00EB2C84" w:rsidRPr="004C3C90">
        <w:rPr>
          <w:rFonts w:ascii="Times New Roman" w:hAnsi="Times New Roman" w:cs="Times New Roman"/>
          <w:b/>
          <w:iCs/>
          <w:sz w:val="20"/>
          <w:szCs w:val="20"/>
        </w:rPr>
        <w:t>.</w:t>
      </w:r>
      <w:r w:rsidR="00EB2C84" w:rsidRPr="004C3C90">
        <w:rPr>
          <w:rFonts w:ascii="Times New Roman" w:hAnsi="Times New Roman" w:cs="Times New Roman"/>
          <w:b/>
          <w:sz w:val="20"/>
          <w:szCs w:val="20"/>
        </w:rPr>
        <w:t xml:space="preserve"> Study locations</w:t>
      </w:r>
    </w:p>
    <w:tbl>
      <w:tblPr>
        <w:tblOverlap w:val="never"/>
        <w:tblW w:w="9353" w:type="dxa"/>
        <w:tblInd w:w="-3" w:type="dxa"/>
        <w:tblLayout w:type="fixed"/>
        <w:tblCellMar>
          <w:left w:w="74" w:type="dxa"/>
          <w:right w:w="74" w:type="dxa"/>
        </w:tblCellMar>
        <w:tblLook w:val="04A0" w:firstRow="1" w:lastRow="0" w:firstColumn="1" w:lastColumn="0" w:noHBand="0" w:noVBand="1"/>
      </w:tblPr>
      <w:tblGrid>
        <w:gridCol w:w="993"/>
        <w:gridCol w:w="2268"/>
        <w:gridCol w:w="1556"/>
        <w:gridCol w:w="4536"/>
      </w:tblGrid>
      <w:tr w:rsidR="00B012A8" w:rsidRPr="004C3C90" w14:paraId="033A50AB"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7CE8926" w14:textId="5A0C65CD" w:rsidR="00B012A8" w:rsidRPr="004C3C90" w:rsidRDefault="00B012A8" w:rsidP="00B012A8">
            <w:pPr>
              <w:spacing w:line="276" w:lineRule="auto"/>
              <w:jc w:val="center"/>
              <w:textAlignment w:val="center"/>
              <w:rPr>
                <w:rFonts w:ascii="Times New Roman" w:eastAsia="맑은 고딕" w:hAnsi="Times New Roman" w:cs="Times New Roman"/>
                <w:b/>
                <w:bCs/>
                <w:sz w:val="20"/>
                <w:szCs w:val="20"/>
              </w:rPr>
            </w:pPr>
            <w:r w:rsidRPr="004C3C90">
              <w:rPr>
                <w:rFonts w:ascii="Times New Roman" w:eastAsia="맑은 고딕" w:hAnsi="Times New Roman" w:cs="Times New Roman"/>
                <w:b/>
                <w:bCs/>
                <w:sz w:val="20"/>
                <w:szCs w:val="20"/>
              </w:rPr>
              <w:t xml:space="preserve">Article </w:t>
            </w:r>
            <w:r w:rsidR="00915F50" w:rsidRPr="004C3C90">
              <w:rPr>
                <w:rFonts w:ascii="Times New Roman" w:eastAsia="맑은 고딕" w:hAnsi="Times New Roman" w:cs="Times New Roman"/>
                <w:b/>
                <w:bCs/>
                <w:sz w:val="20"/>
                <w:szCs w:val="20"/>
              </w:rPr>
              <w:t>#</w:t>
            </w:r>
          </w:p>
        </w:tc>
        <w:tc>
          <w:tcPr>
            <w:tcW w:w="3824" w:type="dxa"/>
            <w:gridSpan w:val="2"/>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0F0085C" w14:textId="3F68BA9E" w:rsidR="00B012A8" w:rsidRPr="004C3C90" w:rsidRDefault="00B012A8" w:rsidP="00B012A8">
            <w:pPr>
              <w:spacing w:line="276" w:lineRule="auto"/>
              <w:jc w:val="center"/>
              <w:textAlignment w:val="center"/>
              <w:rPr>
                <w:rFonts w:ascii="Times New Roman" w:eastAsia="맑은 고딕" w:hAnsi="Times New Roman" w:cs="Times New Roman"/>
                <w:b/>
                <w:sz w:val="20"/>
                <w:szCs w:val="20"/>
              </w:rPr>
            </w:pPr>
            <w:r w:rsidRPr="004C3C90">
              <w:rPr>
                <w:rFonts w:ascii="Times New Roman" w:eastAsia="맑은 고딕" w:hAnsi="Times New Roman" w:cs="Times New Roman"/>
                <w:b/>
                <w:sz w:val="20"/>
                <w:szCs w:val="20"/>
              </w:rPr>
              <w:t>Continent</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37D9142" w14:textId="77777777" w:rsidR="00B012A8" w:rsidRPr="004C3C90" w:rsidRDefault="00B012A8" w:rsidP="00B012A8">
            <w:pPr>
              <w:spacing w:line="276" w:lineRule="auto"/>
              <w:jc w:val="center"/>
              <w:textAlignment w:val="center"/>
              <w:rPr>
                <w:rFonts w:ascii="Times New Roman" w:eastAsia="맑은 고딕" w:hAnsi="Times New Roman" w:cs="Times New Roman"/>
                <w:b/>
                <w:sz w:val="20"/>
                <w:szCs w:val="20"/>
              </w:rPr>
            </w:pPr>
            <w:r w:rsidRPr="004C3C90">
              <w:rPr>
                <w:rFonts w:ascii="Times New Roman" w:eastAsia="맑은 고딕" w:hAnsi="Times New Roman" w:cs="Times New Roman"/>
                <w:b/>
                <w:sz w:val="20"/>
                <w:szCs w:val="20"/>
              </w:rPr>
              <w:t>Countries</w:t>
            </w:r>
          </w:p>
        </w:tc>
      </w:tr>
      <w:tr w:rsidR="000B1324" w:rsidRPr="004C3C90" w14:paraId="65416457"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F3572BB" w14:textId="6BD0FB22"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w:t>
            </w:r>
            <w:r w:rsidR="00AD03D1" w:rsidRPr="004C3C90">
              <w:rPr>
                <w:rFonts w:ascii="Times New Roman" w:eastAsia="맑은 고딕" w:hAnsi="Times New Roman" w:cs="Times New Roman"/>
                <w:bCs/>
                <w:sz w:val="20"/>
                <w:szCs w:val="20"/>
              </w:rPr>
              <w:t>*</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07F5C21"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Africa+Asia+Europe+Oceania+North America+South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0FE59FE" w14:textId="77777777" w:rsidR="00EB2C84" w:rsidRPr="004C3C90" w:rsidRDefault="00EB2C84" w:rsidP="00B012A8">
            <w:pPr>
              <w:spacing w:line="276" w:lineRule="auto"/>
              <w:ind w:left="141" w:right="132"/>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C1+C2+C3+C4+C5+C6</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8CF56CB" w14:textId="08B580E0"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Canada, US</w:t>
            </w:r>
          </w:p>
        </w:tc>
      </w:tr>
      <w:tr w:rsidR="000B1324" w:rsidRPr="004C3C90" w14:paraId="4F05F2E3"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8B33918"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72</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EA21F3E"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Africa+Asia+Europe+Oceania+North America+South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C9558FB" w14:textId="77777777" w:rsidR="00EB2C84" w:rsidRPr="004C3C90" w:rsidRDefault="00EB2C84" w:rsidP="00B012A8">
            <w:pPr>
              <w:spacing w:line="276" w:lineRule="auto"/>
              <w:ind w:left="141" w:right="132"/>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C1+C2+C3+C4+C5+C6</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883454A" w14:textId="677A57F3"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Belgium, Denmark</w:t>
            </w:r>
            <w:r w:rsidR="005655CD" w:rsidRPr="004C3C90">
              <w:rPr>
                <w:rFonts w:ascii="Times New Roman" w:eastAsia="맑은 고딕" w:hAnsi="Times New Roman" w:cs="Times New Roman"/>
                <w:sz w:val="20"/>
                <w:szCs w:val="20"/>
              </w:rPr>
              <w:t xml:space="preserve">, </w:t>
            </w:r>
            <w:r w:rsidRPr="004C3C90">
              <w:rPr>
                <w:rFonts w:ascii="Times New Roman" w:eastAsia="맑은 고딕" w:hAnsi="Times New Roman" w:cs="Times New Roman"/>
                <w:sz w:val="20"/>
                <w:szCs w:val="20"/>
              </w:rPr>
              <w:t>France</w:t>
            </w:r>
            <w:r w:rsidR="005655CD" w:rsidRPr="004C3C90">
              <w:rPr>
                <w:rFonts w:ascii="Times New Roman" w:eastAsia="맑은 고딕" w:hAnsi="Times New Roman" w:cs="Times New Roman"/>
                <w:sz w:val="20"/>
                <w:szCs w:val="20"/>
              </w:rPr>
              <w:t xml:space="preserve">, </w:t>
            </w:r>
            <w:r w:rsidRPr="004C3C90">
              <w:rPr>
                <w:rFonts w:ascii="Times New Roman" w:eastAsia="맑은 고딕" w:hAnsi="Times New Roman" w:cs="Times New Roman"/>
                <w:sz w:val="20"/>
                <w:szCs w:val="20"/>
              </w:rPr>
              <w:t>Germany</w:t>
            </w:r>
            <w:r w:rsidR="005655CD" w:rsidRPr="004C3C90">
              <w:rPr>
                <w:rFonts w:ascii="Times New Roman" w:eastAsia="맑은 고딕" w:hAnsi="Times New Roman" w:cs="Times New Roman"/>
                <w:sz w:val="20"/>
                <w:szCs w:val="20"/>
              </w:rPr>
              <w:t xml:space="preserve">, </w:t>
            </w:r>
            <w:r w:rsidRPr="004C3C90">
              <w:rPr>
                <w:rFonts w:ascii="Times New Roman" w:eastAsia="맑은 고딕" w:hAnsi="Times New Roman" w:cs="Times New Roman"/>
                <w:sz w:val="20"/>
                <w:szCs w:val="20"/>
              </w:rPr>
              <w:t>UK</w:t>
            </w:r>
            <w:r w:rsidR="005655CD" w:rsidRPr="004C3C90">
              <w:rPr>
                <w:rFonts w:ascii="Times New Roman" w:eastAsia="맑은 고딕" w:hAnsi="Times New Roman" w:cs="Times New Roman"/>
                <w:sz w:val="20"/>
                <w:szCs w:val="20"/>
              </w:rPr>
              <w:t xml:space="preserve">, </w:t>
            </w:r>
            <w:r w:rsidRPr="004C3C90">
              <w:rPr>
                <w:rFonts w:ascii="Times New Roman" w:eastAsia="맑은 고딕" w:hAnsi="Times New Roman" w:cs="Times New Roman"/>
                <w:sz w:val="20"/>
                <w:szCs w:val="20"/>
              </w:rPr>
              <w:t>US, Italy, Australia, Switzerland, Canada, Cyprus, Ireland, Greece, South Africa, Austria, Chile, Portugal, Qatar, Poland, Iran, Norway, Spain, Algeria</w:t>
            </w:r>
          </w:p>
        </w:tc>
      </w:tr>
      <w:tr w:rsidR="000B1324" w:rsidRPr="004C3C90" w14:paraId="14DB698B"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243C17D"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C6295C6"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Asia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D18C411" w14:textId="77777777" w:rsidR="00EB2C84" w:rsidRPr="004C3C90" w:rsidRDefault="00EB2C84" w:rsidP="00B012A8">
            <w:pPr>
              <w:spacing w:line="276" w:lineRule="auto"/>
              <w:ind w:left="141" w:right="132"/>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C3</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A2692D2"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China</w:t>
            </w:r>
          </w:p>
        </w:tc>
      </w:tr>
      <w:tr w:rsidR="000B1324" w:rsidRPr="004C3C90" w14:paraId="630743CE"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06CB883"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24</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5EF4A37"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Asia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7FEE48A" w14:textId="77777777" w:rsidR="00EB2C84" w:rsidRPr="004C3C90" w:rsidRDefault="00EB2C84" w:rsidP="00B012A8">
            <w:pPr>
              <w:spacing w:line="276" w:lineRule="auto"/>
              <w:ind w:left="141" w:right="132"/>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C3</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89263B1"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Japan</w:t>
            </w:r>
          </w:p>
        </w:tc>
      </w:tr>
      <w:tr w:rsidR="000B1324" w:rsidRPr="004C3C90" w14:paraId="568EA378"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8C1331E"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44</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6D2D45A"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Asia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1293AFE"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C3</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5C8E1E4"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China</w:t>
            </w:r>
          </w:p>
        </w:tc>
      </w:tr>
      <w:tr w:rsidR="000B1324" w:rsidRPr="004C3C90" w14:paraId="6A0060E3"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92222E9"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51</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DA22932"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Asia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1135A3B"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C3</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E792EAC"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Japan</w:t>
            </w:r>
          </w:p>
        </w:tc>
      </w:tr>
      <w:tr w:rsidR="000B1324" w:rsidRPr="004C3C90" w14:paraId="54EE652F"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B91D90E"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71</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540B9D7"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Asia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F263915"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C3</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868BB83"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China</w:t>
            </w:r>
          </w:p>
        </w:tc>
      </w:tr>
      <w:tr w:rsidR="000B1324" w:rsidRPr="004C3C90" w14:paraId="0D10B922"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8AC98AF"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90</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06A5EE4"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Asia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BC7518E"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C3</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89090D2"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South Korea</w:t>
            </w:r>
          </w:p>
        </w:tc>
      </w:tr>
      <w:tr w:rsidR="000B1324" w:rsidRPr="004C3C90" w14:paraId="12E285D6"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59B15F5"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108</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9A63238"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Asia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7E15C7F"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C3</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BA638EB"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China</w:t>
            </w:r>
          </w:p>
        </w:tc>
      </w:tr>
      <w:tr w:rsidR="000B1324" w:rsidRPr="004C3C90" w14:paraId="5F8C99FF"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7351CE4"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BA20881"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Asia+Europe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22D271D"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C1+C3</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9424CE4"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France, Italy, Netherlands, Slovakia, Spain, UK</w:t>
            </w:r>
          </w:p>
        </w:tc>
      </w:tr>
      <w:tr w:rsidR="000B1324" w:rsidRPr="004C3C90" w14:paraId="0C3704A5"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FFCBD4E"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25</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DF721DF"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Asia+Europe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CDB14E4"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C1+C3</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BBD6776"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Germany, Netherlands, Spain, Turkey</w:t>
            </w:r>
          </w:p>
        </w:tc>
      </w:tr>
      <w:tr w:rsidR="000B1324" w:rsidRPr="004C3C90" w14:paraId="0B81906E"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5B9DB33"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84</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61B0247"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Asia+Europe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53333F6"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C1+C3</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85D39DC"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France, Germany, Italy, Netherlands, Spain, Turkey, UK</w:t>
            </w:r>
          </w:p>
        </w:tc>
      </w:tr>
      <w:tr w:rsidR="000B1324" w:rsidRPr="004C3C90" w14:paraId="3A518256"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48E87D5" w14:textId="1E28152F"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23</w:t>
            </w:r>
            <w:r w:rsidR="00AD03D1" w:rsidRPr="004C3C90">
              <w:rPr>
                <w:rFonts w:ascii="Times New Roman" w:eastAsia="맑은 고딕" w:hAnsi="Times New Roman" w:cs="Times New Roman"/>
                <w:bCs/>
                <w:sz w:val="20"/>
                <w:szCs w:val="20"/>
              </w:rPr>
              <w:t>*</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AFDAEDF"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Asia+Europe+Oceania+North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12A9F91" w14:textId="4797D73A"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C1+C2+C3+</w:t>
            </w:r>
            <w:r w:rsidR="00D65588" w:rsidRPr="004C3C90">
              <w:rPr>
                <w:rFonts w:ascii="Times New Roman" w:eastAsia="맑은 고딕" w:hAnsi="Times New Roman" w:cs="Times New Roman"/>
                <w:sz w:val="20"/>
                <w:szCs w:val="20"/>
              </w:rPr>
              <w:br/>
            </w:r>
            <w:r w:rsidRPr="004C3C90">
              <w:rPr>
                <w:rFonts w:ascii="Times New Roman" w:eastAsia="맑은 고딕" w:hAnsi="Times New Roman" w:cs="Times New Roman"/>
                <w:sz w:val="20"/>
                <w:szCs w:val="20"/>
              </w:rPr>
              <w:t>C4</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B384F92" w14:textId="1C8B7151"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Australia, US</w:t>
            </w:r>
          </w:p>
        </w:tc>
      </w:tr>
      <w:tr w:rsidR="000B1324" w:rsidRPr="004C3C90" w14:paraId="2C6B43C4"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401DF1A"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96</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6D8DBB0"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Asia+Europe+South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870B05A"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C1+C3+C5</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62A3620"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Brazil, Colombia, Germany, Spain, Turkey, UK</w:t>
            </w:r>
          </w:p>
        </w:tc>
      </w:tr>
      <w:tr w:rsidR="000B1324" w:rsidRPr="004C3C90" w14:paraId="75AFD9CC"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A137D63"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12</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8BE07DF"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Asia+North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D40C5BC"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C2+C3</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8EEA153"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Malaysia, US</w:t>
            </w:r>
          </w:p>
        </w:tc>
      </w:tr>
      <w:tr w:rsidR="000B1324" w:rsidRPr="004C3C90" w14:paraId="20F5B8A7"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6434FA2"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F52E2AE"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Asia+Oceania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9CEE52E"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C3+C4</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13B09DA"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Australia, China, Hong Kong, India, Iran, Japan, Malaysia, Myanmar, New Zealand, Pakistan, Philippines, Singapore, South Korea, Taiwan, Thailand</w:t>
            </w:r>
          </w:p>
        </w:tc>
      </w:tr>
      <w:tr w:rsidR="000B1324" w:rsidRPr="004C3C90" w14:paraId="5FB7F91E"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DB9AAF3"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6DFDC4F"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51386BB"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924B171"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Italy</w:t>
            </w:r>
          </w:p>
        </w:tc>
      </w:tr>
      <w:tr w:rsidR="000B1324" w:rsidRPr="004C3C90" w14:paraId="566F4D02"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FDCCF2A"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5043AE0"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E537B31"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3A9DC24"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Spain</w:t>
            </w:r>
          </w:p>
        </w:tc>
      </w:tr>
      <w:tr w:rsidR="000B1324" w:rsidRPr="004C3C90" w14:paraId="1787DDBC"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6EA305A"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14DB260"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CC10A3A"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4B24EDB"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Spain</w:t>
            </w:r>
          </w:p>
        </w:tc>
      </w:tr>
      <w:tr w:rsidR="000B1324" w:rsidRPr="004C3C90" w14:paraId="427BC0F8"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2523549" w14:textId="639C5E7A"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w:t>
            </w:r>
            <w:r w:rsidR="005D0404" w:rsidRPr="004C3C90">
              <w:rPr>
                <w:rFonts w:ascii="Times New Roman" w:eastAsia="맑은 고딕" w:hAnsi="Times New Roman" w:cs="Times New Roman"/>
                <w:bCs/>
                <w:sz w:val="20"/>
                <w:szCs w:val="20"/>
              </w:rPr>
              <w:t>*</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6D31001"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A19D213"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B9D0955" w14:textId="77777777" w:rsidR="00EB2C84" w:rsidRPr="004C3C90" w:rsidRDefault="00EB2C84" w:rsidP="00B012A8">
            <w:pPr>
              <w:spacing w:line="276" w:lineRule="auto"/>
              <w:ind w:left="142" w:right="136"/>
              <w:textAlignment w:val="baseline"/>
              <w:rPr>
                <w:rFonts w:ascii="Times New Roman" w:eastAsia="굴림" w:hAnsi="Times New Roman" w:cs="Times New Roman"/>
                <w:sz w:val="20"/>
                <w:szCs w:val="20"/>
              </w:rPr>
            </w:pPr>
          </w:p>
        </w:tc>
      </w:tr>
      <w:tr w:rsidR="000B1324" w:rsidRPr="004C3C90" w14:paraId="77D630BF"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0A6C1B0"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8613D60"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57C6DCF"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18D6130"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Ireland</w:t>
            </w:r>
          </w:p>
        </w:tc>
      </w:tr>
      <w:tr w:rsidR="000B1324" w:rsidRPr="004C3C90" w14:paraId="73EB5C26"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F190612" w14:textId="600142E4"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13</w:t>
            </w:r>
            <w:r w:rsidR="005D0404" w:rsidRPr="004C3C90">
              <w:rPr>
                <w:rFonts w:ascii="Times New Roman" w:eastAsia="맑은 고딕" w:hAnsi="Times New Roman" w:cs="Times New Roman"/>
                <w:bCs/>
                <w:sz w:val="20"/>
                <w:szCs w:val="20"/>
              </w:rPr>
              <w:t>*</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E0AD5F4"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0BEBD64"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07497AB" w14:textId="77777777" w:rsidR="00EB2C84" w:rsidRPr="004C3C90" w:rsidRDefault="00EB2C84" w:rsidP="00B012A8">
            <w:pPr>
              <w:spacing w:line="276" w:lineRule="auto"/>
              <w:ind w:left="142" w:right="136"/>
              <w:textAlignment w:val="baseline"/>
              <w:rPr>
                <w:rFonts w:ascii="Times New Roman" w:eastAsia="굴림" w:hAnsi="Times New Roman" w:cs="Times New Roman"/>
                <w:sz w:val="20"/>
                <w:szCs w:val="20"/>
              </w:rPr>
            </w:pPr>
          </w:p>
        </w:tc>
      </w:tr>
      <w:tr w:rsidR="000B1324" w:rsidRPr="004C3C90" w14:paraId="62C3FC2B"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73B26A0"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15</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34595AE"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F8BE79D"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5413CBC"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UK</w:t>
            </w:r>
          </w:p>
        </w:tc>
      </w:tr>
      <w:tr w:rsidR="000B1324" w:rsidRPr="004C3C90" w14:paraId="79D9D1EB"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3ADF1D7"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16</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3236E05"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1407009"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016E848" w14:textId="4AD6EBAE" w:rsidR="00EB2C84" w:rsidRPr="004C3C90" w:rsidRDefault="008D5D7B"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Denmark, France, Germany, Netherlands, UK</w:t>
            </w:r>
          </w:p>
        </w:tc>
      </w:tr>
      <w:tr w:rsidR="000B1324" w:rsidRPr="004C3C90" w14:paraId="7752611D"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4571451"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19</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BB3294B"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343C8C2"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A79A241"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Norther Ireland</w:t>
            </w:r>
          </w:p>
        </w:tc>
      </w:tr>
      <w:tr w:rsidR="000B1324" w:rsidRPr="004C3C90" w14:paraId="49C333CA"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E649D02"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21</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4E818C9"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70BC6AA"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9D133F5"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Italy</w:t>
            </w:r>
          </w:p>
        </w:tc>
      </w:tr>
      <w:tr w:rsidR="000B1324" w:rsidRPr="004C3C90" w14:paraId="764E03F2"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0A6BAE6"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22</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75D06AF"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6D64E73"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68C7AC1"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UK</w:t>
            </w:r>
          </w:p>
        </w:tc>
      </w:tr>
      <w:tr w:rsidR="000B1324" w:rsidRPr="004C3C90" w14:paraId="79BBE58A"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9FA3FD8" w14:textId="0289C343"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27</w:t>
            </w:r>
            <w:r w:rsidR="005D0404" w:rsidRPr="004C3C90">
              <w:rPr>
                <w:rFonts w:ascii="Times New Roman" w:eastAsia="맑은 고딕" w:hAnsi="Times New Roman" w:cs="Times New Roman"/>
                <w:bCs/>
                <w:sz w:val="20"/>
                <w:szCs w:val="20"/>
              </w:rPr>
              <w:t>*</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0700EB9"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5F18D19"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EBED344" w14:textId="77777777" w:rsidR="00EB2C84" w:rsidRPr="004C3C90" w:rsidRDefault="00EB2C84" w:rsidP="00B012A8">
            <w:pPr>
              <w:spacing w:line="276" w:lineRule="auto"/>
              <w:ind w:left="142" w:right="136"/>
              <w:textAlignment w:val="baseline"/>
              <w:rPr>
                <w:rFonts w:ascii="Times New Roman" w:eastAsia="굴림" w:hAnsi="Times New Roman" w:cs="Times New Roman"/>
                <w:sz w:val="20"/>
                <w:szCs w:val="20"/>
              </w:rPr>
            </w:pPr>
          </w:p>
        </w:tc>
      </w:tr>
      <w:tr w:rsidR="000B1324" w:rsidRPr="004C3C90" w14:paraId="2D21EF55"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861D97E"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31</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CE18214"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24801CD"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F79C25A"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England, France, Germany, Italy, Spain</w:t>
            </w:r>
          </w:p>
        </w:tc>
      </w:tr>
      <w:tr w:rsidR="000B1324" w:rsidRPr="004C3C90" w14:paraId="4A5BB91F"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9E75471"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32</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A9F2E3F"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7BDED66"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C49129B"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Italy</w:t>
            </w:r>
          </w:p>
        </w:tc>
      </w:tr>
      <w:tr w:rsidR="000B1324" w:rsidRPr="004C3C90" w14:paraId="769433DE"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BD9BAFF"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33</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AE78F39"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06E353B"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EFCE2C3"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France</w:t>
            </w:r>
          </w:p>
        </w:tc>
      </w:tr>
      <w:tr w:rsidR="000B1324" w:rsidRPr="004C3C90" w14:paraId="31E9186C"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E96D48B"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34</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B64ACF0"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04B683B"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7EA486C"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Sweden</w:t>
            </w:r>
          </w:p>
        </w:tc>
      </w:tr>
      <w:tr w:rsidR="000B1324" w:rsidRPr="004C3C90" w14:paraId="74C93B3E"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65AC21F"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lastRenderedPageBreak/>
              <w:t>42</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2D605C3"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7A7F644"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19F3BE3"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Norway</w:t>
            </w:r>
          </w:p>
        </w:tc>
      </w:tr>
      <w:tr w:rsidR="000B1324" w:rsidRPr="004C3C90" w14:paraId="048921F8"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6F2BA2C"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47</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8DD258B"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6F60D21"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8627757"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France</w:t>
            </w:r>
          </w:p>
        </w:tc>
      </w:tr>
      <w:tr w:rsidR="000B1324" w:rsidRPr="004C3C90" w14:paraId="30EB2526"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BE8E703"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49</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0F30F3E"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79C9D5C"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E4D921C"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Poland</w:t>
            </w:r>
          </w:p>
        </w:tc>
      </w:tr>
      <w:tr w:rsidR="000B1324" w:rsidRPr="004C3C90" w14:paraId="2B852C41"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7FCE8B6"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50</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C787A03"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4EDB482"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E32BCE2"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France, Norway</w:t>
            </w:r>
          </w:p>
        </w:tc>
      </w:tr>
      <w:tr w:rsidR="000B1324" w:rsidRPr="004C3C90" w14:paraId="62BD0A27"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EFF80B9"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52</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AF9FB26"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3248E4A"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C736A2D"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UK</w:t>
            </w:r>
          </w:p>
        </w:tc>
      </w:tr>
      <w:tr w:rsidR="000B1324" w:rsidRPr="004C3C90" w14:paraId="0FAECBC0"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93B67CB"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53</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7098042"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28A2F94"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A50252C"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UK</w:t>
            </w:r>
          </w:p>
        </w:tc>
      </w:tr>
      <w:tr w:rsidR="000B1324" w:rsidRPr="004C3C90" w14:paraId="74386728"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FCB3228"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61</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1500537"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5E50345"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DBB444F"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France</w:t>
            </w:r>
          </w:p>
        </w:tc>
      </w:tr>
      <w:tr w:rsidR="000B1324" w:rsidRPr="004C3C90" w14:paraId="2879E24E"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2DA6F48"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62</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0EBD97A"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302D943"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F55C52B"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Sweden</w:t>
            </w:r>
          </w:p>
        </w:tc>
      </w:tr>
      <w:tr w:rsidR="000B1324" w:rsidRPr="004C3C90" w14:paraId="3175D8B1"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6EBA273"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65</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8C406FE"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34D29B9"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24663F8"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UK</w:t>
            </w:r>
          </w:p>
        </w:tc>
      </w:tr>
      <w:tr w:rsidR="000B1324" w:rsidRPr="004C3C90" w14:paraId="4AC15806"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106CF9A"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67</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D56FD7E"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D47AD9B"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1DBDD30"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France, Germany, Italy, Spain, UK</w:t>
            </w:r>
          </w:p>
        </w:tc>
      </w:tr>
      <w:tr w:rsidR="000B1324" w:rsidRPr="004C3C90" w14:paraId="6DBC99F2"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65AB2FF"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68</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091D228"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5380333"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0DF9DFC"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France</w:t>
            </w:r>
          </w:p>
        </w:tc>
      </w:tr>
      <w:tr w:rsidR="000B1324" w:rsidRPr="004C3C90" w14:paraId="3573BA15"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76ACB1A"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74</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6FE9DC1"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0F6D1F4"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7E13324"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Spain</w:t>
            </w:r>
          </w:p>
        </w:tc>
      </w:tr>
      <w:tr w:rsidR="000B1324" w:rsidRPr="004C3C90" w14:paraId="184D5342"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3B679FB"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75</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A7252C5"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EDE3F70"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F346681"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Belgium, France, Germany, Italy, Spain</w:t>
            </w:r>
          </w:p>
        </w:tc>
      </w:tr>
      <w:tr w:rsidR="000B1324" w:rsidRPr="004C3C90" w14:paraId="2C06027D"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97FD022"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76</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7609B4A"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0325827"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66C83B8"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UK</w:t>
            </w:r>
          </w:p>
        </w:tc>
      </w:tr>
      <w:tr w:rsidR="000B1324" w:rsidRPr="004C3C90" w14:paraId="5A17A440"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D9A32B3"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78</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F97ED33"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2736DDC"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14A4A78" w14:textId="0E23A0AC" w:rsidR="00EB2C84" w:rsidRPr="004C3C90" w:rsidRDefault="008D5D7B"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Bulgaria, France, Germany, Hungary, Italy, Spain, Sweden</w:t>
            </w:r>
          </w:p>
        </w:tc>
      </w:tr>
      <w:tr w:rsidR="000B1324" w:rsidRPr="004C3C90" w14:paraId="263562B8"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805101A"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86</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547A204"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81F54DC"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5075ADC"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Spain</w:t>
            </w:r>
          </w:p>
        </w:tc>
      </w:tr>
      <w:tr w:rsidR="000B1324" w:rsidRPr="004C3C90" w14:paraId="630DC2BC"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918FA8B"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89</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E508E32"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36BFCFC"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0D55440"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Portugal</w:t>
            </w:r>
          </w:p>
        </w:tc>
      </w:tr>
      <w:tr w:rsidR="000B1324" w:rsidRPr="004C3C90" w14:paraId="31771E2C"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1F49BF0"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91</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00F0068"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A8F74CB"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C804F83"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Cyprus</w:t>
            </w:r>
          </w:p>
        </w:tc>
      </w:tr>
      <w:tr w:rsidR="000B1324" w:rsidRPr="004C3C90" w14:paraId="4CE2E203"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1CD3FB2"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94</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A1174F7"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AC117C0"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CB8E982"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Bulgaria, Croatia, Denmark, France, Italy, Portugal, Romania, Spain</w:t>
            </w:r>
          </w:p>
        </w:tc>
      </w:tr>
      <w:tr w:rsidR="000B1324" w:rsidRPr="004C3C90" w14:paraId="3B760DED"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705795D"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97</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80DAA51"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F4BD4D7"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B314021"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Italy</w:t>
            </w:r>
          </w:p>
        </w:tc>
      </w:tr>
      <w:tr w:rsidR="000B1324" w:rsidRPr="004C3C90" w14:paraId="639BE9A6"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B011211"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99</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31EEF44"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4CDDC6B"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88DD11C"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Germany, Italy</w:t>
            </w:r>
          </w:p>
        </w:tc>
      </w:tr>
      <w:tr w:rsidR="000B1324" w:rsidRPr="004C3C90" w14:paraId="28C61CF7"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F5F7445"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102</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BFC7BA5"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0203717"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EEE5881"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UK</w:t>
            </w:r>
          </w:p>
        </w:tc>
      </w:tr>
      <w:tr w:rsidR="000B1324" w:rsidRPr="004C3C90" w14:paraId="5FA3FFCE"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351E9E0"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103</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8860E6B"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9E3E2C2"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67EF5AE"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Norway</w:t>
            </w:r>
          </w:p>
        </w:tc>
      </w:tr>
      <w:tr w:rsidR="000B1324" w:rsidRPr="004C3C90" w14:paraId="6B72D3DD"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1997BBF"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104</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82D162A"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4B849E9"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CF844C3"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Italy</w:t>
            </w:r>
          </w:p>
        </w:tc>
      </w:tr>
      <w:tr w:rsidR="000B1324" w:rsidRPr="004C3C90" w14:paraId="25B04C08"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F36BC1F"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107</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1DBCE65"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889F06D"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ED96979"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Germany</w:t>
            </w:r>
          </w:p>
        </w:tc>
      </w:tr>
      <w:tr w:rsidR="000B1324" w:rsidRPr="004C3C90" w14:paraId="3B34A288"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7619928"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110</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63D93F5"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36204BB"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25C54F8"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Norway</w:t>
            </w:r>
          </w:p>
        </w:tc>
      </w:tr>
      <w:tr w:rsidR="000B1324" w:rsidRPr="004C3C90" w14:paraId="3A12190E"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D4C1F95"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111</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C6491B7"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936D340"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75319D0"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UK</w:t>
            </w:r>
          </w:p>
        </w:tc>
      </w:tr>
      <w:tr w:rsidR="000B1324" w:rsidRPr="004C3C90" w14:paraId="6D53561E"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357F56A"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113</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06EE0B7"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8AF93F5"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2CC2926"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France</w:t>
            </w:r>
          </w:p>
        </w:tc>
      </w:tr>
      <w:tr w:rsidR="000B1324" w:rsidRPr="004C3C90" w14:paraId="29E26355"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11BA966"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114</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D3E7936"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0BCC736"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5333E1B"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Italy</w:t>
            </w:r>
          </w:p>
        </w:tc>
      </w:tr>
      <w:tr w:rsidR="000B1324" w:rsidRPr="004C3C90" w14:paraId="341156DA"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D097F54"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40</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066B659"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F6E3F7D"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3865901" w14:textId="5C094218" w:rsidR="00EB2C84" w:rsidRPr="004C3C90" w:rsidRDefault="008D5D7B"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France, Romania, UK, US</w:t>
            </w:r>
          </w:p>
        </w:tc>
      </w:tr>
      <w:tr w:rsidR="000B1324" w:rsidRPr="004C3C90" w14:paraId="221BC617"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83DBAB8"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100</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330F04D"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77F6A13"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E154C45"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UK, Canada, US</w:t>
            </w:r>
          </w:p>
        </w:tc>
      </w:tr>
      <w:tr w:rsidR="000B1324" w:rsidRPr="004C3C90" w14:paraId="4CE93F4D"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E8B1DB9"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18</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A0012FA"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Europe+Oceania+North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FE4F9AE"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C1+C2+C4</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E4B6187"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Australia, Canada, France, UK, US</w:t>
            </w:r>
          </w:p>
        </w:tc>
      </w:tr>
      <w:tr w:rsidR="000B1324" w:rsidRPr="004C3C90" w14:paraId="5009EA70"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B2E3CD9"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98</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7E11C70"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Europe+Oceania+North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20CB2BB"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C1+C2+C4</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C3172B2"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Australia, Italy, UK, USA</w:t>
            </w:r>
          </w:p>
        </w:tc>
      </w:tr>
      <w:tr w:rsidR="000B1324" w:rsidRPr="004C3C90" w14:paraId="0663734B"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7739804" w14:textId="01591638"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106</w:t>
            </w:r>
            <w:r w:rsidR="005D0404" w:rsidRPr="004C3C90">
              <w:rPr>
                <w:rFonts w:ascii="Times New Roman" w:eastAsia="맑은 고딕" w:hAnsi="Times New Roman" w:cs="Times New Roman"/>
                <w:bCs/>
                <w:sz w:val="20"/>
                <w:szCs w:val="20"/>
              </w:rPr>
              <w:t>*</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89B9651"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Europe+Oceania+North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3E25222"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C1+C2+C4</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C759860"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 Cadana, Europe, Australia</w:t>
            </w:r>
          </w:p>
        </w:tc>
      </w:tr>
      <w:tr w:rsidR="000B1324" w:rsidRPr="004C3C90" w14:paraId="3CF06F33"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04AC49C"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F656FA3"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1788753"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7EC3D16"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7B3DEEED"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EE6DB41"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11</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97643C0"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911EF66"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019DCF2"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46FACD7C"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203F117"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14</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C44AB57"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16DF3FC"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235DA0B"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3EE9108B"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EA9E0B2"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17</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61DCD8D"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0637F99"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42307A5"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45D2AC03"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E2C88E7"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20</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D8CC8AD"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CFB8EFA"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9A90FDE"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Canada</w:t>
            </w:r>
          </w:p>
        </w:tc>
      </w:tr>
      <w:tr w:rsidR="000B1324" w:rsidRPr="004C3C90" w14:paraId="6182F69B"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E1DCC4D"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26</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8337E51"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A81A2D3"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A503160"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2EE08610"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83B8421"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28</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E48CE71"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A24809E"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56716C0"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Canada, US</w:t>
            </w:r>
          </w:p>
        </w:tc>
      </w:tr>
      <w:tr w:rsidR="000B1324" w:rsidRPr="004C3C90" w14:paraId="4B831711"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683E422"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29</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CD3E1C4"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788E7F5"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A376DFB"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Canada</w:t>
            </w:r>
          </w:p>
        </w:tc>
      </w:tr>
      <w:tr w:rsidR="000B1324" w:rsidRPr="004C3C90" w14:paraId="73600D86"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F18BBB1"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30</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2E5714E"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738AEDA"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498C23B"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Canada, US</w:t>
            </w:r>
          </w:p>
        </w:tc>
      </w:tr>
      <w:tr w:rsidR="000B1324" w:rsidRPr="004C3C90" w14:paraId="3975FB28"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6F3C172"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lastRenderedPageBreak/>
              <w:t>35</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050FE52"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E394358"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5D9393F"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Canada</w:t>
            </w:r>
          </w:p>
        </w:tc>
      </w:tr>
      <w:tr w:rsidR="000B1324" w:rsidRPr="004C3C90" w14:paraId="01745AE9"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E30FC21"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36</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8456C95"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A636DDD"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37A9A0B"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4D0FD006"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7D057FC"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37</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ECC595B"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08CD233"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568B5B5"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1622EA56"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2AC45FA"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38</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60572D1"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A12A474"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83BB887"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47AE6307"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484B02B"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39</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167540A"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40FC51E"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C0A06AA"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6D19A9D2"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819D106"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43</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1747F9C"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D5078DC"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3396D0F"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4389234A"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C94C12C"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45</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1C36D68"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1490002"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891FC4E"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717366A3"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F1BA2D9"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46</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2435E49"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D84EF4F"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FDD8CE7"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035C65A5"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3356AA1"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54</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348A696"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52BAB52"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7585909"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75424DF6"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AB42756"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57</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C55D127"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345A6E0"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21FB3D1"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7A7213B2"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BB5CBEF"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58</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85D4326"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CE5F2E8"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CA4698C"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Canada</w:t>
            </w:r>
          </w:p>
        </w:tc>
      </w:tr>
      <w:tr w:rsidR="000B1324" w:rsidRPr="004C3C90" w14:paraId="4A144332"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56A8CFA"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59</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3AF094B"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D045E1C"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B9B262C"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7F5DC221"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662AD82"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60</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2A70DA0"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DC26BD9"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6B02A91"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Canada</w:t>
            </w:r>
          </w:p>
        </w:tc>
      </w:tr>
      <w:tr w:rsidR="000B1324" w:rsidRPr="004C3C90" w14:paraId="1C6E0710"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AED7ACD"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64</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38CEC68"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05614C5"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1678BE1"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714DACC5"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411BFDD"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66</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7FA4CF6"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86764BD"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1908BBE"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2F4C7C1E"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BE9FCF9"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69</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A9ABC96"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D41C86B"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FB2895C"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160EF13E"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44261BE"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70</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1AC7D82"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157A2A4"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A07532E"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2AE0C9F2"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6498FB8"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73</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F1B6886"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985BEFC"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AFCAF60"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06A685A1"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CB01B1D"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77</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B0CE4FA"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8B92290"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16FBCB1"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Canada</w:t>
            </w:r>
          </w:p>
        </w:tc>
      </w:tr>
      <w:tr w:rsidR="000B1324" w:rsidRPr="004C3C90" w14:paraId="33396C6C"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D613539"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79</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543AD56"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05DB015"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538E86D"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08B03C52"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D01485F"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81</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54235E2"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81A02FC"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8F135F7"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3B3A0FCF"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C06C55E"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82</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ACE8E19"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12E451A"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71DBF21"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7F54CC00"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D7D423B"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85</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9629699"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63811CC"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00F8B03"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Canada</w:t>
            </w:r>
          </w:p>
        </w:tc>
      </w:tr>
      <w:tr w:rsidR="000B1324" w:rsidRPr="004C3C90" w14:paraId="485C8557"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3231B00"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88</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4CFCAB5"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2A05765"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C45AF21"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5C8E9C8C"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0743A4B"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92</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5ED0100"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04C27DB"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4A1C1A4"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6B5DED6B"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6189D3E"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93</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955536D"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96E58C3"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94FF459"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5EDC1569"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D6A2214"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95</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BAA04A6"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48134AB"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BCE27DC"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179A25C1"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C2E4BF7"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105</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7250F02"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3BD961E"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B34E74C"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Canada, US</w:t>
            </w:r>
          </w:p>
        </w:tc>
      </w:tr>
      <w:tr w:rsidR="000B1324" w:rsidRPr="004C3C90" w14:paraId="6F9072E9"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FA71A1C"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109</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8A1521B"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FD7968B"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CB7504E"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64516A2B"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39545CA"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112</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0A314A6"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B5BFBF8"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2DE46DD"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53091D94"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262E451"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115</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6DDB218"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North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206252D"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C2</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0CCFCC1"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US</w:t>
            </w:r>
          </w:p>
        </w:tc>
      </w:tr>
      <w:tr w:rsidR="000B1324" w:rsidRPr="004C3C90" w14:paraId="06674352"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FC089B7"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48</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86FF358"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Oceania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9D743D9"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C4</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2529D3F"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Australia</w:t>
            </w:r>
          </w:p>
        </w:tc>
      </w:tr>
      <w:tr w:rsidR="000B1324" w:rsidRPr="004C3C90" w14:paraId="5F71D3B0"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28E5491"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55</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94F05DB"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Oceania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7A091D4"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C4</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60741BE"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Australia</w:t>
            </w:r>
          </w:p>
        </w:tc>
      </w:tr>
      <w:tr w:rsidR="000B1324" w:rsidRPr="004C3C90" w14:paraId="35010BDB"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CD2F396"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56</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3D78381"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Oceania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DDCC6AD"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C4</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9BEBA62"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Australia</w:t>
            </w:r>
          </w:p>
        </w:tc>
      </w:tr>
      <w:tr w:rsidR="000B1324" w:rsidRPr="004C3C90" w14:paraId="4440FC27"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430AAA0"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63</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A0E7C56"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Oceania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8C4E2A1"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C4</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4373034"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Australia</w:t>
            </w:r>
          </w:p>
        </w:tc>
      </w:tr>
      <w:tr w:rsidR="000B1324" w:rsidRPr="004C3C90" w14:paraId="27E9C0D1"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C164607"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80</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D89368F"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Oceania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3FEF8BF"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C4</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7998757"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Australia</w:t>
            </w:r>
          </w:p>
        </w:tc>
      </w:tr>
      <w:tr w:rsidR="000B1324" w:rsidRPr="004C3C90" w14:paraId="64404285"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D96CBD8"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83</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D1706F8"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Oceania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7732857"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C4</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7DF800D"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Australia, New Zealand</w:t>
            </w:r>
          </w:p>
        </w:tc>
      </w:tr>
      <w:tr w:rsidR="000B1324" w:rsidRPr="004C3C90" w14:paraId="197590DB"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044D351"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101</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B6B8C97"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Oceania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7FD3F3E"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C4</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97004D1"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Australia</w:t>
            </w:r>
          </w:p>
        </w:tc>
      </w:tr>
      <w:tr w:rsidR="000B1324" w:rsidRPr="004C3C90" w14:paraId="6451AAF2"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E42ED9C"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41</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78A26185"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South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8842215"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C5</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501C2F5C"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Brazil</w:t>
            </w:r>
          </w:p>
        </w:tc>
      </w:tr>
      <w:tr w:rsidR="000B1324" w:rsidRPr="004C3C90" w14:paraId="6F136E28" w14:textId="77777777" w:rsidTr="00D65588">
        <w:trPr>
          <w:trHeight w:val="2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C17ED8B" w14:textId="77777777" w:rsidR="00EB2C84" w:rsidRPr="004C3C90" w:rsidRDefault="00EB2C84" w:rsidP="00D65588">
            <w:pPr>
              <w:spacing w:line="276" w:lineRule="auto"/>
              <w:ind w:left="142"/>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87</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2D00A8FE" w14:textId="77777777" w:rsidR="00EB2C84" w:rsidRPr="004C3C90" w:rsidRDefault="00EB2C84" w:rsidP="00B012A8">
            <w:pPr>
              <w:spacing w:line="276" w:lineRule="auto"/>
              <w:ind w:left="141" w:right="133"/>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South America</w:t>
            </w:r>
          </w:p>
        </w:tc>
        <w:tc>
          <w:tcPr>
            <w:tcW w:w="155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0D5FD44B" w14:textId="77777777" w:rsidR="00EB2C84" w:rsidRPr="004C3C90" w:rsidRDefault="00EB2C84" w:rsidP="00B012A8">
            <w:pPr>
              <w:spacing w:line="276" w:lineRule="auto"/>
              <w:ind w:left="141"/>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C5</w:t>
            </w:r>
          </w:p>
        </w:tc>
        <w:tc>
          <w:tcPr>
            <w:tcW w:w="45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06007AE" w14:textId="77777777" w:rsidR="00EB2C84" w:rsidRPr="004C3C90" w:rsidRDefault="00EB2C84" w:rsidP="00B012A8">
            <w:pPr>
              <w:spacing w:line="276" w:lineRule="auto"/>
              <w:ind w:left="142" w:right="136"/>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Brazil</w:t>
            </w:r>
          </w:p>
        </w:tc>
      </w:tr>
    </w:tbl>
    <w:p w14:paraId="496B57B7" w14:textId="77777777" w:rsidR="00B012A8" w:rsidRPr="004C3C90" w:rsidRDefault="00B012A8" w:rsidP="00B012A8">
      <w:pPr>
        <w:spacing w:line="480" w:lineRule="auto"/>
        <w:rPr>
          <w:rFonts w:ascii="Times New Roman" w:hAnsi="Times New Roman" w:cs="Times New Roman"/>
          <w:sz w:val="20"/>
          <w:szCs w:val="20"/>
        </w:rPr>
      </w:pPr>
    </w:p>
    <w:p w14:paraId="5775ED77" w14:textId="402E4073" w:rsidR="00EB2C84" w:rsidRPr="004C3C90" w:rsidRDefault="00DA3370" w:rsidP="00B012A8">
      <w:pPr>
        <w:spacing w:line="480" w:lineRule="auto"/>
        <w:rPr>
          <w:rFonts w:ascii="Times New Roman" w:hAnsi="Times New Roman" w:cs="Times New Roman"/>
          <w:sz w:val="20"/>
          <w:szCs w:val="20"/>
        </w:rPr>
      </w:pPr>
      <w:r w:rsidRPr="004C3C90">
        <w:rPr>
          <w:rFonts w:ascii="Times New Roman" w:hAnsi="Times New Roman" w:cs="Times New Roman"/>
          <w:sz w:val="20"/>
          <w:szCs w:val="20"/>
        </w:rPr>
        <w:t xml:space="preserve">*Article 8, 9, 13, 23, 27, </w:t>
      </w:r>
      <w:r w:rsidR="005D0404" w:rsidRPr="004C3C90">
        <w:rPr>
          <w:rFonts w:ascii="Times New Roman" w:hAnsi="Times New Roman" w:cs="Times New Roman"/>
          <w:sz w:val="20"/>
          <w:szCs w:val="20"/>
        </w:rPr>
        <w:t xml:space="preserve">and </w:t>
      </w:r>
      <w:r w:rsidRPr="004C3C90">
        <w:rPr>
          <w:rFonts w:ascii="Times New Roman" w:hAnsi="Times New Roman" w:cs="Times New Roman"/>
          <w:sz w:val="20"/>
          <w:szCs w:val="20"/>
        </w:rPr>
        <w:t xml:space="preserve">106 did not </w:t>
      </w:r>
      <w:r w:rsidR="00AD03D1" w:rsidRPr="004C3C90">
        <w:rPr>
          <w:rFonts w:ascii="Times New Roman" w:hAnsi="Times New Roman" w:cs="Times New Roman"/>
          <w:sz w:val="20"/>
          <w:szCs w:val="20"/>
        </w:rPr>
        <w:t>identify</w:t>
      </w:r>
      <w:r w:rsidRPr="004C3C90">
        <w:rPr>
          <w:rFonts w:ascii="Times New Roman" w:hAnsi="Times New Roman" w:cs="Times New Roman"/>
          <w:sz w:val="20"/>
          <w:szCs w:val="20"/>
        </w:rPr>
        <w:t xml:space="preserve"> specific countries.  </w:t>
      </w:r>
      <w:r w:rsidR="00F52001" w:rsidRPr="004C3C90">
        <w:rPr>
          <w:rFonts w:ascii="Times New Roman" w:eastAsia="맑은 고딕" w:hAnsi="Times New Roman" w:cs="Times New Roman"/>
          <w:sz w:val="20"/>
          <w:szCs w:val="20"/>
        </w:rPr>
        <w:t xml:space="preserve">C1 is Europe, C2 is North America, C3 is Asia, C4 is Oceania, C5 is South America, C6 is Africa. </w:t>
      </w:r>
    </w:p>
    <w:p w14:paraId="6223CEA9" w14:textId="77777777" w:rsidR="00EB2C84" w:rsidRPr="004C3C90" w:rsidRDefault="00EB2C84" w:rsidP="00EB2C84">
      <w:pPr>
        <w:rPr>
          <w:rFonts w:ascii="Times New Roman" w:hAnsi="Times New Roman" w:cs="Times New Roman"/>
          <w:sz w:val="20"/>
          <w:szCs w:val="20"/>
        </w:rPr>
      </w:pPr>
      <w:r w:rsidRPr="004C3C90">
        <w:rPr>
          <w:rFonts w:ascii="Times New Roman" w:hAnsi="Times New Roman" w:cs="Times New Roman"/>
          <w:sz w:val="20"/>
          <w:szCs w:val="20"/>
        </w:rPr>
        <w:br w:type="page"/>
      </w:r>
    </w:p>
    <w:p w14:paraId="62986258" w14:textId="5A4B2DDC" w:rsidR="00272E6C" w:rsidRPr="004C3C90" w:rsidRDefault="00E1479D" w:rsidP="005D3E2A">
      <w:pPr>
        <w:spacing w:line="480" w:lineRule="auto"/>
        <w:rPr>
          <w:rFonts w:ascii="Times New Roman" w:hAnsi="Times New Roman" w:cs="Times New Roman"/>
          <w:b/>
          <w:sz w:val="20"/>
          <w:szCs w:val="20"/>
        </w:rPr>
      </w:pPr>
      <w:r w:rsidRPr="004C3C90">
        <w:rPr>
          <w:rFonts w:ascii="Times New Roman" w:hAnsi="Times New Roman" w:cs="Times New Roman"/>
          <w:b/>
          <w:iCs/>
          <w:sz w:val="20"/>
          <w:szCs w:val="20"/>
        </w:rPr>
        <w:lastRenderedPageBreak/>
        <w:t>Supplementary</w:t>
      </w:r>
      <w:r w:rsidR="00AD03D1" w:rsidRPr="004C3C90">
        <w:rPr>
          <w:rFonts w:ascii="Times New Roman" w:hAnsi="Times New Roman" w:cs="Times New Roman"/>
          <w:b/>
          <w:iCs/>
          <w:sz w:val="20"/>
          <w:szCs w:val="20"/>
        </w:rPr>
        <w:t xml:space="preserve"> t</w:t>
      </w:r>
      <w:r w:rsidRPr="004C3C90">
        <w:rPr>
          <w:rFonts w:ascii="Times New Roman" w:hAnsi="Times New Roman" w:cs="Times New Roman"/>
          <w:b/>
          <w:iCs/>
          <w:sz w:val="20"/>
          <w:szCs w:val="20"/>
        </w:rPr>
        <w:t>able 4</w:t>
      </w:r>
      <w:r w:rsidR="00EB2C84" w:rsidRPr="004C3C90">
        <w:rPr>
          <w:rFonts w:ascii="Times New Roman" w:hAnsi="Times New Roman" w:cs="Times New Roman"/>
          <w:b/>
          <w:iCs/>
          <w:sz w:val="20"/>
          <w:szCs w:val="20"/>
        </w:rPr>
        <w:t xml:space="preserve">. </w:t>
      </w:r>
      <w:r w:rsidR="00EB2C84" w:rsidRPr="004C3C90">
        <w:rPr>
          <w:rFonts w:ascii="Times New Roman" w:hAnsi="Times New Roman" w:cs="Times New Roman"/>
          <w:b/>
          <w:sz w:val="20"/>
          <w:szCs w:val="20"/>
        </w:rPr>
        <w:t xml:space="preserve">Stakeholders </w:t>
      </w:r>
      <w:r w:rsidR="00272E6C" w:rsidRPr="004C3C90">
        <w:rPr>
          <w:rFonts w:ascii="Times New Roman" w:hAnsi="Times New Roman" w:cs="Times New Roman"/>
          <w:b/>
          <w:sz w:val="20"/>
          <w:szCs w:val="20"/>
        </w:rPr>
        <w:t xml:space="preserve">and study topics </w:t>
      </w:r>
      <w:r w:rsidR="00EB2C84" w:rsidRPr="004C3C90">
        <w:rPr>
          <w:rFonts w:ascii="Times New Roman" w:hAnsi="Times New Roman" w:cs="Times New Roman"/>
          <w:b/>
          <w:sz w:val="20"/>
          <w:szCs w:val="20"/>
        </w:rPr>
        <w:t>of 1</w:t>
      </w:r>
      <w:r w:rsidR="00572C89" w:rsidRPr="004C3C90">
        <w:rPr>
          <w:rFonts w:ascii="Times New Roman" w:hAnsi="Times New Roman" w:cs="Times New Roman"/>
          <w:b/>
          <w:sz w:val="20"/>
          <w:szCs w:val="20"/>
        </w:rPr>
        <w:t>15 selected studies</w:t>
      </w:r>
    </w:p>
    <w:tbl>
      <w:tblPr>
        <w:tblOverlap w:val="never"/>
        <w:tblW w:w="9351" w:type="dxa"/>
        <w:tblCellMar>
          <w:top w:w="15" w:type="dxa"/>
          <w:left w:w="15" w:type="dxa"/>
          <w:bottom w:w="15" w:type="dxa"/>
          <w:right w:w="15" w:type="dxa"/>
        </w:tblCellMar>
        <w:tblLook w:val="04A0" w:firstRow="1" w:lastRow="0" w:firstColumn="1" w:lastColumn="0" w:noHBand="0" w:noVBand="1"/>
      </w:tblPr>
      <w:tblGrid>
        <w:gridCol w:w="988"/>
        <w:gridCol w:w="1198"/>
        <w:gridCol w:w="1909"/>
        <w:gridCol w:w="1721"/>
        <w:gridCol w:w="3535"/>
      </w:tblGrid>
      <w:tr w:rsidR="000B1324" w:rsidRPr="004C3C90" w14:paraId="5383E5C0" w14:textId="77777777" w:rsidTr="00D65588">
        <w:trPr>
          <w:trHeight w:val="20"/>
        </w:trPr>
        <w:tc>
          <w:tcPr>
            <w:tcW w:w="9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F639038" w14:textId="7870943B" w:rsidR="00540A1E" w:rsidRPr="004C3C90" w:rsidRDefault="00AD03D1" w:rsidP="002B411B">
            <w:pPr>
              <w:widowControl w:val="0"/>
              <w:autoSpaceDE w:val="0"/>
              <w:autoSpaceDN w:val="0"/>
              <w:spacing w:line="276" w:lineRule="auto"/>
              <w:ind w:left="132"/>
              <w:textAlignment w:val="center"/>
              <w:rPr>
                <w:rFonts w:ascii="Times New Roman" w:eastAsia="맑은 고딕" w:hAnsi="Times New Roman" w:cs="Times New Roman"/>
                <w:b/>
                <w:bCs/>
                <w:sz w:val="20"/>
                <w:szCs w:val="20"/>
                <w:lang w:val="en-US"/>
              </w:rPr>
            </w:pPr>
            <w:r w:rsidRPr="004C3C90">
              <w:rPr>
                <w:rFonts w:ascii="Times New Roman" w:eastAsia="맑은 고딕" w:hAnsi="Times New Roman" w:cs="Times New Roman"/>
                <w:b/>
                <w:bCs/>
                <w:sz w:val="20"/>
                <w:szCs w:val="20"/>
                <w:lang w:val="en-US"/>
              </w:rPr>
              <w:t xml:space="preserve">Article </w:t>
            </w:r>
            <w:r w:rsidR="00915F50" w:rsidRPr="004C3C90">
              <w:rPr>
                <w:rFonts w:ascii="Times New Roman" w:eastAsia="맑은 고딕" w:hAnsi="Times New Roman" w:cs="Times New Roman"/>
                <w:b/>
                <w:bCs/>
                <w:sz w:val="20"/>
                <w:szCs w:val="20"/>
                <w:lang w:val="en-US"/>
              </w:rPr>
              <w:t>#</w:t>
            </w:r>
          </w:p>
        </w:tc>
        <w:tc>
          <w:tcPr>
            <w:tcW w:w="11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9A095E7" w14:textId="075C2681" w:rsidR="00540A1E" w:rsidRPr="004C3C90" w:rsidRDefault="00540A1E" w:rsidP="002B411B">
            <w:pPr>
              <w:widowControl w:val="0"/>
              <w:autoSpaceDE w:val="0"/>
              <w:autoSpaceDN w:val="0"/>
              <w:spacing w:line="276" w:lineRule="auto"/>
              <w:ind w:left="144"/>
              <w:textAlignment w:val="center"/>
              <w:rPr>
                <w:rFonts w:ascii="Times New Roman" w:eastAsia="맑은 고딕" w:hAnsi="Times New Roman" w:cs="Times New Roman"/>
                <w:b/>
                <w:sz w:val="20"/>
                <w:szCs w:val="20"/>
                <w:lang w:val="en-US"/>
              </w:rPr>
            </w:pPr>
            <w:r w:rsidRPr="004C3C90">
              <w:rPr>
                <w:rFonts w:ascii="Times New Roman" w:eastAsia="맑은 고딕" w:hAnsi="Times New Roman" w:cs="Times New Roman"/>
                <w:b/>
                <w:sz w:val="20"/>
                <w:szCs w:val="20"/>
                <w:lang w:val="en-US"/>
              </w:rPr>
              <w:t>Subject group</w:t>
            </w:r>
          </w:p>
        </w:tc>
        <w:tc>
          <w:tcPr>
            <w:tcW w:w="19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A3856C" w14:textId="029077E0" w:rsidR="00540A1E" w:rsidRPr="004C3C90" w:rsidRDefault="00540A1E" w:rsidP="002B411B">
            <w:pPr>
              <w:widowControl w:val="0"/>
              <w:autoSpaceDE w:val="0"/>
              <w:autoSpaceDN w:val="0"/>
              <w:spacing w:line="276" w:lineRule="auto"/>
              <w:ind w:left="78"/>
              <w:textAlignment w:val="center"/>
              <w:rPr>
                <w:rFonts w:ascii="Times New Roman" w:eastAsia="맑은 고딕" w:hAnsi="Times New Roman" w:cs="Times New Roman"/>
                <w:b/>
                <w:sz w:val="20"/>
                <w:szCs w:val="20"/>
                <w:lang w:val="en-US"/>
              </w:rPr>
            </w:pPr>
            <w:r w:rsidRPr="004C3C90">
              <w:rPr>
                <w:rFonts w:ascii="Times New Roman" w:eastAsia="맑은 고딕" w:hAnsi="Times New Roman" w:cs="Times New Roman"/>
                <w:b/>
                <w:sz w:val="20"/>
                <w:szCs w:val="20"/>
                <w:lang w:val="en-US"/>
              </w:rPr>
              <w:t>Subject</w:t>
            </w:r>
          </w:p>
        </w:tc>
        <w:tc>
          <w:tcPr>
            <w:tcW w:w="17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DD5FF68" w14:textId="0041DF8F" w:rsidR="00540A1E" w:rsidRPr="004C3C90" w:rsidRDefault="002B411B" w:rsidP="002B411B">
            <w:pPr>
              <w:widowControl w:val="0"/>
              <w:autoSpaceDE w:val="0"/>
              <w:autoSpaceDN w:val="0"/>
              <w:spacing w:line="276" w:lineRule="auto"/>
              <w:ind w:left="153"/>
              <w:textAlignment w:val="center"/>
              <w:rPr>
                <w:rFonts w:ascii="Times New Roman" w:eastAsia="맑은 고딕" w:hAnsi="Times New Roman" w:cs="Times New Roman"/>
                <w:b/>
                <w:sz w:val="20"/>
                <w:szCs w:val="20"/>
                <w:lang w:val="en-US"/>
              </w:rPr>
            </w:pPr>
            <w:r w:rsidRPr="004C3C90">
              <w:rPr>
                <w:rFonts w:ascii="Times New Roman" w:eastAsia="맑은 고딕" w:hAnsi="Times New Roman" w:cs="Times New Roman"/>
                <w:b/>
                <w:sz w:val="20"/>
                <w:szCs w:val="20"/>
                <w:lang w:val="en-US"/>
              </w:rPr>
              <w:t>Key t</w:t>
            </w:r>
            <w:r w:rsidR="00540A1E" w:rsidRPr="004C3C90">
              <w:rPr>
                <w:rFonts w:ascii="Times New Roman" w:eastAsia="맑은 고딕" w:hAnsi="Times New Roman" w:cs="Times New Roman"/>
                <w:b/>
                <w:sz w:val="20"/>
                <w:szCs w:val="20"/>
                <w:lang w:val="en-US"/>
              </w:rPr>
              <w:t>opic</w:t>
            </w:r>
          </w:p>
        </w:tc>
        <w:tc>
          <w:tcPr>
            <w:tcW w:w="35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B3F327" w14:textId="5FFA90F0" w:rsidR="00540A1E" w:rsidRPr="004C3C90" w:rsidRDefault="00540A1E" w:rsidP="002B411B">
            <w:pPr>
              <w:widowControl w:val="0"/>
              <w:autoSpaceDE w:val="0"/>
              <w:autoSpaceDN w:val="0"/>
              <w:spacing w:line="276" w:lineRule="auto"/>
              <w:ind w:left="134"/>
              <w:textAlignment w:val="center"/>
              <w:rPr>
                <w:rFonts w:ascii="Times New Roman" w:eastAsia="맑은 고딕" w:hAnsi="Times New Roman" w:cs="Times New Roman"/>
                <w:b/>
                <w:sz w:val="20"/>
                <w:szCs w:val="20"/>
                <w:lang w:val="en-US"/>
              </w:rPr>
            </w:pPr>
            <w:r w:rsidRPr="004C3C90">
              <w:rPr>
                <w:rFonts w:ascii="Times New Roman" w:eastAsia="맑은 고딕" w:hAnsi="Times New Roman" w:cs="Times New Roman"/>
                <w:b/>
                <w:sz w:val="20"/>
                <w:szCs w:val="20"/>
                <w:lang w:val="en-US"/>
              </w:rPr>
              <w:t>Topic details</w:t>
            </w:r>
          </w:p>
        </w:tc>
      </w:tr>
      <w:tr w:rsidR="000B1324" w:rsidRPr="004C3C90" w14:paraId="24976F78" w14:textId="77777777" w:rsidTr="00AE5872">
        <w:trPr>
          <w:trHeight w:val="20"/>
        </w:trPr>
        <w:tc>
          <w:tcPr>
            <w:tcW w:w="988"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hideMark/>
          </w:tcPr>
          <w:p w14:paraId="2718533E"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18</w:t>
            </w:r>
          </w:p>
        </w:tc>
        <w:tc>
          <w:tcPr>
            <w:tcW w:w="1198" w:type="dxa"/>
            <w:tcBorders>
              <w:top w:val="single" w:sz="4" w:space="0" w:color="auto"/>
              <w:left w:val="nil"/>
              <w:bottom w:val="single" w:sz="4" w:space="0" w:color="000000"/>
              <w:right w:val="single" w:sz="4" w:space="0" w:color="000000"/>
            </w:tcBorders>
            <w:tcMar>
              <w:top w:w="0" w:type="dxa"/>
              <w:left w:w="0" w:type="dxa"/>
              <w:bottom w:w="0" w:type="dxa"/>
              <w:right w:w="0" w:type="dxa"/>
            </w:tcMar>
            <w:hideMark/>
          </w:tcPr>
          <w:p w14:paraId="6B3E3209"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single" w:sz="4" w:space="0" w:color="auto"/>
              <w:left w:val="nil"/>
              <w:bottom w:val="single" w:sz="4" w:space="0" w:color="000000"/>
              <w:right w:val="single" w:sz="4" w:space="0" w:color="000000"/>
            </w:tcBorders>
            <w:tcMar>
              <w:top w:w="0" w:type="dxa"/>
              <w:left w:w="0" w:type="dxa"/>
              <w:bottom w:w="0" w:type="dxa"/>
              <w:right w:w="0" w:type="dxa"/>
            </w:tcMar>
            <w:hideMark/>
          </w:tcPr>
          <w:p w14:paraId="4C126C2B"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Caregivers</w:t>
            </w:r>
          </w:p>
        </w:tc>
        <w:tc>
          <w:tcPr>
            <w:tcW w:w="1721" w:type="dxa"/>
            <w:tcBorders>
              <w:top w:val="single" w:sz="4" w:space="0" w:color="auto"/>
              <w:left w:val="nil"/>
              <w:bottom w:val="single" w:sz="4" w:space="0" w:color="000000"/>
              <w:right w:val="single" w:sz="4" w:space="0" w:color="000000"/>
            </w:tcBorders>
            <w:tcMar>
              <w:top w:w="0" w:type="dxa"/>
              <w:left w:w="0" w:type="dxa"/>
              <w:bottom w:w="0" w:type="dxa"/>
              <w:right w:w="0" w:type="dxa"/>
            </w:tcMar>
            <w:hideMark/>
          </w:tcPr>
          <w:p w14:paraId="382A77E2" w14:textId="77777777"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 xml:space="preserve">Experience </w:t>
            </w:r>
          </w:p>
        </w:tc>
        <w:tc>
          <w:tcPr>
            <w:tcW w:w="3535" w:type="dxa"/>
            <w:tcBorders>
              <w:top w:val="single" w:sz="4" w:space="0" w:color="auto"/>
              <w:left w:val="nil"/>
              <w:bottom w:val="single" w:sz="4" w:space="0" w:color="000000"/>
              <w:right w:val="single" w:sz="4" w:space="0" w:color="000000"/>
            </w:tcBorders>
            <w:tcMar>
              <w:top w:w="0" w:type="dxa"/>
              <w:left w:w="0" w:type="dxa"/>
              <w:bottom w:w="0" w:type="dxa"/>
              <w:right w:w="0" w:type="dxa"/>
            </w:tcMar>
          </w:tcPr>
          <w:p w14:paraId="5045E60D" w14:textId="27289B59"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p>
        </w:tc>
      </w:tr>
      <w:tr w:rsidR="000B1324" w:rsidRPr="004C3C90" w14:paraId="356280C4"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609C13E7"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25</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5EB45F6E"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48BDE8FC"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Caregivers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694F7736" w14:textId="386F5794"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289D4B67" w14:textId="045BDB8D" w:rsidR="00540A1E" w:rsidRPr="004C3C90" w:rsidRDefault="00D23A94"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iagnosis, burden of illness</w:t>
            </w:r>
          </w:p>
        </w:tc>
      </w:tr>
      <w:tr w:rsidR="000B1324" w:rsidRPr="004C3C90" w14:paraId="72389666"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1EF2AA95"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28</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5E86E5A0"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7824209C"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Caregivers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3C8E6F8A" w14:textId="163D3E18"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3F59C71E" w14:textId="651A1BEA" w:rsidR="00540A1E" w:rsidRPr="004C3C90" w:rsidRDefault="00D23A94"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w:t>
            </w:r>
            <w:r w:rsidR="00540A1E" w:rsidRPr="004C3C90">
              <w:rPr>
                <w:rFonts w:ascii="Times New Roman" w:eastAsia="맑은 고딕" w:hAnsi="Times New Roman" w:cs="Times New Roman"/>
                <w:sz w:val="20"/>
                <w:szCs w:val="20"/>
                <w:lang w:val="en-US"/>
              </w:rPr>
              <w:t>sychological distress</w:t>
            </w:r>
          </w:p>
        </w:tc>
      </w:tr>
      <w:tr w:rsidR="000B1324" w:rsidRPr="004C3C90" w14:paraId="6AC88666"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7FEEB259"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39</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033D04BC"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56EB5246"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Caregivers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12AC5287" w14:textId="4CA49CFF"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77E6C2B5" w14:textId="7286BA7D" w:rsidR="00540A1E" w:rsidRPr="004C3C90" w:rsidRDefault="00D23A94"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C</w:t>
            </w:r>
            <w:r w:rsidR="00540A1E" w:rsidRPr="004C3C90">
              <w:rPr>
                <w:rFonts w:ascii="Times New Roman" w:eastAsia="맑은 고딕" w:hAnsi="Times New Roman" w:cs="Times New Roman"/>
                <w:sz w:val="20"/>
                <w:szCs w:val="20"/>
                <w:lang w:val="en-US"/>
              </w:rPr>
              <w:t>oping</w:t>
            </w:r>
          </w:p>
        </w:tc>
      </w:tr>
      <w:tr w:rsidR="000B1324" w:rsidRPr="004C3C90" w14:paraId="749C0A64"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29D8DF95"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13</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00061998"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0510941F"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23F43ED7" w14:textId="29A743CC"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6C1B7673" w14:textId="458BB6B0" w:rsidR="00540A1E" w:rsidRPr="004C3C90" w:rsidRDefault="00D23A94"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L</w:t>
            </w:r>
            <w:r w:rsidR="00540A1E" w:rsidRPr="004C3C90">
              <w:rPr>
                <w:rFonts w:ascii="Times New Roman" w:eastAsia="맑은 고딕" w:hAnsi="Times New Roman" w:cs="Times New Roman"/>
                <w:sz w:val="20"/>
                <w:szCs w:val="20"/>
                <w:lang w:val="en-US"/>
              </w:rPr>
              <w:t>iver involvement</w:t>
            </w:r>
          </w:p>
        </w:tc>
      </w:tr>
      <w:tr w:rsidR="000B1324" w:rsidRPr="004C3C90" w14:paraId="7C4A90CF"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21479ED5"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14</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53A518A3"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7FAEF516"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0F65217C" w14:textId="14D28D6F"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35C25BDA" w14:textId="03149398" w:rsidR="00540A1E" w:rsidRPr="004C3C90" w:rsidRDefault="00D23A94"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B</w:t>
            </w:r>
            <w:r w:rsidR="00540A1E" w:rsidRPr="004C3C90">
              <w:rPr>
                <w:rFonts w:ascii="Times New Roman" w:eastAsia="맑은 고딕" w:hAnsi="Times New Roman" w:cs="Times New Roman"/>
                <w:sz w:val="20"/>
                <w:szCs w:val="20"/>
                <w:lang w:val="en-US"/>
              </w:rPr>
              <w:t>urden of illness, medical/educational needs after transplant</w:t>
            </w:r>
          </w:p>
        </w:tc>
      </w:tr>
      <w:tr w:rsidR="000B1324" w:rsidRPr="004C3C90" w14:paraId="3201506F"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53A25480"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15</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1590A3B8"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68E58EED"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745AB08F" w14:textId="77777777"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Knowledge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6345DDA" w14:textId="5BDC5F8D"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p>
        </w:tc>
      </w:tr>
      <w:tr w:rsidR="000B1324" w:rsidRPr="004C3C90" w14:paraId="3939B000"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77777CCD"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29</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3DFBB371"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7C1FD056"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6C0C963B" w14:textId="61390A40"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39EC4C58" w14:textId="128A1162" w:rsidR="00540A1E" w:rsidRPr="004C3C90" w:rsidRDefault="00D23A94"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iagnostic testing</w:t>
            </w:r>
          </w:p>
        </w:tc>
      </w:tr>
      <w:tr w:rsidR="000B1324" w:rsidRPr="004C3C90" w14:paraId="4B4A5D4C"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7521B648"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47</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295AD088"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1BFECC4C"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53CA6ECF" w14:textId="2F05AC95"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1809CEAC" w14:textId="2DB34C06"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T</w:t>
            </w:r>
            <w:r w:rsidR="00540A1E" w:rsidRPr="004C3C90">
              <w:rPr>
                <w:rFonts w:ascii="Times New Roman" w:eastAsia="맑은 고딕" w:hAnsi="Times New Roman" w:cs="Times New Roman"/>
                <w:sz w:val="20"/>
                <w:szCs w:val="20"/>
                <w:lang w:val="en-US"/>
              </w:rPr>
              <w:t>reatment</w:t>
            </w:r>
          </w:p>
        </w:tc>
      </w:tr>
      <w:tr w:rsidR="000B1324" w:rsidRPr="004C3C90" w14:paraId="11890A79"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7EEA0B04"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69</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73B5938F"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17EABF93"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387872DB" w14:textId="0B3381E8"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7FDB0CDA" w14:textId="304A833C"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p>
        </w:tc>
      </w:tr>
      <w:tr w:rsidR="000B1324" w:rsidRPr="004C3C90" w14:paraId="254544D3"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5163806C"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79</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71429F79"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23ECE8E8"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405E4D78" w14:textId="16581851"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7CCED16D" w14:textId="2B8C637B"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S</w:t>
            </w:r>
            <w:r w:rsidR="00540A1E" w:rsidRPr="004C3C90">
              <w:rPr>
                <w:rFonts w:ascii="Times New Roman" w:eastAsia="맑은 고딕" w:hAnsi="Times New Roman" w:cs="Times New Roman"/>
                <w:sz w:val="20"/>
                <w:szCs w:val="20"/>
                <w:lang w:val="en-US"/>
              </w:rPr>
              <w:t>tress, coping</w:t>
            </w:r>
          </w:p>
        </w:tc>
      </w:tr>
      <w:tr w:rsidR="000B1324" w:rsidRPr="004C3C90" w14:paraId="71CE5731"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6D6E20CD"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83</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34ED439F"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0D47FB03"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3C76E9C9" w14:textId="22404A0C"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38F388A8" w14:textId="32FD630D"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S</w:t>
            </w:r>
            <w:r w:rsidR="00540A1E" w:rsidRPr="004C3C90">
              <w:rPr>
                <w:rFonts w:ascii="Times New Roman" w:eastAsia="맑은 고딕" w:hAnsi="Times New Roman" w:cs="Times New Roman"/>
                <w:sz w:val="20"/>
                <w:szCs w:val="20"/>
                <w:lang w:val="en-US"/>
              </w:rPr>
              <w:t>atisfaction with care, needs of providing daily care</w:t>
            </w:r>
          </w:p>
        </w:tc>
      </w:tr>
      <w:tr w:rsidR="000B1324" w:rsidRPr="004C3C90" w14:paraId="740928E2"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13F3DB8E"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104</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0D3A87AB"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19735DA0"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75D4676C" w14:textId="2805394E"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709089F3" w14:textId="417E8E42"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I</w:t>
            </w:r>
            <w:r w:rsidR="00540A1E" w:rsidRPr="004C3C90">
              <w:rPr>
                <w:rFonts w:ascii="Times New Roman" w:eastAsia="맑은 고딕" w:hAnsi="Times New Roman" w:cs="Times New Roman"/>
                <w:sz w:val="20"/>
                <w:szCs w:val="20"/>
                <w:lang w:val="en-US"/>
              </w:rPr>
              <w:t>nternet use- access to information, online communities</w:t>
            </w:r>
          </w:p>
        </w:tc>
      </w:tr>
      <w:tr w:rsidR="000B1324" w:rsidRPr="004C3C90" w14:paraId="0938E317"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1E725ED0"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105</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24AC1D04"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79E1F8EB"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301B65C2" w14:textId="11C53ECD"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Prevalence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261B87E3" w14:textId="33C82C53"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G</w:t>
            </w:r>
            <w:r w:rsidR="00540A1E" w:rsidRPr="004C3C90">
              <w:rPr>
                <w:rFonts w:ascii="Times New Roman" w:eastAsia="맑은 고딕" w:hAnsi="Times New Roman" w:cs="Times New Roman"/>
                <w:sz w:val="20"/>
                <w:szCs w:val="20"/>
                <w:lang w:val="en-US"/>
              </w:rPr>
              <w:t>astrointestinal and nutritional disorders</w:t>
            </w:r>
          </w:p>
        </w:tc>
      </w:tr>
      <w:tr w:rsidR="000B1324" w:rsidRPr="004C3C90" w14:paraId="7DD1A263"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666C91BD"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115</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6E1FFC30"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5C1AB94B"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1A4068DB" w14:textId="0F595214"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34034DEF" w14:textId="7F3C6E1B"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S</w:t>
            </w:r>
            <w:r w:rsidR="00540A1E" w:rsidRPr="004C3C90">
              <w:rPr>
                <w:rFonts w:ascii="Times New Roman" w:eastAsia="맑은 고딕" w:hAnsi="Times New Roman" w:cs="Times New Roman"/>
                <w:sz w:val="20"/>
                <w:szCs w:val="20"/>
                <w:lang w:val="en-US"/>
              </w:rPr>
              <w:t>elf-mutilation</w:t>
            </w:r>
          </w:p>
        </w:tc>
      </w:tr>
      <w:tr w:rsidR="000B1324" w:rsidRPr="004C3C90" w14:paraId="27B5F835"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6E4FA4A0"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53</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006B874A"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3831CA6B"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 xml:space="preserve">Families </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56F5A589" w14:textId="7338FC92"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28DC5502" w14:textId="3CB3B7C2"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iagnosis, care, counselling</w:t>
            </w:r>
          </w:p>
        </w:tc>
      </w:tr>
      <w:tr w:rsidR="000B1324" w:rsidRPr="004C3C90" w14:paraId="2E271211"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0AFFD1DD"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20</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1322BF23"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370B6FDE"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Families, Caregivers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4A19DE6C" w14:textId="2DDB6459"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D76B5BE" w14:textId="1065422D"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iagnosis, treatment</w:t>
            </w:r>
          </w:p>
        </w:tc>
      </w:tr>
      <w:tr w:rsidR="000B1324" w:rsidRPr="004C3C90" w14:paraId="7C4DCB60"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2BECDA10"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101</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38766105"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3074C20D"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Families, Caregivers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1DBF5EDA" w14:textId="689F0DC3"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1A6851F" w14:textId="0082EADF"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iagnosis, healthcare service use</w:t>
            </w:r>
          </w:p>
        </w:tc>
      </w:tr>
      <w:tr w:rsidR="000B1324" w:rsidRPr="004C3C90" w14:paraId="02C66898"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6A21724E"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81</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202AFB72"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2BFD077A"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 support groups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22C88C26" w14:textId="05069378"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02B55D3C" w14:textId="389B4EBD"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w:t>
            </w:r>
            <w:r w:rsidR="00540A1E" w:rsidRPr="004C3C90">
              <w:rPr>
                <w:rFonts w:ascii="Times New Roman" w:eastAsia="맑은 고딕" w:hAnsi="Times New Roman" w:cs="Times New Roman"/>
                <w:sz w:val="20"/>
                <w:szCs w:val="20"/>
                <w:lang w:val="en-US"/>
              </w:rPr>
              <w:t>ngagement, network</w:t>
            </w:r>
          </w:p>
        </w:tc>
      </w:tr>
      <w:tr w:rsidR="000B1324" w:rsidRPr="004C3C90" w14:paraId="7D124118"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10A73FA1"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7B40B4A2"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7C5EA96C"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676DB997" w14:textId="63103691"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7775CBA4" w14:textId="57C5A312"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iagnosis, treatment</w:t>
            </w:r>
          </w:p>
        </w:tc>
      </w:tr>
      <w:tr w:rsidR="000B1324" w:rsidRPr="004C3C90" w14:paraId="41044919"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405832ED"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4</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12A675A8"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16FC736B"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73B4F1CF" w14:textId="2240C3A1"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7FAD9399" w14:textId="74D9443B"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iagnosis</w:t>
            </w:r>
          </w:p>
        </w:tc>
      </w:tr>
      <w:tr w:rsidR="000B1324" w:rsidRPr="004C3C90" w14:paraId="587C890B"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5C7508F1"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16</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10E4DC9F"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36F075C9"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4E90210D" w14:textId="20A365D1"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0A50CAB0" w14:textId="1EE703F9"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iagnosis, QoL</w:t>
            </w:r>
          </w:p>
        </w:tc>
      </w:tr>
      <w:tr w:rsidR="000B1324" w:rsidRPr="004C3C90" w14:paraId="73B2E8D8"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3CA2534C"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21</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3A625E74"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6ACE6BCB"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7F82F9B2" w14:textId="23ACF14F"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EB227EF" w14:textId="5B6D731E"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iagnosis</w:t>
            </w:r>
          </w:p>
        </w:tc>
      </w:tr>
      <w:tr w:rsidR="000B1324" w:rsidRPr="004C3C90" w14:paraId="3704A7FB"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319B8B53"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22</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373CB583"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2F0C2B92"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1F3C23D8" w14:textId="06E2E8DD"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6137DC20" w14:textId="2154A0F6"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I</w:t>
            </w:r>
            <w:r w:rsidR="00540A1E" w:rsidRPr="004C3C90">
              <w:rPr>
                <w:rFonts w:ascii="Times New Roman" w:eastAsia="맑은 고딕" w:hAnsi="Times New Roman" w:cs="Times New Roman"/>
                <w:sz w:val="20"/>
                <w:szCs w:val="20"/>
                <w:lang w:val="en-US"/>
              </w:rPr>
              <w:t>llness perception, health status</w:t>
            </w:r>
          </w:p>
        </w:tc>
      </w:tr>
      <w:tr w:rsidR="000B1324" w:rsidRPr="004C3C90" w14:paraId="2F0FF07C"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48AD1D01"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23</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343E7A84"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5BEEFAE9"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360521E0" w14:textId="5EB1CBC8"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7DF159D3" w14:textId="4A2639F8"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p>
        </w:tc>
      </w:tr>
      <w:tr w:rsidR="000B1324" w:rsidRPr="004C3C90" w14:paraId="6767DE23"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11899034"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24</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656DD57C"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41A3D189"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535776B3" w14:textId="6662C608"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D71877E" w14:textId="60F64B27"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QoL</w:t>
            </w:r>
          </w:p>
        </w:tc>
      </w:tr>
      <w:tr w:rsidR="000B1324" w:rsidRPr="004C3C90" w14:paraId="60780536"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16C1DE1A"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32</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267248D0"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09602457"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776E30F9" w14:textId="4E121C88"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959AE13" w14:textId="68BF4B79"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S</w:t>
            </w:r>
            <w:r w:rsidR="00540A1E" w:rsidRPr="004C3C90">
              <w:rPr>
                <w:rFonts w:ascii="Times New Roman" w:eastAsia="맑은 고딕" w:hAnsi="Times New Roman" w:cs="Times New Roman"/>
                <w:sz w:val="20"/>
                <w:szCs w:val="20"/>
                <w:lang w:val="en-US"/>
              </w:rPr>
              <w:t>ocietal value</w:t>
            </w:r>
          </w:p>
        </w:tc>
      </w:tr>
      <w:tr w:rsidR="000B1324" w:rsidRPr="004C3C90" w14:paraId="037E6D25"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776CE18C"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34</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2715BE82"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083A4471"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107FAF3F" w14:textId="642AD85A"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0D72ADB3" w14:textId="0512E27A"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M</w:t>
            </w:r>
            <w:r w:rsidR="00540A1E" w:rsidRPr="004C3C90">
              <w:rPr>
                <w:rFonts w:ascii="Times New Roman" w:eastAsia="맑은 고딕" w:hAnsi="Times New Roman" w:cs="Times New Roman"/>
                <w:sz w:val="20"/>
                <w:szCs w:val="20"/>
                <w:lang w:val="en-US"/>
              </w:rPr>
              <w:t>edication adherence, access to information</w:t>
            </w:r>
          </w:p>
        </w:tc>
      </w:tr>
      <w:tr w:rsidR="000B1324" w:rsidRPr="004C3C90" w14:paraId="696BC1FE"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242DD200"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40</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0CDE0E43"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3DD5E606"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0ADEAC68" w14:textId="4C47474B"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1B88C7F5" w14:textId="6D09C7C0"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QoL</w:t>
            </w:r>
          </w:p>
        </w:tc>
      </w:tr>
      <w:tr w:rsidR="000B1324" w:rsidRPr="004C3C90" w14:paraId="2480D3A8"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65FE0BC2"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42</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5E15ED30"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0A3930DE"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5EA8F140" w14:textId="31E6AC75"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Prevalence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123C0B0E" w14:textId="2F23A420"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G</w:t>
            </w:r>
            <w:r w:rsidR="00540A1E" w:rsidRPr="004C3C90">
              <w:rPr>
                <w:rFonts w:ascii="Times New Roman" w:eastAsia="맑은 고딕" w:hAnsi="Times New Roman" w:cs="Times New Roman"/>
                <w:sz w:val="20"/>
                <w:szCs w:val="20"/>
                <w:lang w:val="en-US"/>
              </w:rPr>
              <w:t>astrointestinal and urinary complaints</w:t>
            </w:r>
          </w:p>
        </w:tc>
      </w:tr>
      <w:tr w:rsidR="000B1324" w:rsidRPr="004C3C90" w14:paraId="20901B49"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7D449704"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44</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4B625D21"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179B8B64"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2360CD1B" w14:textId="4ADAB472"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3A94A31" w14:textId="681C6159"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G</w:t>
            </w:r>
            <w:r w:rsidR="00540A1E" w:rsidRPr="004C3C90">
              <w:rPr>
                <w:rFonts w:ascii="Times New Roman" w:eastAsia="맑은 고딕" w:hAnsi="Times New Roman" w:cs="Times New Roman"/>
                <w:sz w:val="20"/>
                <w:szCs w:val="20"/>
                <w:lang w:val="en-US"/>
              </w:rPr>
              <w:t>inancial burden of disease, access to medical service</w:t>
            </w:r>
          </w:p>
        </w:tc>
      </w:tr>
      <w:tr w:rsidR="000B1324" w:rsidRPr="004C3C90" w14:paraId="7A104C03"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53737F0F"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45</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10DE3D7E"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38E9B27C"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27613C4B" w14:textId="6EF79730"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852C304" w14:textId="6F02F30A"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B</w:t>
            </w:r>
            <w:r w:rsidR="00540A1E" w:rsidRPr="004C3C90">
              <w:rPr>
                <w:rFonts w:ascii="Times New Roman" w:eastAsia="맑은 고딕" w:hAnsi="Times New Roman" w:cs="Times New Roman"/>
                <w:sz w:val="20"/>
                <w:szCs w:val="20"/>
                <w:lang w:val="en-US"/>
              </w:rPr>
              <w:t>urden of diseases, QoL, treatment</w:t>
            </w:r>
          </w:p>
        </w:tc>
      </w:tr>
      <w:tr w:rsidR="000B1324" w:rsidRPr="004C3C90" w14:paraId="582453BF"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5E410DF1"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46</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00C0C453"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7E385B99"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63762F1A" w14:textId="0323729B"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47F9E072" w14:textId="054F48E7"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iagnosis, treatment</w:t>
            </w:r>
          </w:p>
        </w:tc>
      </w:tr>
      <w:tr w:rsidR="000B1324" w:rsidRPr="004C3C90" w14:paraId="6A8C4432"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04ADBA88"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52</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17D9955A"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11435C0A"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7852BE90" w14:textId="7A50C39E"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19659EDD" w14:textId="42E9C2EE"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QoL</w:t>
            </w:r>
          </w:p>
        </w:tc>
      </w:tr>
      <w:tr w:rsidR="000B1324" w:rsidRPr="004C3C90" w14:paraId="2BEE6EC9"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2221300C"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54</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6E3CF5D4"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33AFAC12"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55FDEABE" w14:textId="613A6EC4"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092357DD" w14:textId="47ED6FF8"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A</w:t>
            </w:r>
            <w:r w:rsidR="00540A1E" w:rsidRPr="004C3C90">
              <w:rPr>
                <w:rFonts w:ascii="Times New Roman" w:eastAsia="맑은 고딕" w:hAnsi="Times New Roman" w:cs="Times New Roman"/>
                <w:sz w:val="20"/>
                <w:szCs w:val="20"/>
                <w:lang w:val="en-US"/>
              </w:rPr>
              <w:t>ccess to information</w:t>
            </w:r>
          </w:p>
        </w:tc>
      </w:tr>
      <w:tr w:rsidR="000B1324" w:rsidRPr="004C3C90" w14:paraId="1282D388"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751CE304"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57</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703E1406"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189328E3"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334BC7E1" w14:textId="3E2D9C39"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7D3FC559" w14:textId="4A908B6C"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T</w:t>
            </w:r>
            <w:r w:rsidR="00540A1E" w:rsidRPr="004C3C90">
              <w:rPr>
                <w:rFonts w:ascii="Times New Roman" w:eastAsia="맑은 고딕" w:hAnsi="Times New Roman" w:cs="Times New Roman"/>
                <w:sz w:val="20"/>
                <w:szCs w:val="20"/>
                <w:lang w:val="en-US"/>
              </w:rPr>
              <w:t>reatment, symptoms</w:t>
            </w:r>
          </w:p>
        </w:tc>
      </w:tr>
      <w:tr w:rsidR="000B1324" w:rsidRPr="004C3C90" w14:paraId="33936861"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3FF9C6F9"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59</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6C530BA1"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48F22323"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480E02B0" w14:textId="02024DCB"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C89F546" w14:textId="1A0F9305"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QoL</w:t>
            </w:r>
          </w:p>
        </w:tc>
      </w:tr>
      <w:tr w:rsidR="000B1324" w:rsidRPr="004C3C90" w14:paraId="4A3A40BC"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391824EF"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lastRenderedPageBreak/>
              <w:t>64</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6E4DBA8A"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36FA388B"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236269A4" w14:textId="1885A574"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117B8216" w14:textId="72E7883A"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QoL, resilience</w:t>
            </w:r>
          </w:p>
        </w:tc>
      </w:tr>
      <w:tr w:rsidR="000B1324" w:rsidRPr="004C3C90" w14:paraId="4D6371CA"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37D255B9"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66</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1B2F637D"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04087E9E"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4DC6A306" w14:textId="77595A3E"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868F3F2" w14:textId="15254568"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QoL, burden of illness</w:t>
            </w:r>
          </w:p>
        </w:tc>
      </w:tr>
      <w:tr w:rsidR="000B1324" w:rsidRPr="004C3C90" w14:paraId="33F7603A"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7B113B47"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71</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5F1C1E62"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54C67EBA"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2053DB4B" w14:textId="1286EC87"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4C109A2C" w14:textId="0CCAF20A"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F</w:t>
            </w:r>
            <w:r w:rsidR="00540A1E" w:rsidRPr="004C3C90">
              <w:rPr>
                <w:rFonts w:ascii="Times New Roman" w:eastAsia="맑은 고딕" w:hAnsi="Times New Roman" w:cs="Times New Roman"/>
                <w:sz w:val="20"/>
                <w:szCs w:val="20"/>
                <w:lang w:val="en-US"/>
              </w:rPr>
              <w:t>inancial burden</w:t>
            </w:r>
          </w:p>
        </w:tc>
      </w:tr>
      <w:tr w:rsidR="000B1324" w:rsidRPr="004C3C90" w14:paraId="16990E7C"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34336D88"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74</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33FDD9CB"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2C98FCFD"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7FEFC7D5" w14:textId="1520A74B"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2CD23070" w14:textId="0C8FA12F"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H</w:t>
            </w:r>
            <w:r w:rsidR="00540A1E" w:rsidRPr="004C3C90">
              <w:rPr>
                <w:rFonts w:ascii="Times New Roman" w:eastAsia="맑은 고딕" w:hAnsi="Times New Roman" w:cs="Times New Roman"/>
                <w:sz w:val="20"/>
                <w:szCs w:val="20"/>
                <w:lang w:val="en-US"/>
              </w:rPr>
              <w:t>ealth problems, access to information, treatment</w:t>
            </w:r>
          </w:p>
        </w:tc>
      </w:tr>
      <w:tr w:rsidR="000B1324" w:rsidRPr="004C3C90" w14:paraId="7E67F004"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08CD5DB4"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77</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49906DC6"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44D0254A"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4BDD2309" w14:textId="36F70BB6"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7D95FF16" w14:textId="35995490"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p>
        </w:tc>
      </w:tr>
      <w:tr w:rsidR="000B1324" w:rsidRPr="004C3C90" w14:paraId="6A97C2A6"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746FC18F"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80</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7E6191BE"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00211D8A"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187546F9" w14:textId="2B8704EC"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66306B78" w14:textId="253B1AFC"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iagnosis, access to information, support service</w:t>
            </w:r>
          </w:p>
        </w:tc>
      </w:tr>
      <w:tr w:rsidR="000B1324" w:rsidRPr="004C3C90" w14:paraId="4933D7B5"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5B134779"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82</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0DA9DFC0"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48F986B7"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7235D11A" w14:textId="77B35B82"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15A3D520" w14:textId="28D66D2D"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S</w:t>
            </w:r>
            <w:r w:rsidR="00540A1E" w:rsidRPr="004C3C90">
              <w:rPr>
                <w:rFonts w:ascii="Times New Roman" w:eastAsia="맑은 고딕" w:hAnsi="Times New Roman" w:cs="Times New Roman"/>
                <w:sz w:val="20"/>
                <w:szCs w:val="20"/>
                <w:lang w:val="en-US"/>
              </w:rPr>
              <w:t>upport, constraint</w:t>
            </w:r>
          </w:p>
        </w:tc>
      </w:tr>
      <w:tr w:rsidR="000B1324" w:rsidRPr="004C3C90" w14:paraId="3D7DEE3A"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64E7259A"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88</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129A5F89"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474FD566"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79E43F8D" w14:textId="0FDA95FE"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4466F97C" w14:textId="73A33562"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w:t>
            </w:r>
            <w:r w:rsidR="00540A1E" w:rsidRPr="004C3C90">
              <w:rPr>
                <w:rFonts w:ascii="Times New Roman" w:eastAsia="맑은 고딕" w:hAnsi="Times New Roman" w:cs="Times New Roman"/>
                <w:sz w:val="20"/>
                <w:szCs w:val="20"/>
                <w:lang w:val="en-US"/>
              </w:rPr>
              <w:t>pidemiological features</w:t>
            </w:r>
          </w:p>
        </w:tc>
      </w:tr>
      <w:tr w:rsidR="000B1324" w:rsidRPr="004C3C90" w14:paraId="0822C3D3"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2328FB4B"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93</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763D2603"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22E84305"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4CB272FD" w14:textId="5F8ABB2E"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Prevalence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74F22282" w14:textId="56B65DBA"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G</w:t>
            </w:r>
            <w:r w:rsidR="00540A1E" w:rsidRPr="004C3C90">
              <w:rPr>
                <w:rFonts w:ascii="Times New Roman" w:eastAsia="맑은 고딕" w:hAnsi="Times New Roman" w:cs="Times New Roman"/>
                <w:sz w:val="20"/>
                <w:szCs w:val="20"/>
                <w:lang w:val="en-US"/>
              </w:rPr>
              <w:t>requency, location, severity, duration</w:t>
            </w:r>
          </w:p>
        </w:tc>
      </w:tr>
      <w:tr w:rsidR="000B1324" w:rsidRPr="004C3C90" w14:paraId="3244E481"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38BF2D06"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97</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192F21F0"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4035B719"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033CE8D5" w14:textId="057F554C"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2BCDBB1" w14:textId="15BE19D7"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epression, cardiac symptoms</w:t>
            </w:r>
          </w:p>
        </w:tc>
      </w:tr>
      <w:tr w:rsidR="000B1324" w:rsidRPr="004C3C90" w14:paraId="0C946BDA"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17FEF31F"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98</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2AC19FF7"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612286F1"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7F6CF2E5" w14:textId="43799B3A"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11AF491C" w14:textId="5A3FBF6B"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S</w:t>
            </w:r>
            <w:r w:rsidR="00540A1E" w:rsidRPr="004C3C90">
              <w:rPr>
                <w:rFonts w:ascii="Times New Roman" w:eastAsia="맑은 고딕" w:hAnsi="Times New Roman" w:cs="Times New Roman"/>
                <w:sz w:val="20"/>
                <w:szCs w:val="20"/>
                <w:lang w:val="en-US"/>
              </w:rPr>
              <w:t>ymptoms, QoL</w:t>
            </w:r>
          </w:p>
        </w:tc>
      </w:tr>
      <w:tr w:rsidR="000B1324" w:rsidRPr="004C3C90" w14:paraId="37475FAF"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34FA31E9"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102</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7D597575"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6BFC0416"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2A4CC744" w14:textId="0926D6C7"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E8534CC" w14:textId="4DD36192"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QoL</w:t>
            </w:r>
          </w:p>
        </w:tc>
      </w:tr>
      <w:tr w:rsidR="000B1324" w:rsidRPr="004C3C90" w14:paraId="5BD19331"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482E93CA"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106</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3DE896B5"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1EEA6DEE"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57244F52" w14:textId="50F8D5AA"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2703E76A" w14:textId="18066135"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S</w:t>
            </w:r>
            <w:r w:rsidR="00540A1E" w:rsidRPr="004C3C90">
              <w:rPr>
                <w:rFonts w:ascii="Times New Roman" w:eastAsia="맑은 고딕" w:hAnsi="Times New Roman" w:cs="Times New Roman"/>
                <w:sz w:val="20"/>
                <w:szCs w:val="20"/>
                <w:lang w:val="en-US"/>
              </w:rPr>
              <w:t>ource of knowledge</w:t>
            </w:r>
          </w:p>
        </w:tc>
      </w:tr>
      <w:tr w:rsidR="000B1324" w:rsidRPr="004C3C90" w14:paraId="261AFA99"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120895CC"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107</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6E676229"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0F2DC1CC"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1965D071" w14:textId="5F54FCF9"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71FA3047" w14:textId="492338FD"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F</w:t>
            </w:r>
            <w:r w:rsidR="00540A1E" w:rsidRPr="004C3C90">
              <w:rPr>
                <w:rFonts w:ascii="Times New Roman" w:eastAsia="맑은 고딕" w:hAnsi="Times New Roman" w:cs="Times New Roman"/>
                <w:sz w:val="20"/>
                <w:szCs w:val="20"/>
                <w:lang w:val="en-US"/>
              </w:rPr>
              <w:t>inancial burden, financial supports/regulations</w:t>
            </w:r>
          </w:p>
        </w:tc>
      </w:tr>
      <w:tr w:rsidR="000B1324" w:rsidRPr="004C3C90" w14:paraId="53543421"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740C7B26"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109</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1DDD4A28"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4D72A2FE"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5A90F693" w14:textId="0B72C65A"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06505832" w14:textId="61707476"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A</w:t>
            </w:r>
            <w:r w:rsidR="00540A1E" w:rsidRPr="004C3C90">
              <w:rPr>
                <w:rFonts w:ascii="Times New Roman" w:eastAsia="맑은 고딕" w:hAnsi="Times New Roman" w:cs="Times New Roman"/>
                <w:sz w:val="20"/>
                <w:szCs w:val="20"/>
                <w:lang w:val="en-US"/>
              </w:rPr>
              <w:t>ccess to information</w:t>
            </w:r>
          </w:p>
        </w:tc>
      </w:tr>
      <w:tr w:rsidR="000B1324" w:rsidRPr="004C3C90" w14:paraId="4B43C518"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6060B825"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112</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79853B54"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07420832"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5A3F88BC" w14:textId="4B6C7F5C"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26D6EE2" w14:textId="537B40E0"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QoL</w:t>
            </w:r>
          </w:p>
        </w:tc>
      </w:tr>
      <w:tr w:rsidR="000B1324" w:rsidRPr="004C3C90" w14:paraId="091AB8AB"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01ED0044"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113</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7C2FDC4F"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5323B7F7"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10703382" w14:textId="09E6F7F5"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Prevalence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3B74C0F1" w14:textId="03180EA8"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Behavioral aspects, temperamental features</w:t>
            </w:r>
          </w:p>
        </w:tc>
      </w:tr>
      <w:tr w:rsidR="000B1324" w:rsidRPr="004C3C90" w14:paraId="09C3904E"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612B26CD"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114</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4F7C6688"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727643FF"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42879DFE" w14:textId="460489D9"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67C4F3A3" w14:textId="1BDD6611"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QoL</w:t>
            </w:r>
          </w:p>
        </w:tc>
      </w:tr>
      <w:tr w:rsidR="000B1324" w:rsidRPr="004C3C90" w14:paraId="7EEDD422"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2E83BCE1"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17</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0EF1D497"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6E7557F4"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 xml:space="preserve">Patients </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1B38973C" w14:textId="40A64B05"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650EAC1D" w14:textId="165C4120"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B</w:t>
            </w:r>
            <w:r w:rsidR="00540A1E" w:rsidRPr="004C3C90">
              <w:rPr>
                <w:rFonts w:ascii="Times New Roman" w:eastAsia="맑은 고딕" w:hAnsi="Times New Roman" w:cs="Times New Roman"/>
                <w:sz w:val="20"/>
                <w:szCs w:val="20"/>
                <w:lang w:val="en-US"/>
              </w:rPr>
              <w:t>urden of disease, QoL</w:t>
            </w:r>
          </w:p>
        </w:tc>
      </w:tr>
      <w:tr w:rsidR="000B1324" w:rsidRPr="004C3C90" w14:paraId="03E81257"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04F0295F"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49</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0C6FCF4C"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38704969"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 xml:space="preserve">Patients </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60A13D21" w14:textId="6E275472"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24B30C35" w14:textId="759807E3"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QoL</w:t>
            </w:r>
          </w:p>
        </w:tc>
      </w:tr>
      <w:tr w:rsidR="000B1324" w:rsidRPr="004C3C90" w14:paraId="7C15AEAC"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79145936"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37</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1CAF6302"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0F75F6E8"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Caregivers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4BA76124" w14:textId="28497ADF"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Prevalence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6F466ECD" w14:textId="76D5D58F"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C</w:t>
            </w:r>
            <w:r w:rsidR="00540A1E" w:rsidRPr="004C3C90">
              <w:rPr>
                <w:rFonts w:ascii="Times New Roman" w:eastAsia="맑은 고딕" w:hAnsi="Times New Roman" w:cs="Times New Roman"/>
                <w:sz w:val="20"/>
                <w:szCs w:val="20"/>
                <w:lang w:val="en-US"/>
              </w:rPr>
              <w:t>omorbidities</w:t>
            </w:r>
          </w:p>
        </w:tc>
      </w:tr>
      <w:tr w:rsidR="000B1324" w:rsidRPr="004C3C90" w14:paraId="0E3847CF"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66DAF498"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76</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78E64BA6"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35F116BE"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Caregivers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5A3E9E7A" w14:textId="0F88416B"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2F529559" w14:textId="6997557C"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w:t>
            </w:r>
            <w:r w:rsidR="00540A1E" w:rsidRPr="004C3C90">
              <w:rPr>
                <w:rFonts w:ascii="Times New Roman" w:eastAsia="맑은 고딕" w:hAnsi="Times New Roman" w:cs="Times New Roman"/>
                <w:sz w:val="20"/>
                <w:szCs w:val="20"/>
                <w:lang w:val="en-US"/>
              </w:rPr>
              <w:t>reference in treatment</w:t>
            </w:r>
          </w:p>
        </w:tc>
      </w:tr>
      <w:tr w:rsidR="000B1324" w:rsidRPr="004C3C90" w14:paraId="3D80CE69"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202786D3"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78</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276C1017"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77B2081C"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Caregivers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6114BF95" w14:textId="2D110550"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7406A1F9" w14:textId="2654F454"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QoL</w:t>
            </w:r>
          </w:p>
        </w:tc>
      </w:tr>
      <w:tr w:rsidR="000B1324" w:rsidRPr="004C3C90" w14:paraId="7429B4A7"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117B5CDA"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89</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44A5CE58"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27E9D3D2"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Caregivers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711FEAE4" w14:textId="4DA301A5"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70833233" w14:textId="2123CDF4"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I</w:t>
            </w:r>
            <w:r w:rsidR="00540A1E" w:rsidRPr="004C3C90">
              <w:rPr>
                <w:rFonts w:ascii="Times New Roman" w:eastAsia="맑은 고딕" w:hAnsi="Times New Roman" w:cs="Times New Roman"/>
                <w:sz w:val="20"/>
                <w:szCs w:val="20"/>
                <w:lang w:val="en-US"/>
              </w:rPr>
              <w:t>nnovative solutions</w:t>
            </w:r>
          </w:p>
        </w:tc>
      </w:tr>
      <w:tr w:rsidR="000B1324" w:rsidRPr="004C3C90" w14:paraId="597980CE"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7F045AAF"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96</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6517DAB1"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5F2DA086"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Caregivers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272C4A26" w14:textId="19D46958"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69255D4F" w14:textId="180C6CFC"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B</w:t>
            </w:r>
            <w:r w:rsidR="00540A1E" w:rsidRPr="004C3C90">
              <w:rPr>
                <w:rFonts w:ascii="Times New Roman" w:eastAsia="맑은 고딕" w:hAnsi="Times New Roman" w:cs="Times New Roman"/>
                <w:sz w:val="20"/>
                <w:szCs w:val="20"/>
                <w:lang w:val="en-US"/>
              </w:rPr>
              <w:t>urden of illness, QoL</w:t>
            </w:r>
          </w:p>
        </w:tc>
      </w:tr>
      <w:tr w:rsidR="000B1324" w:rsidRPr="004C3C90" w14:paraId="5B2D38A4"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90CD649" w14:textId="11126744"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30</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5C85A462" w14:textId="0A105EC4"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0E001E31" w14:textId="31104E7C"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Patients, Patients Support Group</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64B73A80" w14:textId="5F45E1AC"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Self-efficacy</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644C38D5" w14:textId="32876FF6" w:rsidR="00540A1E" w:rsidRPr="004C3C90" w:rsidRDefault="00540A1E"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p>
        </w:tc>
      </w:tr>
      <w:tr w:rsidR="000B1324" w:rsidRPr="004C3C90" w14:paraId="75468411"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2F028FF7"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100</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1059D585"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6160FA2C"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Carriers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6CE30BD5" w14:textId="77777777"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Prevalence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D49DA3F" w14:textId="10DEED96"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p>
        </w:tc>
      </w:tr>
      <w:tr w:rsidR="000B1324" w:rsidRPr="004C3C90" w14:paraId="0A7C6B06"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2D457092"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12</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5BFC5632"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7A83AF1A"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6AC7A21B" w14:textId="4EC317D3"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07A2C56C" w14:textId="30AF3658"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A</w:t>
            </w:r>
            <w:r w:rsidR="00540A1E" w:rsidRPr="004C3C90">
              <w:rPr>
                <w:rFonts w:ascii="Times New Roman" w:eastAsia="맑은 고딕" w:hAnsi="Times New Roman" w:cs="Times New Roman"/>
                <w:sz w:val="20"/>
                <w:szCs w:val="20"/>
                <w:lang w:val="en-US"/>
              </w:rPr>
              <w:t>ssess to genetics-related information</w:t>
            </w:r>
          </w:p>
        </w:tc>
      </w:tr>
      <w:tr w:rsidR="000B1324" w:rsidRPr="004C3C90" w14:paraId="1BC07A42"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62226DCA"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27</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5DDAC974"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2D6F56A3"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04EA6B5B" w14:textId="08ACF56B"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3025231A" w14:textId="0F6A5350"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ata sharing</w:t>
            </w:r>
          </w:p>
        </w:tc>
      </w:tr>
      <w:tr w:rsidR="000B1324" w:rsidRPr="004C3C90" w14:paraId="64F93551"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421EF956"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48</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39503D65"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56502DC6"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5130ECA1" w14:textId="61E15DDE"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CF2AD8F" w14:textId="31C242C3"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w:t>
            </w:r>
            <w:r w:rsidR="00540A1E" w:rsidRPr="004C3C90">
              <w:rPr>
                <w:rFonts w:ascii="Times New Roman" w:eastAsia="맑은 고딕" w:hAnsi="Times New Roman" w:cs="Times New Roman"/>
                <w:sz w:val="20"/>
                <w:szCs w:val="20"/>
                <w:lang w:val="en-US"/>
              </w:rPr>
              <w:t>sychosocial outcomes, QoL</w:t>
            </w:r>
          </w:p>
        </w:tc>
      </w:tr>
      <w:tr w:rsidR="000B1324" w:rsidRPr="004C3C90" w14:paraId="0E245335"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477F539F"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50</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7AB7C384"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76D4871A"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5CD90431" w14:textId="77777777"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Knowledge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0C82B9F3" w14:textId="18A59804"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p>
        </w:tc>
      </w:tr>
      <w:tr w:rsidR="000B1324" w:rsidRPr="004C3C90" w14:paraId="445293C7"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2298C703"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55</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5A177EC0"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52668296"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1455DF1F" w14:textId="31DBF737"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3D5D6E05" w14:textId="3A3FB1E5"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iagnosis</w:t>
            </w:r>
          </w:p>
        </w:tc>
      </w:tr>
      <w:tr w:rsidR="000B1324" w:rsidRPr="004C3C90" w14:paraId="4B68F4F5"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2EFC0A97"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61</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162F1FC5"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28E28509"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1972B365" w14:textId="5EAE9A90"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6058D825" w14:textId="09934540"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w:t>
            </w:r>
            <w:r w:rsidR="00540A1E" w:rsidRPr="004C3C90">
              <w:rPr>
                <w:rFonts w:ascii="Times New Roman" w:eastAsia="맑은 고딕" w:hAnsi="Times New Roman" w:cs="Times New Roman"/>
                <w:sz w:val="20"/>
                <w:szCs w:val="20"/>
                <w:lang w:val="en-US"/>
              </w:rPr>
              <w:t>xpectation concerning the announcement of results for the clinical trial, scientific publication, willingness</w:t>
            </w:r>
          </w:p>
        </w:tc>
      </w:tr>
      <w:tr w:rsidR="000B1324" w:rsidRPr="004C3C90" w14:paraId="392D0003"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148A3BF7"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68</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162B27DC"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10A4CE15"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3D1C4719" w14:textId="752EACF1"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00E05517" w14:textId="568D5B64"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iagnosis, communications</w:t>
            </w:r>
          </w:p>
        </w:tc>
      </w:tr>
      <w:tr w:rsidR="000B1324" w:rsidRPr="004C3C90" w14:paraId="0DC8FC91"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0E6656D3"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72</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071D9288"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148B0F86"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5317DABB" w14:textId="1040FAD4"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52F2C72" w14:textId="68C21869"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iagnosis, treatment</w:t>
            </w:r>
          </w:p>
        </w:tc>
      </w:tr>
      <w:tr w:rsidR="000B1324" w:rsidRPr="004C3C90" w14:paraId="1D3665C2"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728DF068"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73</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4A4CCCA7"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7F53FAB5"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6895DBB7" w14:textId="5520BBC8"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81AF503" w14:textId="5DFE8EE0"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T</w:t>
            </w:r>
            <w:r w:rsidR="00540A1E" w:rsidRPr="004C3C90">
              <w:rPr>
                <w:rFonts w:ascii="Times New Roman" w:eastAsia="맑은 고딕" w:hAnsi="Times New Roman" w:cs="Times New Roman"/>
                <w:sz w:val="20"/>
                <w:szCs w:val="20"/>
                <w:lang w:val="en-US"/>
              </w:rPr>
              <w:t>reatment</w:t>
            </w:r>
          </w:p>
        </w:tc>
      </w:tr>
      <w:tr w:rsidR="000B1324" w:rsidRPr="004C3C90" w14:paraId="53E9D17A"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4AEA8C02"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75</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2309FBF9"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511451BA"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1EA7FE97" w14:textId="2B2A00E7"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2DDEB59B" w14:textId="79C46169"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ata sharing</w:t>
            </w:r>
          </w:p>
        </w:tc>
      </w:tr>
      <w:tr w:rsidR="000B1324" w:rsidRPr="004C3C90" w14:paraId="0C721E3A"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4C160AD0"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84</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04A9B112"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7CFABB67"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6F9F62EA" w14:textId="29B3F8D1"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0A2B121" w14:textId="5849D381" w:rsidR="00540A1E" w:rsidRPr="004C3C90" w:rsidRDefault="00540A1E"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QoL</w:t>
            </w:r>
          </w:p>
        </w:tc>
      </w:tr>
      <w:tr w:rsidR="000B1324" w:rsidRPr="004C3C90" w14:paraId="0F640501"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10FE4561"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11</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05B85775"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0BFFE658"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Families, Caregivers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3E137289" w14:textId="2B11FDFE"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0B1DC039" w14:textId="2C25B83B"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A</w:t>
            </w:r>
            <w:r w:rsidR="00540A1E" w:rsidRPr="004C3C90">
              <w:rPr>
                <w:rFonts w:ascii="Times New Roman" w:eastAsia="맑은 고딕" w:hAnsi="Times New Roman" w:cs="Times New Roman"/>
                <w:sz w:val="20"/>
                <w:szCs w:val="20"/>
                <w:lang w:val="en-US"/>
              </w:rPr>
              <w:t>ccess to information</w:t>
            </w:r>
          </w:p>
        </w:tc>
      </w:tr>
      <w:tr w:rsidR="000B1324" w:rsidRPr="004C3C90" w14:paraId="64DF7E84"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0B20B6FB"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lastRenderedPageBreak/>
              <w:t>111</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011876D5" w14:textId="77777777"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22936CF9"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Families, Caregivers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7AE49E80" w14:textId="6385FBA0"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2FA1950A" w14:textId="6ACBAE9C"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w:t>
            </w:r>
            <w:r w:rsidR="00540A1E" w:rsidRPr="004C3C90">
              <w:rPr>
                <w:rFonts w:ascii="Times New Roman" w:eastAsia="맑은 고딕" w:hAnsi="Times New Roman" w:cs="Times New Roman"/>
                <w:sz w:val="20"/>
                <w:szCs w:val="20"/>
                <w:lang w:val="en-US"/>
              </w:rPr>
              <w:t>conomic burden, healthcare use</w:t>
            </w:r>
          </w:p>
        </w:tc>
      </w:tr>
      <w:tr w:rsidR="000B1324" w:rsidRPr="004C3C90" w14:paraId="3C546BEB"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A354E86" w14:textId="0DCBA925"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99</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6A126C3A" w14:textId="5924A74A"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5FCEEF85" w14:textId="6E329A39"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GP, Specialists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25F3EF8E" w14:textId="670F2076"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Knowledge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1A39F40E" w14:textId="639F3040"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w:t>
            </w:r>
          </w:p>
        </w:tc>
      </w:tr>
      <w:tr w:rsidR="000B1324" w:rsidRPr="004C3C90" w14:paraId="05CDF7FD"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DBCDE02" w14:textId="77E8E022"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103</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219D98B8" w14:textId="3BEB618D"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35F881D8" w14:textId="500A38F6"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GP, Unidentified specialists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434DB61E" w14:textId="475AACA8"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17507CBC" w14:textId="3F3EF509"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T</w:t>
            </w:r>
            <w:r w:rsidR="00540A1E" w:rsidRPr="004C3C90">
              <w:rPr>
                <w:rFonts w:ascii="Times New Roman" w:eastAsia="맑은 고딕" w:hAnsi="Times New Roman" w:cs="Times New Roman"/>
                <w:sz w:val="20"/>
                <w:szCs w:val="20"/>
                <w:lang w:val="en-US"/>
              </w:rPr>
              <w:t>reatment</w:t>
            </w:r>
          </w:p>
        </w:tc>
      </w:tr>
      <w:tr w:rsidR="000B1324" w:rsidRPr="004C3C90" w14:paraId="4391B91D"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9AF6785" w14:textId="6EC49C30"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31</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69234583" w14:textId="07A8BEC6"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092E9786" w14:textId="6FAB639B"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Other HCPs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15D53D10" w14:textId="65EA6F62"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309447C2" w14:textId="324310F7"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P</w:t>
            </w:r>
            <w:r w:rsidR="00540A1E" w:rsidRPr="004C3C90">
              <w:rPr>
                <w:rFonts w:ascii="Times New Roman" w:eastAsia="맑은 고딕" w:hAnsi="Times New Roman" w:cs="Times New Roman"/>
                <w:sz w:val="20"/>
                <w:szCs w:val="20"/>
                <w:lang w:val="en-US"/>
              </w:rPr>
              <w:t>references</w:t>
            </w:r>
          </w:p>
        </w:tc>
      </w:tr>
      <w:tr w:rsidR="000B1324" w:rsidRPr="004C3C90" w14:paraId="53FF07B2"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997DF6B" w14:textId="2765D4A2"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10</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1262E4AA" w14:textId="089B1D6D"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76EB0A99" w14:textId="41C49884"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Physicians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24678565" w14:textId="518F9778"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32752AFD" w14:textId="226300D1"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w:t>
            </w:r>
          </w:p>
        </w:tc>
      </w:tr>
      <w:tr w:rsidR="000B1324" w:rsidRPr="004C3C90" w14:paraId="36DA4D87"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9D7250E" w14:textId="367D8F18"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33</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4DB591C8" w14:textId="09E75E4B"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49A67DB2" w14:textId="0C191D2B"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Physicians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59D67D36" w14:textId="3F7D749B"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148E6C38" w14:textId="12FDB77D"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w:t>
            </w:r>
          </w:p>
        </w:tc>
      </w:tr>
      <w:tr w:rsidR="000B1324" w:rsidRPr="004C3C90" w14:paraId="2A32F59D"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FDCFBD2" w14:textId="5E9CA49D"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35</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0BB5A7F2" w14:textId="3A6413F8"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52F89DBE" w14:textId="2C5EF161"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Physicians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727E3C2A" w14:textId="5777ADE5"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6FD71AFB" w14:textId="44B7CD3B"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T</w:t>
            </w:r>
            <w:r w:rsidR="00540A1E" w:rsidRPr="004C3C90">
              <w:rPr>
                <w:rFonts w:ascii="Times New Roman" w:eastAsia="맑은 고딕" w:hAnsi="Times New Roman" w:cs="Times New Roman"/>
                <w:sz w:val="20"/>
                <w:szCs w:val="20"/>
                <w:lang w:val="en-US"/>
              </w:rPr>
              <w:t>reatment</w:t>
            </w:r>
          </w:p>
        </w:tc>
      </w:tr>
      <w:tr w:rsidR="000B1324" w:rsidRPr="004C3C90" w14:paraId="1E8A55A6"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0054734" w14:textId="01C09E8F" w:rsidR="008D5D7B" w:rsidRPr="004C3C90" w:rsidRDefault="008D5D7B"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95</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65894E16" w14:textId="558F7238" w:rsidR="008D5D7B" w:rsidRPr="004C3C90" w:rsidRDefault="008D5D7B"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5F8584AC" w14:textId="7B1DB6DE" w:rsidR="008D5D7B" w:rsidRPr="004C3C90" w:rsidRDefault="008D5D7B"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Physicians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45829F49" w14:textId="1A55E9A3" w:rsidR="008D5D7B" w:rsidRPr="004C3C90" w:rsidRDefault="008D5D7B"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3F258C76" w14:textId="07D5108C" w:rsidR="008D5D7B"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w:t>
            </w:r>
          </w:p>
        </w:tc>
      </w:tr>
      <w:tr w:rsidR="000B1324" w:rsidRPr="004C3C90" w14:paraId="551F395C"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C047F6C" w14:textId="0D850289" w:rsidR="008D5D7B" w:rsidRPr="004C3C90" w:rsidRDefault="008D5D7B"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87</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13991BF8" w14:textId="42BEFCAA" w:rsidR="008D5D7B" w:rsidRPr="004C3C90" w:rsidRDefault="008D5D7B"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73D2A260" w14:textId="33EFE242" w:rsidR="008D5D7B" w:rsidRPr="004C3C90" w:rsidRDefault="008D5D7B"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Physicians, Other HCPs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552B9486" w14:textId="502B300E" w:rsidR="008D5D7B" w:rsidRPr="004C3C90" w:rsidRDefault="008D5D7B"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Knowledge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03EDCEB2" w14:textId="13E8842F" w:rsidR="008D5D7B"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w:t>
            </w:r>
          </w:p>
        </w:tc>
      </w:tr>
      <w:tr w:rsidR="000B1324" w:rsidRPr="004C3C90" w14:paraId="68D6D18D"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E86F31" w14:textId="4EB46F4F" w:rsidR="008D5D7B" w:rsidRPr="004C3C90" w:rsidRDefault="008D5D7B"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5</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54FE6C70" w14:textId="7B1F0482" w:rsidR="008D5D7B" w:rsidRPr="004C3C90" w:rsidRDefault="008D5D7B"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3F92E306" w14:textId="6FFCF51F" w:rsidR="008D5D7B" w:rsidRPr="004C3C90" w:rsidRDefault="008D5D7B"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Physicians, Specialists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30A8C150" w14:textId="062D0FE2" w:rsidR="008D5D7B" w:rsidRPr="004C3C90" w:rsidRDefault="008D5D7B"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Education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50CD867" w14:textId="5A23B0D3" w:rsidR="008D5D7B"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w:t>
            </w:r>
          </w:p>
        </w:tc>
      </w:tr>
      <w:tr w:rsidR="000B1324" w:rsidRPr="004C3C90" w14:paraId="2F92F06A"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432068F" w14:textId="4B98D6D8" w:rsidR="008D5D7B" w:rsidRPr="004C3C90" w:rsidRDefault="008D5D7B"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5E326AD9" w14:textId="4176E8F9" w:rsidR="008D5D7B" w:rsidRPr="004C3C90" w:rsidRDefault="008D5D7B"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4F39EAF0" w14:textId="09D45D65" w:rsidR="008D5D7B" w:rsidRPr="004C3C90" w:rsidRDefault="008D5D7B"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Specialists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45279AF1" w14:textId="79FAFF0C" w:rsidR="008D5D7B" w:rsidRPr="004C3C90" w:rsidRDefault="008D5D7B"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Knowledge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1B6FEAE4" w14:textId="26437FDF" w:rsidR="008D5D7B"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w:t>
            </w:r>
          </w:p>
        </w:tc>
      </w:tr>
      <w:tr w:rsidR="000B1324" w:rsidRPr="004C3C90" w14:paraId="435EE046"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31DE634" w14:textId="76F77ADE"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3</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1D152E9C" w14:textId="0F318A57"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50A9E8B8" w14:textId="7A94F076"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Specialists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55F51619" w14:textId="3D082BA9"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365DB112" w14:textId="6C55D8E0"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T</w:t>
            </w:r>
            <w:r w:rsidR="00540A1E" w:rsidRPr="004C3C90">
              <w:rPr>
                <w:rFonts w:ascii="Times New Roman" w:eastAsia="맑은 고딕" w:hAnsi="Times New Roman" w:cs="Times New Roman"/>
                <w:sz w:val="20"/>
                <w:szCs w:val="20"/>
                <w:lang w:val="en-US"/>
              </w:rPr>
              <w:t>reatment</w:t>
            </w:r>
          </w:p>
        </w:tc>
      </w:tr>
      <w:tr w:rsidR="000B1324" w:rsidRPr="004C3C90" w14:paraId="58EF164A"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CEA404" w14:textId="5D0FE33B" w:rsidR="008D5D7B" w:rsidRPr="004C3C90" w:rsidRDefault="008D5D7B"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8</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7776E4F9" w14:textId="458D2A25" w:rsidR="008D5D7B" w:rsidRPr="004C3C90" w:rsidRDefault="008D5D7B"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273B1527" w14:textId="5396B3DE" w:rsidR="008D5D7B" w:rsidRPr="004C3C90" w:rsidRDefault="008D5D7B"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Specialists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497C7B33" w14:textId="458B8A09" w:rsidR="008D5D7B" w:rsidRPr="004C3C90" w:rsidRDefault="008D5D7B"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478F20EE" w14:textId="362F7738" w:rsidR="008D5D7B"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w:t>
            </w:r>
          </w:p>
        </w:tc>
      </w:tr>
      <w:tr w:rsidR="000B1324" w:rsidRPr="004C3C90" w14:paraId="18CE9A1B"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736E7D4" w14:textId="222E2E79" w:rsidR="008D5D7B" w:rsidRPr="004C3C90" w:rsidRDefault="008D5D7B"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36</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40688CC7" w14:textId="60B99AF1" w:rsidR="008D5D7B" w:rsidRPr="004C3C90" w:rsidRDefault="008D5D7B"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05ED8331" w14:textId="4B79F83A" w:rsidR="008D5D7B" w:rsidRPr="004C3C90" w:rsidRDefault="008D5D7B"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Specialists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280C3CCA" w14:textId="79ED86BD" w:rsidR="008D5D7B" w:rsidRPr="004C3C90" w:rsidRDefault="008D5D7B"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 xml:space="preserve">Experience </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7884C6E1" w14:textId="55FD7270" w:rsidR="008D5D7B"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w:t>
            </w:r>
          </w:p>
        </w:tc>
      </w:tr>
      <w:tr w:rsidR="000B1324" w:rsidRPr="004C3C90" w14:paraId="61012F7A"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8FAB4BB" w14:textId="2AA9A88D"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60</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54F4493E" w14:textId="49B3F5CD"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3AAAAB29" w14:textId="17E98561"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Specialists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68DA1D44" w14:textId="17E4B12C"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12A1B749" w14:textId="5EDFF56F"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T</w:t>
            </w:r>
            <w:r w:rsidR="00540A1E" w:rsidRPr="004C3C90">
              <w:rPr>
                <w:rFonts w:ascii="Times New Roman" w:eastAsia="맑은 고딕" w:hAnsi="Times New Roman" w:cs="Times New Roman"/>
                <w:sz w:val="20"/>
                <w:szCs w:val="20"/>
                <w:lang w:val="en-US"/>
              </w:rPr>
              <w:t>reatment</w:t>
            </w:r>
          </w:p>
        </w:tc>
      </w:tr>
      <w:tr w:rsidR="000B1324" w:rsidRPr="004C3C90" w14:paraId="66AC1BD6"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66B9A0E" w14:textId="6171283F"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63</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2901EAFF" w14:textId="4D21E35C"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49A0FF4B" w14:textId="281C1E89"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Specialists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748C3CA6" w14:textId="76C3B56F"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42FFB413" w14:textId="0B8E68AE"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T</w:t>
            </w:r>
            <w:r w:rsidR="00540A1E" w:rsidRPr="004C3C90">
              <w:rPr>
                <w:rFonts w:ascii="Times New Roman" w:eastAsia="맑은 고딕" w:hAnsi="Times New Roman" w:cs="Times New Roman"/>
                <w:sz w:val="20"/>
                <w:szCs w:val="20"/>
                <w:lang w:val="en-US"/>
              </w:rPr>
              <w:t>reatment, access to information</w:t>
            </w:r>
          </w:p>
        </w:tc>
      </w:tr>
      <w:tr w:rsidR="000B1324" w:rsidRPr="004C3C90" w14:paraId="2829C356"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3B4BFE6" w14:textId="5986A86E"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90</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7832CE9E" w14:textId="1DF85EB4"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502D6B2C" w14:textId="5C55D197"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Specialists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27F79A4E" w14:textId="1ED6EAD9"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60E76565" w14:textId="4336403C"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T</w:t>
            </w:r>
            <w:r w:rsidR="00540A1E" w:rsidRPr="004C3C90">
              <w:rPr>
                <w:rFonts w:ascii="Times New Roman" w:eastAsia="맑은 고딕" w:hAnsi="Times New Roman" w:cs="Times New Roman"/>
                <w:sz w:val="20"/>
                <w:szCs w:val="20"/>
                <w:lang w:val="en-US"/>
              </w:rPr>
              <w:t>reatment</w:t>
            </w:r>
          </w:p>
        </w:tc>
      </w:tr>
      <w:tr w:rsidR="000B1324" w:rsidRPr="004C3C90" w14:paraId="60BCD221"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5378671" w14:textId="344E7AAB" w:rsidR="008D5D7B" w:rsidRPr="004C3C90" w:rsidRDefault="008D5D7B"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91</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1E2D92D7" w14:textId="41C4C31E" w:rsidR="008D5D7B" w:rsidRPr="004C3C90" w:rsidRDefault="008D5D7B"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55670A43" w14:textId="347E3D4D" w:rsidR="008D5D7B" w:rsidRPr="004C3C90" w:rsidRDefault="008D5D7B"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Specialists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6E0F89AF" w14:textId="7CF26F7A" w:rsidR="008D5D7B" w:rsidRPr="004C3C90" w:rsidRDefault="008D5D7B"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Prevalence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6521E78C" w14:textId="24FB5DAC" w:rsidR="008D5D7B"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w:t>
            </w:r>
          </w:p>
        </w:tc>
      </w:tr>
      <w:tr w:rsidR="000B1324" w:rsidRPr="004C3C90" w14:paraId="2E24662D"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6D627E3" w14:textId="7E6698DC" w:rsidR="008D5D7B" w:rsidRPr="004C3C90" w:rsidRDefault="008D5D7B"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108</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20C4F886" w14:textId="410320FD" w:rsidR="008D5D7B" w:rsidRPr="004C3C90" w:rsidRDefault="008D5D7B"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3F7EE3FA" w14:textId="3015677F" w:rsidR="008D5D7B" w:rsidRPr="004C3C90" w:rsidRDefault="008D5D7B"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Specialists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59CF2CB4" w14:textId="17454D29" w:rsidR="008D5D7B" w:rsidRPr="004C3C90" w:rsidRDefault="008D5D7B"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Knowledge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7BF2D6B9" w14:textId="5A4567D3" w:rsidR="008D5D7B"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w:t>
            </w:r>
          </w:p>
        </w:tc>
      </w:tr>
      <w:tr w:rsidR="000B1324" w:rsidRPr="004C3C90" w14:paraId="7446CF5C"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570A6A3" w14:textId="4B7E958C"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56</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0DB59056" w14:textId="523BE8F6"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3</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096EF3E9" w14:textId="5F64FBAF"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Public</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29EE581A" w14:textId="301E040D"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37B6A0E2" w14:textId="2112D10A"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F</w:t>
            </w:r>
            <w:r w:rsidR="00540A1E" w:rsidRPr="004C3C90">
              <w:rPr>
                <w:rFonts w:ascii="Times New Roman" w:eastAsia="맑은 고딕" w:hAnsi="Times New Roman" w:cs="Times New Roman"/>
                <w:sz w:val="20"/>
                <w:szCs w:val="20"/>
                <w:lang w:val="en-US"/>
              </w:rPr>
              <w:t>unds</w:t>
            </w:r>
          </w:p>
        </w:tc>
      </w:tr>
      <w:tr w:rsidR="000B1324" w:rsidRPr="004C3C90" w14:paraId="544FF1C6"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B8DE911" w14:textId="660F71B3"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58</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6E3319B3" w14:textId="7989BC56"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3</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396DD0C7" w14:textId="340B270E"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Public</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2886BA2A" w14:textId="0ED99FC8"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3A0A111" w14:textId="711DC517"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F</w:t>
            </w:r>
            <w:r w:rsidR="00540A1E" w:rsidRPr="004C3C90">
              <w:rPr>
                <w:rFonts w:ascii="Times New Roman" w:eastAsia="맑은 고딕" w:hAnsi="Times New Roman" w:cs="Times New Roman"/>
                <w:sz w:val="20"/>
                <w:szCs w:val="20"/>
                <w:lang w:val="en-US"/>
              </w:rPr>
              <w:t>unds</w:t>
            </w:r>
          </w:p>
        </w:tc>
      </w:tr>
      <w:tr w:rsidR="000B1324" w:rsidRPr="004C3C90" w14:paraId="549EFA74"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9FB28A7" w14:textId="11BAFFA6"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62</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53533B79" w14:textId="4DEE2B64"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3</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3B1D82A0" w14:textId="45037BFC"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Public</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1D718C47" w14:textId="42640825"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281F5224" w14:textId="4C5A312D"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P</w:t>
            </w:r>
            <w:r w:rsidR="00540A1E" w:rsidRPr="004C3C90">
              <w:rPr>
                <w:rFonts w:ascii="Times New Roman" w:eastAsia="맑은 고딕" w:hAnsi="Times New Roman" w:cs="Times New Roman"/>
                <w:sz w:val="20"/>
                <w:szCs w:val="20"/>
                <w:lang w:val="en-US"/>
              </w:rPr>
              <w:t>reference</w:t>
            </w:r>
          </w:p>
        </w:tc>
      </w:tr>
      <w:tr w:rsidR="000B1324" w:rsidRPr="004C3C90" w14:paraId="606B0F86"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1FB2A00" w14:textId="7A57D261"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65</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4B87377D" w14:textId="162ECA4D"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3</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1D68890F" w14:textId="1C13B794"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Public</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24C5599F" w14:textId="1F8405D4"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420BF962" w14:textId="7CD81F83"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T</w:t>
            </w:r>
            <w:r w:rsidR="00540A1E" w:rsidRPr="004C3C90">
              <w:rPr>
                <w:rFonts w:ascii="Times New Roman" w:eastAsia="맑은 고딕" w:hAnsi="Times New Roman" w:cs="Times New Roman"/>
                <w:sz w:val="20"/>
                <w:szCs w:val="20"/>
                <w:lang w:val="en-US"/>
              </w:rPr>
              <w:t>reatments</w:t>
            </w:r>
          </w:p>
        </w:tc>
      </w:tr>
      <w:tr w:rsidR="000B1324" w:rsidRPr="004C3C90" w14:paraId="72B1EE24"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63F693D" w14:textId="37AFA567"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85</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49B50FAB" w14:textId="68692E57"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3</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4226EA0A" w14:textId="2623BC37"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Public</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50261649" w14:textId="08785588"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6031D47F" w14:textId="0E7FEBF2"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F</w:t>
            </w:r>
            <w:r w:rsidR="00540A1E" w:rsidRPr="004C3C90">
              <w:rPr>
                <w:rFonts w:ascii="Times New Roman" w:eastAsia="맑은 고딕" w:hAnsi="Times New Roman" w:cs="Times New Roman"/>
                <w:sz w:val="20"/>
                <w:szCs w:val="20"/>
                <w:lang w:val="en-US"/>
              </w:rPr>
              <w:t>unds</w:t>
            </w:r>
          </w:p>
        </w:tc>
      </w:tr>
      <w:tr w:rsidR="000B1324" w:rsidRPr="004C3C90" w14:paraId="6D931470"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F09CB66" w14:textId="30E7CDFC"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110</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25CCC652" w14:textId="47D60022"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3</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3BE10F75" w14:textId="77CFEC0B"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Public</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51B44274" w14:textId="474FB1CF"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0B6645DE" w14:textId="37D373A3"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F</w:t>
            </w:r>
            <w:r w:rsidR="00540A1E" w:rsidRPr="004C3C90">
              <w:rPr>
                <w:rFonts w:ascii="Times New Roman" w:eastAsia="맑은 고딕" w:hAnsi="Times New Roman" w:cs="Times New Roman"/>
                <w:sz w:val="20"/>
                <w:szCs w:val="20"/>
                <w:lang w:val="en-US"/>
              </w:rPr>
              <w:t>unds</w:t>
            </w:r>
          </w:p>
        </w:tc>
      </w:tr>
      <w:tr w:rsidR="000B1324" w:rsidRPr="004C3C90" w14:paraId="75760F53"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83EEC5" w14:textId="2A7BF045"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6</w:t>
            </w:r>
          </w:p>
        </w:tc>
        <w:tc>
          <w:tcPr>
            <w:tcW w:w="1198" w:type="dxa"/>
            <w:tcBorders>
              <w:top w:val="nil"/>
              <w:left w:val="nil"/>
              <w:bottom w:val="single" w:sz="4" w:space="0" w:color="000000"/>
              <w:right w:val="single" w:sz="4" w:space="0" w:color="000000"/>
            </w:tcBorders>
            <w:tcMar>
              <w:top w:w="0" w:type="dxa"/>
              <w:left w:w="0" w:type="dxa"/>
              <w:bottom w:w="0" w:type="dxa"/>
              <w:right w:w="0" w:type="dxa"/>
            </w:tcMar>
          </w:tcPr>
          <w:p w14:paraId="666BCC90" w14:textId="6FBD531E"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3</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509397B6" w14:textId="4D2A8DC0"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Others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548CAEB4" w14:textId="5323F356"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34171B10" w14:textId="4C312D04" w:rsidR="00540A1E" w:rsidRPr="004C3C90" w:rsidRDefault="00540A1E"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ELSI funding, difficulties</w:t>
            </w:r>
          </w:p>
        </w:tc>
      </w:tr>
      <w:tr w:rsidR="000B1324" w:rsidRPr="004C3C90" w14:paraId="69984151"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D36CD2D" w14:textId="25A75526"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86</w:t>
            </w:r>
          </w:p>
        </w:tc>
        <w:tc>
          <w:tcPr>
            <w:tcW w:w="1198" w:type="dxa"/>
            <w:tcBorders>
              <w:top w:val="nil"/>
              <w:left w:val="nil"/>
              <w:bottom w:val="single" w:sz="4" w:space="0" w:color="000000"/>
              <w:right w:val="single" w:sz="4" w:space="0" w:color="000000"/>
            </w:tcBorders>
            <w:shd w:val="clear" w:color="auto" w:fill="auto"/>
            <w:tcMar>
              <w:top w:w="0" w:type="dxa"/>
              <w:left w:w="0" w:type="dxa"/>
              <w:bottom w:w="0" w:type="dxa"/>
              <w:right w:w="0" w:type="dxa"/>
            </w:tcMar>
          </w:tcPr>
          <w:p w14:paraId="4A6A1216" w14:textId="397756EF" w:rsidR="00540A1E" w:rsidRPr="004C3C90" w:rsidRDefault="00AE5872"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 xml:space="preserve">Mixed </w:t>
            </w:r>
            <w:r w:rsidR="005D0404" w:rsidRPr="004C3C90">
              <w:rPr>
                <w:rFonts w:ascii="Times New Roman" w:eastAsia="맑은 고딕" w:hAnsi="Times New Roman" w:cs="Times New Roman"/>
                <w:sz w:val="20"/>
                <w:szCs w:val="20"/>
                <w:lang w:val="en-US"/>
              </w:rPr>
              <w:t>(2+3)</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6244AE8E" w14:textId="5F257550" w:rsidR="00540A1E" w:rsidRPr="004C3C90" w:rsidRDefault="00AE5872"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 xml:space="preserve">Physicians, </w:t>
            </w:r>
            <w:r w:rsidR="00540A1E" w:rsidRPr="004C3C90">
              <w:rPr>
                <w:rFonts w:ascii="Times New Roman" w:eastAsia="맑은 고딕" w:hAnsi="Times New Roman" w:cs="Times New Roman"/>
                <w:sz w:val="20"/>
                <w:szCs w:val="20"/>
                <w:lang w:val="en-US"/>
              </w:rPr>
              <w:t>Others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39D0D3F9" w14:textId="16A1EE8D"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Knowledge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1B60BF51" w14:textId="5E823719"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w:t>
            </w:r>
          </w:p>
        </w:tc>
      </w:tr>
      <w:tr w:rsidR="000B1324" w:rsidRPr="004C3C90" w14:paraId="7A2D25C2"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10EB7CA" w14:textId="5EAF931D"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70</w:t>
            </w:r>
          </w:p>
        </w:tc>
        <w:tc>
          <w:tcPr>
            <w:tcW w:w="1198" w:type="dxa"/>
            <w:tcBorders>
              <w:top w:val="nil"/>
              <w:left w:val="nil"/>
              <w:bottom w:val="single" w:sz="4" w:space="0" w:color="000000"/>
              <w:right w:val="single" w:sz="4" w:space="0" w:color="000000"/>
            </w:tcBorders>
            <w:shd w:val="clear" w:color="auto" w:fill="auto"/>
            <w:tcMar>
              <w:top w:w="0" w:type="dxa"/>
              <w:left w:w="0" w:type="dxa"/>
              <w:bottom w:w="0" w:type="dxa"/>
              <w:right w:w="0" w:type="dxa"/>
            </w:tcMar>
          </w:tcPr>
          <w:p w14:paraId="7CAD816B" w14:textId="421C8CFA"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highlight w:val="cyan"/>
                <w:lang w:val="en-US"/>
              </w:rPr>
            </w:pPr>
            <w:r w:rsidRPr="004C3C90">
              <w:rPr>
                <w:rFonts w:ascii="Times New Roman" w:eastAsia="맑은 고딕" w:hAnsi="Times New Roman" w:cs="Times New Roman"/>
                <w:sz w:val="20"/>
                <w:szCs w:val="20"/>
                <w:lang w:val="en-US"/>
              </w:rPr>
              <w:t>Mixed</w:t>
            </w:r>
            <w:r w:rsidR="00AE5872" w:rsidRPr="004C3C90">
              <w:rPr>
                <w:rFonts w:ascii="Times New Roman" w:eastAsia="맑은 고딕" w:hAnsi="Times New Roman" w:cs="Times New Roman"/>
                <w:sz w:val="20"/>
                <w:szCs w:val="20"/>
                <w:lang w:val="en-US"/>
              </w:rPr>
              <w:t xml:space="preserve"> (1+3)</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274AD930" w14:textId="23E275A2"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Others, Patients, Families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6B5FF377" w14:textId="5A4CDA47"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5B0C1922" w14:textId="02498B92"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T</w:t>
            </w:r>
            <w:r w:rsidR="00540A1E" w:rsidRPr="004C3C90">
              <w:rPr>
                <w:rFonts w:ascii="Times New Roman" w:eastAsia="맑은 고딕" w:hAnsi="Times New Roman" w:cs="Times New Roman"/>
                <w:sz w:val="20"/>
                <w:szCs w:val="20"/>
                <w:lang w:val="en-US"/>
              </w:rPr>
              <w:t>reatment</w:t>
            </w:r>
          </w:p>
        </w:tc>
      </w:tr>
      <w:tr w:rsidR="000B1324" w:rsidRPr="004C3C90" w14:paraId="68220D54"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0E7FB5" w14:textId="1DE883C3"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9</w:t>
            </w:r>
          </w:p>
        </w:tc>
        <w:tc>
          <w:tcPr>
            <w:tcW w:w="1198" w:type="dxa"/>
            <w:tcBorders>
              <w:top w:val="nil"/>
              <w:left w:val="nil"/>
              <w:bottom w:val="single" w:sz="4" w:space="0" w:color="000000"/>
              <w:right w:val="single" w:sz="4" w:space="0" w:color="000000"/>
            </w:tcBorders>
            <w:shd w:val="clear" w:color="auto" w:fill="auto"/>
            <w:tcMar>
              <w:top w:w="0" w:type="dxa"/>
              <w:left w:w="0" w:type="dxa"/>
              <w:bottom w:w="0" w:type="dxa"/>
              <w:right w:w="0" w:type="dxa"/>
            </w:tcMar>
          </w:tcPr>
          <w:p w14:paraId="144622E4" w14:textId="75F8368C"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Mixed</w:t>
            </w:r>
            <w:r w:rsidR="005023AD" w:rsidRPr="004C3C90">
              <w:rPr>
                <w:rFonts w:ascii="Times New Roman" w:eastAsia="맑은 고딕" w:hAnsi="Times New Roman" w:cs="Times New Roman"/>
                <w:sz w:val="20"/>
                <w:szCs w:val="20"/>
                <w:lang w:val="en-US"/>
              </w:rPr>
              <w:t xml:space="preserve"> (1+2)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61B53A07" w14:textId="13C40A8C"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Patients, Caregivers, Other HCPs, Physicians, Patient Support Organizations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4834DB9A" w14:textId="37FAB1BB"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2ED979CA" w14:textId="668815AA"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R</w:t>
            </w:r>
            <w:r w:rsidR="00540A1E" w:rsidRPr="004C3C90">
              <w:rPr>
                <w:rFonts w:ascii="Times New Roman" w:eastAsia="맑은 고딕" w:hAnsi="Times New Roman" w:cs="Times New Roman"/>
                <w:sz w:val="20"/>
                <w:szCs w:val="20"/>
                <w:lang w:val="en-US"/>
              </w:rPr>
              <w:t>esearch priorities</w:t>
            </w:r>
          </w:p>
        </w:tc>
      </w:tr>
      <w:tr w:rsidR="000B1324" w:rsidRPr="004C3C90" w14:paraId="337AFF79"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D662C46" w14:textId="4D4DC646" w:rsidR="00540A1E" w:rsidRPr="004C3C90" w:rsidRDefault="00540A1E" w:rsidP="00AE5872">
            <w:pPr>
              <w:widowControl w:val="0"/>
              <w:autoSpaceDE w:val="0"/>
              <w:autoSpaceDN w:val="0"/>
              <w:spacing w:line="276" w:lineRule="auto"/>
              <w:ind w:left="132"/>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26</w:t>
            </w:r>
          </w:p>
        </w:tc>
        <w:tc>
          <w:tcPr>
            <w:tcW w:w="1198" w:type="dxa"/>
            <w:tcBorders>
              <w:top w:val="nil"/>
              <w:left w:val="nil"/>
              <w:bottom w:val="single" w:sz="4" w:space="0" w:color="000000"/>
              <w:right w:val="single" w:sz="4" w:space="0" w:color="000000"/>
            </w:tcBorders>
            <w:shd w:val="clear" w:color="auto" w:fill="auto"/>
            <w:tcMar>
              <w:top w:w="0" w:type="dxa"/>
              <w:left w:w="0" w:type="dxa"/>
              <w:bottom w:w="0" w:type="dxa"/>
              <w:right w:w="0" w:type="dxa"/>
            </w:tcMar>
          </w:tcPr>
          <w:p w14:paraId="53BD74B0" w14:textId="14392608" w:rsidR="00540A1E" w:rsidRPr="004C3C90" w:rsidRDefault="00540A1E" w:rsidP="00AE5872">
            <w:pPr>
              <w:widowControl w:val="0"/>
              <w:autoSpaceDE w:val="0"/>
              <w:autoSpaceDN w:val="0"/>
              <w:spacing w:line="276" w:lineRule="auto"/>
              <w:ind w:left="14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Mixed</w:t>
            </w:r>
            <w:r w:rsidR="005023AD" w:rsidRPr="004C3C90">
              <w:rPr>
                <w:rFonts w:ascii="Times New Roman" w:eastAsia="맑은 고딕" w:hAnsi="Times New Roman" w:cs="Times New Roman"/>
                <w:sz w:val="20"/>
                <w:szCs w:val="20"/>
                <w:lang w:val="en-US"/>
              </w:rPr>
              <w:t xml:space="preserve"> (1+2)</w:t>
            </w:r>
          </w:p>
        </w:tc>
        <w:tc>
          <w:tcPr>
            <w:tcW w:w="1909" w:type="dxa"/>
            <w:tcBorders>
              <w:top w:val="nil"/>
              <w:left w:val="nil"/>
              <w:bottom w:val="single" w:sz="4" w:space="0" w:color="000000"/>
              <w:right w:val="single" w:sz="4" w:space="0" w:color="000000"/>
            </w:tcBorders>
            <w:tcMar>
              <w:top w:w="0" w:type="dxa"/>
              <w:left w:w="0" w:type="dxa"/>
              <w:bottom w:w="0" w:type="dxa"/>
              <w:right w:w="0" w:type="dxa"/>
            </w:tcMar>
          </w:tcPr>
          <w:p w14:paraId="26325623" w14:textId="441892F1" w:rsidR="00540A1E" w:rsidRPr="004C3C90" w:rsidRDefault="00540A1E" w:rsidP="00AE5872">
            <w:pPr>
              <w:widowControl w:val="0"/>
              <w:autoSpaceDE w:val="0"/>
              <w:autoSpaceDN w:val="0"/>
              <w:spacing w:line="276" w:lineRule="auto"/>
              <w:ind w:left="88" w:right="111"/>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Patients, Caregivers, Specialists</w:t>
            </w:r>
          </w:p>
        </w:tc>
        <w:tc>
          <w:tcPr>
            <w:tcW w:w="1721" w:type="dxa"/>
            <w:tcBorders>
              <w:top w:val="nil"/>
              <w:left w:val="nil"/>
              <w:bottom w:val="single" w:sz="4" w:space="0" w:color="000000"/>
              <w:right w:val="single" w:sz="4" w:space="0" w:color="000000"/>
            </w:tcBorders>
            <w:tcMar>
              <w:top w:w="0" w:type="dxa"/>
              <w:left w:w="0" w:type="dxa"/>
              <w:bottom w:w="0" w:type="dxa"/>
              <w:right w:w="0" w:type="dxa"/>
            </w:tcMar>
          </w:tcPr>
          <w:p w14:paraId="6D06E845" w14:textId="175A3E16" w:rsidR="00540A1E" w:rsidRPr="004C3C90" w:rsidRDefault="00540A1E" w:rsidP="00AE5872">
            <w:pPr>
              <w:widowControl w:val="0"/>
              <w:autoSpaceDE w:val="0"/>
              <w:autoSpaceDN w:val="0"/>
              <w:spacing w:line="276" w:lineRule="auto"/>
              <w:ind w:left="83" w:right="180"/>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3D0993E1" w14:textId="6BA3FB48" w:rsidR="00540A1E" w:rsidRPr="004C3C90" w:rsidRDefault="008D5D7B" w:rsidP="00AE5872">
            <w:pPr>
              <w:widowControl w:val="0"/>
              <w:autoSpaceDE w:val="0"/>
              <w:autoSpaceDN w:val="0"/>
              <w:spacing w:line="276" w:lineRule="auto"/>
              <w:ind w:left="124"/>
              <w:textAlignment w:val="center"/>
              <w:rPr>
                <w:rFonts w:ascii="Times New Roman" w:eastAsia="맑은 고딕"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iagnosis, treatment</w:t>
            </w:r>
          </w:p>
        </w:tc>
      </w:tr>
      <w:tr w:rsidR="000B1324" w:rsidRPr="004C3C90" w14:paraId="107FE18D"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6D057EA5"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19</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06D860FA" w14:textId="6A9D3FE1"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highlight w:val="cyan"/>
                <w:lang w:val="en-US"/>
              </w:rPr>
            </w:pPr>
            <w:r w:rsidRPr="004C3C90">
              <w:rPr>
                <w:rFonts w:ascii="Times New Roman" w:eastAsia="맑은 고딕" w:hAnsi="Times New Roman" w:cs="Times New Roman"/>
                <w:sz w:val="20"/>
                <w:szCs w:val="20"/>
                <w:lang w:val="en-US"/>
              </w:rPr>
              <w:t>Mixed</w:t>
            </w:r>
            <w:r w:rsidR="005023AD" w:rsidRPr="004C3C90">
              <w:rPr>
                <w:rFonts w:ascii="Times New Roman" w:eastAsia="맑은 고딕" w:hAnsi="Times New Roman" w:cs="Times New Roman"/>
                <w:sz w:val="20"/>
                <w:szCs w:val="20"/>
                <w:lang w:val="en-US"/>
              </w:rPr>
              <w:t xml:space="preserve"> (1+2+3)</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360D12FD"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Families, Carers, HCP, medical doctors, social support practitioners etc</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0947B9DE" w14:textId="09FE4086"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1FB2269C" w14:textId="6092DAC2"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w:t>
            </w:r>
            <w:r w:rsidR="00540A1E" w:rsidRPr="004C3C90">
              <w:rPr>
                <w:rFonts w:ascii="Times New Roman" w:eastAsia="맑은 고딕" w:hAnsi="Times New Roman" w:cs="Times New Roman"/>
                <w:sz w:val="20"/>
                <w:szCs w:val="20"/>
                <w:lang w:val="en-US"/>
              </w:rPr>
              <w:t>sychological, access to informatin, communication needs)</w:t>
            </w:r>
          </w:p>
        </w:tc>
      </w:tr>
      <w:tr w:rsidR="000B1324" w:rsidRPr="004C3C90" w14:paraId="7BBA0D23"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14FC9E84"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38</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3A59DB96" w14:textId="5CF9D0FA"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Mixed</w:t>
            </w:r>
            <w:r w:rsidR="005023AD" w:rsidRPr="004C3C90">
              <w:rPr>
                <w:rFonts w:ascii="Times New Roman" w:eastAsia="맑은 고딕" w:hAnsi="Times New Roman" w:cs="Times New Roman"/>
                <w:sz w:val="20"/>
                <w:szCs w:val="20"/>
                <w:lang w:val="en-US"/>
              </w:rPr>
              <w:t xml:space="preserve"> (1+2)</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2449D4B9"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 xml:space="preserve">Patients, Families, Nurses, Specialists </w:t>
            </w:r>
            <w:r w:rsidRPr="004C3C90">
              <w:rPr>
                <w:rFonts w:ascii="Times New Roman" w:eastAsia="맑은 고딕" w:hAnsi="Times New Roman" w:cs="Times New Roman"/>
                <w:sz w:val="20"/>
                <w:szCs w:val="20"/>
                <w:lang w:val="en-US"/>
              </w:rPr>
              <w:lastRenderedPageBreak/>
              <w:t>(rheumatologists)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267622EF" w14:textId="0E994CE0"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lastRenderedPageBreak/>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1D26FCB9" w14:textId="3A2557D6"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w:t>
            </w:r>
          </w:p>
        </w:tc>
      </w:tr>
      <w:tr w:rsidR="000B1324" w:rsidRPr="004C3C90" w14:paraId="168D3FAE"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2B96DFF1"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41</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5619ED80" w14:textId="46A9E6F4"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Mixed</w:t>
            </w:r>
            <w:r w:rsidR="005023AD" w:rsidRPr="004C3C90">
              <w:rPr>
                <w:rFonts w:ascii="Times New Roman" w:eastAsia="맑은 고딕" w:hAnsi="Times New Roman" w:cs="Times New Roman"/>
                <w:sz w:val="20"/>
                <w:szCs w:val="20"/>
                <w:lang w:val="en-US"/>
              </w:rPr>
              <w:t xml:space="preserve"> (1+2)</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3BB9363F"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Families, Support groups, NGOs, Physicians, Specialists (unidentified)</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29735CAE" w14:textId="2EF78F1A"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49B742DF" w14:textId="718BAE79"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iagnosis, treatment</w:t>
            </w:r>
          </w:p>
        </w:tc>
      </w:tr>
      <w:tr w:rsidR="000B1324" w:rsidRPr="004C3C90" w14:paraId="5A980971"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43D0A172"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94</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35CE64D6" w14:textId="7EB53A28"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Mixed</w:t>
            </w:r>
            <w:r w:rsidR="00AE5872" w:rsidRPr="004C3C90">
              <w:rPr>
                <w:rFonts w:ascii="Times New Roman" w:eastAsia="맑은 고딕" w:hAnsi="Times New Roman" w:cs="Times New Roman"/>
                <w:sz w:val="20"/>
                <w:szCs w:val="20"/>
                <w:lang w:val="en-US"/>
              </w:rPr>
              <w:t xml:space="preserve"> (1+2+3)</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49FF3817"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HCP, Families, Students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26D81CCC" w14:textId="77777777"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4BD58D3C" w14:textId="627476E5"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w:t>
            </w:r>
          </w:p>
        </w:tc>
      </w:tr>
      <w:tr w:rsidR="000B1324" w:rsidRPr="004C3C90" w14:paraId="0D1DCF14"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751B4A12"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92</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32F578DF" w14:textId="05A0BFEF"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Mixed</w:t>
            </w:r>
            <w:r w:rsidR="005023AD" w:rsidRPr="004C3C90">
              <w:rPr>
                <w:rFonts w:ascii="Times New Roman" w:eastAsia="맑은 고딕" w:hAnsi="Times New Roman" w:cs="Times New Roman"/>
                <w:sz w:val="20"/>
                <w:szCs w:val="20"/>
                <w:lang w:val="en-US"/>
              </w:rPr>
              <w:t xml:space="preserve"> </w:t>
            </w:r>
            <w:bookmarkStart w:id="1" w:name="_Hlk99378956"/>
            <w:r w:rsidR="005023AD" w:rsidRPr="004C3C90">
              <w:rPr>
                <w:rFonts w:ascii="Times New Roman" w:eastAsia="맑은 고딕" w:hAnsi="Times New Roman" w:cs="Times New Roman"/>
                <w:sz w:val="20"/>
                <w:szCs w:val="20"/>
                <w:lang w:val="en-US"/>
              </w:rPr>
              <w:t>(1+2)</w:t>
            </w:r>
            <w:bookmarkEnd w:id="1"/>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0E2ABEE2"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Physicians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552971C6" w14:textId="0E96DF15"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Opinion</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31FE8AC1" w14:textId="5AAA4639"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C</w:t>
            </w:r>
            <w:r w:rsidR="00540A1E" w:rsidRPr="004C3C90">
              <w:rPr>
                <w:rFonts w:ascii="Times New Roman" w:eastAsia="맑은 고딕" w:hAnsi="Times New Roman" w:cs="Times New Roman"/>
                <w:sz w:val="20"/>
                <w:szCs w:val="20"/>
                <w:lang w:val="en-US"/>
              </w:rPr>
              <w:t>omparative effectiveness research, engagement</w:t>
            </w:r>
          </w:p>
        </w:tc>
      </w:tr>
      <w:tr w:rsidR="000B1324" w:rsidRPr="004C3C90" w14:paraId="5DA43DF3"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4B9DF840"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43</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06497BC1" w14:textId="70E1A46A"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Mixed</w:t>
            </w:r>
            <w:r w:rsidR="005023AD" w:rsidRPr="004C3C90">
              <w:rPr>
                <w:rFonts w:ascii="Times New Roman" w:eastAsia="맑은 고딕" w:hAnsi="Times New Roman" w:cs="Times New Roman"/>
                <w:sz w:val="20"/>
                <w:szCs w:val="20"/>
                <w:lang w:val="en-US"/>
              </w:rPr>
              <w:t xml:space="preserve"> (1+2)</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4C1D600C"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Patients, Specialists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2F9C1CF5" w14:textId="0855ABD1"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130FBBCC" w14:textId="138577F9"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D</w:t>
            </w:r>
            <w:r w:rsidR="00540A1E" w:rsidRPr="004C3C90">
              <w:rPr>
                <w:rFonts w:ascii="Times New Roman" w:eastAsia="맑은 고딕" w:hAnsi="Times New Roman" w:cs="Times New Roman"/>
                <w:sz w:val="20"/>
                <w:szCs w:val="20"/>
                <w:lang w:val="en-US"/>
              </w:rPr>
              <w:t>iagnosis</w:t>
            </w:r>
          </w:p>
        </w:tc>
      </w:tr>
      <w:tr w:rsidR="000B1324" w:rsidRPr="004C3C90" w14:paraId="23FF1A49"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4468D201"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51</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044D43B0" w14:textId="4C033114"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Mixed</w:t>
            </w:r>
            <w:r w:rsidR="00AE5872" w:rsidRPr="004C3C90">
              <w:rPr>
                <w:rFonts w:ascii="Times New Roman" w:eastAsia="맑은 고딕" w:hAnsi="Times New Roman" w:cs="Times New Roman"/>
                <w:sz w:val="20"/>
                <w:szCs w:val="20"/>
                <w:lang w:val="en-US"/>
              </w:rPr>
              <w:t xml:space="preserve"> (2+3)</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232A69D1"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Physicians, University hospitals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47950CFA" w14:textId="77777777"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Prevalence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3C1F9E0D" w14:textId="452BD2A2"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w:t>
            </w:r>
          </w:p>
        </w:tc>
      </w:tr>
      <w:tr w:rsidR="000B1324" w:rsidRPr="004C3C90" w14:paraId="00850A11"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05609CC8"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7</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666B5EE0" w14:textId="1767585C"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Mixed</w:t>
            </w:r>
            <w:r w:rsidR="00AE5872" w:rsidRPr="004C3C90">
              <w:rPr>
                <w:rFonts w:ascii="Times New Roman" w:eastAsia="맑은 고딕" w:hAnsi="Times New Roman" w:cs="Times New Roman"/>
                <w:sz w:val="20"/>
                <w:szCs w:val="20"/>
                <w:lang w:val="en-US"/>
              </w:rPr>
              <w:t xml:space="preserve"> (2+3)</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40239662"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Specialists, Medical school students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17FAB684" w14:textId="77777777"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Knowledge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0838A7AB" w14:textId="4F04FCBA"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w:t>
            </w:r>
          </w:p>
        </w:tc>
      </w:tr>
      <w:tr w:rsidR="00540A1E" w:rsidRPr="004C3C90" w14:paraId="5462CB4E" w14:textId="77777777" w:rsidTr="00AE5872">
        <w:trPr>
          <w:trHeight w:val="20"/>
        </w:trPr>
        <w:tc>
          <w:tcPr>
            <w:tcW w:w="9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14:paraId="0ADFD178" w14:textId="77777777" w:rsidR="00540A1E" w:rsidRPr="004C3C90" w:rsidRDefault="00540A1E" w:rsidP="00AE5872">
            <w:pPr>
              <w:widowControl w:val="0"/>
              <w:autoSpaceDE w:val="0"/>
              <w:autoSpaceDN w:val="0"/>
              <w:spacing w:line="276" w:lineRule="auto"/>
              <w:ind w:left="132"/>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67</w:t>
            </w:r>
          </w:p>
        </w:tc>
        <w:tc>
          <w:tcPr>
            <w:tcW w:w="1198" w:type="dxa"/>
            <w:tcBorders>
              <w:top w:val="nil"/>
              <w:left w:val="nil"/>
              <w:bottom w:val="single" w:sz="4" w:space="0" w:color="000000"/>
              <w:right w:val="single" w:sz="4" w:space="0" w:color="000000"/>
            </w:tcBorders>
            <w:tcMar>
              <w:top w:w="0" w:type="dxa"/>
              <w:left w:w="0" w:type="dxa"/>
              <w:bottom w:w="0" w:type="dxa"/>
              <w:right w:w="0" w:type="dxa"/>
            </w:tcMar>
            <w:hideMark/>
          </w:tcPr>
          <w:p w14:paraId="4773B146" w14:textId="4E98B6A8" w:rsidR="00540A1E" w:rsidRPr="004C3C90" w:rsidRDefault="00540A1E" w:rsidP="00AE5872">
            <w:pPr>
              <w:widowControl w:val="0"/>
              <w:autoSpaceDE w:val="0"/>
              <w:autoSpaceDN w:val="0"/>
              <w:spacing w:line="276" w:lineRule="auto"/>
              <w:ind w:left="14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Mixed</w:t>
            </w:r>
            <w:r w:rsidR="005023AD" w:rsidRPr="004C3C90">
              <w:rPr>
                <w:rFonts w:ascii="Times New Roman" w:eastAsia="맑은 고딕" w:hAnsi="Times New Roman" w:cs="Times New Roman"/>
                <w:sz w:val="20"/>
                <w:szCs w:val="20"/>
                <w:lang w:val="en-US"/>
              </w:rPr>
              <w:t xml:space="preserve"> (1+2)</w:t>
            </w:r>
          </w:p>
        </w:tc>
        <w:tc>
          <w:tcPr>
            <w:tcW w:w="1909" w:type="dxa"/>
            <w:tcBorders>
              <w:top w:val="nil"/>
              <w:left w:val="nil"/>
              <w:bottom w:val="single" w:sz="4" w:space="0" w:color="000000"/>
              <w:right w:val="single" w:sz="4" w:space="0" w:color="000000"/>
            </w:tcBorders>
            <w:tcMar>
              <w:top w:w="0" w:type="dxa"/>
              <w:left w:w="0" w:type="dxa"/>
              <w:bottom w:w="0" w:type="dxa"/>
              <w:right w:w="0" w:type="dxa"/>
            </w:tcMar>
            <w:hideMark/>
          </w:tcPr>
          <w:p w14:paraId="3C64B71D" w14:textId="77777777" w:rsidR="00540A1E" w:rsidRPr="004C3C90" w:rsidRDefault="00540A1E" w:rsidP="00AE5872">
            <w:pPr>
              <w:widowControl w:val="0"/>
              <w:autoSpaceDE w:val="0"/>
              <w:autoSpaceDN w:val="0"/>
              <w:spacing w:line="276" w:lineRule="auto"/>
              <w:ind w:left="88" w:right="111"/>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Specialists, Patients</w:t>
            </w:r>
          </w:p>
        </w:tc>
        <w:tc>
          <w:tcPr>
            <w:tcW w:w="1721" w:type="dxa"/>
            <w:tcBorders>
              <w:top w:val="nil"/>
              <w:left w:val="nil"/>
              <w:bottom w:val="single" w:sz="4" w:space="0" w:color="000000"/>
              <w:right w:val="single" w:sz="4" w:space="0" w:color="000000"/>
            </w:tcBorders>
            <w:tcMar>
              <w:top w:w="0" w:type="dxa"/>
              <w:left w:w="0" w:type="dxa"/>
              <w:bottom w:w="0" w:type="dxa"/>
              <w:right w:w="0" w:type="dxa"/>
            </w:tcMar>
            <w:hideMark/>
          </w:tcPr>
          <w:p w14:paraId="4CC9EF7C" w14:textId="0D8149BA" w:rsidR="00540A1E" w:rsidRPr="004C3C90" w:rsidRDefault="00540A1E" w:rsidP="00AE5872">
            <w:pPr>
              <w:widowControl w:val="0"/>
              <w:autoSpaceDE w:val="0"/>
              <w:autoSpaceDN w:val="0"/>
              <w:spacing w:line="276" w:lineRule="auto"/>
              <w:ind w:left="83" w:right="180"/>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Experience</w:t>
            </w:r>
          </w:p>
        </w:tc>
        <w:tc>
          <w:tcPr>
            <w:tcW w:w="3535" w:type="dxa"/>
            <w:tcBorders>
              <w:top w:val="nil"/>
              <w:left w:val="nil"/>
              <w:bottom w:val="single" w:sz="4" w:space="0" w:color="000000"/>
              <w:right w:val="single" w:sz="4" w:space="0" w:color="000000"/>
            </w:tcBorders>
            <w:tcMar>
              <w:top w:w="0" w:type="dxa"/>
              <w:left w:w="0" w:type="dxa"/>
              <w:bottom w:w="0" w:type="dxa"/>
              <w:right w:w="0" w:type="dxa"/>
            </w:tcMar>
          </w:tcPr>
          <w:p w14:paraId="79F558F6" w14:textId="183084BF" w:rsidR="00540A1E" w:rsidRPr="004C3C90" w:rsidRDefault="008D5D7B" w:rsidP="00AE5872">
            <w:pPr>
              <w:widowControl w:val="0"/>
              <w:autoSpaceDE w:val="0"/>
              <w:autoSpaceDN w:val="0"/>
              <w:spacing w:line="276" w:lineRule="auto"/>
              <w:ind w:left="124"/>
              <w:textAlignment w:val="center"/>
              <w:rPr>
                <w:rFonts w:ascii="Times New Roman" w:eastAsia="굴림" w:hAnsi="Times New Roman" w:cs="Times New Roman"/>
                <w:sz w:val="20"/>
                <w:szCs w:val="20"/>
                <w:lang w:val="en-US"/>
              </w:rPr>
            </w:pPr>
            <w:r w:rsidRPr="004C3C90">
              <w:rPr>
                <w:rFonts w:ascii="Times New Roman" w:eastAsia="맑은 고딕" w:hAnsi="Times New Roman" w:cs="Times New Roman"/>
                <w:sz w:val="20"/>
                <w:szCs w:val="20"/>
                <w:lang w:val="en-US"/>
              </w:rPr>
              <w:t>B</w:t>
            </w:r>
            <w:r w:rsidR="00540A1E" w:rsidRPr="004C3C90">
              <w:rPr>
                <w:rFonts w:ascii="Times New Roman" w:eastAsia="맑은 고딕" w:hAnsi="Times New Roman" w:cs="Times New Roman"/>
                <w:sz w:val="20"/>
                <w:szCs w:val="20"/>
                <w:lang w:val="en-US"/>
              </w:rPr>
              <w:t>urden of illness</w:t>
            </w:r>
          </w:p>
        </w:tc>
      </w:tr>
    </w:tbl>
    <w:p w14:paraId="608C4FA5" w14:textId="77777777" w:rsidR="00272E6C" w:rsidRPr="004C3C90" w:rsidRDefault="00272E6C" w:rsidP="00EB2C84">
      <w:pPr>
        <w:jc w:val="center"/>
        <w:rPr>
          <w:rFonts w:ascii="Times New Roman" w:hAnsi="Times New Roman" w:cs="Times New Roman"/>
          <w:sz w:val="20"/>
          <w:szCs w:val="20"/>
        </w:rPr>
      </w:pPr>
    </w:p>
    <w:p w14:paraId="79248FBF" w14:textId="66E3142D" w:rsidR="00EB2C84" w:rsidRPr="004C3C90" w:rsidRDefault="00EB2C84" w:rsidP="00E1479D">
      <w:pPr>
        <w:spacing w:line="240" w:lineRule="auto"/>
        <w:rPr>
          <w:rFonts w:ascii="Times New Roman" w:hAnsi="Times New Roman" w:cs="Times New Roman"/>
          <w:sz w:val="20"/>
          <w:szCs w:val="20"/>
        </w:rPr>
      </w:pPr>
      <w:r w:rsidRPr="004C3C90">
        <w:rPr>
          <w:rFonts w:ascii="Times New Roman" w:hAnsi="Times New Roman" w:cs="Times New Roman"/>
          <w:sz w:val="20"/>
          <w:szCs w:val="20"/>
        </w:rPr>
        <w:br w:type="page"/>
      </w:r>
    </w:p>
    <w:p w14:paraId="69F3E4C7" w14:textId="4E59616F" w:rsidR="00EB2C84" w:rsidRPr="004C3C90" w:rsidRDefault="00E1479D" w:rsidP="002B411B">
      <w:pPr>
        <w:spacing w:line="480" w:lineRule="auto"/>
        <w:rPr>
          <w:rFonts w:ascii="Times New Roman" w:hAnsi="Times New Roman" w:cs="Times New Roman"/>
          <w:sz w:val="20"/>
          <w:szCs w:val="20"/>
        </w:rPr>
      </w:pPr>
      <w:r w:rsidRPr="004C3C90">
        <w:rPr>
          <w:rFonts w:ascii="Times New Roman" w:hAnsi="Times New Roman" w:cs="Times New Roman"/>
          <w:b/>
          <w:iCs/>
          <w:sz w:val="20"/>
          <w:szCs w:val="20"/>
        </w:rPr>
        <w:lastRenderedPageBreak/>
        <w:t xml:space="preserve">Supplementary </w:t>
      </w:r>
      <w:r w:rsidR="003712C9" w:rsidRPr="004C3C90">
        <w:rPr>
          <w:rFonts w:ascii="Times New Roman" w:hAnsi="Times New Roman" w:cs="Times New Roman"/>
          <w:b/>
          <w:iCs/>
          <w:sz w:val="20"/>
          <w:szCs w:val="20"/>
        </w:rPr>
        <w:t>t</w:t>
      </w:r>
      <w:r w:rsidRPr="004C3C90">
        <w:rPr>
          <w:rFonts w:ascii="Times New Roman" w:hAnsi="Times New Roman" w:cs="Times New Roman"/>
          <w:b/>
          <w:iCs/>
          <w:sz w:val="20"/>
          <w:szCs w:val="20"/>
        </w:rPr>
        <w:t>able</w:t>
      </w:r>
      <w:r w:rsidR="00291FF8" w:rsidRPr="004C3C90">
        <w:rPr>
          <w:rFonts w:ascii="Times New Roman" w:hAnsi="Times New Roman" w:cs="Times New Roman"/>
          <w:iCs/>
          <w:sz w:val="20"/>
          <w:szCs w:val="20"/>
        </w:rPr>
        <w:t xml:space="preserve"> </w:t>
      </w:r>
      <w:r w:rsidR="00291FF8" w:rsidRPr="004C3C90">
        <w:rPr>
          <w:rFonts w:ascii="Times New Roman" w:hAnsi="Times New Roman" w:cs="Times New Roman"/>
          <w:b/>
          <w:bCs/>
          <w:iCs/>
          <w:sz w:val="20"/>
          <w:szCs w:val="20"/>
        </w:rPr>
        <w:t>5</w:t>
      </w:r>
      <w:r w:rsidR="00EB2C84" w:rsidRPr="004C3C90">
        <w:rPr>
          <w:rFonts w:ascii="Times New Roman" w:hAnsi="Times New Roman" w:cs="Times New Roman"/>
          <w:b/>
          <w:bCs/>
          <w:sz w:val="20"/>
          <w:szCs w:val="20"/>
        </w:rPr>
        <w:t>. Types of diseases</w:t>
      </w:r>
      <w:r w:rsidR="00AD03D1" w:rsidRPr="004C3C90">
        <w:rPr>
          <w:rFonts w:ascii="Times New Roman" w:hAnsi="Times New Roman" w:cs="Times New Roman"/>
          <w:b/>
          <w:bCs/>
          <w:sz w:val="20"/>
          <w:szCs w:val="20"/>
        </w:rPr>
        <w:t xml:space="preserve"> of 115 selected studies, </w:t>
      </w:r>
      <w:r w:rsidR="00EB2C84" w:rsidRPr="004C3C90">
        <w:rPr>
          <w:rFonts w:ascii="Times New Roman" w:hAnsi="Times New Roman" w:cs="Times New Roman"/>
          <w:b/>
          <w:bCs/>
          <w:sz w:val="20"/>
          <w:szCs w:val="20"/>
        </w:rPr>
        <w:t>in accordance with ICD-11 MMS</w:t>
      </w:r>
    </w:p>
    <w:p w14:paraId="68CBFB7E" w14:textId="77777777" w:rsidR="00E1479D" w:rsidRPr="004C3C90" w:rsidRDefault="00E1479D" w:rsidP="003C2B38">
      <w:pPr>
        <w:spacing w:line="240" w:lineRule="auto"/>
        <w:rPr>
          <w:rFonts w:ascii="Times New Roman" w:hAnsi="Times New Roman" w:cs="Times New Roman"/>
          <w:sz w:val="20"/>
          <w:szCs w:val="2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89"/>
        <w:gridCol w:w="3204"/>
        <w:gridCol w:w="3426"/>
        <w:gridCol w:w="1701"/>
      </w:tblGrid>
      <w:tr w:rsidR="000B1324" w:rsidRPr="004C3C90" w14:paraId="4F44D1C8" w14:textId="77777777" w:rsidTr="00906414">
        <w:trPr>
          <w:trHeight w:val="20"/>
          <w:jc w:val="center"/>
        </w:trPr>
        <w:tc>
          <w:tcPr>
            <w:tcW w:w="889" w:type="dxa"/>
            <w:tcMar>
              <w:top w:w="0" w:type="dxa"/>
              <w:left w:w="0" w:type="dxa"/>
              <w:bottom w:w="0" w:type="dxa"/>
              <w:right w:w="0" w:type="dxa"/>
            </w:tcMar>
            <w:vAlign w:val="center"/>
          </w:tcPr>
          <w:p w14:paraId="4C9C8886" w14:textId="1DF9D524" w:rsidR="00EB2C84" w:rsidRPr="004C3C90" w:rsidRDefault="00AD03D1" w:rsidP="003C2B38">
            <w:pPr>
              <w:spacing w:line="240" w:lineRule="auto"/>
              <w:jc w:val="center"/>
              <w:textAlignment w:val="bottom"/>
              <w:rPr>
                <w:rFonts w:ascii="Times New Roman" w:eastAsia="맑은 고딕" w:hAnsi="Times New Roman" w:cs="Times New Roman"/>
                <w:b/>
                <w:sz w:val="20"/>
                <w:szCs w:val="20"/>
              </w:rPr>
            </w:pPr>
            <w:r w:rsidRPr="004C3C90">
              <w:rPr>
                <w:rFonts w:ascii="Times New Roman" w:eastAsia="맑은 고딕" w:hAnsi="Times New Roman" w:cs="Times New Roman"/>
                <w:b/>
                <w:sz w:val="20"/>
                <w:szCs w:val="20"/>
              </w:rPr>
              <w:t xml:space="preserve">Article </w:t>
            </w:r>
            <w:r w:rsidR="002B411B" w:rsidRPr="004C3C90">
              <w:rPr>
                <w:rFonts w:ascii="Times New Roman" w:eastAsia="맑은 고딕" w:hAnsi="Times New Roman" w:cs="Times New Roman"/>
                <w:b/>
                <w:sz w:val="20"/>
                <w:szCs w:val="20"/>
              </w:rPr>
              <w:t>#</w:t>
            </w:r>
          </w:p>
        </w:tc>
        <w:tc>
          <w:tcPr>
            <w:tcW w:w="3204" w:type="dxa"/>
            <w:tcMar>
              <w:top w:w="0" w:type="dxa"/>
              <w:left w:w="0" w:type="dxa"/>
              <w:bottom w:w="0" w:type="dxa"/>
              <w:right w:w="0" w:type="dxa"/>
            </w:tcMar>
            <w:vAlign w:val="center"/>
          </w:tcPr>
          <w:p w14:paraId="2C2E5B8A" w14:textId="77777777" w:rsidR="00EB2C84" w:rsidRPr="004C3C90" w:rsidRDefault="00EB2C84" w:rsidP="003C2B38">
            <w:pPr>
              <w:spacing w:line="240" w:lineRule="auto"/>
              <w:jc w:val="center"/>
              <w:textAlignment w:val="center"/>
              <w:rPr>
                <w:rFonts w:ascii="Times New Roman" w:eastAsia="맑은 고딕" w:hAnsi="Times New Roman" w:cs="Times New Roman"/>
                <w:b/>
                <w:sz w:val="20"/>
                <w:szCs w:val="20"/>
              </w:rPr>
            </w:pPr>
            <w:r w:rsidRPr="004C3C90">
              <w:rPr>
                <w:rFonts w:ascii="Times New Roman" w:eastAsia="맑은 고딕" w:hAnsi="Times New Roman" w:cs="Times New Roman"/>
                <w:b/>
                <w:sz w:val="20"/>
                <w:szCs w:val="20"/>
              </w:rPr>
              <w:t>Disease name</w:t>
            </w:r>
          </w:p>
        </w:tc>
        <w:tc>
          <w:tcPr>
            <w:tcW w:w="3426" w:type="dxa"/>
            <w:tcMar>
              <w:top w:w="0" w:type="dxa"/>
              <w:left w:w="0" w:type="dxa"/>
              <w:bottom w:w="0" w:type="dxa"/>
              <w:right w:w="0" w:type="dxa"/>
            </w:tcMar>
            <w:vAlign w:val="center"/>
          </w:tcPr>
          <w:p w14:paraId="097A9554" w14:textId="77777777" w:rsidR="00EB2C84" w:rsidRPr="004C3C90" w:rsidRDefault="00EB2C84" w:rsidP="003C2B38">
            <w:pPr>
              <w:spacing w:line="240" w:lineRule="auto"/>
              <w:jc w:val="center"/>
              <w:textAlignment w:val="center"/>
              <w:rPr>
                <w:rFonts w:ascii="Times New Roman" w:eastAsia="맑은 고딕" w:hAnsi="Times New Roman" w:cs="Times New Roman"/>
                <w:b/>
                <w:sz w:val="20"/>
                <w:szCs w:val="20"/>
              </w:rPr>
            </w:pPr>
            <w:r w:rsidRPr="004C3C90">
              <w:rPr>
                <w:rFonts w:ascii="Times New Roman" w:eastAsia="맑은 고딕" w:hAnsi="Times New Roman" w:cs="Times New Roman"/>
                <w:b/>
                <w:sz w:val="20"/>
                <w:szCs w:val="20"/>
              </w:rPr>
              <w:t>Disease type</w:t>
            </w:r>
          </w:p>
        </w:tc>
        <w:tc>
          <w:tcPr>
            <w:tcW w:w="1701" w:type="dxa"/>
            <w:tcMar>
              <w:top w:w="0" w:type="dxa"/>
              <w:left w:w="0" w:type="dxa"/>
              <w:bottom w:w="0" w:type="dxa"/>
              <w:right w:w="0" w:type="dxa"/>
            </w:tcMar>
            <w:vAlign w:val="center"/>
          </w:tcPr>
          <w:p w14:paraId="3EBF62F9" w14:textId="77777777" w:rsidR="00EB2C84" w:rsidRPr="004C3C90" w:rsidRDefault="00EB2C84" w:rsidP="003C2B38">
            <w:pPr>
              <w:spacing w:line="240" w:lineRule="auto"/>
              <w:jc w:val="center"/>
              <w:textAlignment w:val="center"/>
              <w:rPr>
                <w:rFonts w:ascii="Times New Roman" w:eastAsia="맑은 고딕" w:hAnsi="Times New Roman" w:cs="Times New Roman"/>
                <w:b/>
                <w:sz w:val="20"/>
                <w:szCs w:val="20"/>
              </w:rPr>
            </w:pPr>
            <w:r w:rsidRPr="004C3C90">
              <w:rPr>
                <w:rFonts w:ascii="Times New Roman" w:eastAsia="맑은 고딕" w:hAnsi="Times New Roman" w:cs="Times New Roman"/>
                <w:b/>
                <w:sz w:val="20"/>
                <w:szCs w:val="20"/>
              </w:rPr>
              <w:t>ICD 11</w:t>
            </w:r>
          </w:p>
        </w:tc>
      </w:tr>
      <w:tr w:rsidR="000B1324" w:rsidRPr="004C3C90" w14:paraId="5FBC8A86" w14:textId="77777777" w:rsidTr="00AE5872">
        <w:trPr>
          <w:trHeight w:val="20"/>
          <w:jc w:val="center"/>
        </w:trPr>
        <w:tc>
          <w:tcPr>
            <w:tcW w:w="889" w:type="dxa"/>
            <w:tcMar>
              <w:top w:w="0" w:type="dxa"/>
              <w:left w:w="0" w:type="dxa"/>
              <w:bottom w:w="0" w:type="dxa"/>
              <w:right w:w="0" w:type="dxa"/>
            </w:tcMar>
            <w:hideMark/>
          </w:tcPr>
          <w:p w14:paraId="1E30D201"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90</w:t>
            </w:r>
          </w:p>
        </w:tc>
        <w:tc>
          <w:tcPr>
            <w:tcW w:w="3204" w:type="dxa"/>
            <w:tcMar>
              <w:top w:w="0" w:type="dxa"/>
              <w:left w:w="0" w:type="dxa"/>
              <w:bottom w:w="0" w:type="dxa"/>
              <w:right w:w="0" w:type="dxa"/>
            </w:tcMar>
            <w:hideMark/>
          </w:tcPr>
          <w:p w14:paraId="51F53CD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482CD59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02. Neoplasms</w:t>
            </w:r>
          </w:p>
        </w:tc>
        <w:tc>
          <w:tcPr>
            <w:tcW w:w="1701" w:type="dxa"/>
            <w:tcMar>
              <w:top w:w="0" w:type="dxa"/>
              <w:left w:w="0" w:type="dxa"/>
              <w:bottom w:w="0" w:type="dxa"/>
              <w:right w:w="0" w:type="dxa"/>
            </w:tcMar>
            <w:hideMark/>
          </w:tcPr>
          <w:p w14:paraId="7B0A932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 (tumor, no code)</w:t>
            </w:r>
          </w:p>
        </w:tc>
      </w:tr>
      <w:tr w:rsidR="000B1324" w:rsidRPr="004C3C90" w14:paraId="24A835DB" w14:textId="77777777" w:rsidTr="00AE5872">
        <w:trPr>
          <w:trHeight w:val="20"/>
          <w:jc w:val="center"/>
        </w:trPr>
        <w:tc>
          <w:tcPr>
            <w:tcW w:w="889" w:type="dxa"/>
            <w:tcMar>
              <w:top w:w="0" w:type="dxa"/>
              <w:left w:w="0" w:type="dxa"/>
              <w:bottom w:w="0" w:type="dxa"/>
              <w:right w:w="0" w:type="dxa"/>
            </w:tcMar>
            <w:hideMark/>
          </w:tcPr>
          <w:p w14:paraId="5F1B0F9E"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15</w:t>
            </w:r>
          </w:p>
        </w:tc>
        <w:tc>
          <w:tcPr>
            <w:tcW w:w="3204" w:type="dxa"/>
            <w:tcMar>
              <w:top w:w="0" w:type="dxa"/>
              <w:left w:w="0" w:type="dxa"/>
              <w:bottom w:w="0" w:type="dxa"/>
              <w:right w:w="0" w:type="dxa"/>
            </w:tcMar>
            <w:hideMark/>
          </w:tcPr>
          <w:p w14:paraId="2C33118B"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Haemophilia</w:t>
            </w:r>
          </w:p>
        </w:tc>
        <w:tc>
          <w:tcPr>
            <w:tcW w:w="3426" w:type="dxa"/>
            <w:tcMar>
              <w:top w:w="0" w:type="dxa"/>
              <w:left w:w="0" w:type="dxa"/>
              <w:bottom w:w="0" w:type="dxa"/>
              <w:right w:w="0" w:type="dxa"/>
            </w:tcMar>
            <w:hideMark/>
          </w:tcPr>
          <w:p w14:paraId="3E34BF9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03. Disease of the blood or blood-forming organs</w:t>
            </w:r>
          </w:p>
        </w:tc>
        <w:tc>
          <w:tcPr>
            <w:tcW w:w="1701" w:type="dxa"/>
            <w:tcMar>
              <w:top w:w="0" w:type="dxa"/>
              <w:left w:w="0" w:type="dxa"/>
              <w:bottom w:w="0" w:type="dxa"/>
              <w:right w:w="0" w:type="dxa"/>
            </w:tcMar>
            <w:hideMark/>
          </w:tcPr>
          <w:p w14:paraId="08A7B3C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3B12</w:t>
            </w:r>
          </w:p>
        </w:tc>
      </w:tr>
      <w:tr w:rsidR="000B1324" w:rsidRPr="004C3C90" w14:paraId="384DC7EA" w14:textId="77777777" w:rsidTr="00AE5872">
        <w:trPr>
          <w:trHeight w:val="20"/>
          <w:jc w:val="center"/>
        </w:trPr>
        <w:tc>
          <w:tcPr>
            <w:tcW w:w="889" w:type="dxa"/>
            <w:tcMar>
              <w:top w:w="0" w:type="dxa"/>
              <w:left w:w="0" w:type="dxa"/>
              <w:bottom w:w="0" w:type="dxa"/>
              <w:right w:w="0" w:type="dxa"/>
            </w:tcMar>
            <w:hideMark/>
          </w:tcPr>
          <w:p w14:paraId="6426C941"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16</w:t>
            </w:r>
          </w:p>
        </w:tc>
        <w:tc>
          <w:tcPr>
            <w:tcW w:w="3204" w:type="dxa"/>
            <w:tcMar>
              <w:top w:w="0" w:type="dxa"/>
              <w:left w:w="0" w:type="dxa"/>
              <w:bottom w:w="0" w:type="dxa"/>
              <w:right w:w="0" w:type="dxa"/>
            </w:tcMar>
            <w:hideMark/>
          </w:tcPr>
          <w:p w14:paraId="3F03B36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Haemophilia</w:t>
            </w:r>
          </w:p>
        </w:tc>
        <w:tc>
          <w:tcPr>
            <w:tcW w:w="3426" w:type="dxa"/>
            <w:tcMar>
              <w:top w:w="0" w:type="dxa"/>
              <w:left w:w="0" w:type="dxa"/>
              <w:bottom w:w="0" w:type="dxa"/>
              <w:right w:w="0" w:type="dxa"/>
            </w:tcMar>
            <w:hideMark/>
          </w:tcPr>
          <w:p w14:paraId="0C05783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03. Disease of the blood or blood-forming organs</w:t>
            </w:r>
          </w:p>
        </w:tc>
        <w:tc>
          <w:tcPr>
            <w:tcW w:w="1701" w:type="dxa"/>
            <w:tcMar>
              <w:top w:w="0" w:type="dxa"/>
              <w:left w:w="0" w:type="dxa"/>
              <w:bottom w:w="0" w:type="dxa"/>
              <w:right w:w="0" w:type="dxa"/>
            </w:tcMar>
            <w:hideMark/>
          </w:tcPr>
          <w:p w14:paraId="48E29A7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3B12</w:t>
            </w:r>
          </w:p>
        </w:tc>
      </w:tr>
      <w:tr w:rsidR="000B1324" w:rsidRPr="004C3C90" w14:paraId="2AB0B784" w14:textId="77777777" w:rsidTr="00AE5872">
        <w:trPr>
          <w:trHeight w:val="20"/>
          <w:jc w:val="center"/>
        </w:trPr>
        <w:tc>
          <w:tcPr>
            <w:tcW w:w="889" w:type="dxa"/>
            <w:tcMar>
              <w:top w:w="0" w:type="dxa"/>
              <w:left w:w="0" w:type="dxa"/>
              <w:bottom w:w="0" w:type="dxa"/>
              <w:right w:w="0" w:type="dxa"/>
            </w:tcMar>
            <w:hideMark/>
          </w:tcPr>
          <w:p w14:paraId="1AFB2451"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57</w:t>
            </w:r>
          </w:p>
        </w:tc>
        <w:tc>
          <w:tcPr>
            <w:tcW w:w="3204" w:type="dxa"/>
            <w:tcMar>
              <w:top w:w="0" w:type="dxa"/>
              <w:left w:w="0" w:type="dxa"/>
              <w:bottom w:w="0" w:type="dxa"/>
              <w:right w:w="0" w:type="dxa"/>
            </w:tcMar>
            <w:hideMark/>
          </w:tcPr>
          <w:p w14:paraId="2FACF5C4"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Haemophilia B</w:t>
            </w:r>
          </w:p>
        </w:tc>
        <w:tc>
          <w:tcPr>
            <w:tcW w:w="3426" w:type="dxa"/>
            <w:tcMar>
              <w:top w:w="0" w:type="dxa"/>
              <w:left w:w="0" w:type="dxa"/>
              <w:bottom w:w="0" w:type="dxa"/>
              <w:right w:w="0" w:type="dxa"/>
            </w:tcMar>
            <w:hideMark/>
          </w:tcPr>
          <w:p w14:paraId="195D3ED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03. Disease of the blood or blood-forming organs</w:t>
            </w:r>
          </w:p>
        </w:tc>
        <w:tc>
          <w:tcPr>
            <w:tcW w:w="1701" w:type="dxa"/>
            <w:tcMar>
              <w:top w:w="0" w:type="dxa"/>
              <w:left w:w="0" w:type="dxa"/>
              <w:bottom w:w="0" w:type="dxa"/>
              <w:right w:w="0" w:type="dxa"/>
            </w:tcMar>
            <w:hideMark/>
          </w:tcPr>
          <w:p w14:paraId="2940816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3B11.0</w:t>
            </w:r>
          </w:p>
        </w:tc>
      </w:tr>
      <w:tr w:rsidR="000B1324" w:rsidRPr="004C3C90" w14:paraId="3FEA9063" w14:textId="77777777" w:rsidTr="00AE5872">
        <w:trPr>
          <w:trHeight w:val="20"/>
          <w:jc w:val="center"/>
        </w:trPr>
        <w:tc>
          <w:tcPr>
            <w:tcW w:w="889" w:type="dxa"/>
            <w:tcMar>
              <w:top w:w="0" w:type="dxa"/>
              <w:left w:w="0" w:type="dxa"/>
              <w:bottom w:w="0" w:type="dxa"/>
              <w:right w:w="0" w:type="dxa"/>
            </w:tcMar>
            <w:hideMark/>
          </w:tcPr>
          <w:p w14:paraId="587D02CA"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60</w:t>
            </w:r>
          </w:p>
        </w:tc>
        <w:tc>
          <w:tcPr>
            <w:tcW w:w="3204" w:type="dxa"/>
            <w:tcMar>
              <w:top w:w="0" w:type="dxa"/>
              <w:left w:w="0" w:type="dxa"/>
              <w:bottom w:w="0" w:type="dxa"/>
              <w:right w:w="0" w:type="dxa"/>
            </w:tcMar>
            <w:hideMark/>
          </w:tcPr>
          <w:p w14:paraId="4EE0F64B"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Thrombotic thrombocytopenic purpura</w:t>
            </w:r>
          </w:p>
        </w:tc>
        <w:tc>
          <w:tcPr>
            <w:tcW w:w="3426" w:type="dxa"/>
            <w:tcMar>
              <w:top w:w="0" w:type="dxa"/>
              <w:left w:w="0" w:type="dxa"/>
              <w:bottom w:w="0" w:type="dxa"/>
              <w:right w:w="0" w:type="dxa"/>
            </w:tcMar>
            <w:hideMark/>
          </w:tcPr>
          <w:p w14:paraId="27557F34"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03. Disease of the blood or blood-forming organs</w:t>
            </w:r>
          </w:p>
        </w:tc>
        <w:tc>
          <w:tcPr>
            <w:tcW w:w="1701" w:type="dxa"/>
            <w:tcMar>
              <w:top w:w="0" w:type="dxa"/>
              <w:left w:w="0" w:type="dxa"/>
              <w:bottom w:w="0" w:type="dxa"/>
              <w:right w:w="0" w:type="dxa"/>
            </w:tcMar>
            <w:hideMark/>
          </w:tcPr>
          <w:p w14:paraId="15FDAD3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3B64.14</w:t>
            </w:r>
          </w:p>
        </w:tc>
      </w:tr>
      <w:tr w:rsidR="000B1324" w:rsidRPr="004C3C90" w14:paraId="1958C2D5" w14:textId="77777777" w:rsidTr="00AE5872">
        <w:trPr>
          <w:trHeight w:val="20"/>
          <w:jc w:val="center"/>
        </w:trPr>
        <w:tc>
          <w:tcPr>
            <w:tcW w:w="889" w:type="dxa"/>
            <w:tcMar>
              <w:top w:w="0" w:type="dxa"/>
              <w:left w:w="0" w:type="dxa"/>
              <w:bottom w:w="0" w:type="dxa"/>
              <w:right w:w="0" w:type="dxa"/>
            </w:tcMar>
            <w:hideMark/>
          </w:tcPr>
          <w:p w14:paraId="24B20068"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67</w:t>
            </w:r>
          </w:p>
        </w:tc>
        <w:tc>
          <w:tcPr>
            <w:tcW w:w="3204" w:type="dxa"/>
            <w:tcMar>
              <w:top w:w="0" w:type="dxa"/>
              <w:left w:w="0" w:type="dxa"/>
              <w:bottom w:w="0" w:type="dxa"/>
              <w:right w:w="0" w:type="dxa"/>
            </w:tcMar>
            <w:hideMark/>
          </w:tcPr>
          <w:p w14:paraId="5BC6527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Haemophilia</w:t>
            </w:r>
          </w:p>
        </w:tc>
        <w:tc>
          <w:tcPr>
            <w:tcW w:w="3426" w:type="dxa"/>
            <w:tcMar>
              <w:top w:w="0" w:type="dxa"/>
              <w:left w:w="0" w:type="dxa"/>
              <w:bottom w:w="0" w:type="dxa"/>
              <w:right w:w="0" w:type="dxa"/>
            </w:tcMar>
            <w:hideMark/>
          </w:tcPr>
          <w:p w14:paraId="6256CAB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03. Disease of the blood or blood-forming organs</w:t>
            </w:r>
          </w:p>
        </w:tc>
        <w:tc>
          <w:tcPr>
            <w:tcW w:w="1701" w:type="dxa"/>
            <w:tcMar>
              <w:top w:w="0" w:type="dxa"/>
              <w:left w:w="0" w:type="dxa"/>
              <w:bottom w:w="0" w:type="dxa"/>
              <w:right w:w="0" w:type="dxa"/>
            </w:tcMar>
            <w:hideMark/>
          </w:tcPr>
          <w:p w14:paraId="36ACAC3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3B12</w:t>
            </w:r>
          </w:p>
        </w:tc>
      </w:tr>
      <w:tr w:rsidR="000B1324" w:rsidRPr="004C3C90" w14:paraId="0C6959F6" w14:textId="77777777" w:rsidTr="00AE5872">
        <w:trPr>
          <w:trHeight w:val="20"/>
          <w:jc w:val="center"/>
        </w:trPr>
        <w:tc>
          <w:tcPr>
            <w:tcW w:w="889" w:type="dxa"/>
            <w:tcMar>
              <w:top w:w="0" w:type="dxa"/>
              <w:left w:w="0" w:type="dxa"/>
              <w:bottom w:w="0" w:type="dxa"/>
              <w:right w:w="0" w:type="dxa"/>
            </w:tcMar>
            <w:hideMark/>
          </w:tcPr>
          <w:p w14:paraId="7D3725F7"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18</w:t>
            </w:r>
          </w:p>
        </w:tc>
        <w:tc>
          <w:tcPr>
            <w:tcW w:w="3204" w:type="dxa"/>
            <w:tcMar>
              <w:top w:w="0" w:type="dxa"/>
              <w:left w:w="0" w:type="dxa"/>
              <w:bottom w:w="0" w:type="dxa"/>
              <w:right w:w="0" w:type="dxa"/>
            </w:tcMar>
            <w:hideMark/>
          </w:tcPr>
          <w:p w14:paraId="47B8649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Systemic Sclerosis</w:t>
            </w:r>
          </w:p>
        </w:tc>
        <w:tc>
          <w:tcPr>
            <w:tcW w:w="3426" w:type="dxa"/>
            <w:tcMar>
              <w:top w:w="0" w:type="dxa"/>
              <w:left w:w="0" w:type="dxa"/>
              <w:bottom w:w="0" w:type="dxa"/>
              <w:right w:w="0" w:type="dxa"/>
            </w:tcMar>
            <w:hideMark/>
          </w:tcPr>
          <w:p w14:paraId="07F822C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04. Diseases of the immune system</w:t>
            </w:r>
          </w:p>
        </w:tc>
        <w:tc>
          <w:tcPr>
            <w:tcW w:w="1701" w:type="dxa"/>
            <w:tcMar>
              <w:top w:w="0" w:type="dxa"/>
              <w:left w:w="0" w:type="dxa"/>
              <w:bottom w:w="0" w:type="dxa"/>
              <w:right w:w="0" w:type="dxa"/>
            </w:tcMar>
            <w:hideMark/>
          </w:tcPr>
          <w:p w14:paraId="555A833B"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4A42</w:t>
            </w:r>
          </w:p>
        </w:tc>
      </w:tr>
      <w:tr w:rsidR="000B1324" w:rsidRPr="004C3C90" w14:paraId="4FC0F3BB" w14:textId="77777777" w:rsidTr="00AE5872">
        <w:trPr>
          <w:trHeight w:val="20"/>
          <w:jc w:val="center"/>
        </w:trPr>
        <w:tc>
          <w:tcPr>
            <w:tcW w:w="889" w:type="dxa"/>
            <w:tcMar>
              <w:top w:w="0" w:type="dxa"/>
              <w:left w:w="0" w:type="dxa"/>
              <w:bottom w:w="0" w:type="dxa"/>
              <w:right w:w="0" w:type="dxa"/>
            </w:tcMar>
            <w:hideMark/>
          </w:tcPr>
          <w:p w14:paraId="40ACD895"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22</w:t>
            </w:r>
          </w:p>
        </w:tc>
        <w:tc>
          <w:tcPr>
            <w:tcW w:w="3204" w:type="dxa"/>
            <w:tcMar>
              <w:top w:w="0" w:type="dxa"/>
              <w:left w:w="0" w:type="dxa"/>
              <w:bottom w:w="0" w:type="dxa"/>
              <w:right w:w="0" w:type="dxa"/>
            </w:tcMar>
            <w:hideMark/>
          </w:tcPr>
          <w:p w14:paraId="41FD980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Behcet's disease</w:t>
            </w:r>
          </w:p>
        </w:tc>
        <w:tc>
          <w:tcPr>
            <w:tcW w:w="3426" w:type="dxa"/>
            <w:tcMar>
              <w:top w:w="0" w:type="dxa"/>
              <w:left w:w="0" w:type="dxa"/>
              <w:bottom w:w="0" w:type="dxa"/>
              <w:right w:w="0" w:type="dxa"/>
            </w:tcMar>
            <w:hideMark/>
          </w:tcPr>
          <w:p w14:paraId="38BE44D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04. Diseases of the immune system</w:t>
            </w:r>
          </w:p>
        </w:tc>
        <w:tc>
          <w:tcPr>
            <w:tcW w:w="1701" w:type="dxa"/>
            <w:tcMar>
              <w:top w:w="0" w:type="dxa"/>
              <w:left w:w="0" w:type="dxa"/>
              <w:bottom w:w="0" w:type="dxa"/>
              <w:right w:w="0" w:type="dxa"/>
            </w:tcMar>
            <w:hideMark/>
          </w:tcPr>
          <w:p w14:paraId="766304E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4A62</w:t>
            </w:r>
          </w:p>
        </w:tc>
      </w:tr>
      <w:tr w:rsidR="000B1324" w:rsidRPr="004C3C90" w14:paraId="07941DBD" w14:textId="77777777" w:rsidTr="00AE5872">
        <w:trPr>
          <w:trHeight w:val="20"/>
          <w:jc w:val="center"/>
        </w:trPr>
        <w:tc>
          <w:tcPr>
            <w:tcW w:w="889" w:type="dxa"/>
            <w:tcMar>
              <w:top w:w="0" w:type="dxa"/>
              <w:left w:w="0" w:type="dxa"/>
              <w:bottom w:w="0" w:type="dxa"/>
              <w:right w:w="0" w:type="dxa"/>
            </w:tcMar>
            <w:hideMark/>
          </w:tcPr>
          <w:p w14:paraId="38531BAF"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28</w:t>
            </w:r>
          </w:p>
        </w:tc>
        <w:tc>
          <w:tcPr>
            <w:tcW w:w="3204" w:type="dxa"/>
            <w:tcMar>
              <w:top w:w="0" w:type="dxa"/>
              <w:left w:w="0" w:type="dxa"/>
              <w:bottom w:w="0" w:type="dxa"/>
              <w:right w:w="0" w:type="dxa"/>
            </w:tcMar>
            <w:hideMark/>
          </w:tcPr>
          <w:p w14:paraId="6759DEB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Primary Immunodeficiency Disorders</w:t>
            </w:r>
          </w:p>
        </w:tc>
        <w:tc>
          <w:tcPr>
            <w:tcW w:w="3426" w:type="dxa"/>
            <w:tcMar>
              <w:top w:w="0" w:type="dxa"/>
              <w:left w:w="0" w:type="dxa"/>
              <w:bottom w:w="0" w:type="dxa"/>
              <w:right w:w="0" w:type="dxa"/>
            </w:tcMar>
            <w:hideMark/>
          </w:tcPr>
          <w:p w14:paraId="7DC2F48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04. Diseases of the immune system</w:t>
            </w:r>
          </w:p>
        </w:tc>
        <w:tc>
          <w:tcPr>
            <w:tcW w:w="1701" w:type="dxa"/>
            <w:tcMar>
              <w:top w:w="0" w:type="dxa"/>
              <w:left w:w="0" w:type="dxa"/>
              <w:bottom w:w="0" w:type="dxa"/>
              <w:right w:w="0" w:type="dxa"/>
            </w:tcMar>
            <w:hideMark/>
          </w:tcPr>
          <w:p w14:paraId="3B2B4F7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4A00</w:t>
            </w:r>
          </w:p>
        </w:tc>
      </w:tr>
      <w:tr w:rsidR="000B1324" w:rsidRPr="004C3C90" w14:paraId="27ADAB62" w14:textId="77777777" w:rsidTr="00AE5872">
        <w:trPr>
          <w:trHeight w:val="20"/>
          <w:jc w:val="center"/>
        </w:trPr>
        <w:tc>
          <w:tcPr>
            <w:tcW w:w="889" w:type="dxa"/>
            <w:tcMar>
              <w:top w:w="0" w:type="dxa"/>
              <w:left w:w="0" w:type="dxa"/>
              <w:bottom w:w="0" w:type="dxa"/>
              <w:right w:w="0" w:type="dxa"/>
            </w:tcMar>
            <w:hideMark/>
          </w:tcPr>
          <w:p w14:paraId="58459428"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35</w:t>
            </w:r>
          </w:p>
        </w:tc>
        <w:tc>
          <w:tcPr>
            <w:tcW w:w="3204" w:type="dxa"/>
            <w:tcMar>
              <w:top w:w="0" w:type="dxa"/>
              <w:left w:w="0" w:type="dxa"/>
              <w:bottom w:w="0" w:type="dxa"/>
              <w:right w:w="0" w:type="dxa"/>
            </w:tcMar>
            <w:hideMark/>
          </w:tcPr>
          <w:p w14:paraId="00519ABA"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Hereditary angioedema</w:t>
            </w:r>
          </w:p>
        </w:tc>
        <w:tc>
          <w:tcPr>
            <w:tcW w:w="3426" w:type="dxa"/>
            <w:tcMar>
              <w:top w:w="0" w:type="dxa"/>
              <w:left w:w="0" w:type="dxa"/>
              <w:bottom w:w="0" w:type="dxa"/>
              <w:right w:w="0" w:type="dxa"/>
            </w:tcMar>
            <w:hideMark/>
          </w:tcPr>
          <w:p w14:paraId="55A97D0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04. Diseases of the immune system</w:t>
            </w:r>
          </w:p>
        </w:tc>
        <w:tc>
          <w:tcPr>
            <w:tcW w:w="1701" w:type="dxa"/>
            <w:tcMar>
              <w:top w:w="0" w:type="dxa"/>
              <w:left w:w="0" w:type="dxa"/>
              <w:bottom w:w="0" w:type="dxa"/>
              <w:right w:w="0" w:type="dxa"/>
            </w:tcMar>
            <w:hideMark/>
          </w:tcPr>
          <w:p w14:paraId="622E5CD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4A00.14</w:t>
            </w:r>
          </w:p>
        </w:tc>
      </w:tr>
      <w:tr w:rsidR="000B1324" w:rsidRPr="004C3C90" w14:paraId="100E9287" w14:textId="77777777" w:rsidTr="00AE5872">
        <w:trPr>
          <w:trHeight w:val="20"/>
          <w:jc w:val="center"/>
        </w:trPr>
        <w:tc>
          <w:tcPr>
            <w:tcW w:w="889" w:type="dxa"/>
            <w:tcMar>
              <w:top w:w="0" w:type="dxa"/>
              <w:left w:w="0" w:type="dxa"/>
              <w:bottom w:w="0" w:type="dxa"/>
              <w:right w:w="0" w:type="dxa"/>
            </w:tcMar>
            <w:hideMark/>
          </w:tcPr>
          <w:p w14:paraId="4C94964F"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38</w:t>
            </w:r>
          </w:p>
        </w:tc>
        <w:tc>
          <w:tcPr>
            <w:tcW w:w="3204" w:type="dxa"/>
            <w:tcMar>
              <w:top w:w="0" w:type="dxa"/>
              <w:left w:w="0" w:type="dxa"/>
              <w:bottom w:w="0" w:type="dxa"/>
              <w:right w:w="0" w:type="dxa"/>
            </w:tcMar>
            <w:hideMark/>
          </w:tcPr>
          <w:p w14:paraId="7B572804"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Juvenile Idiopathic Inflammatory Myositis</w:t>
            </w:r>
          </w:p>
        </w:tc>
        <w:tc>
          <w:tcPr>
            <w:tcW w:w="3426" w:type="dxa"/>
            <w:tcMar>
              <w:top w:w="0" w:type="dxa"/>
              <w:left w:w="0" w:type="dxa"/>
              <w:bottom w:w="0" w:type="dxa"/>
              <w:right w:w="0" w:type="dxa"/>
            </w:tcMar>
            <w:hideMark/>
          </w:tcPr>
          <w:p w14:paraId="59A7210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04. Diseases of the immune system</w:t>
            </w:r>
          </w:p>
        </w:tc>
        <w:tc>
          <w:tcPr>
            <w:tcW w:w="1701" w:type="dxa"/>
            <w:tcMar>
              <w:top w:w="0" w:type="dxa"/>
              <w:left w:w="0" w:type="dxa"/>
              <w:bottom w:w="0" w:type="dxa"/>
              <w:right w:w="0" w:type="dxa"/>
            </w:tcMar>
            <w:hideMark/>
          </w:tcPr>
          <w:p w14:paraId="7BABFCC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4A41.01</w:t>
            </w:r>
          </w:p>
        </w:tc>
      </w:tr>
      <w:tr w:rsidR="000B1324" w:rsidRPr="004C3C90" w14:paraId="33E1CFB2" w14:textId="77777777" w:rsidTr="00AE5872">
        <w:trPr>
          <w:trHeight w:val="20"/>
          <w:jc w:val="center"/>
        </w:trPr>
        <w:tc>
          <w:tcPr>
            <w:tcW w:w="889" w:type="dxa"/>
            <w:tcMar>
              <w:top w:w="0" w:type="dxa"/>
              <w:left w:w="0" w:type="dxa"/>
              <w:bottom w:w="0" w:type="dxa"/>
              <w:right w:w="0" w:type="dxa"/>
            </w:tcMar>
            <w:hideMark/>
          </w:tcPr>
          <w:p w14:paraId="1A180C4D"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82</w:t>
            </w:r>
          </w:p>
        </w:tc>
        <w:tc>
          <w:tcPr>
            <w:tcW w:w="3204" w:type="dxa"/>
            <w:tcMar>
              <w:top w:w="0" w:type="dxa"/>
              <w:left w:w="0" w:type="dxa"/>
              <w:bottom w:w="0" w:type="dxa"/>
              <w:right w:w="0" w:type="dxa"/>
            </w:tcMar>
            <w:hideMark/>
          </w:tcPr>
          <w:p w14:paraId="279CB5D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Vasculitis</w:t>
            </w:r>
            <w:r w:rsidRPr="004C3C90">
              <w:rPr>
                <w:rFonts w:ascii="Times New Roman" w:eastAsia="굴림" w:hAnsi="Times New Roman" w:cs="Times New Roman"/>
                <w:sz w:val="20"/>
                <w:szCs w:val="20"/>
              </w:rPr>
              <w:t xml:space="preserve"> </w:t>
            </w:r>
            <w:r w:rsidRPr="004C3C90">
              <w:rPr>
                <w:rFonts w:ascii="Times New Roman" w:eastAsia="맑은 고딕" w:hAnsi="Times New Roman" w:cs="Times New Roman"/>
                <w:sz w:val="20"/>
                <w:szCs w:val="20"/>
              </w:rPr>
              <w:t>Lupus</w:t>
            </w:r>
          </w:p>
        </w:tc>
        <w:tc>
          <w:tcPr>
            <w:tcW w:w="3426" w:type="dxa"/>
            <w:tcMar>
              <w:top w:w="0" w:type="dxa"/>
              <w:left w:w="0" w:type="dxa"/>
              <w:bottom w:w="0" w:type="dxa"/>
              <w:right w:w="0" w:type="dxa"/>
            </w:tcMar>
            <w:hideMark/>
          </w:tcPr>
          <w:p w14:paraId="41F9116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04. Diseases of the immune system</w:t>
            </w:r>
          </w:p>
        </w:tc>
        <w:tc>
          <w:tcPr>
            <w:tcW w:w="1701" w:type="dxa"/>
            <w:tcMar>
              <w:top w:w="0" w:type="dxa"/>
              <w:left w:w="0" w:type="dxa"/>
              <w:bottom w:w="0" w:type="dxa"/>
              <w:right w:w="0" w:type="dxa"/>
            </w:tcMar>
            <w:hideMark/>
          </w:tcPr>
          <w:p w14:paraId="0B1EB3BB"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4A40.Z + 4A44</w:t>
            </w:r>
          </w:p>
        </w:tc>
      </w:tr>
      <w:tr w:rsidR="000B1324" w:rsidRPr="004C3C90" w14:paraId="3EC9ED04" w14:textId="77777777" w:rsidTr="00AE5872">
        <w:trPr>
          <w:trHeight w:val="20"/>
          <w:jc w:val="center"/>
        </w:trPr>
        <w:tc>
          <w:tcPr>
            <w:tcW w:w="889" w:type="dxa"/>
            <w:tcMar>
              <w:top w:w="0" w:type="dxa"/>
              <w:left w:w="0" w:type="dxa"/>
              <w:bottom w:w="0" w:type="dxa"/>
              <w:right w:w="0" w:type="dxa"/>
            </w:tcMar>
            <w:hideMark/>
          </w:tcPr>
          <w:p w14:paraId="78E9B36E"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106</w:t>
            </w:r>
          </w:p>
        </w:tc>
        <w:tc>
          <w:tcPr>
            <w:tcW w:w="3204" w:type="dxa"/>
            <w:tcMar>
              <w:top w:w="0" w:type="dxa"/>
              <w:left w:w="0" w:type="dxa"/>
              <w:bottom w:w="0" w:type="dxa"/>
              <w:right w:w="0" w:type="dxa"/>
            </w:tcMar>
            <w:hideMark/>
          </w:tcPr>
          <w:p w14:paraId="3895860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Vasculitis</w:t>
            </w:r>
          </w:p>
        </w:tc>
        <w:tc>
          <w:tcPr>
            <w:tcW w:w="3426" w:type="dxa"/>
            <w:tcMar>
              <w:top w:w="0" w:type="dxa"/>
              <w:left w:w="0" w:type="dxa"/>
              <w:bottom w:w="0" w:type="dxa"/>
              <w:right w:w="0" w:type="dxa"/>
            </w:tcMar>
            <w:hideMark/>
          </w:tcPr>
          <w:p w14:paraId="5B42EF1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04. Diseases of the immune system</w:t>
            </w:r>
          </w:p>
        </w:tc>
        <w:tc>
          <w:tcPr>
            <w:tcW w:w="1701" w:type="dxa"/>
            <w:tcMar>
              <w:top w:w="0" w:type="dxa"/>
              <w:left w:w="0" w:type="dxa"/>
              <w:bottom w:w="0" w:type="dxa"/>
              <w:right w:w="0" w:type="dxa"/>
            </w:tcMar>
            <w:hideMark/>
          </w:tcPr>
          <w:p w14:paraId="31DB229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4A44</w:t>
            </w:r>
          </w:p>
        </w:tc>
      </w:tr>
      <w:tr w:rsidR="000B1324" w:rsidRPr="004C3C90" w14:paraId="43317B14" w14:textId="77777777" w:rsidTr="00AE5872">
        <w:trPr>
          <w:trHeight w:val="20"/>
          <w:jc w:val="center"/>
        </w:trPr>
        <w:tc>
          <w:tcPr>
            <w:tcW w:w="889" w:type="dxa"/>
            <w:tcMar>
              <w:top w:w="0" w:type="dxa"/>
              <w:left w:w="0" w:type="dxa"/>
              <w:bottom w:w="0" w:type="dxa"/>
              <w:right w:w="0" w:type="dxa"/>
            </w:tcMar>
            <w:hideMark/>
          </w:tcPr>
          <w:p w14:paraId="63969236"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112</w:t>
            </w:r>
          </w:p>
        </w:tc>
        <w:tc>
          <w:tcPr>
            <w:tcW w:w="3204" w:type="dxa"/>
            <w:tcMar>
              <w:top w:w="0" w:type="dxa"/>
              <w:left w:w="0" w:type="dxa"/>
              <w:bottom w:w="0" w:type="dxa"/>
              <w:right w:w="0" w:type="dxa"/>
            </w:tcMar>
            <w:hideMark/>
          </w:tcPr>
          <w:p w14:paraId="227400B4"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Takayasu's Arteritis</w:t>
            </w:r>
          </w:p>
        </w:tc>
        <w:tc>
          <w:tcPr>
            <w:tcW w:w="3426" w:type="dxa"/>
            <w:tcMar>
              <w:top w:w="0" w:type="dxa"/>
              <w:left w:w="0" w:type="dxa"/>
              <w:bottom w:w="0" w:type="dxa"/>
              <w:right w:w="0" w:type="dxa"/>
            </w:tcMar>
            <w:hideMark/>
          </w:tcPr>
          <w:p w14:paraId="574BC01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04. Diseases of the immune system</w:t>
            </w:r>
          </w:p>
        </w:tc>
        <w:tc>
          <w:tcPr>
            <w:tcW w:w="1701" w:type="dxa"/>
            <w:tcMar>
              <w:top w:w="0" w:type="dxa"/>
              <w:left w:w="0" w:type="dxa"/>
              <w:bottom w:w="0" w:type="dxa"/>
              <w:right w:w="0" w:type="dxa"/>
            </w:tcMar>
            <w:hideMark/>
          </w:tcPr>
          <w:p w14:paraId="1016511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4A44.1</w:t>
            </w:r>
          </w:p>
        </w:tc>
      </w:tr>
      <w:tr w:rsidR="000B1324" w:rsidRPr="004C3C90" w14:paraId="353A76DB" w14:textId="77777777" w:rsidTr="00AE5872">
        <w:trPr>
          <w:trHeight w:val="20"/>
          <w:jc w:val="center"/>
        </w:trPr>
        <w:tc>
          <w:tcPr>
            <w:tcW w:w="889" w:type="dxa"/>
            <w:tcMar>
              <w:top w:w="0" w:type="dxa"/>
              <w:left w:w="0" w:type="dxa"/>
              <w:bottom w:w="0" w:type="dxa"/>
              <w:right w:w="0" w:type="dxa"/>
            </w:tcMar>
            <w:hideMark/>
          </w:tcPr>
          <w:p w14:paraId="5C4B900C"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w:t>
            </w:r>
          </w:p>
        </w:tc>
        <w:tc>
          <w:tcPr>
            <w:tcW w:w="3204" w:type="dxa"/>
            <w:tcMar>
              <w:top w:w="0" w:type="dxa"/>
              <w:left w:w="0" w:type="dxa"/>
              <w:bottom w:w="0" w:type="dxa"/>
              <w:right w:w="0" w:type="dxa"/>
            </w:tcMar>
            <w:hideMark/>
          </w:tcPr>
          <w:p w14:paraId="59E1F7C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Alkaptonuria</w:t>
            </w:r>
          </w:p>
        </w:tc>
        <w:tc>
          <w:tcPr>
            <w:tcW w:w="3426" w:type="dxa"/>
            <w:tcMar>
              <w:top w:w="0" w:type="dxa"/>
              <w:left w:w="0" w:type="dxa"/>
              <w:bottom w:w="0" w:type="dxa"/>
              <w:right w:w="0" w:type="dxa"/>
            </w:tcMar>
            <w:hideMark/>
          </w:tcPr>
          <w:p w14:paraId="4CEB317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75D6319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5C50.10</w:t>
            </w:r>
          </w:p>
        </w:tc>
      </w:tr>
      <w:tr w:rsidR="000B1324" w:rsidRPr="004C3C90" w14:paraId="67DC539F" w14:textId="77777777" w:rsidTr="00AE5872">
        <w:trPr>
          <w:trHeight w:val="20"/>
          <w:jc w:val="center"/>
        </w:trPr>
        <w:tc>
          <w:tcPr>
            <w:tcW w:w="889" w:type="dxa"/>
            <w:tcMar>
              <w:top w:w="0" w:type="dxa"/>
              <w:left w:w="0" w:type="dxa"/>
              <w:bottom w:w="0" w:type="dxa"/>
              <w:right w:w="0" w:type="dxa"/>
            </w:tcMar>
            <w:hideMark/>
          </w:tcPr>
          <w:p w14:paraId="1EEE7E29"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9</w:t>
            </w:r>
          </w:p>
        </w:tc>
        <w:tc>
          <w:tcPr>
            <w:tcW w:w="3204" w:type="dxa"/>
            <w:tcMar>
              <w:top w:w="0" w:type="dxa"/>
              <w:left w:w="0" w:type="dxa"/>
              <w:bottom w:w="0" w:type="dxa"/>
              <w:right w:w="0" w:type="dxa"/>
            </w:tcMar>
            <w:hideMark/>
          </w:tcPr>
          <w:p w14:paraId="3E6AB32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Liver Glycogen Storage Disease</w:t>
            </w:r>
          </w:p>
        </w:tc>
        <w:tc>
          <w:tcPr>
            <w:tcW w:w="3426" w:type="dxa"/>
            <w:tcMar>
              <w:top w:w="0" w:type="dxa"/>
              <w:left w:w="0" w:type="dxa"/>
              <w:bottom w:w="0" w:type="dxa"/>
              <w:right w:w="0" w:type="dxa"/>
            </w:tcMar>
            <w:hideMark/>
          </w:tcPr>
          <w:p w14:paraId="1E66B05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64889C2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5C51.3</w:t>
            </w:r>
          </w:p>
        </w:tc>
      </w:tr>
      <w:tr w:rsidR="000B1324" w:rsidRPr="004C3C90" w14:paraId="11442C2C" w14:textId="77777777" w:rsidTr="00AE5872">
        <w:trPr>
          <w:trHeight w:val="20"/>
          <w:jc w:val="center"/>
        </w:trPr>
        <w:tc>
          <w:tcPr>
            <w:tcW w:w="889" w:type="dxa"/>
            <w:tcMar>
              <w:top w:w="0" w:type="dxa"/>
              <w:left w:w="0" w:type="dxa"/>
              <w:bottom w:w="0" w:type="dxa"/>
              <w:right w:w="0" w:type="dxa"/>
            </w:tcMar>
            <w:hideMark/>
          </w:tcPr>
          <w:p w14:paraId="0A80DC79"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13</w:t>
            </w:r>
          </w:p>
        </w:tc>
        <w:tc>
          <w:tcPr>
            <w:tcW w:w="3204" w:type="dxa"/>
            <w:tcMar>
              <w:top w:w="0" w:type="dxa"/>
              <w:left w:w="0" w:type="dxa"/>
              <w:bottom w:w="0" w:type="dxa"/>
              <w:right w:w="0" w:type="dxa"/>
            </w:tcMar>
            <w:hideMark/>
          </w:tcPr>
          <w:p w14:paraId="0C96BC0B"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Congenital disorder of glycosylation</w:t>
            </w:r>
          </w:p>
        </w:tc>
        <w:tc>
          <w:tcPr>
            <w:tcW w:w="3426" w:type="dxa"/>
            <w:tcMar>
              <w:top w:w="0" w:type="dxa"/>
              <w:left w:w="0" w:type="dxa"/>
              <w:bottom w:w="0" w:type="dxa"/>
              <w:right w:w="0" w:type="dxa"/>
            </w:tcMar>
            <w:hideMark/>
          </w:tcPr>
          <w:p w14:paraId="0DB89A5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7E0497E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5C54.0</w:t>
            </w:r>
          </w:p>
        </w:tc>
      </w:tr>
      <w:tr w:rsidR="000B1324" w:rsidRPr="004C3C90" w14:paraId="3F134592" w14:textId="77777777" w:rsidTr="00AE5872">
        <w:trPr>
          <w:trHeight w:val="20"/>
          <w:jc w:val="center"/>
        </w:trPr>
        <w:tc>
          <w:tcPr>
            <w:tcW w:w="889" w:type="dxa"/>
            <w:tcMar>
              <w:top w:w="0" w:type="dxa"/>
              <w:left w:w="0" w:type="dxa"/>
              <w:bottom w:w="0" w:type="dxa"/>
              <w:right w:w="0" w:type="dxa"/>
            </w:tcMar>
            <w:hideMark/>
          </w:tcPr>
          <w:p w14:paraId="7F5F50BF"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14</w:t>
            </w:r>
          </w:p>
        </w:tc>
        <w:tc>
          <w:tcPr>
            <w:tcW w:w="3204" w:type="dxa"/>
            <w:tcMar>
              <w:top w:w="0" w:type="dxa"/>
              <w:left w:w="0" w:type="dxa"/>
              <w:bottom w:w="0" w:type="dxa"/>
              <w:right w:w="0" w:type="dxa"/>
            </w:tcMar>
            <w:hideMark/>
          </w:tcPr>
          <w:p w14:paraId="06A9BB8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Mucopolysaccharidosis Type I</w:t>
            </w:r>
          </w:p>
        </w:tc>
        <w:tc>
          <w:tcPr>
            <w:tcW w:w="3426" w:type="dxa"/>
            <w:tcMar>
              <w:top w:w="0" w:type="dxa"/>
              <w:left w:w="0" w:type="dxa"/>
              <w:bottom w:w="0" w:type="dxa"/>
              <w:right w:w="0" w:type="dxa"/>
            </w:tcMar>
            <w:hideMark/>
          </w:tcPr>
          <w:p w14:paraId="388B111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4A1C69CA"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5C56.30</w:t>
            </w:r>
          </w:p>
        </w:tc>
      </w:tr>
      <w:tr w:rsidR="000B1324" w:rsidRPr="004C3C90" w14:paraId="573AAE17" w14:textId="77777777" w:rsidTr="00AE5872">
        <w:trPr>
          <w:trHeight w:val="20"/>
          <w:jc w:val="center"/>
        </w:trPr>
        <w:tc>
          <w:tcPr>
            <w:tcW w:w="889" w:type="dxa"/>
            <w:tcMar>
              <w:top w:w="0" w:type="dxa"/>
              <w:left w:w="0" w:type="dxa"/>
              <w:bottom w:w="0" w:type="dxa"/>
              <w:right w:w="0" w:type="dxa"/>
            </w:tcMar>
            <w:hideMark/>
          </w:tcPr>
          <w:p w14:paraId="6160CE0D"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17</w:t>
            </w:r>
          </w:p>
        </w:tc>
        <w:tc>
          <w:tcPr>
            <w:tcW w:w="3204" w:type="dxa"/>
            <w:tcMar>
              <w:top w:w="0" w:type="dxa"/>
              <w:left w:w="0" w:type="dxa"/>
              <w:bottom w:w="0" w:type="dxa"/>
              <w:right w:w="0" w:type="dxa"/>
            </w:tcMar>
            <w:hideMark/>
          </w:tcPr>
          <w:p w14:paraId="59CDA4A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Hypophosphatasia</w:t>
            </w:r>
          </w:p>
        </w:tc>
        <w:tc>
          <w:tcPr>
            <w:tcW w:w="3426" w:type="dxa"/>
            <w:tcMar>
              <w:top w:w="0" w:type="dxa"/>
              <w:left w:w="0" w:type="dxa"/>
              <w:bottom w:w="0" w:type="dxa"/>
              <w:right w:w="0" w:type="dxa"/>
            </w:tcMar>
            <w:hideMark/>
          </w:tcPr>
          <w:p w14:paraId="4132BC5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527114E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5C64.3</w:t>
            </w:r>
          </w:p>
        </w:tc>
      </w:tr>
      <w:tr w:rsidR="000B1324" w:rsidRPr="004C3C90" w14:paraId="097E2F49" w14:textId="77777777" w:rsidTr="00AE5872">
        <w:trPr>
          <w:trHeight w:val="20"/>
          <w:jc w:val="center"/>
        </w:trPr>
        <w:tc>
          <w:tcPr>
            <w:tcW w:w="889" w:type="dxa"/>
            <w:tcMar>
              <w:top w:w="0" w:type="dxa"/>
              <w:left w:w="0" w:type="dxa"/>
              <w:bottom w:w="0" w:type="dxa"/>
              <w:right w:w="0" w:type="dxa"/>
            </w:tcMar>
            <w:hideMark/>
          </w:tcPr>
          <w:p w14:paraId="01358499"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25</w:t>
            </w:r>
          </w:p>
        </w:tc>
        <w:tc>
          <w:tcPr>
            <w:tcW w:w="3204" w:type="dxa"/>
            <w:tcMar>
              <w:top w:w="0" w:type="dxa"/>
              <w:left w:w="0" w:type="dxa"/>
              <w:bottom w:w="0" w:type="dxa"/>
              <w:right w:w="0" w:type="dxa"/>
            </w:tcMar>
            <w:hideMark/>
          </w:tcPr>
          <w:p w14:paraId="7D2C85B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Mucopolysaccharidosis Type VII</w:t>
            </w:r>
          </w:p>
        </w:tc>
        <w:tc>
          <w:tcPr>
            <w:tcW w:w="3426" w:type="dxa"/>
            <w:tcMar>
              <w:top w:w="0" w:type="dxa"/>
              <w:left w:w="0" w:type="dxa"/>
              <w:bottom w:w="0" w:type="dxa"/>
              <w:right w:w="0" w:type="dxa"/>
            </w:tcMar>
            <w:hideMark/>
          </w:tcPr>
          <w:p w14:paraId="3011ECA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3AAFE8A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5C56.3Y</w:t>
            </w:r>
          </w:p>
        </w:tc>
      </w:tr>
      <w:tr w:rsidR="000B1324" w:rsidRPr="004C3C90" w14:paraId="6B3C7E64" w14:textId="77777777" w:rsidTr="00AE5872">
        <w:trPr>
          <w:trHeight w:val="20"/>
          <w:jc w:val="center"/>
        </w:trPr>
        <w:tc>
          <w:tcPr>
            <w:tcW w:w="889" w:type="dxa"/>
            <w:tcMar>
              <w:top w:w="0" w:type="dxa"/>
              <w:left w:w="0" w:type="dxa"/>
              <w:bottom w:w="0" w:type="dxa"/>
              <w:right w:w="0" w:type="dxa"/>
            </w:tcMar>
            <w:hideMark/>
          </w:tcPr>
          <w:p w14:paraId="48E8AF5A"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39</w:t>
            </w:r>
          </w:p>
        </w:tc>
        <w:tc>
          <w:tcPr>
            <w:tcW w:w="3204" w:type="dxa"/>
            <w:tcMar>
              <w:top w:w="0" w:type="dxa"/>
              <w:left w:w="0" w:type="dxa"/>
              <w:bottom w:w="0" w:type="dxa"/>
              <w:right w:w="0" w:type="dxa"/>
            </w:tcMar>
            <w:hideMark/>
          </w:tcPr>
          <w:p w14:paraId="219BF38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Mucopolysaccharidosis</w:t>
            </w:r>
          </w:p>
        </w:tc>
        <w:tc>
          <w:tcPr>
            <w:tcW w:w="3426" w:type="dxa"/>
            <w:tcMar>
              <w:top w:w="0" w:type="dxa"/>
              <w:left w:w="0" w:type="dxa"/>
              <w:bottom w:w="0" w:type="dxa"/>
              <w:right w:w="0" w:type="dxa"/>
            </w:tcMar>
            <w:hideMark/>
          </w:tcPr>
          <w:p w14:paraId="76D94D3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097511E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5C56.3</w:t>
            </w:r>
          </w:p>
        </w:tc>
      </w:tr>
      <w:tr w:rsidR="000B1324" w:rsidRPr="004C3C90" w14:paraId="257384A8" w14:textId="77777777" w:rsidTr="00AE5872">
        <w:trPr>
          <w:trHeight w:val="20"/>
          <w:jc w:val="center"/>
        </w:trPr>
        <w:tc>
          <w:tcPr>
            <w:tcW w:w="889" w:type="dxa"/>
            <w:tcMar>
              <w:top w:w="0" w:type="dxa"/>
              <w:left w:w="0" w:type="dxa"/>
              <w:bottom w:w="0" w:type="dxa"/>
              <w:right w:w="0" w:type="dxa"/>
            </w:tcMar>
            <w:hideMark/>
          </w:tcPr>
          <w:p w14:paraId="0AC9BA5E"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43</w:t>
            </w:r>
          </w:p>
        </w:tc>
        <w:tc>
          <w:tcPr>
            <w:tcW w:w="3204" w:type="dxa"/>
            <w:tcMar>
              <w:top w:w="0" w:type="dxa"/>
              <w:left w:w="0" w:type="dxa"/>
              <w:bottom w:w="0" w:type="dxa"/>
              <w:right w:w="0" w:type="dxa"/>
            </w:tcMar>
            <w:hideMark/>
          </w:tcPr>
          <w:p w14:paraId="77FF5B5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Light Chain Amyloidosis</w:t>
            </w:r>
          </w:p>
        </w:tc>
        <w:tc>
          <w:tcPr>
            <w:tcW w:w="3426" w:type="dxa"/>
            <w:tcMar>
              <w:top w:w="0" w:type="dxa"/>
              <w:left w:w="0" w:type="dxa"/>
              <w:bottom w:w="0" w:type="dxa"/>
              <w:right w:w="0" w:type="dxa"/>
            </w:tcMar>
            <w:hideMark/>
          </w:tcPr>
          <w:p w14:paraId="1A5F5B5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573EF61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5D00.0</w:t>
            </w:r>
          </w:p>
        </w:tc>
      </w:tr>
      <w:tr w:rsidR="000B1324" w:rsidRPr="004C3C90" w14:paraId="2A484D2B" w14:textId="77777777" w:rsidTr="00AE5872">
        <w:trPr>
          <w:trHeight w:val="20"/>
          <w:jc w:val="center"/>
        </w:trPr>
        <w:tc>
          <w:tcPr>
            <w:tcW w:w="889" w:type="dxa"/>
            <w:tcMar>
              <w:top w:w="0" w:type="dxa"/>
              <w:left w:w="0" w:type="dxa"/>
              <w:bottom w:w="0" w:type="dxa"/>
              <w:right w:w="0" w:type="dxa"/>
            </w:tcMar>
            <w:hideMark/>
          </w:tcPr>
          <w:p w14:paraId="5BB4F2A0"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45</w:t>
            </w:r>
          </w:p>
        </w:tc>
        <w:tc>
          <w:tcPr>
            <w:tcW w:w="3204" w:type="dxa"/>
            <w:tcMar>
              <w:top w:w="0" w:type="dxa"/>
              <w:left w:w="0" w:type="dxa"/>
              <w:bottom w:w="0" w:type="dxa"/>
              <w:right w:w="0" w:type="dxa"/>
            </w:tcMar>
            <w:hideMark/>
          </w:tcPr>
          <w:p w14:paraId="47CCDCE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Acromegaly</w:t>
            </w:r>
          </w:p>
        </w:tc>
        <w:tc>
          <w:tcPr>
            <w:tcW w:w="3426" w:type="dxa"/>
            <w:tcMar>
              <w:top w:w="0" w:type="dxa"/>
              <w:left w:w="0" w:type="dxa"/>
              <w:bottom w:w="0" w:type="dxa"/>
              <w:right w:w="0" w:type="dxa"/>
            </w:tcMar>
            <w:hideMark/>
          </w:tcPr>
          <w:p w14:paraId="1943A8F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53B6E3A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5A60.0</w:t>
            </w:r>
          </w:p>
        </w:tc>
      </w:tr>
      <w:tr w:rsidR="000B1324" w:rsidRPr="004C3C90" w14:paraId="17D45F45" w14:textId="77777777" w:rsidTr="00AE5872">
        <w:trPr>
          <w:trHeight w:val="20"/>
          <w:jc w:val="center"/>
        </w:trPr>
        <w:tc>
          <w:tcPr>
            <w:tcW w:w="889" w:type="dxa"/>
            <w:tcMar>
              <w:top w:w="0" w:type="dxa"/>
              <w:left w:w="0" w:type="dxa"/>
              <w:bottom w:w="0" w:type="dxa"/>
              <w:right w:w="0" w:type="dxa"/>
            </w:tcMar>
            <w:hideMark/>
          </w:tcPr>
          <w:p w14:paraId="32C539BF"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52</w:t>
            </w:r>
          </w:p>
        </w:tc>
        <w:tc>
          <w:tcPr>
            <w:tcW w:w="3204" w:type="dxa"/>
            <w:tcMar>
              <w:top w:w="0" w:type="dxa"/>
              <w:left w:w="0" w:type="dxa"/>
              <w:bottom w:w="0" w:type="dxa"/>
              <w:right w:w="0" w:type="dxa"/>
            </w:tcMar>
            <w:hideMark/>
          </w:tcPr>
          <w:p w14:paraId="5345270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Fabry’s(-Anderson) disease</w:t>
            </w:r>
          </w:p>
        </w:tc>
        <w:tc>
          <w:tcPr>
            <w:tcW w:w="3426" w:type="dxa"/>
            <w:tcMar>
              <w:top w:w="0" w:type="dxa"/>
              <w:left w:w="0" w:type="dxa"/>
              <w:bottom w:w="0" w:type="dxa"/>
              <w:right w:w="0" w:type="dxa"/>
            </w:tcMar>
            <w:hideMark/>
          </w:tcPr>
          <w:p w14:paraId="1EF7452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0F24F4EA"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5C56.01</w:t>
            </w:r>
          </w:p>
        </w:tc>
      </w:tr>
      <w:tr w:rsidR="000B1324" w:rsidRPr="004C3C90" w14:paraId="20E19A50" w14:textId="77777777" w:rsidTr="00AE5872">
        <w:trPr>
          <w:trHeight w:val="20"/>
          <w:jc w:val="center"/>
        </w:trPr>
        <w:tc>
          <w:tcPr>
            <w:tcW w:w="889" w:type="dxa"/>
            <w:tcMar>
              <w:top w:w="0" w:type="dxa"/>
              <w:left w:w="0" w:type="dxa"/>
              <w:bottom w:w="0" w:type="dxa"/>
              <w:right w:w="0" w:type="dxa"/>
            </w:tcMar>
            <w:hideMark/>
          </w:tcPr>
          <w:p w14:paraId="49579EA0"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54</w:t>
            </w:r>
          </w:p>
        </w:tc>
        <w:tc>
          <w:tcPr>
            <w:tcW w:w="3204" w:type="dxa"/>
            <w:tcMar>
              <w:top w:w="0" w:type="dxa"/>
              <w:left w:w="0" w:type="dxa"/>
              <w:bottom w:w="0" w:type="dxa"/>
              <w:right w:w="0" w:type="dxa"/>
            </w:tcMar>
            <w:hideMark/>
          </w:tcPr>
          <w:p w14:paraId="416D41A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α-1-Antitrypsin deficiency</w:t>
            </w:r>
          </w:p>
        </w:tc>
        <w:tc>
          <w:tcPr>
            <w:tcW w:w="3426" w:type="dxa"/>
            <w:tcMar>
              <w:top w:w="0" w:type="dxa"/>
              <w:left w:w="0" w:type="dxa"/>
              <w:bottom w:w="0" w:type="dxa"/>
              <w:right w:w="0" w:type="dxa"/>
            </w:tcMar>
            <w:hideMark/>
          </w:tcPr>
          <w:p w14:paraId="177D9D1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4900058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5C5A</w:t>
            </w:r>
          </w:p>
        </w:tc>
      </w:tr>
      <w:tr w:rsidR="000B1324" w:rsidRPr="004C3C90" w14:paraId="19E415F1" w14:textId="77777777" w:rsidTr="00AE5872">
        <w:trPr>
          <w:trHeight w:val="20"/>
          <w:jc w:val="center"/>
        </w:trPr>
        <w:tc>
          <w:tcPr>
            <w:tcW w:w="889" w:type="dxa"/>
            <w:tcMar>
              <w:top w:w="0" w:type="dxa"/>
              <w:left w:w="0" w:type="dxa"/>
              <w:bottom w:w="0" w:type="dxa"/>
              <w:right w:w="0" w:type="dxa"/>
            </w:tcMar>
            <w:hideMark/>
          </w:tcPr>
          <w:p w14:paraId="09E9A95C"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65</w:t>
            </w:r>
          </w:p>
        </w:tc>
        <w:tc>
          <w:tcPr>
            <w:tcW w:w="3204" w:type="dxa"/>
            <w:tcMar>
              <w:top w:w="0" w:type="dxa"/>
              <w:left w:w="0" w:type="dxa"/>
              <w:bottom w:w="0" w:type="dxa"/>
              <w:right w:w="0" w:type="dxa"/>
            </w:tcMar>
            <w:hideMark/>
          </w:tcPr>
          <w:p w14:paraId="6412EE0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Fabry’s(-Anderson) disease</w:t>
            </w:r>
          </w:p>
        </w:tc>
        <w:tc>
          <w:tcPr>
            <w:tcW w:w="3426" w:type="dxa"/>
            <w:tcMar>
              <w:top w:w="0" w:type="dxa"/>
              <w:left w:w="0" w:type="dxa"/>
              <w:bottom w:w="0" w:type="dxa"/>
              <w:right w:w="0" w:type="dxa"/>
            </w:tcMar>
            <w:hideMark/>
          </w:tcPr>
          <w:p w14:paraId="4542B14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2A97BAC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5C56.01</w:t>
            </w:r>
          </w:p>
        </w:tc>
      </w:tr>
      <w:tr w:rsidR="000B1324" w:rsidRPr="004C3C90" w14:paraId="1A445153" w14:textId="77777777" w:rsidTr="00AE5872">
        <w:trPr>
          <w:trHeight w:val="20"/>
          <w:jc w:val="center"/>
        </w:trPr>
        <w:tc>
          <w:tcPr>
            <w:tcW w:w="889" w:type="dxa"/>
            <w:tcMar>
              <w:top w:w="0" w:type="dxa"/>
              <w:left w:w="0" w:type="dxa"/>
              <w:bottom w:w="0" w:type="dxa"/>
              <w:right w:w="0" w:type="dxa"/>
            </w:tcMar>
            <w:hideMark/>
          </w:tcPr>
          <w:p w14:paraId="5E2A8F3F"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66</w:t>
            </w:r>
          </w:p>
        </w:tc>
        <w:tc>
          <w:tcPr>
            <w:tcW w:w="3204" w:type="dxa"/>
            <w:tcMar>
              <w:top w:w="0" w:type="dxa"/>
              <w:left w:w="0" w:type="dxa"/>
              <w:bottom w:w="0" w:type="dxa"/>
              <w:right w:w="0" w:type="dxa"/>
            </w:tcMar>
            <w:hideMark/>
          </w:tcPr>
          <w:p w14:paraId="21C655C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Light Chain Amlyoidosis</w:t>
            </w:r>
          </w:p>
        </w:tc>
        <w:tc>
          <w:tcPr>
            <w:tcW w:w="3426" w:type="dxa"/>
            <w:tcMar>
              <w:top w:w="0" w:type="dxa"/>
              <w:left w:w="0" w:type="dxa"/>
              <w:bottom w:w="0" w:type="dxa"/>
              <w:right w:w="0" w:type="dxa"/>
            </w:tcMar>
            <w:hideMark/>
          </w:tcPr>
          <w:p w14:paraId="50D590BA"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2C1E1CD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5D00.0</w:t>
            </w:r>
          </w:p>
        </w:tc>
      </w:tr>
      <w:tr w:rsidR="000B1324" w:rsidRPr="004C3C90" w14:paraId="77F2AB80" w14:textId="77777777" w:rsidTr="00AE5872">
        <w:trPr>
          <w:trHeight w:val="20"/>
          <w:jc w:val="center"/>
        </w:trPr>
        <w:tc>
          <w:tcPr>
            <w:tcW w:w="889" w:type="dxa"/>
            <w:tcMar>
              <w:top w:w="0" w:type="dxa"/>
              <w:left w:w="0" w:type="dxa"/>
              <w:bottom w:w="0" w:type="dxa"/>
              <w:right w:w="0" w:type="dxa"/>
            </w:tcMar>
            <w:hideMark/>
          </w:tcPr>
          <w:p w14:paraId="49F096FF"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78</w:t>
            </w:r>
          </w:p>
        </w:tc>
        <w:tc>
          <w:tcPr>
            <w:tcW w:w="3204" w:type="dxa"/>
            <w:tcMar>
              <w:top w:w="0" w:type="dxa"/>
              <w:left w:w="0" w:type="dxa"/>
              <w:bottom w:w="0" w:type="dxa"/>
              <w:right w:w="0" w:type="dxa"/>
            </w:tcMar>
            <w:hideMark/>
          </w:tcPr>
          <w:p w14:paraId="2DDD972B"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Mucopolysaccharidosis</w:t>
            </w:r>
          </w:p>
        </w:tc>
        <w:tc>
          <w:tcPr>
            <w:tcW w:w="3426" w:type="dxa"/>
            <w:tcMar>
              <w:top w:w="0" w:type="dxa"/>
              <w:left w:w="0" w:type="dxa"/>
              <w:bottom w:w="0" w:type="dxa"/>
              <w:right w:w="0" w:type="dxa"/>
            </w:tcMar>
            <w:hideMark/>
          </w:tcPr>
          <w:p w14:paraId="28FD20F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11E777F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5C56.3</w:t>
            </w:r>
          </w:p>
        </w:tc>
      </w:tr>
      <w:tr w:rsidR="000B1324" w:rsidRPr="004C3C90" w14:paraId="1266BFE8" w14:textId="77777777" w:rsidTr="00AE5872">
        <w:trPr>
          <w:trHeight w:val="20"/>
          <w:jc w:val="center"/>
        </w:trPr>
        <w:tc>
          <w:tcPr>
            <w:tcW w:w="889" w:type="dxa"/>
            <w:tcMar>
              <w:top w:w="0" w:type="dxa"/>
              <w:left w:w="0" w:type="dxa"/>
              <w:bottom w:w="0" w:type="dxa"/>
              <w:right w:w="0" w:type="dxa"/>
            </w:tcMar>
            <w:hideMark/>
          </w:tcPr>
          <w:p w14:paraId="33AA4D1B"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84</w:t>
            </w:r>
          </w:p>
        </w:tc>
        <w:tc>
          <w:tcPr>
            <w:tcW w:w="3204" w:type="dxa"/>
            <w:tcMar>
              <w:top w:w="0" w:type="dxa"/>
              <w:left w:w="0" w:type="dxa"/>
              <w:bottom w:w="0" w:type="dxa"/>
              <w:right w:w="0" w:type="dxa"/>
            </w:tcMar>
            <w:hideMark/>
          </w:tcPr>
          <w:p w14:paraId="275CC52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Phenylketonuria</w:t>
            </w:r>
          </w:p>
        </w:tc>
        <w:tc>
          <w:tcPr>
            <w:tcW w:w="3426" w:type="dxa"/>
            <w:tcMar>
              <w:top w:w="0" w:type="dxa"/>
              <w:left w:w="0" w:type="dxa"/>
              <w:bottom w:w="0" w:type="dxa"/>
              <w:right w:w="0" w:type="dxa"/>
            </w:tcMar>
            <w:hideMark/>
          </w:tcPr>
          <w:p w14:paraId="2D0503F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3475486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5C50.0</w:t>
            </w:r>
          </w:p>
        </w:tc>
      </w:tr>
      <w:tr w:rsidR="000B1324" w:rsidRPr="004C3C90" w14:paraId="31A3A790" w14:textId="77777777" w:rsidTr="00AE5872">
        <w:trPr>
          <w:trHeight w:val="20"/>
          <w:jc w:val="center"/>
        </w:trPr>
        <w:tc>
          <w:tcPr>
            <w:tcW w:w="889" w:type="dxa"/>
            <w:tcMar>
              <w:top w:w="0" w:type="dxa"/>
              <w:left w:w="0" w:type="dxa"/>
              <w:bottom w:w="0" w:type="dxa"/>
              <w:right w:w="0" w:type="dxa"/>
            </w:tcMar>
            <w:hideMark/>
          </w:tcPr>
          <w:p w14:paraId="0ADCD4C4"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lastRenderedPageBreak/>
              <w:t>96</w:t>
            </w:r>
          </w:p>
        </w:tc>
        <w:tc>
          <w:tcPr>
            <w:tcW w:w="3204" w:type="dxa"/>
            <w:tcMar>
              <w:top w:w="0" w:type="dxa"/>
              <w:left w:w="0" w:type="dxa"/>
              <w:bottom w:w="0" w:type="dxa"/>
              <w:right w:w="0" w:type="dxa"/>
            </w:tcMar>
            <w:hideMark/>
          </w:tcPr>
          <w:p w14:paraId="54DB207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Morquio syndrome</w:t>
            </w:r>
          </w:p>
        </w:tc>
        <w:tc>
          <w:tcPr>
            <w:tcW w:w="3426" w:type="dxa"/>
            <w:tcMar>
              <w:top w:w="0" w:type="dxa"/>
              <w:left w:w="0" w:type="dxa"/>
              <w:bottom w:w="0" w:type="dxa"/>
              <w:right w:w="0" w:type="dxa"/>
            </w:tcMar>
            <w:hideMark/>
          </w:tcPr>
          <w:p w14:paraId="757A71F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7572012A"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5C56.32</w:t>
            </w:r>
          </w:p>
        </w:tc>
      </w:tr>
      <w:tr w:rsidR="000B1324" w:rsidRPr="004C3C90" w14:paraId="762EFA63" w14:textId="77777777" w:rsidTr="00AE5872">
        <w:trPr>
          <w:trHeight w:val="20"/>
          <w:jc w:val="center"/>
        </w:trPr>
        <w:tc>
          <w:tcPr>
            <w:tcW w:w="889" w:type="dxa"/>
            <w:tcMar>
              <w:top w:w="0" w:type="dxa"/>
              <w:left w:w="0" w:type="dxa"/>
              <w:bottom w:w="0" w:type="dxa"/>
              <w:right w:w="0" w:type="dxa"/>
            </w:tcMar>
            <w:hideMark/>
          </w:tcPr>
          <w:p w14:paraId="6E600A2A"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97</w:t>
            </w:r>
          </w:p>
        </w:tc>
        <w:tc>
          <w:tcPr>
            <w:tcW w:w="3204" w:type="dxa"/>
            <w:tcMar>
              <w:top w:w="0" w:type="dxa"/>
              <w:left w:w="0" w:type="dxa"/>
              <w:bottom w:w="0" w:type="dxa"/>
              <w:right w:w="0" w:type="dxa"/>
            </w:tcMar>
            <w:hideMark/>
          </w:tcPr>
          <w:p w14:paraId="7572D8B4"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Light Chain Amyloidosis</w:t>
            </w:r>
          </w:p>
        </w:tc>
        <w:tc>
          <w:tcPr>
            <w:tcW w:w="3426" w:type="dxa"/>
            <w:tcMar>
              <w:top w:w="0" w:type="dxa"/>
              <w:left w:w="0" w:type="dxa"/>
              <w:bottom w:w="0" w:type="dxa"/>
              <w:right w:w="0" w:type="dxa"/>
            </w:tcMar>
            <w:hideMark/>
          </w:tcPr>
          <w:p w14:paraId="51F05D8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0D4048A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5D00.0</w:t>
            </w:r>
          </w:p>
        </w:tc>
      </w:tr>
      <w:tr w:rsidR="000B1324" w:rsidRPr="004C3C90" w14:paraId="5721E823" w14:textId="77777777" w:rsidTr="00AE5872">
        <w:trPr>
          <w:trHeight w:val="20"/>
          <w:jc w:val="center"/>
        </w:trPr>
        <w:tc>
          <w:tcPr>
            <w:tcW w:w="889" w:type="dxa"/>
            <w:tcMar>
              <w:top w:w="0" w:type="dxa"/>
              <w:left w:w="0" w:type="dxa"/>
              <w:bottom w:w="0" w:type="dxa"/>
              <w:right w:w="0" w:type="dxa"/>
            </w:tcMar>
            <w:hideMark/>
          </w:tcPr>
          <w:p w14:paraId="0348A71F"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99</w:t>
            </w:r>
          </w:p>
        </w:tc>
        <w:tc>
          <w:tcPr>
            <w:tcW w:w="3204" w:type="dxa"/>
            <w:tcMar>
              <w:top w:w="0" w:type="dxa"/>
              <w:left w:w="0" w:type="dxa"/>
              <w:bottom w:w="0" w:type="dxa"/>
              <w:right w:w="0" w:type="dxa"/>
            </w:tcMar>
            <w:hideMark/>
          </w:tcPr>
          <w:p w14:paraId="15400D2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α-1-Antitrypsin deficiency</w:t>
            </w:r>
          </w:p>
        </w:tc>
        <w:tc>
          <w:tcPr>
            <w:tcW w:w="3426" w:type="dxa"/>
            <w:tcMar>
              <w:top w:w="0" w:type="dxa"/>
              <w:left w:w="0" w:type="dxa"/>
              <w:bottom w:w="0" w:type="dxa"/>
              <w:right w:w="0" w:type="dxa"/>
            </w:tcMar>
            <w:hideMark/>
          </w:tcPr>
          <w:p w14:paraId="55466B0A"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09853A8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5C5A</w:t>
            </w:r>
          </w:p>
        </w:tc>
      </w:tr>
      <w:tr w:rsidR="000B1324" w:rsidRPr="004C3C90" w14:paraId="15C5203C" w14:textId="77777777" w:rsidTr="00AE5872">
        <w:trPr>
          <w:trHeight w:val="20"/>
          <w:jc w:val="center"/>
        </w:trPr>
        <w:tc>
          <w:tcPr>
            <w:tcW w:w="889" w:type="dxa"/>
            <w:tcMar>
              <w:top w:w="0" w:type="dxa"/>
              <w:left w:w="0" w:type="dxa"/>
              <w:bottom w:w="0" w:type="dxa"/>
              <w:right w:w="0" w:type="dxa"/>
            </w:tcMar>
            <w:hideMark/>
          </w:tcPr>
          <w:p w14:paraId="4AD363ED"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111</w:t>
            </w:r>
          </w:p>
        </w:tc>
        <w:tc>
          <w:tcPr>
            <w:tcW w:w="3204" w:type="dxa"/>
            <w:tcMar>
              <w:top w:w="0" w:type="dxa"/>
              <w:left w:w="0" w:type="dxa"/>
              <w:bottom w:w="0" w:type="dxa"/>
              <w:right w:w="0" w:type="dxa"/>
            </w:tcMar>
            <w:hideMark/>
          </w:tcPr>
          <w:p w14:paraId="2AAD537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Niemann-Pick disease type C</w:t>
            </w:r>
          </w:p>
        </w:tc>
        <w:tc>
          <w:tcPr>
            <w:tcW w:w="3426" w:type="dxa"/>
            <w:tcMar>
              <w:top w:w="0" w:type="dxa"/>
              <w:left w:w="0" w:type="dxa"/>
              <w:bottom w:w="0" w:type="dxa"/>
              <w:right w:w="0" w:type="dxa"/>
            </w:tcMar>
            <w:hideMark/>
          </w:tcPr>
          <w:p w14:paraId="5666CF7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4131278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5C56.0Y</w:t>
            </w:r>
          </w:p>
        </w:tc>
      </w:tr>
      <w:tr w:rsidR="000B1324" w:rsidRPr="004C3C90" w14:paraId="34E5BB68" w14:textId="77777777" w:rsidTr="00AE5872">
        <w:trPr>
          <w:trHeight w:val="20"/>
          <w:jc w:val="center"/>
        </w:trPr>
        <w:tc>
          <w:tcPr>
            <w:tcW w:w="889" w:type="dxa"/>
            <w:tcMar>
              <w:top w:w="0" w:type="dxa"/>
              <w:left w:w="0" w:type="dxa"/>
              <w:bottom w:w="0" w:type="dxa"/>
              <w:right w:w="0" w:type="dxa"/>
            </w:tcMar>
            <w:hideMark/>
          </w:tcPr>
          <w:p w14:paraId="46726341"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115</w:t>
            </w:r>
          </w:p>
        </w:tc>
        <w:tc>
          <w:tcPr>
            <w:tcW w:w="3204" w:type="dxa"/>
            <w:tcMar>
              <w:top w:w="0" w:type="dxa"/>
              <w:left w:w="0" w:type="dxa"/>
              <w:bottom w:w="0" w:type="dxa"/>
              <w:right w:w="0" w:type="dxa"/>
            </w:tcMar>
            <w:hideMark/>
          </w:tcPr>
          <w:p w14:paraId="2D569D1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Lesch-Nyhan syndrome</w:t>
            </w:r>
          </w:p>
        </w:tc>
        <w:tc>
          <w:tcPr>
            <w:tcW w:w="3426" w:type="dxa"/>
            <w:tcMar>
              <w:top w:w="0" w:type="dxa"/>
              <w:left w:w="0" w:type="dxa"/>
              <w:bottom w:w="0" w:type="dxa"/>
              <w:right w:w="0" w:type="dxa"/>
            </w:tcMar>
            <w:hideMark/>
          </w:tcPr>
          <w:p w14:paraId="6ED4509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w:t>
            </w:r>
          </w:p>
        </w:tc>
        <w:tc>
          <w:tcPr>
            <w:tcW w:w="1701" w:type="dxa"/>
            <w:tcMar>
              <w:top w:w="0" w:type="dxa"/>
              <w:left w:w="0" w:type="dxa"/>
              <w:bottom w:w="0" w:type="dxa"/>
              <w:right w:w="0" w:type="dxa"/>
            </w:tcMar>
            <w:hideMark/>
          </w:tcPr>
          <w:p w14:paraId="6224B2A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5C55.01</w:t>
            </w:r>
          </w:p>
        </w:tc>
      </w:tr>
      <w:tr w:rsidR="000B1324" w:rsidRPr="004C3C90" w14:paraId="53ABD439" w14:textId="77777777" w:rsidTr="00AE5872">
        <w:trPr>
          <w:trHeight w:val="20"/>
          <w:jc w:val="center"/>
        </w:trPr>
        <w:tc>
          <w:tcPr>
            <w:tcW w:w="889" w:type="dxa"/>
            <w:tcMar>
              <w:top w:w="0" w:type="dxa"/>
              <w:left w:w="0" w:type="dxa"/>
              <w:bottom w:w="0" w:type="dxa"/>
              <w:right w:w="0" w:type="dxa"/>
            </w:tcMar>
            <w:hideMark/>
          </w:tcPr>
          <w:p w14:paraId="6C53545A"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32</w:t>
            </w:r>
          </w:p>
        </w:tc>
        <w:tc>
          <w:tcPr>
            <w:tcW w:w="3204" w:type="dxa"/>
            <w:tcMar>
              <w:top w:w="0" w:type="dxa"/>
              <w:left w:w="0" w:type="dxa"/>
              <w:bottom w:w="0" w:type="dxa"/>
              <w:right w:w="0" w:type="dxa"/>
            </w:tcMar>
            <w:hideMark/>
          </w:tcPr>
          <w:p w14:paraId="53D7FD2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Cystic Fibrosis (endocrine)</w:t>
            </w:r>
          </w:p>
          <w:p w14:paraId="20178FC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Haemophilia (vascular)</w:t>
            </w:r>
          </w:p>
        </w:tc>
        <w:tc>
          <w:tcPr>
            <w:tcW w:w="3426" w:type="dxa"/>
            <w:tcMar>
              <w:top w:w="0" w:type="dxa"/>
              <w:left w:w="0" w:type="dxa"/>
              <w:bottom w:w="0" w:type="dxa"/>
              <w:right w:w="0" w:type="dxa"/>
            </w:tcMar>
            <w:hideMark/>
          </w:tcPr>
          <w:p w14:paraId="42F340C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 + 03. Disease of the blood or blood-forming organs</w:t>
            </w:r>
          </w:p>
        </w:tc>
        <w:tc>
          <w:tcPr>
            <w:tcW w:w="1701" w:type="dxa"/>
            <w:tcMar>
              <w:top w:w="0" w:type="dxa"/>
              <w:left w:w="0" w:type="dxa"/>
              <w:bottom w:w="0" w:type="dxa"/>
              <w:right w:w="0" w:type="dxa"/>
            </w:tcMar>
            <w:hideMark/>
          </w:tcPr>
          <w:p w14:paraId="0909AFD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CA25 + 3B12</w:t>
            </w:r>
          </w:p>
        </w:tc>
      </w:tr>
      <w:tr w:rsidR="000B1324" w:rsidRPr="004C3C90" w14:paraId="6662C361" w14:textId="77777777" w:rsidTr="00AE5872">
        <w:trPr>
          <w:trHeight w:val="20"/>
          <w:jc w:val="center"/>
        </w:trPr>
        <w:tc>
          <w:tcPr>
            <w:tcW w:w="889" w:type="dxa"/>
            <w:tcMar>
              <w:top w:w="0" w:type="dxa"/>
              <w:left w:w="0" w:type="dxa"/>
              <w:bottom w:w="0" w:type="dxa"/>
              <w:right w:w="0" w:type="dxa"/>
            </w:tcMar>
            <w:hideMark/>
          </w:tcPr>
          <w:p w14:paraId="01F977FC"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7</w:t>
            </w:r>
          </w:p>
        </w:tc>
        <w:tc>
          <w:tcPr>
            <w:tcW w:w="3204" w:type="dxa"/>
            <w:tcMar>
              <w:top w:w="0" w:type="dxa"/>
              <w:left w:w="0" w:type="dxa"/>
              <w:bottom w:w="0" w:type="dxa"/>
              <w:right w:w="0" w:type="dxa"/>
            </w:tcMar>
            <w:hideMark/>
          </w:tcPr>
          <w:p w14:paraId="5A7CB9E4"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α-1-Antitrypsin deficiency, Primary ciliary dyskinesia</w:t>
            </w:r>
          </w:p>
        </w:tc>
        <w:tc>
          <w:tcPr>
            <w:tcW w:w="3426" w:type="dxa"/>
            <w:tcMar>
              <w:top w:w="0" w:type="dxa"/>
              <w:left w:w="0" w:type="dxa"/>
              <w:bottom w:w="0" w:type="dxa"/>
              <w:right w:w="0" w:type="dxa"/>
            </w:tcMar>
            <w:hideMark/>
          </w:tcPr>
          <w:p w14:paraId="7DF4344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 + 20. Developmental anomalies</w:t>
            </w:r>
          </w:p>
        </w:tc>
        <w:tc>
          <w:tcPr>
            <w:tcW w:w="1701" w:type="dxa"/>
            <w:tcMar>
              <w:top w:w="0" w:type="dxa"/>
              <w:left w:w="0" w:type="dxa"/>
              <w:bottom w:w="0" w:type="dxa"/>
              <w:right w:w="0" w:type="dxa"/>
            </w:tcMar>
            <w:hideMark/>
          </w:tcPr>
          <w:p w14:paraId="1C86471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5C5A + LA75.Y</w:t>
            </w:r>
          </w:p>
        </w:tc>
      </w:tr>
      <w:tr w:rsidR="000B1324" w:rsidRPr="004C3C90" w14:paraId="796B272F" w14:textId="77777777" w:rsidTr="00AE5872">
        <w:trPr>
          <w:trHeight w:val="20"/>
          <w:jc w:val="center"/>
        </w:trPr>
        <w:tc>
          <w:tcPr>
            <w:tcW w:w="889" w:type="dxa"/>
            <w:tcMar>
              <w:top w:w="0" w:type="dxa"/>
              <w:left w:w="0" w:type="dxa"/>
              <w:bottom w:w="0" w:type="dxa"/>
              <w:right w:w="0" w:type="dxa"/>
            </w:tcMar>
            <w:hideMark/>
          </w:tcPr>
          <w:p w14:paraId="75EE41A4"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101</w:t>
            </w:r>
          </w:p>
        </w:tc>
        <w:tc>
          <w:tcPr>
            <w:tcW w:w="3204" w:type="dxa"/>
            <w:tcMar>
              <w:top w:w="0" w:type="dxa"/>
              <w:left w:w="0" w:type="dxa"/>
              <w:bottom w:w="0" w:type="dxa"/>
              <w:right w:w="0" w:type="dxa"/>
            </w:tcMar>
            <w:hideMark/>
          </w:tcPr>
          <w:p w14:paraId="505935E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lysosomal storage disease (endocrine), mitochondrial disease (neurological)</w:t>
            </w:r>
          </w:p>
        </w:tc>
        <w:tc>
          <w:tcPr>
            <w:tcW w:w="3426" w:type="dxa"/>
            <w:tcMar>
              <w:top w:w="0" w:type="dxa"/>
              <w:left w:w="0" w:type="dxa"/>
              <w:bottom w:w="0" w:type="dxa"/>
              <w:right w:w="0" w:type="dxa"/>
            </w:tcMar>
            <w:hideMark/>
          </w:tcPr>
          <w:p w14:paraId="0974B19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05. Endocrine, nutritional or metabolic diseases + General</w:t>
            </w:r>
          </w:p>
        </w:tc>
        <w:tc>
          <w:tcPr>
            <w:tcW w:w="1701" w:type="dxa"/>
            <w:tcMar>
              <w:top w:w="0" w:type="dxa"/>
              <w:left w:w="0" w:type="dxa"/>
              <w:bottom w:w="0" w:type="dxa"/>
              <w:right w:w="0" w:type="dxa"/>
            </w:tcMar>
            <w:hideMark/>
          </w:tcPr>
          <w:p w14:paraId="5CCE825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5C56.Z + General (mitochondrial disorders)</w:t>
            </w:r>
          </w:p>
        </w:tc>
      </w:tr>
      <w:tr w:rsidR="000B1324" w:rsidRPr="004C3C90" w14:paraId="2895A920" w14:textId="77777777" w:rsidTr="00AE5872">
        <w:trPr>
          <w:trHeight w:val="20"/>
          <w:jc w:val="center"/>
        </w:trPr>
        <w:tc>
          <w:tcPr>
            <w:tcW w:w="889" w:type="dxa"/>
            <w:tcMar>
              <w:top w:w="0" w:type="dxa"/>
              <w:left w:w="0" w:type="dxa"/>
              <w:bottom w:w="0" w:type="dxa"/>
              <w:right w:w="0" w:type="dxa"/>
            </w:tcMar>
            <w:hideMark/>
          </w:tcPr>
          <w:p w14:paraId="1ECB1F47"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8</w:t>
            </w:r>
          </w:p>
        </w:tc>
        <w:tc>
          <w:tcPr>
            <w:tcW w:w="3204" w:type="dxa"/>
            <w:tcMar>
              <w:top w:w="0" w:type="dxa"/>
              <w:left w:w="0" w:type="dxa"/>
              <w:bottom w:w="0" w:type="dxa"/>
              <w:right w:w="0" w:type="dxa"/>
            </w:tcMar>
            <w:hideMark/>
          </w:tcPr>
          <w:p w14:paraId="717B9B2A"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Dystonia, Paroxysmal dyskinesia, neurodegeneration with brain iron accumulation, ataxias, hereditary spastic paraparesis, atypical parkinsonism, choreas</w:t>
            </w:r>
          </w:p>
        </w:tc>
        <w:tc>
          <w:tcPr>
            <w:tcW w:w="3426" w:type="dxa"/>
            <w:tcMar>
              <w:top w:w="0" w:type="dxa"/>
              <w:left w:w="0" w:type="dxa"/>
              <w:bottom w:w="0" w:type="dxa"/>
              <w:right w:w="0" w:type="dxa"/>
            </w:tcMar>
            <w:hideMark/>
          </w:tcPr>
          <w:p w14:paraId="2DFC993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08. Disease of the nervous system + 05. Endocrine, nutritional or metabolic diseases</w:t>
            </w:r>
          </w:p>
        </w:tc>
        <w:tc>
          <w:tcPr>
            <w:tcW w:w="1701" w:type="dxa"/>
            <w:tcMar>
              <w:top w:w="0" w:type="dxa"/>
              <w:left w:w="0" w:type="dxa"/>
              <w:bottom w:w="0" w:type="dxa"/>
              <w:right w:w="0" w:type="dxa"/>
            </w:tcMar>
            <w:hideMark/>
          </w:tcPr>
          <w:p w14:paraId="4E8D94E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MB47.4 + 8A02.2 + 5C64.1 + MB45.0 + 8B44.0Z + 8A00.1Z + 8A0Y</w:t>
            </w:r>
          </w:p>
        </w:tc>
      </w:tr>
      <w:tr w:rsidR="000B1324" w:rsidRPr="004C3C90" w14:paraId="2E752793" w14:textId="77777777" w:rsidTr="00AE5872">
        <w:trPr>
          <w:trHeight w:val="20"/>
          <w:jc w:val="center"/>
        </w:trPr>
        <w:tc>
          <w:tcPr>
            <w:tcW w:w="889" w:type="dxa"/>
            <w:tcMar>
              <w:top w:w="0" w:type="dxa"/>
              <w:left w:w="0" w:type="dxa"/>
              <w:bottom w:w="0" w:type="dxa"/>
              <w:right w:w="0" w:type="dxa"/>
            </w:tcMar>
            <w:hideMark/>
          </w:tcPr>
          <w:p w14:paraId="1085F03E"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2</w:t>
            </w:r>
          </w:p>
        </w:tc>
        <w:tc>
          <w:tcPr>
            <w:tcW w:w="3204" w:type="dxa"/>
            <w:tcMar>
              <w:top w:w="0" w:type="dxa"/>
              <w:left w:w="0" w:type="dxa"/>
              <w:bottom w:w="0" w:type="dxa"/>
              <w:right w:w="0" w:type="dxa"/>
            </w:tcMar>
            <w:hideMark/>
          </w:tcPr>
          <w:p w14:paraId="7D5E362A"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2250D994"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08. Diseases of the nervous system</w:t>
            </w:r>
          </w:p>
        </w:tc>
        <w:tc>
          <w:tcPr>
            <w:tcW w:w="1701" w:type="dxa"/>
            <w:tcMar>
              <w:top w:w="0" w:type="dxa"/>
              <w:left w:w="0" w:type="dxa"/>
              <w:bottom w:w="0" w:type="dxa"/>
              <w:right w:w="0" w:type="dxa"/>
            </w:tcMar>
            <w:hideMark/>
          </w:tcPr>
          <w:p w14:paraId="12B7C10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8E7Z</w:t>
            </w:r>
          </w:p>
        </w:tc>
      </w:tr>
      <w:tr w:rsidR="000B1324" w:rsidRPr="004C3C90" w14:paraId="15B84A8C" w14:textId="77777777" w:rsidTr="00AE5872">
        <w:trPr>
          <w:trHeight w:val="20"/>
          <w:jc w:val="center"/>
        </w:trPr>
        <w:tc>
          <w:tcPr>
            <w:tcW w:w="889" w:type="dxa"/>
            <w:tcMar>
              <w:top w:w="0" w:type="dxa"/>
              <w:left w:w="0" w:type="dxa"/>
              <w:bottom w:w="0" w:type="dxa"/>
              <w:right w:w="0" w:type="dxa"/>
            </w:tcMar>
            <w:hideMark/>
          </w:tcPr>
          <w:p w14:paraId="5F7BF9CF"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3</w:t>
            </w:r>
          </w:p>
        </w:tc>
        <w:tc>
          <w:tcPr>
            <w:tcW w:w="3204" w:type="dxa"/>
            <w:tcMar>
              <w:top w:w="0" w:type="dxa"/>
              <w:left w:w="0" w:type="dxa"/>
              <w:bottom w:w="0" w:type="dxa"/>
              <w:right w:w="0" w:type="dxa"/>
            </w:tcMar>
            <w:hideMark/>
          </w:tcPr>
          <w:p w14:paraId="322B580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Duchenne muscular dystrophy</w:t>
            </w:r>
          </w:p>
        </w:tc>
        <w:tc>
          <w:tcPr>
            <w:tcW w:w="3426" w:type="dxa"/>
            <w:tcMar>
              <w:top w:w="0" w:type="dxa"/>
              <w:left w:w="0" w:type="dxa"/>
              <w:bottom w:w="0" w:type="dxa"/>
              <w:right w:w="0" w:type="dxa"/>
            </w:tcMar>
            <w:hideMark/>
          </w:tcPr>
          <w:p w14:paraId="43DC2E7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08. Diseases of the nervous system</w:t>
            </w:r>
          </w:p>
        </w:tc>
        <w:tc>
          <w:tcPr>
            <w:tcW w:w="1701" w:type="dxa"/>
            <w:tcMar>
              <w:top w:w="0" w:type="dxa"/>
              <w:left w:w="0" w:type="dxa"/>
              <w:bottom w:w="0" w:type="dxa"/>
              <w:right w:w="0" w:type="dxa"/>
            </w:tcMar>
            <w:hideMark/>
          </w:tcPr>
          <w:p w14:paraId="70EED6E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8C70.1</w:t>
            </w:r>
          </w:p>
        </w:tc>
      </w:tr>
      <w:tr w:rsidR="000B1324" w:rsidRPr="004C3C90" w14:paraId="0989795F" w14:textId="77777777" w:rsidTr="00AE5872">
        <w:trPr>
          <w:trHeight w:val="20"/>
          <w:jc w:val="center"/>
        </w:trPr>
        <w:tc>
          <w:tcPr>
            <w:tcW w:w="889" w:type="dxa"/>
            <w:tcMar>
              <w:top w:w="0" w:type="dxa"/>
              <w:left w:w="0" w:type="dxa"/>
              <w:bottom w:w="0" w:type="dxa"/>
              <w:right w:w="0" w:type="dxa"/>
            </w:tcMar>
            <w:hideMark/>
          </w:tcPr>
          <w:p w14:paraId="5A10877E"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37</w:t>
            </w:r>
          </w:p>
        </w:tc>
        <w:tc>
          <w:tcPr>
            <w:tcW w:w="3204" w:type="dxa"/>
            <w:tcMar>
              <w:top w:w="0" w:type="dxa"/>
              <w:left w:w="0" w:type="dxa"/>
              <w:bottom w:w="0" w:type="dxa"/>
              <w:right w:w="0" w:type="dxa"/>
            </w:tcMar>
            <w:hideMark/>
          </w:tcPr>
          <w:p w14:paraId="472AD42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Epilepsy</w:t>
            </w:r>
          </w:p>
        </w:tc>
        <w:tc>
          <w:tcPr>
            <w:tcW w:w="3426" w:type="dxa"/>
            <w:tcMar>
              <w:top w:w="0" w:type="dxa"/>
              <w:left w:w="0" w:type="dxa"/>
              <w:bottom w:w="0" w:type="dxa"/>
              <w:right w:w="0" w:type="dxa"/>
            </w:tcMar>
            <w:hideMark/>
          </w:tcPr>
          <w:p w14:paraId="511A8F4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08. Diseases of the nervous system</w:t>
            </w:r>
          </w:p>
        </w:tc>
        <w:tc>
          <w:tcPr>
            <w:tcW w:w="1701" w:type="dxa"/>
            <w:tcMar>
              <w:top w:w="0" w:type="dxa"/>
              <w:left w:w="0" w:type="dxa"/>
              <w:bottom w:w="0" w:type="dxa"/>
              <w:right w:w="0" w:type="dxa"/>
            </w:tcMar>
            <w:hideMark/>
          </w:tcPr>
          <w:p w14:paraId="02F8455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8A6Z</w:t>
            </w:r>
          </w:p>
        </w:tc>
      </w:tr>
      <w:tr w:rsidR="000B1324" w:rsidRPr="004C3C90" w14:paraId="6816AEDD" w14:textId="77777777" w:rsidTr="00AE5872">
        <w:trPr>
          <w:trHeight w:val="20"/>
          <w:jc w:val="center"/>
        </w:trPr>
        <w:tc>
          <w:tcPr>
            <w:tcW w:w="889" w:type="dxa"/>
            <w:tcMar>
              <w:top w:w="0" w:type="dxa"/>
              <w:left w:w="0" w:type="dxa"/>
              <w:bottom w:w="0" w:type="dxa"/>
              <w:right w:w="0" w:type="dxa"/>
            </w:tcMar>
            <w:hideMark/>
          </w:tcPr>
          <w:p w14:paraId="7A01E5A9"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42</w:t>
            </w:r>
          </w:p>
        </w:tc>
        <w:tc>
          <w:tcPr>
            <w:tcW w:w="3204" w:type="dxa"/>
            <w:tcMar>
              <w:top w:w="0" w:type="dxa"/>
              <w:left w:w="0" w:type="dxa"/>
              <w:bottom w:w="0" w:type="dxa"/>
              <w:right w:w="0" w:type="dxa"/>
            </w:tcMar>
            <w:hideMark/>
          </w:tcPr>
          <w:p w14:paraId="35D4856A"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Hereditary spastic paraplegia</w:t>
            </w:r>
          </w:p>
        </w:tc>
        <w:tc>
          <w:tcPr>
            <w:tcW w:w="3426" w:type="dxa"/>
            <w:tcMar>
              <w:top w:w="0" w:type="dxa"/>
              <w:left w:w="0" w:type="dxa"/>
              <w:bottom w:w="0" w:type="dxa"/>
              <w:right w:w="0" w:type="dxa"/>
            </w:tcMar>
            <w:hideMark/>
          </w:tcPr>
          <w:p w14:paraId="350EF5F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08. Diseases of the nervous system</w:t>
            </w:r>
          </w:p>
        </w:tc>
        <w:tc>
          <w:tcPr>
            <w:tcW w:w="1701" w:type="dxa"/>
            <w:tcMar>
              <w:top w:w="0" w:type="dxa"/>
              <w:left w:w="0" w:type="dxa"/>
              <w:bottom w:w="0" w:type="dxa"/>
              <w:right w:w="0" w:type="dxa"/>
            </w:tcMar>
            <w:hideMark/>
          </w:tcPr>
          <w:p w14:paraId="19FF095B"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8B44.0</w:t>
            </w:r>
          </w:p>
        </w:tc>
      </w:tr>
      <w:tr w:rsidR="000B1324" w:rsidRPr="004C3C90" w14:paraId="4BAFFCC6" w14:textId="77777777" w:rsidTr="00AE5872">
        <w:trPr>
          <w:trHeight w:val="20"/>
          <w:jc w:val="center"/>
        </w:trPr>
        <w:tc>
          <w:tcPr>
            <w:tcW w:w="889" w:type="dxa"/>
            <w:tcMar>
              <w:top w:w="0" w:type="dxa"/>
              <w:left w:w="0" w:type="dxa"/>
              <w:bottom w:w="0" w:type="dxa"/>
              <w:right w:w="0" w:type="dxa"/>
            </w:tcMar>
            <w:hideMark/>
          </w:tcPr>
          <w:p w14:paraId="493F4713"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49</w:t>
            </w:r>
          </w:p>
        </w:tc>
        <w:tc>
          <w:tcPr>
            <w:tcW w:w="3204" w:type="dxa"/>
            <w:tcMar>
              <w:top w:w="0" w:type="dxa"/>
              <w:left w:w="0" w:type="dxa"/>
              <w:bottom w:w="0" w:type="dxa"/>
              <w:right w:w="0" w:type="dxa"/>
            </w:tcMar>
            <w:hideMark/>
          </w:tcPr>
          <w:p w14:paraId="1B96883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Spinocerebellar Ataxia</w:t>
            </w:r>
          </w:p>
        </w:tc>
        <w:tc>
          <w:tcPr>
            <w:tcW w:w="3426" w:type="dxa"/>
            <w:tcMar>
              <w:top w:w="0" w:type="dxa"/>
              <w:left w:w="0" w:type="dxa"/>
              <w:bottom w:w="0" w:type="dxa"/>
              <w:right w:w="0" w:type="dxa"/>
            </w:tcMar>
            <w:hideMark/>
          </w:tcPr>
          <w:p w14:paraId="78F5219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08. Diseases of the nervous system</w:t>
            </w:r>
          </w:p>
        </w:tc>
        <w:tc>
          <w:tcPr>
            <w:tcW w:w="1701" w:type="dxa"/>
            <w:tcMar>
              <w:top w:w="0" w:type="dxa"/>
              <w:left w:w="0" w:type="dxa"/>
              <w:bottom w:w="0" w:type="dxa"/>
              <w:right w:w="0" w:type="dxa"/>
            </w:tcMar>
            <w:hideMark/>
          </w:tcPr>
          <w:p w14:paraId="6F1675B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8A03.16</w:t>
            </w:r>
          </w:p>
        </w:tc>
      </w:tr>
      <w:tr w:rsidR="000B1324" w:rsidRPr="004C3C90" w14:paraId="1CAAEEE4" w14:textId="77777777" w:rsidTr="00AE5872">
        <w:trPr>
          <w:trHeight w:val="20"/>
          <w:jc w:val="center"/>
        </w:trPr>
        <w:tc>
          <w:tcPr>
            <w:tcW w:w="889" w:type="dxa"/>
            <w:tcMar>
              <w:top w:w="0" w:type="dxa"/>
              <w:left w:w="0" w:type="dxa"/>
              <w:bottom w:w="0" w:type="dxa"/>
              <w:right w:w="0" w:type="dxa"/>
            </w:tcMar>
            <w:hideMark/>
          </w:tcPr>
          <w:p w14:paraId="3981106C"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61</w:t>
            </w:r>
          </w:p>
        </w:tc>
        <w:tc>
          <w:tcPr>
            <w:tcW w:w="3204" w:type="dxa"/>
            <w:tcMar>
              <w:top w:w="0" w:type="dxa"/>
              <w:left w:w="0" w:type="dxa"/>
              <w:bottom w:w="0" w:type="dxa"/>
              <w:right w:w="0" w:type="dxa"/>
            </w:tcMar>
            <w:hideMark/>
          </w:tcPr>
          <w:p w14:paraId="275FC69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Friedreich’s ataxia(autosomal recessive)</w:t>
            </w:r>
          </w:p>
        </w:tc>
        <w:tc>
          <w:tcPr>
            <w:tcW w:w="3426" w:type="dxa"/>
            <w:tcMar>
              <w:top w:w="0" w:type="dxa"/>
              <w:left w:w="0" w:type="dxa"/>
              <w:bottom w:w="0" w:type="dxa"/>
              <w:right w:w="0" w:type="dxa"/>
            </w:tcMar>
            <w:hideMark/>
          </w:tcPr>
          <w:p w14:paraId="20517F8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08. Diseases of the nervous system</w:t>
            </w:r>
          </w:p>
        </w:tc>
        <w:tc>
          <w:tcPr>
            <w:tcW w:w="1701" w:type="dxa"/>
            <w:tcMar>
              <w:top w:w="0" w:type="dxa"/>
              <w:left w:w="0" w:type="dxa"/>
              <w:bottom w:w="0" w:type="dxa"/>
              <w:right w:w="0" w:type="dxa"/>
            </w:tcMar>
            <w:hideMark/>
          </w:tcPr>
          <w:p w14:paraId="7195D8C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8A03.10</w:t>
            </w:r>
          </w:p>
        </w:tc>
      </w:tr>
      <w:tr w:rsidR="000B1324" w:rsidRPr="004C3C90" w14:paraId="5A1470D4" w14:textId="77777777" w:rsidTr="00AE5872">
        <w:trPr>
          <w:trHeight w:val="20"/>
          <w:jc w:val="center"/>
        </w:trPr>
        <w:tc>
          <w:tcPr>
            <w:tcW w:w="889" w:type="dxa"/>
            <w:tcMar>
              <w:top w:w="0" w:type="dxa"/>
              <w:left w:w="0" w:type="dxa"/>
              <w:bottom w:w="0" w:type="dxa"/>
              <w:right w:w="0" w:type="dxa"/>
            </w:tcMar>
            <w:hideMark/>
          </w:tcPr>
          <w:p w14:paraId="649B6024"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75</w:t>
            </w:r>
          </w:p>
        </w:tc>
        <w:tc>
          <w:tcPr>
            <w:tcW w:w="3204" w:type="dxa"/>
            <w:tcMar>
              <w:top w:w="0" w:type="dxa"/>
              <w:left w:w="0" w:type="dxa"/>
              <w:bottom w:w="0" w:type="dxa"/>
              <w:right w:w="0" w:type="dxa"/>
            </w:tcMar>
            <w:hideMark/>
          </w:tcPr>
          <w:p w14:paraId="37C4319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Leukodystrophies</w:t>
            </w:r>
          </w:p>
        </w:tc>
        <w:tc>
          <w:tcPr>
            <w:tcW w:w="3426" w:type="dxa"/>
            <w:tcMar>
              <w:top w:w="0" w:type="dxa"/>
              <w:left w:w="0" w:type="dxa"/>
              <w:bottom w:w="0" w:type="dxa"/>
              <w:right w:w="0" w:type="dxa"/>
            </w:tcMar>
            <w:hideMark/>
          </w:tcPr>
          <w:p w14:paraId="7CAEAED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08. Diseases of the nervous system</w:t>
            </w:r>
          </w:p>
        </w:tc>
        <w:tc>
          <w:tcPr>
            <w:tcW w:w="1701" w:type="dxa"/>
            <w:tcMar>
              <w:top w:w="0" w:type="dxa"/>
              <w:left w:w="0" w:type="dxa"/>
              <w:bottom w:w="0" w:type="dxa"/>
              <w:right w:w="0" w:type="dxa"/>
            </w:tcMar>
            <w:hideMark/>
          </w:tcPr>
          <w:p w14:paraId="5476512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8A44</w:t>
            </w:r>
          </w:p>
        </w:tc>
      </w:tr>
      <w:tr w:rsidR="000B1324" w:rsidRPr="004C3C90" w14:paraId="725387B0" w14:textId="77777777" w:rsidTr="00AE5872">
        <w:trPr>
          <w:trHeight w:val="20"/>
          <w:jc w:val="center"/>
        </w:trPr>
        <w:tc>
          <w:tcPr>
            <w:tcW w:w="889" w:type="dxa"/>
            <w:tcMar>
              <w:top w:w="0" w:type="dxa"/>
              <w:left w:w="0" w:type="dxa"/>
              <w:bottom w:w="0" w:type="dxa"/>
              <w:right w:w="0" w:type="dxa"/>
            </w:tcMar>
            <w:hideMark/>
          </w:tcPr>
          <w:p w14:paraId="5D39542C"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93</w:t>
            </w:r>
          </w:p>
        </w:tc>
        <w:tc>
          <w:tcPr>
            <w:tcW w:w="3204" w:type="dxa"/>
            <w:tcMar>
              <w:top w:w="0" w:type="dxa"/>
              <w:left w:w="0" w:type="dxa"/>
              <w:bottom w:w="0" w:type="dxa"/>
              <w:right w:w="0" w:type="dxa"/>
            </w:tcMar>
            <w:hideMark/>
          </w:tcPr>
          <w:p w14:paraId="7B5F100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Charcot-Marie-Tooth disease</w:t>
            </w:r>
          </w:p>
        </w:tc>
        <w:tc>
          <w:tcPr>
            <w:tcW w:w="3426" w:type="dxa"/>
            <w:tcMar>
              <w:top w:w="0" w:type="dxa"/>
              <w:left w:w="0" w:type="dxa"/>
              <w:bottom w:w="0" w:type="dxa"/>
              <w:right w:w="0" w:type="dxa"/>
            </w:tcMar>
            <w:hideMark/>
          </w:tcPr>
          <w:p w14:paraId="08F7841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08. Diseases of the nervous system</w:t>
            </w:r>
          </w:p>
        </w:tc>
        <w:tc>
          <w:tcPr>
            <w:tcW w:w="1701" w:type="dxa"/>
            <w:tcMar>
              <w:top w:w="0" w:type="dxa"/>
              <w:left w:w="0" w:type="dxa"/>
              <w:bottom w:w="0" w:type="dxa"/>
              <w:right w:w="0" w:type="dxa"/>
            </w:tcMar>
            <w:hideMark/>
          </w:tcPr>
          <w:p w14:paraId="1A921C4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8C21.Z</w:t>
            </w:r>
          </w:p>
        </w:tc>
      </w:tr>
      <w:tr w:rsidR="000B1324" w:rsidRPr="004C3C90" w14:paraId="79D6E390" w14:textId="77777777" w:rsidTr="00AE5872">
        <w:trPr>
          <w:trHeight w:val="20"/>
          <w:jc w:val="center"/>
        </w:trPr>
        <w:tc>
          <w:tcPr>
            <w:tcW w:w="889" w:type="dxa"/>
            <w:tcMar>
              <w:top w:w="0" w:type="dxa"/>
              <w:left w:w="0" w:type="dxa"/>
              <w:bottom w:w="0" w:type="dxa"/>
              <w:right w:w="0" w:type="dxa"/>
            </w:tcMar>
            <w:hideMark/>
          </w:tcPr>
          <w:p w14:paraId="0989581D"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98</w:t>
            </w:r>
          </w:p>
        </w:tc>
        <w:tc>
          <w:tcPr>
            <w:tcW w:w="3204" w:type="dxa"/>
            <w:tcMar>
              <w:top w:w="0" w:type="dxa"/>
              <w:left w:w="0" w:type="dxa"/>
              <w:bottom w:w="0" w:type="dxa"/>
              <w:right w:w="0" w:type="dxa"/>
            </w:tcMar>
            <w:hideMark/>
          </w:tcPr>
          <w:p w14:paraId="7505F6A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Charcot-Marie-Tooth disease</w:t>
            </w:r>
          </w:p>
        </w:tc>
        <w:tc>
          <w:tcPr>
            <w:tcW w:w="3426" w:type="dxa"/>
            <w:tcMar>
              <w:top w:w="0" w:type="dxa"/>
              <w:left w:w="0" w:type="dxa"/>
              <w:bottom w:w="0" w:type="dxa"/>
              <w:right w:w="0" w:type="dxa"/>
            </w:tcMar>
            <w:hideMark/>
          </w:tcPr>
          <w:p w14:paraId="00D50FC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08. Diseases of the nervous system</w:t>
            </w:r>
          </w:p>
        </w:tc>
        <w:tc>
          <w:tcPr>
            <w:tcW w:w="1701" w:type="dxa"/>
            <w:tcMar>
              <w:top w:w="0" w:type="dxa"/>
              <w:left w:w="0" w:type="dxa"/>
              <w:bottom w:w="0" w:type="dxa"/>
              <w:right w:w="0" w:type="dxa"/>
            </w:tcMar>
            <w:hideMark/>
          </w:tcPr>
          <w:p w14:paraId="08CB49B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8C21.Z</w:t>
            </w:r>
          </w:p>
        </w:tc>
      </w:tr>
      <w:tr w:rsidR="000B1324" w:rsidRPr="004C3C90" w14:paraId="2A0CA5BF" w14:textId="77777777" w:rsidTr="00AE5872">
        <w:trPr>
          <w:trHeight w:val="20"/>
          <w:jc w:val="center"/>
        </w:trPr>
        <w:tc>
          <w:tcPr>
            <w:tcW w:w="889" w:type="dxa"/>
            <w:tcMar>
              <w:top w:w="0" w:type="dxa"/>
              <w:left w:w="0" w:type="dxa"/>
              <w:bottom w:w="0" w:type="dxa"/>
              <w:right w:w="0" w:type="dxa"/>
            </w:tcMar>
            <w:hideMark/>
          </w:tcPr>
          <w:p w14:paraId="43E515F8"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102</w:t>
            </w:r>
          </w:p>
        </w:tc>
        <w:tc>
          <w:tcPr>
            <w:tcW w:w="3204" w:type="dxa"/>
            <w:tcMar>
              <w:top w:w="0" w:type="dxa"/>
              <w:left w:w="0" w:type="dxa"/>
              <w:bottom w:w="0" w:type="dxa"/>
              <w:right w:w="0" w:type="dxa"/>
            </w:tcMar>
            <w:hideMark/>
          </w:tcPr>
          <w:p w14:paraId="468896B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Charcot-Marie-Tooth disease, Huntington's Disease, Motor Neuron Disease, Multiple System Atrophy, Postpolio Syndrome, Progressive Supranuclear Palsy, Ataxia</w:t>
            </w:r>
          </w:p>
        </w:tc>
        <w:tc>
          <w:tcPr>
            <w:tcW w:w="3426" w:type="dxa"/>
            <w:tcMar>
              <w:top w:w="0" w:type="dxa"/>
              <w:left w:w="0" w:type="dxa"/>
              <w:bottom w:w="0" w:type="dxa"/>
              <w:right w:w="0" w:type="dxa"/>
            </w:tcMar>
            <w:hideMark/>
          </w:tcPr>
          <w:p w14:paraId="010A0F1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08. Diseases of the nervous system</w:t>
            </w:r>
          </w:p>
        </w:tc>
        <w:tc>
          <w:tcPr>
            <w:tcW w:w="1701" w:type="dxa"/>
            <w:tcMar>
              <w:top w:w="0" w:type="dxa"/>
              <w:left w:w="0" w:type="dxa"/>
              <w:bottom w:w="0" w:type="dxa"/>
              <w:right w:w="0" w:type="dxa"/>
            </w:tcMar>
            <w:hideMark/>
          </w:tcPr>
          <w:p w14:paraId="79F0E84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8C21.Z + 8A01.10 + 8B60.Z + 8D87.0Z + 8B62 + 8A00.10 + MB45.0</w:t>
            </w:r>
          </w:p>
        </w:tc>
      </w:tr>
      <w:tr w:rsidR="000B1324" w:rsidRPr="004C3C90" w14:paraId="450A27F9" w14:textId="77777777" w:rsidTr="00AE5872">
        <w:trPr>
          <w:trHeight w:val="20"/>
          <w:jc w:val="center"/>
        </w:trPr>
        <w:tc>
          <w:tcPr>
            <w:tcW w:w="889" w:type="dxa"/>
            <w:tcMar>
              <w:top w:w="0" w:type="dxa"/>
              <w:left w:w="0" w:type="dxa"/>
              <w:bottom w:w="0" w:type="dxa"/>
              <w:right w:w="0" w:type="dxa"/>
            </w:tcMar>
            <w:hideMark/>
          </w:tcPr>
          <w:p w14:paraId="423F5240"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107</w:t>
            </w:r>
          </w:p>
        </w:tc>
        <w:tc>
          <w:tcPr>
            <w:tcW w:w="3204" w:type="dxa"/>
            <w:tcMar>
              <w:top w:w="0" w:type="dxa"/>
              <w:left w:w="0" w:type="dxa"/>
              <w:bottom w:w="0" w:type="dxa"/>
              <w:right w:w="0" w:type="dxa"/>
            </w:tcMar>
            <w:hideMark/>
          </w:tcPr>
          <w:p w14:paraId="12432E2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Duchenne muscular dystrophy, Amyotrophic Lateral Sclerosis</w:t>
            </w:r>
          </w:p>
        </w:tc>
        <w:tc>
          <w:tcPr>
            <w:tcW w:w="3426" w:type="dxa"/>
            <w:tcMar>
              <w:top w:w="0" w:type="dxa"/>
              <w:left w:w="0" w:type="dxa"/>
              <w:bottom w:w="0" w:type="dxa"/>
              <w:right w:w="0" w:type="dxa"/>
            </w:tcMar>
            <w:hideMark/>
          </w:tcPr>
          <w:p w14:paraId="364D696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08. Diseases of the nervous system</w:t>
            </w:r>
          </w:p>
        </w:tc>
        <w:tc>
          <w:tcPr>
            <w:tcW w:w="1701" w:type="dxa"/>
            <w:tcMar>
              <w:top w:w="0" w:type="dxa"/>
              <w:left w:w="0" w:type="dxa"/>
              <w:bottom w:w="0" w:type="dxa"/>
              <w:right w:w="0" w:type="dxa"/>
            </w:tcMar>
            <w:hideMark/>
          </w:tcPr>
          <w:p w14:paraId="52D15DD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8C70.1 + 8B60.5</w:t>
            </w:r>
          </w:p>
        </w:tc>
      </w:tr>
      <w:tr w:rsidR="000B1324" w:rsidRPr="004C3C90" w14:paraId="01660AF2" w14:textId="77777777" w:rsidTr="00AE5872">
        <w:trPr>
          <w:trHeight w:val="20"/>
          <w:jc w:val="center"/>
        </w:trPr>
        <w:tc>
          <w:tcPr>
            <w:tcW w:w="889" w:type="dxa"/>
            <w:tcMar>
              <w:top w:w="0" w:type="dxa"/>
              <w:left w:w="0" w:type="dxa"/>
              <w:bottom w:w="0" w:type="dxa"/>
              <w:right w:w="0" w:type="dxa"/>
            </w:tcMar>
            <w:hideMark/>
          </w:tcPr>
          <w:p w14:paraId="31AC42A4"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74</w:t>
            </w:r>
          </w:p>
        </w:tc>
        <w:tc>
          <w:tcPr>
            <w:tcW w:w="3204" w:type="dxa"/>
            <w:tcMar>
              <w:top w:w="0" w:type="dxa"/>
              <w:left w:w="0" w:type="dxa"/>
              <w:bottom w:w="0" w:type="dxa"/>
              <w:right w:w="0" w:type="dxa"/>
            </w:tcMar>
            <w:hideMark/>
          </w:tcPr>
          <w:p w14:paraId="3885567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Unspecified hereditary retinal dystrophy</w:t>
            </w:r>
          </w:p>
        </w:tc>
        <w:tc>
          <w:tcPr>
            <w:tcW w:w="3426" w:type="dxa"/>
            <w:tcMar>
              <w:top w:w="0" w:type="dxa"/>
              <w:left w:w="0" w:type="dxa"/>
              <w:bottom w:w="0" w:type="dxa"/>
              <w:right w:w="0" w:type="dxa"/>
            </w:tcMar>
            <w:hideMark/>
          </w:tcPr>
          <w:p w14:paraId="6E53A2C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09. Diseases of the visual system</w:t>
            </w:r>
          </w:p>
        </w:tc>
        <w:tc>
          <w:tcPr>
            <w:tcW w:w="1701" w:type="dxa"/>
            <w:tcMar>
              <w:top w:w="0" w:type="dxa"/>
              <w:left w:w="0" w:type="dxa"/>
              <w:bottom w:w="0" w:type="dxa"/>
              <w:right w:w="0" w:type="dxa"/>
            </w:tcMar>
            <w:hideMark/>
          </w:tcPr>
          <w:p w14:paraId="1998439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9B70</w:t>
            </w:r>
          </w:p>
        </w:tc>
      </w:tr>
      <w:tr w:rsidR="000B1324" w:rsidRPr="004C3C90" w14:paraId="20DEC497" w14:textId="77777777" w:rsidTr="00AE5872">
        <w:trPr>
          <w:trHeight w:val="20"/>
          <w:jc w:val="center"/>
        </w:trPr>
        <w:tc>
          <w:tcPr>
            <w:tcW w:w="889" w:type="dxa"/>
            <w:tcMar>
              <w:top w:w="0" w:type="dxa"/>
              <w:left w:w="0" w:type="dxa"/>
              <w:bottom w:w="0" w:type="dxa"/>
              <w:right w:w="0" w:type="dxa"/>
            </w:tcMar>
            <w:hideMark/>
          </w:tcPr>
          <w:p w14:paraId="42BE8888"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100</w:t>
            </w:r>
          </w:p>
        </w:tc>
        <w:tc>
          <w:tcPr>
            <w:tcW w:w="3204" w:type="dxa"/>
            <w:tcMar>
              <w:top w:w="0" w:type="dxa"/>
              <w:left w:w="0" w:type="dxa"/>
              <w:bottom w:w="0" w:type="dxa"/>
              <w:right w:w="0" w:type="dxa"/>
            </w:tcMar>
            <w:hideMark/>
          </w:tcPr>
          <w:p w14:paraId="2288A01A"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Choroideremia</w:t>
            </w:r>
          </w:p>
        </w:tc>
        <w:tc>
          <w:tcPr>
            <w:tcW w:w="3426" w:type="dxa"/>
            <w:tcMar>
              <w:top w:w="0" w:type="dxa"/>
              <w:left w:w="0" w:type="dxa"/>
              <w:bottom w:w="0" w:type="dxa"/>
              <w:right w:w="0" w:type="dxa"/>
            </w:tcMar>
            <w:hideMark/>
          </w:tcPr>
          <w:p w14:paraId="6E72CA74"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09. Diseases of the visual system</w:t>
            </w:r>
          </w:p>
        </w:tc>
        <w:tc>
          <w:tcPr>
            <w:tcW w:w="1701" w:type="dxa"/>
            <w:tcMar>
              <w:top w:w="0" w:type="dxa"/>
              <w:left w:w="0" w:type="dxa"/>
              <w:bottom w:w="0" w:type="dxa"/>
              <w:right w:w="0" w:type="dxa"/>
            </w:tcMar>
            <w:hideMark/>
          </w:tcPr>
          <w:p w14:paraId="44CDA92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9B61</w:t>
            </w:r>
          </w:p>
        </w:tc>
      </w:tr>
      <w:tr w:rsidR="000B1324" w:rsidRPr="004C3C90" w14:paraId="2EBE3CC6" w14:textId="77777777" w:rsidTr="00AE5872">
        <w:trPr>
          <w:trHeight w:val="20"/>
          <w:jc w:val="center"/>
        </w:trPr>
        <w:tc>
          <w:tcPr>
            <w:tcW w:w="889" w:type="dxa"/>
            <w:tcMar>
              <w:top w:w="0" w:type="dxa"/>
              <w:left w:w="0" w:type="dxa"/>
              <w:bottom w:w="0" w:type="dxa"/>
              <w:right w:w="0" w:type="dxa"/>
            </w:tcMar>
            <w:hideMark/>
          </w:tcPr>
          <w:p w14:paraId="1D2887A9"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34</w:t>
            </w:r>
          </w:p>
        </w:tc>
        <w:tc>
          <w:tcPr>
            <w:tcW w:w="3204" w:type="dxa"/>
            <w:tcMar>
              <w:top w:w="0" w:type="dxa"/>
              <w:left w:w="0" w:type="dxa"/>
              <w:bottom w:w="0" w:type="dxa"/>
              <w:right w:w="0" w:type="dxa"/>
            </w:tcMar>
            <w:hideMark/>
          </w:tcPr>
          <w:p w14:paraId="36E917B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Primary pulmonary hypertension</w:t>
            </w:r>
          </w:p>
        </w:tc>
        <w:tc>
          <w:tcPr>
            <w:tcW w:w="3426" w:type="dxa"/>
            <w:tcMar>
              <w:top w:w="0" w:type="dxa"/>
              <w:left w:w="0" w:type="dxa"/>
              <w:bottom w:w="0" w:type="dxa"/>
              <w:right w:w="0" w:type="dxa"/>
            </w:tcMar>
            <w:hideMark/>
          </w:tcPr>
          <w:p w14:paraId="273F9F9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11. Disease of the circulatory system</w:t>
            </w:r>
          </w:p>
        </w:tc>
        <w:tc>
          <w:tcPr>
            <w:tcW w:w="1701" w:type="dxa"/>
            <w:tcMar>
              <w:top w:w="0" w:type="dxa"/>
              <w:left w:w="0" w:type="dxa"/>
              <w:bottom w:w="0" w:type="dxa"/>
              <w:right w:w="0" w:type="dxa"/>
            </w:tcMar>
            <w:hideMark/>
          </w:tcPr>
          <w:p w14:paraId="4EDA7B6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BB01.0</w:t>
            </w:r>
          </w:p>
        </w:tc>
      </w:tr>
      <w:tr w:rsidR="000B1324" w:rsidRPr="004C3C90" w14:paraId="41882DE7" w14:textId="77777777" w:rsidTr="00AE5872">
        <w:trPr>
          <w:trHeight w:val="20"/>
          <w:jc w:val="center"/>
        </w:trPr>
        <w:tc>
          <w:tcPr>
            <w:tcW w:w="889" w:type="dxa"/>
            <w:tcMar>
              <w:top w:w="0" w:type="dxa"/>
              <w:left w:w="0" w:type="dxa"/>
              <w:bottom w:w="0" w:type="dxa"/>
              <w:right w:w="0" w:type="dxa"/>
            </w:tcMar>
            <w:hideMark/>
          </w:tcPr>
          <w:p w14:paraId="532E3D8A"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48</w:t>
            </w:r>
          </w:p>
        </w:tc>
        <w:tc>
          <w:tcPr>
            <w:tcW w:w="3204" w:type="dxa"/>
            <w:tcMar>
              <w:top w:w="0" w:type="dxa"/>
              <w:left w:w="0" w:type="dxa"/>
              <w:bottom w:w="0" w:type="dxa"/>
              <w:right w:w="0" w:type="dxa"/>
            </w:tcMar>
            <w:hideMark/>
          </w:tcPr>
          <w:p w14:paraId="2FFBA72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Catecholaminergic polymorphic ventricular tachycardia</w:t>
            </w:r>
          </w:p>
        </w:tc>
        <w:tc>
          <w:tcPr>
            <w:tcW w:w="3426" w:type="dxa"/>
            <w:tcMar>
              <w:top w:w="0" w:type="dxa"/>
              <w:left w:w="0" w:type="dxa"/>
              <w:bottom w:w="0" w:type="dxa"/>
              <w:right w:w="0" w:type="dxa"/>
            </w:tcMar>
            <w:hideMark/>
          </w:tcPr>
          <w:p w14:paraId="6448831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11. Disease of the circulatory system</w:t>
            </w:r>
          </w:p>
        </w:tc>
        <w:tc>
          <w:tcPr>
            <w:tcW w:w="1701" w:type="dxa"/>
            <w:tcMar>
              <w:top w:w="0" w:type="dxa"/>
              <w:left w:w="0" w:type="dxa"/>
              <w:bottom w:w="0" w:type="dxa"/>
              <w:right w:w="0" w:type="dxa"/>
            </w:tcMar>
            <w:hideMark/>
          </w:tcPr>
          <w:p w14:paraId="4CD925B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BC65.5</w:t>
            </w:r>
          </w:p>
        </w:tc>
      </w:tr>
      <w:tr w:rsidR="000B1324" w:rsidRPr="004C3C90" w14:paraId="2EAE9182" w14:textId="77777777" w:rsidTr="00AE5872">
        <w:trPr>
          <w:trHeight w:val="20"/>
          <w:jc w:val="center"/>
        </w:trPr>
        <w:tc>
          <w:tcPr>
            <w:tcW w:w="889" w:type="dxa"/>
            <w:tcMar>
              <w:top w:w="0" w:type="dxa"/>
              <w:left w:w="0" w:type="dxa"/>
              <w:bottom w:w="0" w:type="dxa"/>
              <w:right w:w="0" w:type="dxa"/>
            </w:tcMar>
            <w:hideMark/>
          </w:tcPr>
          <w:p w14:paraId="2055C3A6"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30</w:t>
            </w:r>
          </w:p>
        </w:tc>
        <w:tc>
          <w:tcPr>
            <w:tcW w:w="3204" w:type="dxa"/>
            <w:tcMar>
              <w:top w:w="0" w:type="dxa"/>
              <w:left w:w="0" w:type="dxa"/>
              <w:bottom w:w="0" w:type="dxa"/>
              <w:right w:w="0" w:type="dxa"/>
            </w:tcMar>
            <w:hideMark/>
          </w:tcPr>
          <w:p w14:paraId="153F6AC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Scleroderma</w:t>
            </w:r>
          </w:p>
        </w:tc>
        <w:tc>
          <w:tcPr>
            <w:tcW w:w="3426" w:type="dxa"/>
            <w:tcMar>
              <w:top w:w="0" w:type="dxa"/>
              <w:left w:w="0" w:type="dxa"/>
              <w:bottom w:w="0" w:type="dxa"/>
              <w:right w:w="0" w:type="dxa"/>
            </w:tcMar>
            <w:hideMark/>
          </w:tcPr>
          <w:p w14:paraId="3CF04C54"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14. Diseases of the skin</w:t>
            </w:r>
          </w:p>
        </w:tc>
        <w:tc>
          <w:tcPr>
            <w:tcW w:w="1701" w:type="dxa"/>
            <w:tcMar>
              <w:top w:w="0" w:type="dxa"/>
              <w:left w:w="0" w:type="dxa"/>
              <w:bottom w:w="0" w:type="dxa"/>
              <w:right w:w="0" w:type="dxa"/>
            </w:tcMar>
            <w:hideMark/>
          </w:tcPr>
          <w:p w14:paraId="69AD0BE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EB61.Y</w:t>
            </w:r>
          </w:p>
        </w:tc>
      </w:tr>
      <w:tr w:rsidR="000B1324" w:rsidRPr="004C3C90" w14:paraId="011D5FDD" w14:textId="77777777" w:rsidTr="00AE5872">
        <w:trPr>
          <w:trHeight w:val="20"/>
          <w:jc w:val="center"/>
        </w:trPr>
        <w:tc>
          <w:tcPr>
            <w:tcW w:w="889" w:type="dxa"/>
            <w:tcMar>
              <w:top w:w="0" w:type="dxa"/>
              <w:left w:w="0" w:type="dxa"/>
              <w:bottom w:w="0" w:type="dxa"/>
              <w:right w:w="0" w:type="dxa"/>
            </w:tcMar>
            <w:hideMark/>
          </w:tcPr>
          <w:p w14:paraId="7A10F3FA"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77</w:t>
            </w:r>
          </w:p>
        </w:tc>
        <w:tc>
          <w:tcPr>
            <w:tcW w:w="3204" w:type="dxa"/>
            <w:tcMar>
              <w:top w:w="0" w:type="dxa"/>
              <w:left w:w="0" w:type="dxa"/>
              <w:bottom w:w="0" w:type="dxa"/>
              <w:right w:w="0" w:type="dxa"/>
            </w:tcMar>
            <w:hideMark/>
          </w:tcPr>
          <w:p w14:paraId="776CB02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Scleroderma</w:t>
            </w:r>
          </w:p>
        </w:tc>
        <w:tc>
          <w:tcPr>
            <w:tcW w:w="3426" w:type="dxa"/>
            <w:tcMar>
              <w:top w:w="0" w:type="dxa"/>
              <w:left w:w="0" w:type="dxa"/>
              <w:bottom w:w="0" w:type="dxa"/>
              <w:right w:w="0" w:type="dxa"/>
            </w:tcMar>
            <w:hideMark/>
          </w:tcPr>
          <w:p w14:paraId="1FAEF5E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14. Diseases of the skin</w:t>
            </w:r>
          </w:p>
        </w:tc>
        <w:tc>
          <w:tcPr>
            <w:tcW w:w="1701" w:type="dxa"/>
            <w:tcMar>
              <w:top w:w="0" w:type="dxa"/>
              <w:left w:w="0" w:type="dxa"/>
              <w:bottom w:w="0" w:type="dxa"/>
              <w:right w:w="0" w:type="dxa"/>
            </w:tcMar>
            <w:hideMark/>
          </w:tcPr>
          <w:p w14:paraId="161D67A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EB61.Y</w:t>
            </w:r>
          </w:p>
        </w:tc>
      </w:tr>
      <w:tr w:rsidR="000B1324" w:rsidRPr="004C3C90" w14:paraId="7200A8DE" w14:textId="77777777" w:rsidTr="00AE5872">
        <w:trPr>
          <w:trHeight w:val="20"/>
          <w:jc w:val="center"/>
        </w:trPr>
        <w:tc>
          <w:tcPr>
            <w:tcW w:w="889" w:type="dxa"/>
            <w:tcMar>
              <w:top w:w="0" w:type="dxa"/>
              <w:left w:w="0" w:type="dxa"/>
              <w:bottom w:w="0" w:type="dxa"/>
              <w:right w:w="0" w:type="dxa"/>
            </w:tcMar>
            <w:hideMark/>
          </w:tcPr>
          <w:p w14:paraId="5EF342A0"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46</w:t>
            </w:r>
          </w:p>
        </w:tc>
        <w:tc>
          <w:tcPr>
            <w:tcW w:w="3204" w:type="dxa"/>
            <w:tcMar>
              <w:top w:w="0" w:type="dxa"/>
              <w:left w:w="0" w:type="dxa"/>
              <w:bottom w:w="0" w:type="dxa"/>
              <w:right w:w="0" w:type="dxa"/>
            </w:tcMar>
            <w:hideMark/>
          </w:tcPr>
          <w:p w14:paraId="354FEDD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Paget's disease</w:t>
            </w:r>
          </w:p>
        </w:tc>
        <w:tc>
          <w:tcPr>
            <w:tcW w:w="3426" w:type="dxa"/>
            <w:tcMar>
              <w:top w:w="0" w:type="dxa"/>
              <w:left w:w="0" w:type="dxa"/>
              <w:bottom w:w="0" w:type="dxa"/>
              <w:right w:w="0" w:type="dxa"/>
            </w:tcMar>
            <w:hideMark/>
          </w:tcPr>
          <w:p w14:paraId="566302E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15. Diseases of the musculoskeletal system or connective tissue</w:t>
            </w:r>
          </w:p>
        </w:tc>
        <w:tc>
          <w:tcPr>
            <w:tcW w:w="1701" w:type="dxa"/>
            <w:tcMar>
              <w:top w:w="0" w:type="dxa"/>
              <w:left w:w="0" w:type="dxa"/>
              <w:bottom w:w="0" w:type="dxa"/>
              <w:right w:w="0" w:type="dxa"/>
            </w:tcMar>
            <w:hideMark/>
          </w:tcPr>
          <w:p w14:paraId="2F73368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FB85.Z</w:t>
            </w:r>
          </w:p>
        </w:tc>
      </w:tr>
      <w:tr w:rsidR="000B1324" w:rsidRPr="004C3C90" w14:paraId="20C6DE48" w14:textId="77777777" w:rsidTr="00AE5872">
        <w:trPr>
          <w:trHeight w:val="20"/>
          <w:jc w:val="center"/>
        </w:trPr>
        <w:tc>
          <w:tcPr>
            <w:tcW w:w="889" w:type="dxa"/>
            <w:tcMar>
              <w:top w:w="0" w:type="dxa"/>
              <w:left w:w="0" w:type="dxa"/>
              <w:bottom w:w="0" w:type="dxa"/>
              <w:right w:w="0" w:type="dxa"/>
            </w:tcMar>
            <w:hideMark/>
          </w:tcPr>
          <w:p w14:paraId="1E5B5133"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91</w:t>
            </w:r>
          </w:p>
        </w:tc>
        <w:tc>
          <w:tcPr>
            <w:tcW w:w="3204" w:type="dxa"/>
            <w:tcMar>
              <w:top w:w="0" w:type="dxa"/>
              <w:left w:w="0" w:type="dxa"/>
              <w:bottom w:w="0" w:type="dxa"/>
              <w:right w:w="0" w:type="dxa"/>
            </w:tcMar>
            <w:hideMark/>
          </w:tcPr>
          <w:p w14:paraId="3046D17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Paget's disease</w:t>
            </w:r>
          </w:p>
        </w:tc>
        <w:tc>
          <w:tcPr>
            <w:tcW w:w="3426" w:type="dxa"/>
            <w:tcMar>
              <w:top w:w="0" w:type="dxa"/>
              <w:left w:w="0" w:type="dxa"/>
              <w:bottom w:w="0" w:type="dxa"/>
              <w:right w:w="0" w:type="dxa"/>
            </w:tcMar>
            <w:hideMark/>
          </w:tcPr>
          <w:p w14:paraId="27DDB39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15. Diseases of the musculoskeletal system or connective tissue</w:t>
            </w:r>
          </w:p>
        </w:tc>
        <w:tc>
          <w:tcPr>
            <w:tcW w:w="1701" w:type="dxa"/>
            <w:tcMar>
              <w:top w:w="0" w:type="dxa"/>
              <w:left w:w="0" w:type="dxa"/>
              <w:bottom w:w="0" w:type="dxa"/>
              <w:right w:w="0" w:type="dxa"/>
            </w:tcMar>
            <w:hideMark/>
          </w:tcPr>
          <w:p w14:paraId="7F3EA18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FB85.Z</w:t>
            </w:r>
          </w:p>
        </w:tc>
      </w:tr>
      <w:tr w:rsidR="000B1324" w:rsidRPr="004C3C90" w14:paraId="7FF73C2C" w14:textId="77777777" w:rsidTr="00AE5872">
        <w:trPr>
          <w:trHeight w:val="20"/>
          <w:jc w:val="center"/>
        </w:trPr>
        <w:tc>
          <w:tcPr>
            <w:tcW w:w="889" w:type="dxa"/>
            <w:tcMar>
              <w:top w:w="0" w:type="dxa"/>
              <w:left w:w="0" w:type="dxa"/>
              <w:bottom w:w="0" w:type="dxa"/>
              <w:right w:w="0" w:type="dxa"/>
            </w:tcMar>
            <w:hideMark/>
          </w:tcPr>
          <w:p w14:paraId="084A32EC"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108</w:t>
            </w:r>
          </w:p>
        </w:tc>
        <w:tc>
          <w:tcPr>
            <w:tcW w:w="3204" w:type="dxa"/>
            <w:tcMar>
              <w:top w:w="0" w:type="dxa"/>
              <w:left w:w="0" w:type="dxa"/>
              <w:bottom w:w="0" w:type="dxa"/>
              <w:right w:w="0" w:type="dxa"/>
            </w:tcMar>
            <w:hideMark/>
          </w:tcPr>
          <w:p w14:paraId="2190352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Polyostotic fibrous dysplasia, Marfan’s syndrome, Haemophilia,</w:t>
            </w:r>
          </w:p>
          <w:p w14:paraId="345382C4"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Osteogenesisimperfecta</w:t>
            </w:r>
          </w:p>
          <w:p w14:paraId="02CC672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lastRenderedPageBreak/>
              <w:t>Classicalphenylketonuria,</w:t>
            </w:r>
          </w:p>
          <w:p w14:paraId="769D333A"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Neurofibromatosis</w:t>
            </w:r>
          </w:p>
        </w:tc>
        <w:tc>
          <w:tcPr>
            <w:tcW w:w="3426" w:type="dxa"/>
            <w:tcMar>
              <w:top w:w="0" w:type="dxa"/>
              <w:left w:w="0" w:type="dxa"/>
              <w:bottom w:w="0" w:type="dxa"/>
              <w:right w:w="0" w:type="dxa"/>
            </w:tcMar>
            <w:hideMark/>
          </w:tcPr>
          <w:p w14:paraId="07C33AE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lastRenderedPageBreak/>
              <w:t xml:space="preserve">15. Diseases of the musculoskeletal system or connective tissue + 20. Developmental anomalies + 03. Diseases </w:t>
            </w:r>
            <w:r w:rsidRPr="004C3C90">
              <w:rPr>
                <w:rFonts w:ascii="Times New Roman" w:eastAsia="맑은 고딕" w:hAnsi="Times New Roman" w:cs="Times New Roman"/>
                <w:sz w:val="20"/>
                <w:szCs w:val="20"/>
              </w:rPr>
              <w:lastRenderedPageBreak/>
              <w:t>of the blood or blood-forming organs + 05. Endocrine, nutritional or metabolic diseases</w:t>
            </w:r>
          </w:p>
        </w:tc>
        <w:tc>
          <w:tcPr>
            <w:tcW w:w="1701" w:type="dxa"/>
            <w:tcMar>
              <w:top w:w="0" w:type="dxa"/>
              <w:left w:w="0" w:type="dxa"/>
              <w:bottom w:w="0" w:type="dxa"/>
              <w:right w:w="0" w:type="dxa"/>
            </w:tcMar>
            <w:hideMark/>
          </w:tcPr>
          <w:p w14:paraId="67B759A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lastRenderedPageBreak/>
              <w:t>FB80.0 + LD28.0 + 3B12 + LD24.K0 + 5C50.00 + LD2D.1Z</w:t>
            </w:r>
          </w:p>
        </w:tc>
      </w:tr>
      <w:tr w:rsidR="000B1324" w:rsidRPr="004C3C90" w14:paraId="6FB9893B" w14:textId="77777777" w:rsidTr="00AE5872">
        <w:trPr>
          <w:trHeight w:val="20"/>
          <w:jc w:val="center"/>
        </w:trPr>
        <w:tc>
          <w:tcPr>
            <w:tcW w:w="889" w:type="dxa"/>
            <w:tcMar>
              <w:top w:w="0" w:type="dxa"/>
              <w:left w:w="0" w:type="dxa"/>
              <w:bottom w:w="0" w:type="dxa"/>
              <w:right w:w="0" w:type="dxa"/>
            </w:tcMar>
            <w:hideMark/>
          </w:tcPr>
          <w:p w14:paraId="4ACC6263"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20</w:t>
            </w:r>
          </w:p>
        </w:tc>
        <w:tc>
          <w:tcPr>
            <w:tcW w:w="3204" w:type="dxa"/>
            <w:tcMar>
              <w:top w:w="0" w:type="dxa"/>
              <w:left w:w="0" w:type="dxa"/>
              <w:bottom w:w="0" w:type="dxa"/>
              <w:right w:w="0" w:type="dxa"/>
            </w:tcMar>
            <w:hideMark/>
          </w:tcPr>
          <w:p w14:paraId="1DE75A4A"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Nephrotic Syndrome</w:t>
            </w:r>
          </w:p>
        </w:tc>
        <w:tc>
          <w:tcPr>
            <w:tcW w:w="3426" w:type="dxa"/>
            <w:tcMar>
              <w:top w:w="0" w:type="dxa"/>
              <w:left w:w="0" w:type="dxa"/>
              <w:bottom w:w="0" w:type="dxa"/>
              <w:right w:w="0" w:type="dxa"/>
            </w:tcMar>
            <w:hideMark/>
          </w:tcPr>
          <w:p w14:paraId="4F7F990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16. Disease of the genitourinary system</w:t>
            </w:r>
          </w:p>
        </w:tc>
        <w:tc>
          <w:tcPr>
            <w:tcW w:w="1701" w:type="dxa"/>
            <w:tcMar>
              <w:top w:w="0" w:type="dxa"/>
              <w:left w:w="0" w:type="dxa"/>
              <w:bottom w:w="0" w:type="dxa"/>
              <w:right w:w="0" w:type="dxa"/>
            </w:tcMar>
            <w:hideMark/>
          </w:tcPr>
          <w:p w14:paraId="6D1F958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GB41</w:t>
            </w:r>
          </w:p>
        </w:tc>
      </w:tr>
      <w:tr w:rsidR="000B1324" w:rsidRPr="004C3C90" w14:paraId="7085CAB4" w14:textId="77777777" w:rsidTr="00AE5872">
        <w:trPr>
          <w:trHeight w:val="20"/>
          <w:jc w:val="center"/>
        </w:trPr>
        <w:tc>
          <w:tcPr>
            <w:tcW w:w="889" w:type="dxa"/>
            <w:tcMar>
              <w:top w:w="0" w:type="dxa"/>
              <w:left w:w="0" w:type="dxa"/>
              <w:bottom w:w="0" w:type="dxa"/>
              <w:right w:w="0" w:type="dxa"/>
            </w:tcMar>
            <w:hideMark/>
          </w:tcPr>
          <w:p w14:paraId="3BD2870F"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21</w:t>
            </w:r>
          </w:p>
        </w:tc>
        <w:tc>
          <w:tcPr>
            <w:tcW w:w="3204" w:type="dxa"/>
            <w:tcMar>
              <w:top w:w="0" w:type="dxa"/>
              <w:left w:w="0" w:type="dxa"/>
              <w:bottom w:w="0" w:type="dxa"/>
              <w:right w:w="0" w:type="dxa"/>
            </w:tcMar>
            <w:hideMark/>
          </w:tcPr>
          <w:p w14:paraId="1694103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Poland's Syndrome</w:t>
            </w:r>
          </w:p>
        </w:tc>
        <w:tc>
          <w:tcPr>
            <w:tcW w:w="3426" w:type="dxa"/>
            <w:tcMar>
              <w:top w:w="0" w:type="dxa"/>
              <w:left w:w="0" w:type="dxa"/>
              <w:bottom w:w="0" w:type="dxa"/>
              <w:right w:w="0" w:type="dxa"/>
            </w:tcMar>
            <w:hideMark/>
          </w:tcPr>
          <w:p w14:paraId="493E9F3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20. Developmental anomalies</w:t>
            </w:r>
          </w:p>
        </w:tc>
        <w:tc>
          <w:tcPr>
            <w:tcW w:w="1701" w:type="dxa"/>
            <w:tcMar>
              <w:top w:w="0" w:type="dxa"/>
              <w:left w:w="0" w:type="dxa"/>
              <w:bottom w:w="0" w:type="dxa"/>
              <w:right w:w="0" w:type="dxa"/>
            </w:tcMar>
            <w:hideMark/>
          </w:tcPr>
          <w:p w14:paraId="026ED24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LB73.10</w:t>
            </w:r>
          </w:p>
        </w:tc>
      </w:tr>
      <w:tr w:rsidR="000B1324" w:rsidRPr="004C3C90" w14:paraId="26D1A365" w14:textId="77777777" w:rsidTr="00AE5872">
        <w:trPr>
          <w:trHeight w:val="20"/>
          <w:jc w:val="center"/>
        </w:trPr>
        <w:tc>
          <w:tcPr>
            <w:tcW w:w="889" w:type="dxa"/>
            <w:tcMar>
              <w:top w:w="0" w:type="dxa"/>
              <w:left w:w="0" w:type="dxa"/>
              <w:bottom w:w="0" w:type="dxa"/>
              <w:right w:w="0" w:type="dxa"/>
            </w:tcMar>
            <w:hideMark/>
          </w:tcPr>
          <w:p w14:paraId="57BE3E39"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23</w:t>
            </w:r>
          </w:p>
        </w:tc>
        <w:tc>
          <w:tcPr>
            <w:tcW w:w="3204" w:type="dxa"/>
            <w:tcMar>
              <w:top w:w="0" w:type="dxa"/>
              <w:left w:w="0" w:type="dxa"/>
              <w:bottom w:w="0" w:type="dxa"/>
              <w:right w:w="0" w:type="dxa"/>
            </w:tcMar>
            <w:hideMark/>
          </w:tcPr>
          <w:p w14:paraId="3865F19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Osteogenesis imperfecta</w:t>
            </w:r>
          </w:p>
        </w:tc>
        <w:tc>
          <w:tcPr>
            <w:tcW w:w="3426" w:type="dxa"/>
            <w:tcMar>
              <w:top w:w="0" w:type="dxa"/>
              <w:left w:w="0" w:type="dxa"/>
              <w:bottom w:w="0" w:type="dxa"/>
              <w:right w:w="0" w:type="dxa"/>
            </w:tcMar>
            <w:hideMark/>
          </w:tcPr>
          <w:p w14:paraId="39F2026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20. Developmental anomalies</w:t>
            </w:r>
          </w:p>
        </w:tc>
        <w:tc>
          <w:tcPr>
            <w:tcW w:w="1701" w:type="dxa"/>
            <w:tcMar>
              <w:top w:w="0" w:type="dxa"/>
              <w:left w:w="0" w:type="dxa"/>
              <w:bottom w:w="0" w:type="dxa"/>
              <w:right w:w="0" w:type="dxa"/>
            </w:tcMar>
            <w:hideMark/>
          </w:tcPr>
          <w:p w14:paraId="1451F28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LD24.K0</w:t>
            </w:r>
          </w:p>
        </w:tc>
      </w:tr>
      <w:tr w:rsidR="000B1324" w:rsidRPr="004C3C90" w14:paraId="54D4A756" w14:textId="77777777" w:rsidTr="00AE5872">
        <w:trPr>
          <w:trHeight w:val="20"/>
          <w:jc w:val="center"/>
        </w:trPr>
        <w:tc>
          <w:tcPr>
            <w:tcW w:w="889" w:type="dxa"/>
            <w:tcMar>
              <w:top w:w="0" w:type="dxa"/>
              <w:left w:w="0" w:type="dxa"/>
              <w:bottom w:w="0" w:type="dxa"/>
              <w:right w:w="0" w:type="dxa"/>
            </w:tcMar>
            <w:hideMark/>
          </w:tcPr>
          <w:p w14:paraId="537633AE"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24</w:t>
            </w:r>
          </w:p>
        </w:tc>
        <w:tc>
          <w:tcPr>
            <w:tcW w:w="3204" w:type="dxa"/>
            <w:tcMar>
              <w:top w:w="0" w:type="dxa"/>
              <w:left w:w="0" w:type="dxa"/>
              <w:bottom w:w="0" w:type="dxa"/>
              <w:right w:w="0" w:type="dxa"/>
            </w:tcMar>
            <w:hideMark/>
          </w:tcPr>
          <w:p w14:paraId="78A979D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Fibrodysplasia ossificans progressiva</w:t>
            </w:r>
          </w:p>
        </w:tc>
        <w:tc>
          <w:tcPr>
            <w:tcW w:w="3426" w:type="dxa"/>
            <w:tcMar>
              <w:top w:w="0" w:type="dxa"/>
              <w:left w:w="0" w:type="dxa"/>
              <w:bottom w:w="0" w:type="dxa"/>
              <w:right w:w="0" w:type="dxa"/>
            </w:tcMar>
            <w:hideMark/>
          </w:tcPr>
          <w:p w14:paraId="18B33E7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20. Developmental anomalies</w:t>
            </w:r>
          </w:p>
        </w:tc>
        <w:tc>
          <w:tcPr>
            <w:tcW w:w="1701" w:type="dxa"/>
            <w:tcMar>
              <w:top w:w="0" w:type="dxa"/>
              <w:left w:w="0" w:type="dxa"/>
              <w:bottom w:w="0" w:type="dxa"/>
              <w:right w:w="0" w:type="dxa"/>
            </w:tcMar>
            <w:hideMark/>
          </w:tcPr>
          <w:p w14:paraId="2F6F1DB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FB31.1</w:t>
            </w:r>
          </w:p>
        </w:tc>
      </w:tr>
      <w:tr w:rsidR="000B1324" w:rsidRPr="004C3C90" w14:paraId="05157710" w14:textId="77777777" w:rsidTr="00AE5872">
        <w:trPr>
          <w:trHeight w:val="20"/>
          <w:jc w:val="center"/>
        </w:trPr>
        <w:tc>
          <w:tcPr>
            <w:tcW w:w="889" w:type="dxa"/>
            <w:tcMar>
              <w:top w:w="0" w:type="dxa"/>
              <w:left w:w="0" w:type="dxa"/>
              <w:bottom w:w="0" w:type="dxa"/>
              <w:right w:w="0" w:type="dxa"/>
            </w:tcMar>
            <w:hideMark/>
          </w:tcPr>
          <w:p w14:paraId="7D24799C"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50</w:t>
            </w:r>
          </w:p>
        </w:tc>
        <w:tc>
          <w:tcPr>
            <w:tcW w:w="3204" w:type="dxa"/>
            <w:tcMar>
              <w:top w:w="0" w:type="dxa"/>
              <w:left w:w="0" w:type="dxa"/>
              <w:bottom w:w="0" w:type="dxa"/>
              <w:right w:w="0" w:type="dxa"/>
            </w:tcMar>
            <w:hideMark/>
          </w:tcPr>
          <w:p w14:paraId="7B5A610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Tuberous sclerosis</w:t>
            </w:r>
          </w:p>
        </w:tc>
        <w:tc>
          <w:tcPr>
            <w:tcW w:w="3426" w:type="dxa"/>
            <w:tcMar>
              <w:top w:w="0" w:type="dxa"/>
              <w:left w:w="0" w:type="dxa"/>
              <w:bottom w:w="0" w:type="dxa"/>
              <w:right w:w="0" w:type="dxa"/>
            </w:tcMar>
            <w:hideMark/>
          </w:tcPr>
          <w:p w14:paraId="554990C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20. Developmental anomalies</w:t>
            </w:r>
          </w:p>
        </w:tc>
        <w:tc>
          <w:tcPr>
            <w:tcW w:w="1701" w:type="dxa"/>
            <w:tcMar>
              <w:top w:w="0" w:type="dxa"/>
              <w:left w:w="0" w:type="dxa"/>
              <w:bottom w:w="0" w:type="dxa"/>
              <w:right w:w="0" w:type="dxa"/>
            </w:tcMar>
            <w:hideMark/>
          </w:tcPr>
          <w:p w14:paraId="0243FB8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LD2D.2</w:t>
            </w:r>
          </w:p>
        </w:tc>
      </w:tr>
      <w:tr w:rsidR="000B1324" w:rsidRPr="004C3C90" w14:paraId="103B27BB" w14:textId="77777777" w:rsidTr="00AE5872">
        <w:trPr>
          <w:trHeight w:val="20"/>
          <w:jc w:val="center"/>
        </w:trPr>
        <w:tc>
          <w:tcPr>
            <w:tcW w:w="889" w:type="dxa"/>
            <w:tcMar>
              <w:top w:w="0" w:type="dxa"/>
              <w:left w:w="0" w:type="dxa"/>
              <w:bottom w:w="0" w:type="dxa"/>
              <w:right w:w="0" w:type="dxa"/>
            </w:tcMar>
            <w:hideMark/>
          </w:tcPr>
          <w:p w14:paraId="23854E73"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69</w:t>
            </w:r>
          </w:p>
        </w:tc>
        <w:tc>
          <w:tcPr>
            <w:tcW w:w="3204" w:type="dxa"/>
            <w:tcMar>
              <w:top w:w="0" w:type="dxa"/>
              <w:left w:w="0" w:type="dxa"/>
              <w:bottom w:w="0" w:type="dxa"/>
              <w:right w:w="0" w:type="dxa"/>
            </w:tcMar>
            <w:hideMark/>
          </w:tcPr>
          <w:p w14:paraId="4C1F4DA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Cornelia de Lange Syndrome</w:t>
            </w:r>
          </w:p>
        </w:tc>
        <w:tc>
          <w:tcPr>
            <w:tcW w:w="3426" w:type="dxa"/>
            <w:tcMar>
              <w:top w:w="0" w:type="dxa"/>
              <w:left w:w="0" w:type="dxa"/>
              <w:bottom w:w="0" w:type="dxa"/>
              <w:right w:w="0" w:type="dxa"/>
            </w:tcMar>
            <w:hideMark/>
          </w:tcPr>
          <w:p w14:paraId="67F235D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20. Developmental anomalies</w:t>
            </w:r>
          </w:p>
        </w:tc>
        <w:tc>
          <w:tcPr>
            <w:tcW w:w="1701" w:type="dxa"/>
            <w:tcMar>
              <w:top w:w="0" w:type="dxa"/>
              <w:left w:w="0" w:type="dxa"/>
              <w:bottom w:w="0" w:type="dxa"/>
              <w:right w:w="0" w:type="dxa"/>
            </w:tcMar>
            <w:hideMark/>
          </w:tcPr>
          <w:p w14:paraId="5207CC7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LD2F.1Y</w:t>
            </w:r>
          </w:p>
        </w:tc>
      </w:tr>
      <w:tr w:rsidR="000B1324" w:rsidRPr="004C3C90" w14:paraId="5F426CB4" w14:textId="77777777" w:rsidTr="00AE5872">
        <w:trPr>
          <w:trHeight w:val="20"/>
          <w:jc w:val="center"/>
        </w:trPr>
        <w:tc>
          <w:tcPr>
            <w:tcW w:w="889" w:type="dxa"/>
            <w:tcMar>
              <w:top w:w="0" w:type="dxa"/>
              <w:left w:w="0" w:type="dxa"/>
              <w:bottom w:w="0" w:type="dxa"/>
              <w:right w:w="0" w:type="dxa"/>
            </w:tcMar>
            <w:hideMark/>
          </w:tcPr>
          <w:p w14:paraId="486FDD24"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72</w:t>
            </w:r>
          </w:p>
        </w:tc>
        <w:tc>
          <w:tcPr>
            <w:tcW w:w="3204" w:type="dxa"/>
            <w:tcMar>
              <w:top w:w="0" w:type="dxa"/>
              <w:left w:w="0" w:type="dxa"/>
              <w:bottom w:w="0" w:type="dxa"/>
              <w:right w:w="0" w:type="dxa"/>
            </w:tcMar>
            <w:hideMark/>
          </w:tcPr>
          <w:p w14:paraId="06838E5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Primary ciliary dyskinesia</w:t>
            </w:r>
          </w:p>
        </w:tc>
        <w:tc>
          <w:tcPr>
            <w:tcW w:w="3426" w:type="dxa"/>
            <w:tcMar>
              <w:top w:w="0" w:type="dxa"/>
              <w:left w:w="0" w:type="dxa"/>
              <w:bottom w:w="0" w:type="dxa"/>
              <w:right w:w="0" w:type="dxa"/>
            </w:tcMar>
            <w:hideMark/>
          </w:tcPr>
          <w:p w14:paraId="7FF948EB"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20. Developmental anomalies</w:t>
            </w:r>
          </w:p>
        </w:tc>
        <w:tc>
          <w:tcPr>
            <w:tcW w:w="1701" w:type="dxa"/>
            <w:tcMar>
              <w:top w:w="0" w:type="dxa"/>
              <w:left w:w="0" w:type="dxa"/>
              <w:bottom w:w="0" w:type="dxa"/>
              <w:right w:w="0" w:type="dxa"/>
            </w:tcMar>
            <w:hideMark/>
          </w:tcPr>
          <w:p w14:paraId="196F55F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LA75.Y</w:t>
            </w:r>
          </w:p>
        </w:tc>
      </w:tr>
      <w:tr w:rsidR="000B1324" w:rsidRPr="004C3C90" w14:paraId="2EBFFCBD" w14:textId="77777777" w:rsidTr="00AE5872">
        <w:trPr>
          <w:trHeight w:val="20"/>
          <w:jc w:val="center"/>
        </w:trPr>
        <w:tc>
          <w:tcPr>
            <w:tcW w:w="889" w:type="dxa"/>
            <w:tcMar>
              <w:top w:w="0" w:type="dxa"/>
              <w:left w:w="0" w:type="dxa"/>
              <w:bottom w:w="0" w:type="dxa"/>
              <w:right w:w="0" w:type="dxa"/>
            </w:tcMar>
            <w:hideMark/>
          </w:tcPr>
          <w:p w14:paraId="12510C29"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88</w:t>
            </w:r>
          </w:p>
        </w:tc>
        <w:tc>
          <w:tcPr>
            <w:tcW w:w="3204" w:type="dxa"/>
            <w:tcMar>
              <w:top w:w="0" w:type="dxa"/>
              <w:left w:w="0" w:type="dxa"/>
              <w:bottom w:w="0" w:type="dxa"/>
              <w:right w:w="0" w:type="dxa"/>
            </w:tcMar>
            <w:hideMark/>
          </w:tcPr>
          <w:p w14:paraId="4A4C416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Osteogenesis imperfecta</w:t>
            </w:r>
          </w:p>
        </w:tc>
        <w:tc>
          <w:tcPr>
            <w:tcW w:w="3426" w:type="dxa"/>
            <w:tcMar>
              <w:top w:w="0" w:type="dxa"/>
              <w:left w:w="0" w:type="dxa"/>
              <w:bottom w:w="0" w:type="dxa"/>
              <w:right w:w="0" w:type="dxa"/>
            </w:tcMar>
            <w:hideMark/>
          </w:tcPr>
          <w:p w14:paraId="6A761BA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20. Developmental anomalies</w:t>
            </w:r>
          </w:p>
        </w:tc>
        <w:tc>
          <w:tcPr>
            <w:tcW w:w="1701" w:type="dxa"/>
            <w:tcMar>
              <w:top w:w="0" w:type="dxa"/>
              <w:left w:w="0" w:type="dxa"/>
              <w:bottom w:w="0" w:type="dxa"/>
              <w:right w:w="0" w:type="dxa"/>
            </w:tcMar>
            <w:hideMark/>
          </w:tcPr>
          <w:p w14:paraId="5010C77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LD24.K0</w:t>
            </w:r>
          </w:p>
        </w:tc>
      </w:tr>
      <w:tr w:rsidR="000B1324" w:rsidRPr="004C3C90" w14:paraId="39530CFE" w14:textId="77777777" w:rsidTr="00AE5872">
        <w:trPr>
          <w:trHeight w:val="20"/>
          <w:jc w:val="center"/>
        </w:trPr>
        <w:tc>
          <w:tcPr>
            <w:tcW w:w="889" w:type="dxa"/>
            <w:tcMar>
              <w:top w:w="0" w:type="dxa"/>
              <w:left w:w="0" w:type="dxa"/>
              <w:bottom w:w="0" w:type="dxa"/>
              <w:right w:w="0" w:type="dxa"/>
            </w:tcMar>
            <w:hideMark/>
          </w:tcPr>
          <w:p w14:paraId="164FAB77"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105</w:t>
            </w:r>
          </w:p>
        </w:tc>
        <w:tc>
          <w:tcPr>
            <w:tcW w:w="3204" w:type="dxa"/>
            <w:tcMar>
              <w:top w:w="0" w:type="dxa"/>
              <w:left w:w="0" w:type="dxa"/>
              <w:bottom w:w="0" w:type="dxa"/>
              <w:right w:w="0" w:type="dxa"/>
            </w:tcMar>
            <w:hideMark/>
          </w:tcPr>
          <w:p w14:paraId="0971AEA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Rett’s syndrome</w:t>
            </w:r>
          </w:p>
        </w:tc>
        <w:tc>
          <w:tcPr>
            <w:tcW w:w="3426" w:type="dxa"/>
            <w:tcMar>
              <w:top w:w="0" w:type="dxa"/>
              <w:left w:w="0" w:type="dxa"/>
              <w:bottom w:w="0" w:type="dxa"/>
              <w:right w:w="0" w:type="dxa"/>
            </w:tcMar>
            <w:hideMark/>
          </w:tcPr>
          <w:p w14:paraId="6946F06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20. Developmental anomalies</w:t>
            </w:r>
          </w:p>
        </w:tc>
        <w:tc>
          <w:tcPr>
            <w:tcW w:w="1701" w:type="dxa"/>
            <w:tcMar>
              <w:top w:w="0" w:type="dxa"/>
              <w:left w:w="0" w:type="dxa"/>
              <w:bottom w:w="0" w:type="dxa"/>
              <w:right w:w="0" w:type="dxa"/>
            </w:tcMar>
            <w:hideMark/>
          </w:tcPr>
          <w:p w14:paraId="618152D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LD90.4</w:t>
            </w:r>
          </w:p>
        </w:tc>
      </w:tr>
      <w:tr w:rsidR="000B1324" w:rsidRPr="004C3C90" w14:paraId="56B27074" w14:textId="77777777" w:rsidTr="00AE5872">
        <w:trPr>
          <w:trHeight w:val="20"/>
          <w:jc w:val="center"/>
        </w:trPr>
        <w:tc>
          <w:tcPr>
            <w:tcW w:w="889" w:type="dxa"/>
            <w:tcMar>
              <w:top w:w="0" w:type="dxa"/>
              <w:left w:w="0" w:type="dxa"/>
              <w:bottom w:w="0" w:type="dxa"/>
              <w:right w:w="0" w:type="dxa"/>
            </w:tcMar>
            <w:hideMark/>
          </w:tcPr>
          <w:p w14:paraId="422649C9"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113</w:t>
            </w:r>
          </w:p>
        </w:tc>
        <w:tc>
          <w:tcPr>
            <w:tcW w:w="3204" w:type="dxa"/>
            <w:tcMar>
              <w:top w:w="0" w:type="dxa"/>
              <w:left w:w="0" w:type="dxa"/>
              <w:bottom w:w="0" w:type="dxa"/>
              <w:right w:w="0" w:type="dxa"/>
            </w:tcMar>
            <w:hideMark/>
          </w:tcPr>
          <w:p w14:paraId="51E971D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Costello syndrome</w:t>
            </w:r>
          </w:p>
        </w:tc>
        <w:tc>
          <w:tcPr>
            <w:tcW w:w="3426" w:type="dxa"/>
            <w:tcMar>
              <w:top w:w="0" w:type="dxa"/>
              <w:left w:w="0" w:type="dxa"/>
              <w:bottom w:w="0" w:type="dxa"/>
              <w:right w:w="0" w:type="dxa"/>
            </w:tcMar>
            <w:hideMark/>
          </w:tcPr>
          <w:p w14:paraId="03C2474A"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20. Developmental anomalies</w:t>
            </w:r>
          </w:p>
        </w:tc>
        <w:tc>
          <w:tcPr>
            <w:tcW w:w="1701" w:type="dxa"/>
            <w:tcMar>
              <w:top w:w="0" w:type="dxa"/>
              <w:left w:w="0" w:type="dxa"/>
              <w:bottom w:w="0" w:type="dxa"/>
              <w:right w:w="0" w:type="dxa"/>
            </w:tcMar>
            <w:hideMark/>
          </w:tcPr>
          <w:p w14:paraId="4F359C1A"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LD2F.1Y</w:t>
            </w:r>
          </w:p>
        </w:tc>
      </w:tr>
      <w:tr w:rsidR="000B1324" w:rsidRPr="004C3C90" w14:paraId="1F80EC22" w14:textId="77777777" w:rsidTr="00AE5872">
        <w:trPr>
          <w:trHeight w:val="20"/>
          <w:jc w:val="center"/>
        </w:trPr>
        <w:tc>
          <w:tcPr>
            <w:tcW w:w="889" w:type="dxa"/>
            <w:tcMar>
              <w:top w:w="0" w:type="dxa"/>
              <w:left w:w="0" w:type="dxa"/>
              <w:bottom w:w="0" w:type="dxa"/>
              <w:right w:w="0" w:type="dxa"/>
            </w:tcMar>
            <w:hideMark/>
          </w:tcPr>
          <w:p w14:paraId="1690F845"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114</w:t>
            </w:r>
          </w:p>
        </w:tc>
        <w:tc>
          <w:tcPr>
            <w:tcW w:w="3204" w:type="dxa"/>
            <w:tcMar>
              <w:top w:w="0" w:type="dxa"/>
              <w:left w:w="0" w:type="dxa"/>
              <w:bottom w:w="0" w:type="dxa"/>
              <w:right w:w="0" w:type="dxa"/>
            </w:tcMar>
            <w:hideMark/>
          </w:tcPr>
          <w:p w14:paraId="529138A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Hereditary haemorrhagic telangiectasia Rendu-Osler-Weber disease</w:t>
            </w:r>
          </w:p>
        </w:tc>
        <w:tc>
          <w:tcPr>
            <w:tcW w:w="3426" w:type="dxa"/>
            <w:tcMar>
              <w:top w:w="0" w:type="dxa"/>
              <w:left w:w="0" w:type="dxa"/>
              <w:bottom w:w="0" w:type="dxa"/>
              <w:right w:w="0" w:type="dxa"/>
            </w:tcMar>
            <w:hideMark/>
          </w:tcPr>
          <w:p w14:paraId="2836FA0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20. Developmental anomalies</w:t>
            </w:r>
          </w:p>
        </w:tc>
        <w:tc>
          <w:tcPr>
            <w:tcW w:w="1701" w:type="dxa"/>
            <w:tcMar>
              <w:top w:w="0" w:type="dxa"/>
              <w:left w:w="0" w:type="dxa"/>
              <w:bottom w:w="0" w:type="dxa"/>
              <w:right w:w="0" w:type="dxa"/>
            </w:tcMar>
            <w:hideMark/>
          </w:tcPr>
          <w:p w14:paraId="602250C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LA90.00</w:t>
            </w:r>
          </w:p>
        </w:tc>
      </w:tr>
      <w:tr w:rsidR="000B1324" w:rsidRPr="004C3C90" w14:paraId="3AD69434" w14:textId="77777777" w:rsidTr="00AE5872">
        <w:trPr>
          <w:trHeight w:val="20"/>
          <w:jc w:val="center"/>
        </w:trPr>
        <w:tc>
          <w:tcPr>
            <w:tcW w:w="889" w:type="dxa"/>
            <w:tcMar>
              <w:top w:w="0" w:type="dxa"/>
              <w:left w:w="0" w:type="dxa"/>
              <w:bottom w:w="0" w:type="dxa"/>
              <w:right w:w="0" w:type="dxa"/>
            </w:tcMar>
            <w:hideMark/>
          </w:tcPr>
          <w:p w14:paraId="2FEF9D09"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4</w:t>
            </w:r>
          </w:p>
        </w:tc>
        <w:tc>
          <w:tcPr>
            <w:tcW w:w="3204" w:type="dxa"/>
            <w:tcMar>
              <w:top w:w="0" w:type="dxa"/>
              <w:left w:w="0" w:type="dxa"/>
              <w:bottom w:w="0" w:type="dxa"/>
              <w:right w:w="0" w:type="dxa"/>
            </w:tcMar>
            <w:hideMark/>
          </w:tcPr>
          <w:p w14:paraId="16681D1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3330C56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71112C1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69124078" w14:textId="77777777" w:rsidTr="00AE5872">
        <w:trPr>
          <w:trHeight w:val="20"/>
          <w:jc w:val="center"/>
        </w:trPr>
        <w:tc>
          <w:tcPr>
            <w:tcW w:w="889" w:type="dxa"/>
            <w:tcMar>
              <w:top w:w="0" w:type="dxa"/>
              <w:left w:w="0" w:type="dxa"/>
              <w:bottom w:w="0" w:type="dxa"/>
              <w:right w:w="0" w:type="dxa"/>
            </w:tcMar>
            <w:hideMark/>
          </w:tcPr>
          <w:p w14:paraId="55005AF1"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5</w:t>
            </w:r>
          </w:p>
        </w:tc>
        <w:tc>
          <w:tcPr>
            <w:tcW w:w="3204" w:type="dxa"/>
            <w:tcMar>
              <w:top w:w="0" w:type="dxa"/>
              <w:left w:w="0" w:type="dxa"/>
              <w:bottom w:w="0" w:type="dxa"/>
              <w:right w:w="0" w:type="dxa"/>
            </w:tcMar>
            <w:hideMark/>
          </w:tcPr>
          <w:p w14:paraId="09ADB76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6861BAD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0848B9F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4514F266" w14:textId="77777777" w:rsidTr="00AE5872">
        <w:trPr>
          <w:trHeight w:val="20"/>
          <w:jc w:val="center"/>
        </w:trPr>
        <w:tc>
          <w:tcPr>
            <w:tcW w:w="889" w:type="dxa"/>
            <w:tcMar>
              <w:top w:w="0" w:type="dxa"/>
              <w:left w:w="0" w:type="dxa"/>
              <w:bottom w:w="0" w:type="dxa"/>
              <w:right w:w="0" w:type="dxa"/>
            </w:tcMar>
            <w:hideMark/>
          </w:tcPr>
          <w:p w14:paraId="7C402756"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6</w:t>
            </w:r>
          </w:p>
        </w:tc>
        <w:tc>
          <w:tcPr>
            <w:tcW w:w="3204" w:type="dxa"/>
            <w:tcMar>
              <w:top w:w="0" w:type="dxa"/>
              <w:left w:w="0" w:type="dxa"/>
              <w:bottom w:w="0" w:type="dxa"/>
              <w:right w:w="0" w:type="dxa"/>
            </w:tcMar>
            <w:hideMark/>
          </w:tcPr>
          <w:p w14:paraId="4432161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50862FF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46EB1F1A"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616B466B" w14:textId="77777777" w:rsidTr="00AE5872">
        <w:trPr>
          <w:trHeight w:val="20"/>
          <w:jc w:val="center"/>
        </w:trPr>
        <w:tc>
          <w:tcPr>
            <w:tcW w:w="889" w:type="dxa"/>
            <w:tcMar>
              <w:top w:w="0" w:type="dxa"/>
              <w:left w:w="0" w:type="dxa"/>
              <w:bottom w:w="0" w:type="dxa"/>
              <w:right w:w="0" w:type="dxa"/>
            </w:tcMar>
            <w:hideMark/>
          </w:tcPr>
          <w:p w14:paraId="4FA4179C"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10</w:t>
            </w:r>
          </w:p>
        </w:tc>
        <w:tc>
          <w:tcPr>
            <w:tcW w:w="3204" w:type="dxa"/>
            <w:tcMar>
              <w:top w:w="0" w:type="dxa"/>
              <w:left w:w="0" w:type="dxa"/>
              <w:bottom w:w="0" w:type="dxa"/>
              <w:right w:w="0" w:type="dxa"/>
            </w:tcMar>
            <w:hideMark/>
          </w:tcPr>
          <w:p w14:paraId="652A8C5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2C57E40A"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42D4311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373ED07A" w14:textId="77777777" w:rsidTr="00AE5872">
        <w:trPr>
          <w:trHeight w:val="20"/>
          <w:jc w:val="center"/>
        </w:trPr>
        <w:tc>
          <w:tcPr>
            <w:tcW w:w="889" w:type="dxa"/>
            <w:tcMar>
              <w:top w:w="0" w:type="dxa"/>
              <w:left w:w="0" w:type="dxa"/>
              <w:bottom w:w="0" w:type="dxa"/>
              <w:right w:w="0" w:type="dxa"/>
            </w:tcMar>
            <w:hideMark/>
          </w:tcPr>
          <w:p w14:paraId="6B7970A1"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11</w:t>
            </w:r>
          </w:p>
        </w:tc>
        <w:tc>
          <w:tcPr>
            <w:tcW w:w="3204" w:type="dxa"/>
            <w:tcMar>
              <w:top w:w="0" w:type="dxa"/>
              <w:left w:w="0" w:type="dxa"/>
              <w:bottom w:w="0" w:type="dxa"/>
              <w:right w:w="0" w:type="dxa"/>
            </w:tcMar>
            <w:hideMark/>
          </w:tcPr>
          <w:p w14:paraId="2CE2B0B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0FA17F3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4199758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50A179F5" w14:textId="77777777" w:rsidTr="00AE5872">
        <w:trPr>
          <w:trHeight w:val="20"/>
          <w:jc w:val="center"/>
        </w:trPr>
        <w:tc>
          <w:tcPr>
            <w:tcW w:w="889" w:type="dxa"/>
            <w:tcMar>
              <w:top w:w="0" w:type="dxa"/>
              <w:left w:w="0" w:type="dxa"/>
              <w:bottom w:w="0" w:type="dxa"/>
              <w:right w:w="0" w:type="dxa"/>
            </w:tcMar>
            <w:hideMark/>
          </w:tcPr>
          <w:p w14:paraId="7FD0ABA3"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12</w:t>
            </w:r>
          </w:p>
        </w:tc>
        <w:tc>
          <w:tcPr>
            <w:tcW w:w="3204" w:type="dxa"/>
            <w:tcMar>
              <w:top w:w="0" w:type="dxa"/>
              <w:left w:w="0" w:type="dxa"/>
              <w:bottom w:w="0" w:type="dxa"/>
              <w:right w:w="0" w:type="dxa"/>
            </w:tcMar>
            <w:hideMark/>
          </w:tcPr>
          <w:p w14:paraId="03558BD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03E1B7A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054F5CA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03ADDA43" w14:textId="77777777" w:rsidTr="00AE5872">
        <w:trPr>
          <w:trHeight w:val="20"/>
          <w:jc w:val="center"/>
        </w:trPr>
        <w:tc>
          <w:tcPr>
            <w:tcW w:w="889" w:type="dxa"/>
            <w:tcMar>
              <w:top w:w="0" w:type="dxa"/>
              <w:left w:w="0" w:type="dxa"/>
              <w:bottom w:w="0" w:type="dxa"/>
              <w:right w:w="0" w:type="dxa"/>
            </w:tcMar>
            <w:hideMark/>
          </w:tcPr>
          <w:p w14:paraId="5DD0944D"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19</w:t>
            </w:r>
          </w:p>
        </w:tc>
        <w:tc>
          <w:tcPr>
            <w:tcW w:w="3204" w:type="dxa"/>
            <w:tcMar>
              <w:top w:w="0" w:type="dxa"/>
              <w:left w:w="0" w:type="dxa"/>
              <w:bottom w:w="0" w:type="dxa"/>
              <w:right w:w="0" w:type="dxa"/>
            </w:tcMar>
            <w:hideMark/>
          </w:tcPr>
          <w:p w14:paraId="25D6482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289BF05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01610FF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03E86A1C" w14:textId="77777777" w:rsidTr="00AE5872">
        <w:trPr>
          <w:trHeight w:val="20"/>
          <w:jc w:val="center"/>
        </w:trPr>
        <w:tc>
          <w:tcPr>
            <w:tcW w:w="889" w:type="dxa"/>
            <w:tcMar>
              <w:top w:w="0" w:type="dxa"/>
              <w:left w:w="0" w:type="dxa"/>
              <w:bottom w:w="0" w:type="dxa"/>
              <w:right w:w="0" w:type="dxa"/>
            </w:tcMar>
            <w:hideMark/>
          </w:tcPr>
          <w:p w14:paraId="3F9AEEEB"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26</w:t>
            </w:r>
          </w:p>
        </w:tc>
        <w:tc>
          <w:tcPr>
            <w:tcW w:w="3204" w:type="dxa"/>
            <w:tcMar>
              <w:top w:w="0" w:type="dxa"/>
              <w:left w:w="0" w:type="dxa"/>
              <w:bottom w:w="0" w:type="dxa"/>
              <w:right w:w="0" w:type="dxa"/>
            </w:tcMar>
            <w:hideMark/>
          </w:tcPr>
          <w:p w14:paraId="35CC83A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01E33C7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05936DD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 (mitochondrial disorders)</w:t>
            </w:r>
          </w:p>
        </w:tc>
      </w:tr>
      <w:tr w:rsidR="000B1324" w:rsidRPr="004C3C90" w14:paraId="4C4858F9" w14:textId="77777777" w:rsidTr="00AE5872">
        <w:trPr>
          <w:trHeight w:val="20"/>
          <w:jc w:val="center"/>
        </w:trPr>
        <w:tc>
          <w:tcPr>
            <w:tcW w:w="889" w:type="dxa"/>
            <w:tcMar>
              <w:top w:w="0" w:type="dxa"/>
              <w:left w:w="0" w:type="dxa"/>
              <w:bottom w:w="0" w:type="dxa"/>
              <w:right w:w="0" w:type="dxa"/>
            </w:tcMar>
            <w:hideMark/>
          </w:tcPr>
          <w:p w14:paraId="063B585B"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27</w:t>
            </w:r>
          </w:p>
        </w:tc>
        <w:tc>
          <w:tcPr>
            <w:tcW w:w="3204" w:type="dxa"/>
            <w:tcMar>
              <w:top w:w="0" w:type="dxa"/>
              <w:left w:w="0" w:type="dxa"/>
              <w:bottom w:w="0" w:type="dxa"/>
              <w:right w:w="0" w:type="dxa"/>
            </w:tcMar>
            <w:hideMark/>
          </w:tcPr>
          <w:p w14:paraId="2DB95B6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3AF34D4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22E87E7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48D98CC1" w14:textId="77777777" w:rsidTr="00AE5872">
        <w:trPr>
          <w:trHeight w:val="20"/>
          <w:jc w:val="center"/>
        </w:trPr>
        <w:tc>
          <w:tcPr>
            <w:tcW w:w="889" w:type="dxa"/>
            <w:tcMar>
              <w:top w:w="0" w:type="dxa"/>
              <w:left w:w="0" w:type="dxa"/>
              <w:bottom w:w="0" w:type="dxa"/>
              <w:right w:w="0" w:type="dxa"/>
            </w:tcMar>
            <w:hideMark/>
          </w:tcPr>
          <w:p w14:paraId="0E8A15B6"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29</w:t>
            </w:r>
          </w:p>
        </w:tc>
        <w:tc>
          <w:tcPr>
            <w:tcW w:w="3204" w:type="dxa"/>
            <w:tcMar>
              <w:top w:w="0" w:type="dxa"/>
              <w:left w:w="0" w:type="dxa"/>
              <w:bottom w:w="0" w:type="dxa"/>
              <w:right w:w="0" w:type="dxa"/>
            </w:tcMar>
            <w:hideMark/>
          </w:tcPr>
          <w:p w14:paraId="626FA50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701A18E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343AA50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61F403EA" w14:textId="77777777" w:rsidTr="00AE5872">
        <w:trPr>
          <w:trHeight w:val="20"/>
          <w:jc w:val="center"/>
        </w:trPr>
        <w:tc>
          <w:tcPr>
            <w:tcW w:w="889" w:type="dxa"/>
            <w:tcMar>
              <w:top w:w="0" w:type="dxa"/>
              <w:left w:w="0" w:type="dxa"/>
              <w:bottom w:w="0" w:type="dxa"/>
              <w:right w:w="0" w:type="dxa"/>
            </w:tcMar>
            <w:hideMark/>
          </w:tcPr>
          <w:p w14:paraId="5CF99D15"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31</w:t>
            </w:r>
          </w:p>
        </w:tc>
        <w:tc>
          <w:tcPr>
            <w:tcW w:w="3204" w:type="dxa"/>
            <w:tcMar>
              <w:top w:w="0" w:type="dxa"/>
              <w:left w:w="0" w:type="dxa"/>
              <w:bottom w:w="0" w:type="dxa"/>
              <w:right w:w="0" w:type="dxa"/>
            </w:tcMar>
            <w:hideMark/>
          </w:tcPr>
          <w:p w14:paraId="6F0C07B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3B90F68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434FA83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71D85DEA" w14:textId="77777777" w:rsidTr="00AE5872">
        <w:trPr>
          <w:trHeight w:val="20"/>
          <w:jc w:val="center"/>
        </w:trPr>
        <w:tc>
          <w:tcPr>
            <w:tcW w:w="889" w:type="dxa"/>
            <w:tcMar>
              <w:top w:w="0" w:type="dxa"/>
              <w:left w:w="0" w:type="dxa"/>
              <w:bottom w:w="0" w:type="dxa"/>
              <w:right w:w="0" w:type="dxa"/>
            </w:tcMar>
            <w:hideMark/>
          </w:tcPr>
          <w:p w14:paraId="694716F9"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33</w:t>
            </w:r>
          </w:p>
        </w:tc>
        <w:tc>
          <w:tcPr>
            <w:tcW w:w="3204" w:type="dxa"/>
            <w:tcMar>
              <w:top w:w="0" w:type="dxa"/>
              <w:left w:w="0" w:type="dxa"/>
              <w:bottom w:w="0" w:type="dxa"/>
              <w:right w:w="0" w:type="dxa"/>
            </w:tcMar>
            <w:hideMark/>
          </w:tcPr>
          <w:p w14:paraId="67494F0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0269DA6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31ED260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7D43E82E" w14:textId="77777777" w:rsidTr="00AE5872">
        <w:trPr>
          <w:trHeight w:val="20"/>
          <w:jc w:val="center"/>
        </w:trPr>
        <w:tc>
          <w:tcPr>
            <w:tcW w:w="889" w:type="dxa"/>
            <w:tcMar>
              <w:top w:w="0" w:type="dxa"/>
              <w:left w:w="0" w:type="dxa"/>
              <w:bottom w:w="0" w:type="dxa"/>
              <w:right w:w="0" w:type="dxa"/>
            </w:tcMar>
            <w:hideMark/>
          </w:tcPr>
          <w:p w14:paraId="1497D185"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36</w:t>
            </w:r>
          </w:p>
        </w:tc>
        <w:tc>
          <w:tcPr>
            <w:tcW w:w="3204" w:type="dxa"/>
            <w:tcMar>
              <w:top w:w="0" w:type="dxa"/>
              <w:left w:w="0" w:type="dxa"/>
              <w:bottom w:w="0" w:type="dxa"/>
              <w:right w:w="0" w:type="dxa"/>
            </w:tcMar>
            <w:hideMark/>
          </w:tcPr>
          <w:p w14:paraId="1F4DAA5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018DA3D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31D2C10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0BD38AE2" w14:textId="77777777" w:rsidTr="00AE5872">
        <w:trPr>
          <w:trHeight w:val="20"/>
          <w:jc w:val="center"/>
        </w:trPr>
        <w:tc>
          <w:tcPr>
            <w:tcW w:w="889" w:type="dxa"/>
            <w:tcMar>
              <w:top w:w="0" w:type="dxa"/>
              <w:left w:w="0" w:type="dxa"/>
              <w:bottom w:w="0" w:type="dxa"/>
              <w:right w:w="0" w:type="dxa"/>
            </w:tcMar>
            <w:hideMark/>
          </w:tcPr>
          <w:p w14:paraId="312F32B9"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40</w:t>
            </w:r>
          </w:p>
        </w:tc>
        <w:tc>
          <w:tcPr>
            <w:tcW w:w="3204" w:type="dxa"/>
            <w:tcMar>
              <w:top w:w="0" w:type="dxa"/>
              <w:left w:w="0" w:type="dxa"/>
              <w:bottom w:w="0" w:type="dxa"/>
              <w:right w:w="0" w:type="dxa"/>
            </w:tcMar>
            <w:hideMark/>
          </w:tcPr>
          <w:p w14:paraId="7AB9A4C4"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3EF2F0E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0911D2E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221F72C9" w14:textId="77777777" w:rsidTr="00AE5872">
        <w:trPr>
          <w:trHeight w:val="20"/>
          <w:jc w:val="center"/>
        </w:trPr>
        <w:tc>
          <w:tcPr>
            <w:tcW w:w="889" w:type="dxa"/>
            <w:tcMar>
              <w:top w:w="0" w:type="dxa"/>
              <w:left w:w="0" w:type="dxa"/>
              <w:bottom w:w="0" w:type="dxa"/>
              <w:right w:w="0" w:type="dxa"/>
            </w:tcMar>
            <w:hideMark/>
          </w:tcPr>
          <w:p w14:paraId="4D83B9B9"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41</w:t>
            </w:r>
          </w:p>
        </w:tc>
        <w:tc>
          <w:tcPr>
            <w:tcW w:w="3204" w:type="dxa"/>
            <w:tcMar>
              <w:top w:w="0" w:type="dxa"/>
              <w:left w:w="0" w:type="dxa"/>
              <w:bottom w:w="0" w:type="dxa"/>
              <w:right w:w="0" w:type="dxa"/>
            </w:tcMar>
            <w:hideMark/>
          </w:tcPr>
          <w:p w14:paraId="5178BBD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1FCABB1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3F790E1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10D062EE" w14:textId="77777777" w:rsidTr="00AE5872">
        <w:trPr>
          <w:trHeight w:val="20"/>
          <w:jc w:val="center"/>
        </w:trPr>
        <w:tc>
          <w:tcPr>
            <w:tcW w:w="889" w:type="dxa"/>
            <w:tcMar>
              <w:top w:w="0" w:type="dxa"/>
              <w:left w:w="0" w:type="dxa"/>
              <w:bottom w:w="0" w:type="dxa"/>
              <w:right w:w="0" w:type="dxa"/>
            </w:tcMar>
            <w:hideMark/>
          </w:tcPr>
          <w:p w14:paraId="2B83535A"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44</w:t>
            </w:r>
          </w:p>
        </w:tc>
        <w:tc>
          <w:tcPr>
            <w:tcW w:w="3204" w:type="dxa"/>
            <w:tcMar>
              <w:top w:w="0" w:type="dxa"/>
              <w:left w:w="0" w:type="dxa"/>
              <w:bottom w:w="0" w:type="dxa"/>
              <w:right w:w="0" w:type="dxa"/>
            </w:tcMar>
            <w:hideMark/>
          </w:tcPr>
          <w:p w14:paraId="68215E5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632DF83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75992FE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51B1E3B0" w14:textId="77777777" w:rsidTr="00AE5872">
        <w:trPr>
          <w:trHeight w:val="20"/>
          <w:jc w:val="center"/>
        </w:trPr>
        <w:tc>
          <w:tcPr>
            <w:tcW w:w="889" w:type="dxa"/>
            <w:tcMar>
              <w:top w:w="0" w:type="dxa"/>
              <w:left w:w="0" w:type="dxa"/>
              <w:bottom w:w="0" w:type="dxa"/>
              <w:right w:w="0" w:type="dxa"/>
            </w:tcMar>
            <w:hideMark/>
          </w:tcPr>
          <w:p w14:paraId="256FF10C"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47</w:t>
            </w:r>
          </w:p>
        </w:tc>
        <w:tc>
          <w:tcPr>
            <w:tcW w:w="3204" w:type="dxa"/>
            <w:tcMar>
              <w:top w:w="0" w:type="dxa"/>
              <w:left w:w="0" w:type="dxa"/>
              <w:bottom w:w="0" w:type="dxa"/>
              <w:right w:w="0" w:type="dxa"/>
            </w:tcMar>
            <w:hideMark/>
          </w:tcPr>
          <w:p w14:paraId="527F0FC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6F8C5A5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7673C0A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1FF4407F" w14:textId="77777777" w:rsidTr="00AE5872">
        <w:trPr>
          <w:trHeight w:val="20"/>
          <w:jc w:val="center"/>
        </w:trPr>
        <w:tc>
          <w:tcPr>
            <w:tcW w:w="889" w:type="dxa"/>
            <w:tcMar>
              <w:top w:w="0" w:type="dxa"/>
              <w:left w:w="0" w:type="dxa"/>
              <w:bottom w:w="0" w:type="dxa"/>
              <w:right w:w="0" w:type="dxa"/>
            </w:tcMar>
            <w:hideMark/>
          </w:tcPr>
          <w:p w14:paraId="3078B2E0"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51</w:t>
            </w:r>
          </w:p>
        </w:tc>
        <w:tc>
          <w:tcPr>
            <w:tcW w:w="3204" w:type="dxa"/>
            <w:tcMar>
              <w:top w:w="0" w:type="dxa"/>
              <w:left w:w="0" w:type="dxa"/>
              <w:bottom w:w="0" w:type="dxa"/>
              <w:right w:w="0" w:type="dxa"/>
            </w:tcMar>
            <w:hideMark/>
          </w:tcPr>
          <w:p w14:paraId="2173105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5646D90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7701ED2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4E07D674" w14:textId="77777777" w:rsidTr="00AE5872">
        <w:trPr>
          <w:trHeight w:val="20"/>
          <w:jc w:val="center"/>
        </w:trPr>
        <w:tc>
          <w:tcPr>
            <w:tcW w:w="889" w:type="dxa"/>
            <w:tcMar>
              <w:top w:w="0" w:type="dxa"/>
              <w:left w:w="0" w:type="dxa"/>
              <w:bottom w:w="0" w:type="dxa"/>
              <w:right w:w="0" w:type="dxa"/>
            </w:tcMar>
            <w:hideMark/>
          </w:tcPr>
          <w:p w14:paraId="785B12B0"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53</w:t>
            </w:r>
          </w:p>
        </w:tc>
        <w:tc>
          <w:tcPr>
            <w:tcW w:w="3204" w:type="dxa"/>
            <w:tcMar>
              <w:top w:w="0" w:type="dxa"/>
              <w:left w:w="0" w:type="dxa"/>
              <w:bottom w:w="0" w:type="dxa"/>
              <w:right w:w="0" w:type="dxa"/>
            </w:tcMar>
            <w:hideMark/>
          </w:tcPr>
          <w:p w14:paraId="58E8DFE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78E16A9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7AC40BDB"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 (Rare Chromosome disorder)</w:t>
            </w:r>
          </w:p>
        </w:tc>
      </w:tr>
      <w:tr w:rsidR="000B1324" w:rsidRPr="004C3C90" w14:paraId="446E21CA" w14:textId="77777777" w:rsidTr="00AE5872">
        <w:trPr>
          <w:trHeight w:val="20"/>
          <w:jc w:val="center"/>
        </w:trPr>
        <w:tc>
          <w:tcPr>
            <w:tcW w:w="889" w:type="dxa"/>
            <w:tcMar>
              <w:top w:w="0" w:type="dxa"/>
              <w:left w:w="0" w:type="dxa"/>
              <w:bottom w:w="0" w:type="dxa"/>
              <w:right w:w="0" w:type="dxa"/>
            </w:tcMar>
            <w:hideMark/>
          </w:tcPr>
          <w:p w14:paraId="1DBB10C3"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55</w:t>
            </w:r>
          </w:p>
        </w:tc>
        <w:tc>
          <w:tcPr>
            <w:tcW w:w="3204" w:type="dxa"/>
            <w:tcMar>
              <w:top w:w="0" w:type="dxa"/>
              <w:left w:w="0" w:type="dxa"/>
              <w:bottom w:w="0" w:type="dxa"/>
              <w:right w:w="0" w:type="dxa"/>
            </w:tcMar>
            <w:hideMark/>
          </w:tcPr>
          <w:p w14:paraId="2C7EBC8B"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1513E0B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36A0732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68E33CC2" w14:textId="77777777" w:rsidTr="00AE5872">
        <w:trPr>
          <w:trHeight w:val="20"/>
          <w:jc w:val="center"/>
        </w:trPr>
        <w:tc>
          <w:tcPr>
            <w:tcW w:w="889" w:type="dxa"/>
            <w:tcMar>
              <w:top w:w="0" w:type="dxa"/>
              <w:left w:w="0" w:type="dxa"/>
              <w:bottom w:w="0" w:type="dxa"/>
              <w:right w:w="0" w:type="dxa"/>
            </w:tcMar>
            <w:hideMark/>
          </w:tcPr>
          <w:p w14:paraId="501329EF"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56</w:t>
            </w:r>
          </w:p>
        </w:tc>
        <w:tc>
          <w:tcPr>
            <w:tcW w:w="3204" w:type="dxa"/>
            <w:tcMar>
              <w:top w:w="0" w:type="dxa"/>
              <w:left w:w="0" w:type="dxa"/>
              <w:bottom w:w="0" w:type="dxa"/>
              <w:right w:w="0" w:type="dxa"/>
            </w:tcMar>
            <w:hideMark/>
          </w:tcPr>
          <w:p w14:paraId="0A3C90B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50887C9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1F21A5D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54871F82" w14:textId="77777777" w:rsidTr="00AE5872">
        <w:trPr>
          <w:trHeight w:val="20"/>
          <w:jc w:val="center"/>
        </w:trPr>
        <w:tc>
          <w:tcPr>
            <w:tcW w:w="889" w:type="dxa"/>
            <w:tcMar>
              <w:top w:w="0" w:type="dxa"/>
              <w:left w:w="0" w:type="dxa"/>
              <w:bottom w:w="0" w:type="dxa"/>
              <w:right w:w="0" w:type="dxa"/>
            </w:tcMar>
            <w:hideMark/>
          </w:tcPr>
          <w:p w14:paraId="709EC5A6"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58</w:t>
            </w:r>
          </w:p>
        </w:tc>
        <w:tc>
          <w:tcPr>
            <w:tcW w:w="3204" w:type="dxa"/>
            <w:tcMar>
              <w:top w:w="0" w:type="dxa"/>
              <w:left w:w="0" w:type="dxa"/>
              <w:bottom w:w="0" w:type="dxa"/>
              <w:right w:w="0" w:type="dxa"/>
            </w:tcMar>
            <w:hideMark/>
          </w:tcPr>
          <w:p w14:paraId="1611761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36EBB20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0B18E14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091D98DA" w14:textId="77777777" w:rsidTr="00AE5872">
        <w:trPr>
          <w:trHeight w:val="20"/>
          <w:jc w:val="center"/>
        </w:trPr>
        <w:tc>
          <w:tcPr>
            <w:tcW w:w="889" w:type="dxa"/>
            <w:tcMar>
              <w:top w:w="0" w:type="dxa"/>
              <w:left w:w="0" w:type="dxa"/>
              <w:bottom w:w="0" w:type="dxa"/>
              <w:right w:w="0" w:type="dxa"/>
            </w:tcMar>
            <w:hideMark/>
          </w:tcPr>
          <w:p w14:paraId="5ED09956"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59</w:t>
            </w:r>
          </w:p>
        </w:tc>
        <w:tc>
          <w:tcPr>
            <w:tcW w:w="3204" w:type="dxa"/>
            <w:tcMar>
              <w:top w:w="0" w:type="dxa"/>
              <w:left w:w="0" w:type="dxa"/>
              <w:bottom w:w="0" w:type="dxa"/>
              <w:right w:w="0" w:type="dxa"/>
            </w:tcMar>
            <w:hideMark/>
          </w:tcPr>
          <w:p w14:paraId="039773A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643C875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0121CF6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1775233E" w14:textId="77777777" w:rsidTr="00AE5872">
        <w:trPr>
          <w:trHeight w:val="20"/>
          <w:jc w:val="center"/>
        </w:trPr>
        <w:tc>
          <w:tcPr>
            <w:tcW w:w="889" w:type="dxa"/>
            <w:tcMar>
              <w:top w:w="0" w:type="dxa"/>
              <w:left w:w="0" w:type="dxa"/>
              <w:bottom w:w="0" w:type="dxa"/>
              <w:right w:w="0" w:type="dxa"/>
            </w:tcMar>
            <w:hideMark/>
          </w:tcPr>
          <w:p w14:paraId="4F7DAA27"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62</w:t>
            </w:r>
          </w:p>
        </w:tc>
        <w:tc>
          <w:tcPr>
            <w:tcW w:w="3204" w:type="dxa"/>
            <w:tcMar>
              <w:top w:w="0" w:type="dxa"/>
              <w:left w:w="0" w:type="dxa"/>
              <w:bottom w:w="0" w:type="dxa"/>
              <w:right w:w="0" w:type="dxa"/>
            </w:tcMar>
            <w:hideMark/>
          </w:tcPr>
          <w:p w14:paraId="22F5800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3F3D9D9B"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39D40FF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77B2A5C5" w14:textId="77777777" w:rsidTr="00AE5872">
        <w:trPr>
          <w:trHeight w:val="20"/>
          <w:jc w:val="center"/>
        </w:trPr>
        <w:tc>
          <w:tcPr>
            <w:tcW w:w="889" w:type="dxa"/>
            <w:tcMar>
              <w:top w:w="0" w:type="dxa"/>
              <w:left w:w="0" w:type="dxa"/>
              <w:bottom w:w="0" w:type="dxa"/>
              <w:right w:w="0" w:type="dxa"/>
            </w:tcMar>
            <w:hideMark/>
          </w:tcPr>
          <w:p w14:paraId="03D5B0F5"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63</w:t>
            </w:r>
          </w:p>
        </w:tc>
        <w:tc>
          <w:tcPr>
            <w:tcW w:w="3204" w:type="dxa"/>
            <w:tcMar>
              <w:top w:w="0" w:type="dxa"/>
              <w:left w:w="0" w:type="dxa"/>
              <w:bottom w:w="0" w:type="dxa"/>
              <w:right w:w="0" w:type="dxa"/>
            </w:tcMar>
            <w:hideMark/>
          </w:tcPr>
          <w:p w14:paraId="37F259A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676653C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5BA8D9A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67929400" w14:textId="77777777" w:rsidTr="00AE5872">
        <w:trPr>
          <w:trHeight w:val="20"/>
          <w:jc w:val="center"/>
        </w:trPr>
        <w:tc>
          <w:tcPr>
            <w:tcW w:w="889" w:type="dxa"/>
            <w:tcMar>
              <w:top w:w="0" w:type="dxa"/>
              <w:left w:w="0" w:type="dxa"/>
              <w:bottom w:w="0" w:type="dxa"/>
              <w:right w:w="0" w:type="dxa"/>
            </w:tcMar>
            <w:hideMark/>
          </w:tcPr>
          <w:p w14:paraId="1B8E690F"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64</w:t>
            </w:r>
          </w:p>
        </w:tc>
        <w:tc>
          <w:tcPr>
            <w:tcW w:w="3204" w:type="dxa"/>
            <w:tcMar>
              <w:top w:w="0" w:type="dxa"/>
              <w:left w:w="0" w:type="dxa"/>
              <w:bottom w:w="0" w:type="dxa"/>
              <w:right w:w="0" w:type="dxa"/>
            </w:tcMar>
            <w:hideMark/>
          </w:tcPr>
          <w:p w14:paraId="41612CE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48048C8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7191205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7ED7F3A5" w14:textId="77777777" w:rsidTr="00AE5872">
        <w:trPr>
          <w:trHeight w:val="20"/>
          <w:jc w:val="center"/>
        </w:trPr>
        <w:tc>
          <w:tcPr>
            <w:tcW w:w="889" w:type="dxa"/>
            <w:tcMar>
              <w:top w:w="0" w:type="dxa"/>
              <w:left w:w="0" w:type="dxa"/>
              <w:bottom w:w="0" w:type="dxa"/>
              <w:right w:w="0" w:type="dxa"/>
            </w:tcMar>
            <w:hideMark/>
          </w:tcPr>
          <w:p w14:paraId="7D44C180"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68</w:t>
            </w:r>
          </w:p>
        </w:tc>
        <w:tc>
          <w:tcPr>
            <w:tcW w:w="3204" w:type="dxa"/>
            <w:tcMar>
              <w:top w:w="0" w:type="dxa"/>
              <w:left w:w="0" w:type="dxa"/>
              <w:bottom w:w="0" w:type="dxa"/>
              <w:right w:w="0" w:type="dxa"/>
            </w:tcMar>
            <w:hideMark/>
          </w:tcPr>
          <w:p w14:paraId="51C0553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5A9219C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31F4290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61A39ACC" w14:textId="77777777" w:rsidTr="00AE5872">
        <w:trPr>
          <w:trHeight w:val="20"/>
          <w:jc w:val="center"/>
        </w:trPr>
        <w:tc>
          <w:tcPr>
            <w:tcW w:w="889" w:type="dxa"/>
            <w:tcMar>
              <w:top w:w="0" w:type="dxa"/>
              <w:left w:w="0" w:type="dxa"/>
              <w:bottom w:w="0" w:type="dxa"/>
              <w:right w:w="0" w:type="dxa"/>
            </w:tcMar>
            <w:hideMark/>
          </w:tcPr>
          <w:p w14:paraId="3DAB00EB"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70</w:t>
            </w:r>
          </w:p>
        </w:tc>
        <w:tc>
          <w:tcPr>
            <w:tcW w:w="3204" w:type="dxa"/>
            <w:tcMar>
              <w:top w:w="0" w:type="dxa"/>
              <w:left w:w="0" w:type="dxa"/>
              <w:bottom w:w="0" w:type="dxa"/>
              <w:right w:w="0" w:type="dxa"/>
            </w:tcMar>
            <w:hideMark/>
          </w:tcPr>
          <w:p w14:paraId="644F1A80"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49B8864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470338B7"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 (mitochondrial disorders)</w:t>
            </w:r>
          </w:p>
        </w:tc>
      </w:tr>
      <w:tr w:rsidR="000B1324" w:rsidRPr="004C3C90" w14:paraId="0D0F7652" w14:textId="77777777" w:rsidTr="00AE5872">
        <w:trPr>
          <w:trHeight w:val="20"/>
          <w:jc w:val="center"/>
        </w:trPr>
        <w:tc>
          <w:tcPr>
            <w:tcW w:w="889" w:type="dxa"/>
            <w:tcMar>
              <w:top w:w="0" w:type="dxa"/>
              <w:left w:w="0" w:type="dxa"/>
              <w:bottom w:w="0" w:type="dxa"/>
              <w:right w:w="0" w:type="dxa"/>
            </w:tcMar>
            <w:hideMark/>
          </w:tcPr>
          <w:p w14:paraId="5C76678A"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71</w:t>
            </w:r>
          </w:p>
        </w:tc>
        <w:tc>
          <w:tcPr>
            <w:tcW w:w="3204" w:type="dxa"/>
            <w:tcMar>
              <w:top w:w="0" w:type="dxa"/>
              <w:left w:w="0" w:type="dxa"/>
              <w:bottom w:w="0" w:type="dxa"/>
              <w:right w:w="0" w:type="dxa"/>
            </w:tcMar>
            <w:hideMark/>
          </w:tcPr>
          <w:p w14:paraId="456EF46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4CA2A9A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1754034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2449B92F" w14:textId="77777777" w:rsidTr="00AE5872">
        <w:trPr>
          <w:trHeight w:val="20"/>
          <w:jc w:val="center"/>
        </w:trPr>
        <w:tc>
          <w:tcPr>
            <w:tcW w:w="889" w:type="dxa"/>
            <w:tcMar>
              <w:top w:w="0" w:type="dxa"/>
              <w:left w:w="0" w:type="dxa"/>
              <w:bottom w:w="0" w:type="dxa"/>
              <w:right w:w="0" w:type="dxa"/>
            </w:tcMar>
            <w:hideMark/>
          </w:tcPr>
          <w:p w14:paraId="253AD6FF"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73</w:t>
            </w:r>
          </w:p>
        </w:tc>
        <w:tc>
          <w:tcPr>
            <w:tcW w:w="3204" w:type="dxa"/>
            <w:tcMar>
              <w:top w:w="0" w:type="dxa"/>
              <w:left w:w="0" w:type="dxa"/>
              <w:bottom w:w="0" w:type="dxa"/>
              <w:right w:w="0" w:type="dxa"/>
            </w:tcMar>
            <w:hideMark/>
          </w:tcPr>
          <w:p w14:paraId="5D56B8B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62FA557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38AEC85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 (mitochondrial disorders)</w:t>
            </w:r>
          </w:p>
        </w:tc>
      </w:tr>
      <w:tr w:rsidR="000B1324" w:rsidRPr="004C3C90" w14:paraId="55073DC8" w14:textId="77777777" w:rsidTr="00AE5872">
        <w:trPr>
          <w:trHeight w:val="20"/>
          <w:jc w:val="center"/>
        </w:trPr>
        <w:tc>
          <w:tcPr>
            <w:tcW w:w="889" w:type="dxa"/>
            <w:tcMar>
              <w:top w:w="0" w:type="dxa"/>
              <w:left w:w="0" w:type="dxa"/>
              <w:bottom w:w="0" w:type="dxa"/>
              <w:right w:w="0" w:type="dxa"/>
            </w:tcMar>
            <w:hideMark/>
          </w:tcPr>
          <w:p w14:paraId="3B51FD4B"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76</w:t>
            </w:r>
          </w:p>
        </w:tc>
        <w:tc>
          <w:tcPr>
            <w:tcW w:w="3204" w:type="dxa"/>
            <w:tcMar>
              <w:top w:w="0" w:type="dxa"/>
              <w:left w:w="0" w:type="dxa"/>
              <w:bottom w:w="0" w:type="dxa"/>
              <w:right w:w="0" w:type="dxa"/>
            </w:tcMar>
            <w:hideMark/>
          </w:tcPr>
          <w:p w14:paraId="536EE91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60F0A55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0B04DFB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09308E26" w14:textId="77777777" w:rsidTr="00AE5872">
        <w:trPr>
          <w:trHeight w:val="20"/>
          <w:jc w:val="center"/>
        </w:trPr>
        <w:tc>
          <w:tcPr>
            <w:tcW w:w="889" w:type="dxa"/>
            <w:tcMar>
              <w:top w:w="0" w:type="dxa"/>
              <w:left w:w="0" w:type="dxa"/>
              <w:bottom w:w="0" w:type="dxa"/>
              <w:right w:w="0" w:type="dxa"/>
            </w:tcMar>
            <w:hideMark/>
          </w:tcPr>
          <w:p w14:paraId="11D9F461"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lastRenderedPageBreak/>
              <w:t>79</w:t>
            </w:r>
          </w:p>
        </w:tc>
        <w:tc>
          <w:tcPr>
            <w:tcW w:w="3204" w:type="dxa"/>
            <w:tcMar>
              <w:top w:w="0" w:type="dxa"/>
              <w:left w:w="0" w:type="dxa"/>
              <w:bottom w:w="0" w:type="dxa"/>
              <w:right w:w="0" w:type="dxa"/>
            </w:tcMar>
            <w:hideMark/>
          </w:tcPr>
          <w:p w14:paraId="7180F51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7B477AF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004599F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 (mitochondrial disorders)</w:t>
            </w:r>
          </w:p>
        </w:tc>
      </w:tr>
      <w:tr w:rsidR="000B1324" w:rsidRPr="004C3C90" w14:paraId="2E30D5D8" w14:textId="77777777" w:rsidTr="00AE5872">
        <w:trPr>
          <w:trHeight w:val="20"/>
          <w:jc w:val="center"/>
        </w:trPr>
        <w:tc>
          <w:tcPr>
            <w:tcW w:w="889" w:type="dxa"/>
            <w:tcMar>
              <w:top w:w="0" w:type="dxa"/>
              <w:left w:w="0" w:type="dxa"/>
              <w:bottom w:w="0" w:type="dxa"/>
              <w:right w:w="0" w:type="dxa"/>
            </w:tcMar>
            <w:hideMark/>
          </w:tcPr>
          <w:p w14:paraId="26C9ED1F"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80</w:t>
            </w:r>
          </w:p>
        </w:tc>
        <w:tc>
          <w:tcPr>
            <w:tcW w:w="3204" w:type="dxa"/>
            <w:tcMar>
              <w:top w:w="0" w:type="dxa"/>
              <w:left w:w="0" w:type="dxa"/>
              <w:bottom w:w="0" w:type="dxa"/>
              <w:right w:w="0" w:type="dxa"/>
            </w:tcMar>
            <w:hideMark/>
          </w:tcPr>
          <w:p w14:paraId="2B9A91A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63D25E4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1877277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54954178" w14:textId="77777777" w:rsidTr="00AE5872">
        <w:trPr>
          <w:trHeight w:val="20"/>
          <w:jc w:val="center"/>
        </w:trPr>
        <w:tc>
          <w:tcPr>
            <w:tcW w:w="889" w:type="dxa"/>
            <w:tcMar>
              <w:top w:w="0" w:type="dxa"/>
              <w:left w:w="0" w:type="dxa"/>
              <w:bottom w:w="0" w:type="dxa"/>
              <w:right w:w="0" w:type="dxa"/>
            </w:tcMar>
            <w:hideMark/>
          </w:tcPr>
          <w:p w14:paraId="2288975D"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81</w:t>
            </w:r>
          </w:p>
        </w:tc>
        <w:tc>
          <w:tcPr>
            <w:tcW w:w="3204" w:type="dxa"/>
            <w:tcMar>
              <w:top w:w="0" w:type="dxa"/>
              <w:left w:w="0" w:type="dxa"/>
              <w:bottom w:w="0" w:type="dxa"/>
              <w:right w:w="0" w:type="dxa"/>
            </w:tcMar>
            <w:hideMark/>
          </w:tcPr>
          <w:p w14:paraId="6D2380BB"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060E7DB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74FACCF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0F0D9691" w14:textId="77777777" w:rsidTr="00AE5872">
        <w:trPr>
          <w:trHeight w:val="20"/>
          <w:jc w:val="center"/>
        </w:trPr>
        <w:tc>
          <w:tcPr>
            <w:tcW w:w="889" w:type="dxa"/>
            <w:tcMar>
              <w:top w:w="0" w:type="dxa"/>
              <w:left w:w="0" w:type="dxa"/>
              <w:bottom w:w="0" w:type="dxa"/>
              <w:right w:w="0" w:type="dxa"/>
            </w:tcMar>
            <w:hideMark/>
          </w:tcPr>
          <w:p w14:paraId="7CFD859C"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83</w:t>
            </w:r>
          </w:p>
        </w:tc>
        <w:tc>
          <w:tcPr>
            <w:tcW w:w="3204" w:type="dxa"/>
            <w:tcMar>
              <w:top w:w="0" w:type="dxa"/>
              <w:left w:w="0" w:type="dxa"/>
              <w:bottom w:w="0" w:type="dxa"/>
              <w:right w:w="0" w:type="dxa"/>
            </w:tcMar>
            <w:hideMark/>
          </w:tcPr>
          <w:p w14:paraId="24FBBCE4"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688A3D2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1A5A236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18C1F081" w14:textId="77777777" w:rsidTr="00AE5872">
        <w:trPr>
          <w:trHeight w:val="20"/>
          <w:jc w:val="center"/>
        </w:trPr>
        <w:tc>
          <w:tcPr>
            <w:tcW w:w="889" w:type="dxa"/>
            <w:tcMar>
              <w:top w:w="0" w:type="dxa"/>
              <w:left w:w="0" w:type="dxa"/>
              <w:bottom w:w="0" w:type="dxa"/>
              <w:right w:w="0" w:type="dxa"/>
            </w:tcMar>
            <w:hideMark/>
          </w:tcPr>
          <w:p w14:paraId="1755F239"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85</w:t>
            </w:r>
          </w:p>
        </w:tc>
        <w:tc>
          <w:tcPr>
            <w:tcW w:w="3204" w:type="dxa"/>
            <w:tcMar>
              <w:top w:w="0" w:type="dxa"/>
              <w:left w:w="0" w:type="dxa"/>
              <w:bottom w:w="0" w:type="dxa"/>
              <w:right w:w="0" w:type="dxa"/>
            </w:tcMar>
            <w:hideMark/>
          </w:tcPr>
          <w:p w14:paraId="573A3B5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700443A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6EA3B0C9"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30C99881" w14:textId="77777777" w:rsidTr="00AE5872">
        <w:trPr>
          <w:trHeight w:val="20"/>
          <w:jc w:val="center"/>
        </w:trPr>
        <w:tc>
          <w:tcPr>
            <w:tcW w:w="889" w:type="dxa"/>
            <w:tcMar>
              <w:top w:w="0" w:type="dxa"/>
              <w:left w:w="0" w:type="dxa"/>
              <w:bottom w:w="0" w:type="dxa"/>
              <w:right w:w="0" w:type="dxa"/>
            </w:tcMar>
            <w:hideMark/>
          </w:tcPr>
          <w:p w14:paraId="6334447A"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86</w:t>
            </w:r>
          </w:p>
        </w:tc>
        <w:tc>
          <w:tcPr>
            <w:tcW w:w="3204" w:type="dxa"/>
            <w:tcMar>
              <w:top w:w="0" w:type="dxa"/>
              <w:left w:w="0" w:type="dxa"/>
              <w:bottom w:w="0" w:type="dxa"/>
              <w:right w:w="0" w:type="dxa"/>
            </w:tcMar>
            <w:hideMark/>
          </w:tcPr>
          <w:p w14:paraId="6733DE5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4BE5067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2C360E2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5D25E42C" w14:textId="77777777" w:rsidTr="00AE5872">
        <w:trPr>
          <w:trHeight w:val="20"/>
          <w:jc w:val="center"/>
        </w:trPr>
        <w:tc>
          <w:tcPr>
            <w:tcW w:w="889" w:type="dxa"/>
            <w:tcMar>
              <w:top w:w="0" w:type="dxa"/>
              <w:left w:w="0" w:type="dxa"/>
              <w:bottom w:w="0" w:type="dxa"/>
              <w:right w:w="0" w:type="dxa"/>
            </w:tcMar>
            <w:hideMark/>
          </w:tcPr>
          <w:p w14:paraId="40EC5864"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87</w:t>
            </w:r>
          </w:p>
        </w:tc>
        <w:tc>
          <w:tcPr>
            <w:tcW w:w="3204" w:type="dxa"/>
            <w:tcMar>
              <w:top w:w="0" w:type="dxa"/>
              <w:left w:w="0" w:type="dxa"/>
              <w:bottom w:w="0" w:type="dxa"/>
              <w:right w:w="0" w:type="dxa"/>
            </w:tcMar>
            <w:hideMark/>
          </w:tcPr>
          <w:p w14:paraId="4607D1C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3507131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6B74066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0245CBC4" w14:textId="77777777" w:rsidTr="00AE5872">
        <w:trPr>
          <w:trHeight w:val="20"/>
          <w:jc w:val="center"/>
        </w:trPr>
        <w:tc>
          <w:tcPr>
            <w:tcW w:w="889" w:type="dxa"/>
            <w:tcMar>
              <w:top w:w="0" w:type="dxa"/>
              <w:left w:w="0" w:type="dxa"/>
              <w:bottom w:w="0" w:type="dxa"/>
              <w:right w:w="0" w:type="dxa"/>
            </w:tcMar>
            <w:hideMark/>
          </w:tcPr>
          <w:p w14:paraId="11AF4E85"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89</w:t>
            </w:r>
          </w:p>
        </w:tc>
        <w:tc>
          <w:tcPr>
            <w:tcW w:w="3204" w:type="dxa"/>
            <w:tcMar>
              <w:top w:w="0" w:type="dxa"/>
              <w:left w:w="0" w:type="dxa"/>
              <w:bottom w:w="0" w:type="dxa"/>
              <w:right w:w="0" w:type="dxa"/>
            </w:tcMar>
            <w:hideMark/>
          </w:tcPr>
          <w:p w14:paraId="0D63F253"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4E5421D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0CA3C83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39863828" w14:textId="77777777" w:rsidTr="00AE5872">
        <w:trPr>
          <w:trHeight w:val="20"/>
          <w:jc w:val="center"/>
        </w:trPr>
        <w:tc>
          <w:tcPr>
            <w:tcW w:w="889" w:type="dxa"/>
            <w:tcMar>
              <w:top w:w="0" w:type="dxa"/>
              <w:left w:w="0" w:type="dxa"/>
              <w:bottom w:w="0" w:type="dxa"/>
              <w:right w:w="0" w:type="dxa"/>
            </w:tcMar>
            <w:hideMark/>
          </w:tcPr>
          <w:p w14:paraId="4AA6DE7E"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92</w:t>
            </w:r>
          </w:p>
        </w:tc>
        <w:tc>
          <w:tcPr>
            <w:tcW w:w="3204" w:type="dxa"/>
            <w:tcMar>
              <w:top w:w="0" w:type="dxa"/>
              <w:left w:w="0" w:type="dxa"/>
              <w:bottom w:w="0" w:type="dxa"/>
              <w:right w:w="0" w:type="dxa"/>
            </w:tcMar>
            <w:hideMark/>
          </w:tcPr>
          <w:p w14:paraId="7EB25BC4"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1B7776C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51154F0B"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23BEBB7B" w14:textId="77777777" w:rsidTr="00AE5872">
        <w:trPr>
          <w:trHeight w:val="20"/>
          <w:jc w:val="center"/>
        </w:trPr>
        <w:tc>
          <w:tcPr>
            <w:tcW w:w="889" w:type="dxa"/>
            <w:tcMar>
              <w:top w:w="0" w:type="dxa"/>
              <w:left w:w="0" w:type="dxa"/>
              <w:bottom w:w="0" w:type="dxa"/>
              <w:right w:w="0" w:type="dxa"/>
            </w:tcMar>
            <w:hideMark/>
          </w:tcPr>
          <w:p w14:paraId="6D25243B"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94</w:t>
            </w:r>
          </w:p>
        </w:tc>
        <w:tc>
          <w:tcPr>
            <w:tcW w:w="3204" w:type="dxa"/>
            <w:tcMar>
              <w:top w:w="0" w:type="dxa"/>
              <w:left w:w="0" w:type="dxa"/>
              <w:bottom w:w="0" w:type="dxa"/>
              <w:right w:w="0" w:type="dxa"/>
            </w:tcMar>
            <w:hideMark/>
          </w:tcPr>
          <w:p w14:paraId="44EBD32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260FA82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41B3A49C"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5F42B5C9" w14:textId="77777777" w:rsidTr="00AE5872">
        <w:trPr>
          <w:trHeight w:val="20"/>
          <w:jc w:val="center"/>
        </w:trPr>
        <w:tc>
          <w:tcPr>
            <w:tcW w:w="889" w:type="dxa"/>
            <w:tcMar>
              <w:top w:w="0" w:type="dxa"/>
              <w:left w:w="0" w:type="dxa"/>
              <w:bottom w:w="0" w:type="dxa"/>
              <w:right w:w="0" w:type="dxa"/>
            </w:tcMar>
            <w:hideMark/>
          </w:tcPr>
          <w:p w14:paraId="672B2A1C"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95</w:t>
            </w:r>
          </w:p>
        </w:tc>
        <w:tc>
          <w:tcPr>
            <w:tcW w:w="3204" w:type="dxa"/>
            <w:tcMar>
              <w:top w:w="0" w:type="dxa"/>
              <w:left w:w="0" w:type="dxa"/>
              <w:bottom w:w="0" w:type="dxa"/>
              <w:right w:w="0" w:type="dxa"/>
            </w:tcMar>
            <w:hideMark/>
          </w:tcPr>
          <w:p w14:paraId="7DFB587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2E7F08A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5A7BED12"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77EE6842" w14:textId="77777777" w:rsidTr="00AE5872">
        <w:trPr>
          <w:trHeight w:val="20"/>
          <w:jc w:val="center"/>
        </w:trPr>
        <w:tc>
          <w:tcPr>
            <w:tcW w:w="889" w:type="dxa"/>
            <w:tcMar>
              <w:top w:w="0" w:type="dxa"/>
              <w:left w:w="0" w:type="dxa"/>
              <w:bottom w:w="0" w:type="dxa"/>
              <w:right w:w="0" w:type="dxa"/>
            </w:tcMar>
            <w:hideMark/>
          </w:tcPr>
          <w:p w14:paraId="1D44CF97"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103</w:t>
            </w:r>
          </w:p>
        </w:tc>
        <w:tc>
          <w:tcPr>
            <w:tcW w:w="3204" w:type="dxa"/>
            <w:tcMar>
              <w:top w:w="0" w:type="dxa"/>
              <w:left w:w="0" w:type="dxa"/>
              <w:bottom w:w="0" w:type="dxa"/>
              <w:right w:w="0" w:type="dxa"/>
            </w:tcMar>
            <w:hideMark/>
          </w:tcPr>
          <w:p w14:paraId="73DC991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70E9DAE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567F97C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0D8CFA70" w14:textId="77777777" w:rsidTr="00AE5872">
        <w:trPr>
          <w:trHeight w:val="20"/>
          <w:jc w:val="center"/>
        </w:trPr>
        <w:tc>
          <w:tcPr>
            <w:tcW w:w="889" w:type="dxa"/>
            <w:tcMar>
              <w:top w:w="0" w:type="dxa"/>
              <w:left w:w="0" w:type="dxa"/>
              <w:bottom w:w="0" w:type="dxa"/>
              <w:right w:w="0" w:type="dxa"/>
            </w:tcMar>
            <w:hideMark/>
          </w:tcPr>
          <w:p w14:paraId="1022AA4F"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104</w:t>
            </w:r>
          </w:p>
        </w:tc>
        <w:tc>
          <w:tcPr>
            <w:tcW w:w="3204" w:type="dxa"/>
            <w:tcMar>
              <w:top w:w="0" w:type="dxa"/>
              <w:left w:w="0" w:type="dxa"/>
              <w:bottom w:w="0" w:type="dxa"/>
              <w:right w:w="0" w:type="dxa"/>
            </w:tcMar>
            <w:hideMark/>
          </w:tcPr>
          <w:p w14:paraId="1CEC55C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31A31B78"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59618736"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0B1324" w:rsidRPr="004C3C90" w14:paraId="78915EC6" w14:textId="77777777" w:rsidTr="00AE5872">
        <w:trPr>
          <w:trHeight w:val="20"/>
          <w:jc w:val="center"/>
        </w:trPr>
        <w:tc>
          <w:tcPr>
            <w:tcW w:w="889" w:type="dxa"/>
            <w:tcMar>
              <w:top w:w="0" w:type="dxa"/>
              <w:left w:w="0" w:type="dxa"/>
              <w:bottom w:w="0" w:type="dxa"/>
              <w:right w:w="0" w:type="dxa"/>
            </w:tcMar>
            <w:hideMark/>
          </w:tcPr>
          <w:p w14:paraId="747049AA"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109</w:t>
            </w:r>
          </w:p>
        </w:tc>
        <w:tc>
          <w:tcPr>
            <w:tcW w:w="3204" w:type="dxa"/>
            <w:tcMar>
              <w:top w:w="0" w:type="dxa"/>
              <w:left w:w="0" w:type="dxa"/>
              <w:bottom w:w="0" w:type="dxa"/>
              <w:right w:w="0" w:type="dxa"/>
            </w:tcMar>
            <w:hideMark/>
          </w:tcPr>
          <w:p w14:paraId="12C6FAB1"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768C1C8F"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783085FE"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r w:rsidR="00EB2C84" w:rsidRPr="004C3C90" w14:paraId="4449D3A7" w14:textId="77777777" w:rsidTr="00AE5872">
        <w:trPr>
          <w:trHeight w:val="20"/>
          <w:jc w:val="center"/>
        </w:trPr>
        <w:tc>
          <w:tcPr>
            <w:tcW w:w="889" w:type="dxa"/>
            <w:tcMar>
              <w:top w:w="0" w:type="dxa"/>
              <w:left w:w="0" w:type="dxa"/>
              <w:bottom w:w="0" w:type="dxa"/>
              <w:right w:w="0" w:type="dxa"/>
            </w:tcMar>
            <w:hideMark/>
          </w:tcPr>
          <w:p w14:paraId="7BEDDBB8" w14:textId="77777777" w:rsidR="00EB2C84" w:rsidRPr="004C3C90" w:rsidRDefault="00EB2C84" w:rsidP="00AE5872">
            <w:pPr>
              <w:spacing w:line="240" w:lineRule="auto"/>
              <w:textAlignment w:val="bottom"/>
              <w:rPr>
                <w:rFonts w:ascii="Times New Roman" w:eastAsia="굴림" w:hAnsi="Times New Roman" w:cs="Times New Roman"/>
                <w:sz w:val="20"/>
                <w:szCs w:val="20"/>
              </w:rPr>
            </w:pPr>
            <w:r w:rsidRPr="004C3C90">
              <w:rPr>
                <w:rFonts w:ascii="Times New Roman" w:eastAsia="맑은 고딕" w:hAnsi="Times New Roman" w:cs="Times New Roman"/>
                <w:sz w:val="20"/>
                <w:szCs w:val="20"/>
              </w:rPr>
              <w:t>110</w:t>
            </w:r>
          </w:p>
        </w:tc>
        <w:tc>
          <w:tcPr>
            <w:tcW w:w="3204" w:type="dxa"/>
            <w:tcMar>
              <w:top w:w="0" w:type="dxa"/>
              <w:left w:w="0" w:type="dxa"/>
              <w:bottom w:w="0" w:type="dxa"/>
              <w:right w:w="0" w:type="dxa"/>
            </w:tcMar>
            <w:hideMark/>
          </w:tcPr>
          <w:p w14:paraId="6F13238B"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w:t>
            </w:r>
          </w:p>
        </w:tc>
        <w:tc>
          <w:tcPr>
            <w:tcW w:w="3426" w:type="dxa"/>
            <w:tcMar>
              <w:top w:w="0" w:type="dxa"/>
              <w:left w:w="0" w:type="dxa"/>
              <w:bottom w:w="0" w:type="dxa"/>
              <w:right w:w="0" w:type="dxa"/>
            </w:tcMar>
            <w:hideMark/>
          </w:tcPr>
          <w:p w14:paraId="4C477585"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c>
          <w:tcPr>
            <w:tcW w:w="1701" w:type="dxa"/>
            <w:tcMar>
              <w:top w:w="0" w:type="dxa"/>
              <w:left w:w="0" w:type="dxa"/>
              <w:bottom w:w="0" w:type="dxa"/>
              <w:right w:w="0" w:type="dxa"/>
            </w:tcMar>
            <w:hideMark/>
          </w:tcPr>
          <w:p w14:paraId="6C744A0D" w14:textId="77777777" w:rsidR="00EB2C84" w:rsidRPr="004C3C90" w:rsidRDefault="00EB2C84" w:rsidP="00AE5872">
            <w:pPr>
              <w:spacing w:line="240" w:lineRule="auto"/>
              <w:textAlignment w:val="center"/>
              <w:rPr>
                <w:rFonts w:ascii="Times New Roman" w:eastAsia="굴림" w:hAnsi="Times New Roman" w:cs="Times New Roman"/>
                <w:sz w:val="20"/>
                <w:szCs w:val="20"/>
              </w:rPr>
            </w:pPr>
            <w:r w:rsidRPr="004C3C90">
              <w:rPr>
                <w:rFonts w:ascii="Times New Roman" w:eastAsia="맑은 고딕" w:hAnsi="Times New Roman" w:cs="Times New Roman"/>
                <w:sz w:val="20"/>
                <w:szCs w:val="20"/>
              </w:rPr>
              <w:t>General</w:t>
            </w:r>
          </w:p>
        </w:tc>
      </w:tr>
    </w:tbl>
    <w:p w14:paraId="5F497C1E" w14:textId="77777777" w:rsidR="00EB2C84" w:rsidRPr="004C3C90" w:rsidRDefault="00EB2C84" w:rsidP="003C2B38">
      <w:pPr>
        <w:spacing w:line="240" w:lineRule="auto"/>
        <w:jc w:val="center"/>
        <w:rPr>
          <w:rFonts w:ascii="Times New Roman" w:hAnsi="Times New Roman" w:cs="Times New Roman"/>
          <w:sz w:val="20"/>
          <w:szCs w:val="20"/>
        </w:rPr>
      </w:pPr>
    </w:p>
    <w:p w14:paraId="212B6B8F" w14:textId="77777777" w:rsidR="00EB2C84" w:rsidRPr="004C3C90" w:rsidRDefault="00EB2C84" w:rsidP="00EB2C84">
      <w:pPr>
        <w:jc w:val="center"/>
        <w:rPr>
          <w:rFonts w:ascii="Times New Roman" w:hAnsi="Times New Roman" w:cs="Times New Roman"/>
          <w:sz w:val="20"/>
          <w:szCs w:val="20"/>
        </w:rPr>
      </w:pPr>
    </w:p>
    <w:p w14:paraId="6278AFAF" w14:textId="5F672FF5" w:rsidR="00EB2C84" w:rsidRPr="004C3C90" w:rsidRDefault="00EB2C84">
      <w:pPr>
        <w:spacing w:line="240" w:lineRule="auto"/>
        <w:rPr>
          <w:rFonts w:ascii="Times New Roman" w:hAnsi="Times New Roman" w:cs="Times New Roman"/>
          <w:sz w:val="20"/>
          <w:szCs w:val="20"/>
        </w:rPr>
      </w:pPr>
      <w:r w:rsidRPr="004C3C90">
        <w:rPr>
          <w:rFonts w:ascii="Times New Roman" w:hAnsi="Times New Roman" w:cs="Times New Roman"/>
          <w:sz w:val="20"/>
          <w:szCs w:val="20"/>
        </w:rPr>
        <w:br w:type="page"/>
      </w:r>
    </w:p>
    <w:p w14:paraId="1AEA020E" w14:textId="5388E19D" w:rsidR="00EB2C84" w:rsidRPr="004C3C90" w:rsidRDefault="00E1479D" w:rsidP="002B411B">
      <w:pPr>
        <w:spacing w:line="480" w:lineRule="auto"/>
        <w:rPr>
          <w:rFonts w:ascii="Times New Roman" w:hAnsi="Times New Roman" w:cs="Times New Roman"/>
          <w:b/>
          <w:sz w:val="20"/>
          <w:szCs w:val="20"/>
        </w:rPr>
      </w:pPr>
      <w:r w:rsidRPr="004C3C90">
        <w:rPr>
          <w:rFonts w:ascii="Times New Roman" w:hAnsi="Times New Roman" w:cs="Times New Roman"/>
          <w:b/>
          <w:iCs/>
          <w:sz w:val="20"/>
          <w:szCs w:val="20"/>
        </w:rPr>
        <w:lastRenderedPageBreak/>
        <w:t xml:space="preserve">Supplementary </w:t>
      </w:r>
      <w:r w:rsidR="00AD03D1" w:rsidRPr="004C3C90">
        <w:rPr>
          <w:rFonts w:ascii="Times New Roman" w:hAnsi="Times New Roman" w:cs="Times New Roman"/>
          <w:b/>
          <w:iCs/>
          <w:sz w:val="20"/>
          <w:szCs w:val="20"/>
        </w:rPr>
        <w:t>t</w:t>
      </w:r>
      <w:r w:rsidRPr="004C3C90">
        <w:rPr>
          <w:rFonts w:ascii="Times New Roman" w:hAnsi="Times New Roman" w:cs="Times New Roman"/>
          <w:b/>
          <w:iCs/>
          <w:sz w:val="20"/>
          <w:szCs w:val="20"/>
        </w:rPr>
        <w:t>able</w:t>
      </w:r>
      <w:r w:rsidR="00572C89" w:rsidRPr="004C3C90">
        <w:rPr>
          <w:rFonts w:ascii="Times New Roman" w:hAnsi="Times New Roman" w:cs="Times New Roman"/>
          <w:b/>
          <w:sz w:val="20"/>
          <w:szCs w:val="20"/>
        </w:rPr>
        <w:t xml:space="preserve"> 6</w:t>
      </w:r>
      <w:r w:rsidR="00EB2C84" w:rsidRPr="004C3C90">
        <w:rPr>
          <w:rFonts w:ascii="Times New Roman" w:hAnsi="Times New Roman" w:cs="Times New Roman"/>
          <w:b/>
          <w:sz w:val="20"/>
          <w:szCs w:val="20"/>
        </w:rPr>
        <w:t>. Study methodolog</w:t>
      </w:r>
      <w:r w:rsidR="00AD03D1" w:rsidRPr="004C3C90">
        <w:rPr>
          <w:rFonts w:ascii="Times New Roman" w:hAnsi="Times New Roman" w:cs="Times New Roman"/>
          <w:b/>
          <w:sz w:val="20"/>
          <w:szCs w:val="20"/>
        </w:rPr>
        <w:t>ies of 115 selected studies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129"/>
        <w:gridCol w:w="2127"/>
        <w:gridCol w:w="5819"/>
      </w:tblGrid>
      <w:tr w:rsidR="000B1324" w:rsidRPr="004C3C90" w14:paraId="2425CD57" w14:textId="35799CEC" w:rsidTr="002B411B">
        <w:trPr>
          <w:trHeight w:val="20"/>
        </w:trPr>
        <w:tc>
          <w:tcPr>
            <w:tcW w:w="1129" w:type="dxa"/>
            <w:tcBorders>
              <w:top w:val="single" w:sz="4" w:space="0" w:color="auto"/>
              <w:left w:val="single" w:sz="4" w:space="0" w:color="auto"/>
              <w:bottom w:val="single" w:sz="4" w:space="0" w:color="auto"/>
              <w:right w:val="single" w:sz="4" w:space="0" w:color="auto"/>
            </w:tcBorders>
            <w:shd w:val="clear" w:color="auto" w:fill="FFFFFF"/>
            <w:tcMar>
              <w:top w:w="28" w:type="dxa"/>
              <w:left w:w="102" w:type="dxa"/>
              <w:bottom w:w="28" w:type="dxa"/>
              <w:right w:w="102" w:type="dxa"/>
            </w:tcMar>
            <w:vAlign w:val="center"/>
          </w:tcPr>
          <w:p w14:paraId="30EABEC1" w14:textId="32077B62" w:rsidR="00906414" w:rsidRPr="004C3C90" w:rsidRDefault="00AD03D1" w:rsidP="002B411B">
            <w:pPr>
              <w:spacing w:line="240" w:lineRule="auto"/>
              <w:textAlignment w:val="center"/>
              <w:rPr>
                <w:rFonts w:ascii="Times New Roman" w:eastAsia="맑은 고딕" w:hAnsi="Times New Roman" w:cs="Times New Roman"/>
                <w:b/>
                <w:bCs/>
                <w:sz w:val="20"/>
                <w:szCs w:val="20"/>
              </w:rPr>
            </w:pPr>
            <w:r w:rsidRPr="004C3C90">
              <w:rPr>
                <w:rFonts w:ascii="Times New Roman" w:eastAsia="맑은 고딕" w:hAnsi="Times New Roman" w:cs="Times New Roman"/>
                <w:b/>
                <w:bCs/>
                <w:sz w:val="20"/>
                <w:szCs w:val="20"/>
              </w:rPr>
              <w:t xml:space="preserve">Article </w:t>
            </w:r>
            <w:r w:rsidR="002B411B" w:rsidRPr="004C3C90">
              <w:rPr>
                <w:rFonts w:ascii="Times New Roman" w:eastAsia="맑은 고딕" w:hAnsi="Times New Roman" w:cs="Times New Roman"/>
                <w:b/>
                <w:bCs/>
                <w:sz w:val="20"/>
                <w:szCs w:val="20"/>
              </w:rPr>
              <w:t>#</w:t>
            </w:r>
          </w:p>
        </w:tc>
        <w:tc>
          <w:tcPr>
            <w:tcW w:w="2127" w:type="dxa"/>
            <w:tcBorders>
              <w:top w:val="single" w:sz="4" w:space="0" w:color="auto"/>
              <w:left w:val="single" w:sz="4" w:space="0" w:color="auto"/>
              <w:bottom w:val="single" w:sz="4" w:space="0" w:color="auto"/>
              <w:right w:val="single" w:sz="4" w:space="0" w:color="auto"/>
            </w:tcBorders>
            <w:shd w:val="clear" w:color="auto" w:fill="FFFFFF"/>
            <w:tcMar>
              <w:top w:w="28" w:type="dxa"/>
              <w:left w:w="102" w:type="dxa"/>
              <w:bottom w:w="28" w:type="dxa"/>
              <w:right w:w="102" w:type="dxa"/>
            </w:tcMar>
            <w:vAlign w:val="center"/>
          </w:tcPr>
          <w:p w14:paraId="38A4C4FC" w14:textId="3E9428EB" w:rsidR="00906414" w:rsidRPr="004C3C90" w:rsidRDefault="00906414" w:rsidP="002B411B">
            <w:pPr>
              <w:spacing w:line="240" w:lineRule="auto"/>
              <w:textAlignment w:val="baseline"/>
              <w:rPr>
                <w:rFonts w:ascii="Times New Roman" w:eastAsia="맑은 고딕" w:hAnsi="Times New Roman" w:cs="Times New Roman"/>
                <w:b/>
                <w:sz w:val="20"/>
                <w:szCs w:val="20"/>
              </w:rPr>
            </w:pPr>
            <w:r w:rsidRPr="004C3C90">
              <w:rPr>
                <w:rFonts w:ascii="Times New Roman" w:eastAsia="맑은 고딕" w:hAnsi="Times New Roman" w:cs="Times New Roman"/>
                <w:b/>
                <w:sz w:val="20"/>
                <w:szCs w:val="20"/>
              </w:rPr>
              <w:t>Methodology</w:t>
            </w:r>
          </w:p>
        </w:tc>
        <w:tc>
          <w:tcPr>
            <w:tcW w:w="5819" w:type="dxa"/>
            <w:tcBorders>
              <w:top w:val="single" w:sz="4" w:space="0" w:color="auto"/>
              <w:left w:val="single" w:sz="4" w:space="0" w:color="auto"/>
              <w:bottom w:val="single" w:sz="4" w:space="0" w:color="auto"/>
              <w:right w:val="single" w:sz="4" w:space="0" w:color="auto"/>
            </w:tcBorders>
            <w:shd w:val="clear" w:color="auto" w:fill="FFFFFF"/>
          </w:tcPr>
          <w:p w14:paraId="1585D32B" w14:textId="09E8C837" w:rsidR="00906414" w:rsidRPr="004C3C90" w:rsidRDefault="00906414" w:rsidP="002B411B">
            <w:pPr>
              <w:spacing w:line="240" w:lineRule="auto"/>
              <w:textAlignment w:val="baseline"/>
              <w:rPr>
                <w:rFonts w:ascii="Times New Roman" w:eastAsia="맑은 고딕" w:hAnsi="Times New Roman" w:cs="Times New Roman"/>
                <w:b/>
                <w:sz w:val="20"/>
                <w:szCs w:val="20"/>
              </w:rPr>
            </w:pPr>
            <w:r w:rsidRPr="004C3C90">
              <w:rPr>
                <w:rFonts w:ascii="Times New Roman" w:eastAsia="맑은 고딕" w:hAnsi="Times New Roman" w:cs="Times New Roman"/>
                <w:b/>
                <w:sz w:val="20"/>
                <w:szCs w:val="20"/>
              </w:rPr>
              <w:t>Details</w:t>
            </w:r>
          </w:p>
        </w:tc>
      </w:tr>
      <w:tr w:rsidR="000B1324" w:rsidRPr="004C3C90" w14:paraId="5B608DD6" w14:textId="4A02CC65" w:rsidTr="002B411B">
        <w:trPr>
          <w:trHeight w:val="20"/>
        </w:trPr>
        <w:tc>
          <w:tcPr>
            <w:tcW w:w="1129" w:type="dxa"/>
            <w:tcBorders>
              <w:top w:val="single" w:sz="4" w:space="0" w:color="auto"/>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9347320" w14:textId="77777777" w:rsidR="00906414" w:rsidRPr="004C3C90" w:rsidRDefault="00906414"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35</w:t>
            </w:r>
          </w:p>
        </w:tc>
        <w:tc>
          <w:tcPr>
            <w:tcW w:w="2127" w:type="dxa"/>
            <w:tcBorders>
              <w:top w:val="single" w:sz="4" w:space="0" w:color="auto"/>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C315397" w14:textId="45B940DD" w:rsidR="00906414" w:rsidRPr="004C3C90" w:rsidRDefault="004258F8"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w:t>
            </w:r>
            <w:r w:rsidR="002B411B" w:rsidRPr="004C3C90">
              <w:rPr>
                <w:rFonts w:ascii="Times New Roman" w:eastAsia="맑은 고딕" w:hAnsi="Times New Roman" w:cs="Times New Roman"/>
                <w:sz w:val="20"/>
                <w:szCs w:val="20"/>
              </w:rPr>
              <w:t>tative</w:t>
            </w:r>
          </w:p>
        </w:tc>
        <w:tc>
          <w:tcPr>
            <w:tcW w:w="5819" w:type="dxa"/>
            <w:tcBorders>
              <w:top w:val="single" w:sz="4" w:space="0" w:color="auto"/>
              <w:left w:val="single" w:sz="4" w:space="0" w:color="0A0000"/>
              <w:bottom w:val="single" w:sz="4" w:space="0" w:color="0A0000"/>
              <w:right w:val="single" w:sz="4" w:space="0" w:color="0A0000"/>
            </w:tcBorders>
            <w:shd w:val="clear" w:color="auto" w:fill="FFFFFF"/>
            <w:vAlign w:val="center"/>
          </w:tcPr>
          <w:p w14:paraId="68682C3C" w14:textId="57183446" w:rsidR="00906414" w:rsidRPr="004C3C90" w:rsidRDefault="00906414"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511A6E58" w14:textId="7F75E910"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22E3D9C"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95</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2FE4E9B" w14:textId="6A072682"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697B00E6" w14:textId="60AC0088"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0CA289C7" w14:textId="2EDE5B96"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E07FE3B"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60</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3B11C97" w14:textId="6BE4C6C7"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36C4FC7" w14:textId="419D3B2C"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6B3A9ECE" w14:textId="0D3D474F"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28C3E41"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93D2ED5" w14:textId="455925FA"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02E55627" w14:textId="47F3D1B0"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6C5913E0" w14:textId="3326CF57"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2EB4796"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63</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7261DFB" w14:textId="080A74F3"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72ED06C9" w14:textId="6FC02A72"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32E2D152" w14:textId="0A2A371F"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05C7595"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36</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6179CAF" w14:textId="28CBF101"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10915B89" w14:textId="3A294BA1"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4AC2A922" w14:textId="33713DE2"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2851845"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115</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700F4F9" w14:textId="446AE7DB"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1A5FD9E6" w14:textId="5D472ED6"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31EF3E83" w14:textId="6A371B61"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8DF4B6E"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14</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95D78C8" w14:textId="68F23F28"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5F22355F" w14:textId="0EDCAF4C"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05BEA110" w14:textId="3E66753F"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23E07B9"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101</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0BB1FC5" w14:textId="041E1880"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7BACD5C3" w14:textId="433DAB22"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6222040E" w14:textId="30919EEA"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D3583C7"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20</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90D6680" w14:textId="35EBCE77"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5D8A4143" w14:textId="2FDB1DDB"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3B4431D3" w14:textId="1BF68168"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E0278D5"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81</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FE264DC" w14:textId="561F5E6F"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5ACF32FE" w14:textId="0415209F"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12B9C10F" w14:textId="59E42DA9"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23846B1"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109</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3FCC261" w14:textId="7B1CF89C"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1B8A21C" w14:textId="399120DF"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3E85013B" w14:textId="432FCD5C"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B300A4D"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80</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D083277" w14:textId="076496B0"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1BE61D50" w14:textId="0FA6CBD4"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703FDF86" w14:textId="65FF4633"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F8D13F8"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46</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243DB46" w14:textId="17E49790"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0D34FEF4" w14:textId="0CE63C11"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515D70B3" w14:textId="452583BF"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D6F0260"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88</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6BB0FE5" w14:textId="557C105E"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4B3C1D90" w14:textId="779B068E"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65B60715" w14:textId="5C46FBB9"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8B958D3"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40</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991494E" w14:textId="3BA28613"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A33BCF4" w14:textId="11576023"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487BD995" w14:textId="1DE4A0D4"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33A90FD"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59</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8D90404" w14:textId="4A6352E5"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66FAA3BB" w14:textId="600FDD94"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588F02F5" w14:textId="3868180C"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256F195"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102</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C7ED3C4" w14:textId="6523850F"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0C6F5968" w14:textId="5BB45FD0"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4C419C32" w14:textId="26C5A47A"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1715B7B"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64</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4CF356D" w14:textId="0D948592"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0743B0EB" w14:textId="31CCA1BA"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2A550142" w14:textId="4AE6DD9E"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C120A73"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57</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B27A0EA" w14:textId="24FCB90A"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15D0E3B9" w14:textId="12653D61"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1102DFE3" w14:textId="09BCE436"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A1E090F"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42</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D4E5440" w14:textId="32FB72C1"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E8BA158" w14:textId="50F07FCA"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6B4E53AA" w14:textId="3DB96983"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653C9A1"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106</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76AE7E0" w14:textId="660CEB7B"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0D119771" w14:textId="35634226"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55423BC8" w14:textId="76EB7D26"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6EC920D"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82</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CABC8C7" w14:textId="1D945A85"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432D165D" w14:textId="3BED7682"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12579E5E" w14:textId="33BFB57E"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8FC380D"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100</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EFF471B" w14:textId="36620731"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5CA27618" w14:textId="1FE836BD"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6FFAED5D" w14:textId="5F994FF5"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6634188"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55</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8D5DFE3" w14:textId="3A3A4464"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179D50A9" w14:textId="2A88BE83"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7463E2A3" w14:textId="092C1108"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8710A31"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27</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3A0A196" w14:textId="0D40ACCC"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7A9604C5" w14:textId="5B0176DD"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7325CCC0" w14:textId="6841E17D"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6FA7DD4"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30</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2B9F62C" w14:textId="621E5AAE"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42747637" w14:textId="6239DCDE"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47FA2A47" w14:textId="08E7F4D9"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C2CC8A1"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85</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D198B1A" w14:textId="57684A3D"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45A8ECA4" w14:textId="60DB0FA8"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104CD4E4" w14:textId="7C8B382D"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334CAB8"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103</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B51E861" w14:textId="0D479A66"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03F70612" w14:textId="4EF48628"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1D6D6E07" w14:textId="36B08D6C"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E8FE7D9"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92</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1BE5271" w14:textId="542C2390"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E2E3A82" w14:textId="15CB9C7A"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6F55164A" w14:textId="3E8751A3"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A22C622"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86</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317B3AE" w14:textId="5F3B7A40"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6853ADD5" w14:textId="3F3EB608"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07753465" w14:textId="6D40B97D"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E450D4B"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51</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A1BCC31" w14:textId="7B496075"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6718ECF0" w14:textId="63DA3635"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76D64B78" w14:textId="4246AF32"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667A9D5"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38</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1EB317C" w14:textId="130BDA9C"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CBBDC3E" w14:textId="455E7F46"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3545A8F4" w14:textId="3DFD1083"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61A2A3D"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26</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4D33284" w14:textId="303FE51E"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306F5133" w14:textId="5545691C"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66742047" w14:textId="398AE2AD"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C6F588E"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6A5171A" w14:textId="6D93BFE4"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026D5D3" w14:textId="62DE385A"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28FED740" w14:textId="0CE5C45D"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00729D9"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94</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DDD2C71" w14:textId="14AE733F"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65AAECEA" w14:textId="0224C518"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4CEDF5BB" w14:textId="694FB1A2"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39470D0"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70</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0B8CF1B" w14:textId="120F2CEF"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315E91E2" w14:textId="57A9C883"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w:t>
            </w:r>
          </w:p>
        </w:tc>
      </w:tr>
      <w:tr w:rsidR="002B411B" w:rsidRPr="004C3C90" w14:paraId="73B53490" w14:textId="140F5283"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FF8E63E"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AA5BF9F" w14:textId="635FCB08"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ADD230A" w14:textId="116A5D6F"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self-reported survey</w:t>
            </w:r>
          </w:p>
        </w:tc>
      </w:tr>
      <w:tr w:rsidR="002B411B" w:rsidRPr="004C3C90" w14:paraId="23B8FFAE" w14:textId="0095F9FF"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9AE778B"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75</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52CD376" w14:textId="3D937CD9"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14A46A6E" w14:textId="43F57761"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questionnaire+survey</w:t>
            </w:r>
          </w:p>
        </w:tc>
      </w:tr>
      <w:tr w:rsidR="002B411B" w:rsidRPr="004C3C90" w14:paraId="422AC02A" w14:textId="0293B9AF"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B357754"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76</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D2F7F13" w14:textId="72C93E5D"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784724A2" w14:textId="0067D023"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questionnaire+discrete choice experiment</w:t>
            </w:r>
          </w:p>
        </w:tc>
      </w:tr>
      <w:tr w:rsidR="002B411B" w:rsidRPr="004C3C90" w14:paraId="75BF9DFC" w14:textId="5C5549EF"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D1AD0F0"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8CE848C" w14:textId="689EF842"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4F023E59" w14:textId="2FDA3112"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6F566B84" w14:textId="241EC515"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31CD66A"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45A82BE" w14:textId="5F5F4253"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4B7B8DEC" w14:textId="3844C90A"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5B6D198E" w14:textId="5E0061A9"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167A581"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lastRenderedPageBreak/>
              <w:t>90</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0453E1F" w14:textId="5155372C"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4FAF82CF" w14:textId="41E166F1"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3C1A2C77" w14:textId="1B3A270D"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37A44D1"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91</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4AEAC71" w14:textId="23CA892D"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0F8EE1F" w14:textId="7F370204"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4D4091F3" w14:textId="08D3F148"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3289AA9"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7C21F88" w14:textId="2FDBE3E8"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45DC1EB6" w14:textId="7C5544D1"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20645029" w14:textId="289317DE"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12C068C"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18</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103F895" w14:textId="52A3E83A"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E075AC5" w14:textId="6E3DFF62"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5ABEF505" w14:textId="6B31F71A"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363FB2D"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25</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DA7D5B8" w14:textId="247A63A9"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76E1A1D8" w14:textId="5B7B3D5F"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2B55729F" w14:textId="490ACFFB"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ACAA059"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104</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A7666DF" w14:textId="7A3C183B"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3ED9BB68" w14:textId="21EE5F92"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3DEB69B9" w14:textId="41F75BD9"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81B101D"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83</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145CD8E" w14:textId="6DD6FE1E"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498B7038" w14:textId="50D539C2"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207FC3EF" w14:textId="055CECC3"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B43AD56"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79</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E5D6886" w14:textId="7E66388E"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58F3B534" w14:textId="1F159986"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393EC87E" w14:textId="187B66DB"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08C66D6"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105</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55216BB" w14:textId="0CC2831D"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5125A6AA" w14:textId="1AAF7F8D"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7B3346E1" w14:textId="2C77B00F"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89E6B55"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53</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0886263" w14:textId="54BE5887"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06AA034C" w14:textId="59BCFDD7"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4C0344A9" w14:textId="434D37E7"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9331A8C"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77</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88E73F5" w14:textId="195397BB"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046662BA" w14:textId="42631518"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29967EEA" w14:textId="66E629D2"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46DEC40"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45</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80D1974" w14:textId="486B9B71"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6DF5C98" w14:textId="6E2D1A73"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7DFDF4CB" w14:textId="61EFFDFF"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D8F8F95"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97</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783FFEC" w14:textId="55EF5CBA"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4EF0041D" w14:textId="535C9AB9"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2C63FF71" w14:textId="68DABCA0"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2A51DD0"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21</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3757706" w14:textId="25843210"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A833C24" w14:textId="22A8893F"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33F286A9" w14:textId="07A6E7C8"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34B58DC"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16</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C9CBC59" w14:textId="0E07059F"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91687B3" w14:textId="36A5E7CA"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00EBE4ED" w14:textId="60609FAA"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A24E38C"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43A701C" w14:textId="4FCFB6E2"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75DA1B17" w14:textId="15BA092D"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172CC3CD" w14:textId="4B4E357E"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4BA0A39"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44</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0271A68" w14:textId="3AB2AE99"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12671198" w14:textId="1CFEC031"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23BA2B02" w14:textId="171AC080"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B6055E8"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71</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9CC753B" w14:textId="19C2E5C5"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78579E87" w14:textId="741FDE28"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77DE834C" w14:textId="54698B71"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810A5A6"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34</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1AF9470" w14:textId="392254F1"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70174531" w14:textId="059A93E1"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23A54BDD" w14:textId="47C64C28"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E5FE921"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24</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07F6DD5" w14:textId="1D8ADF67"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1D646EFA" w14:textId="1627CF38"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5A231104" w14:textId="31023B7F"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75C1BB4"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52</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39F87A1" w14:textId="3E5B6E9E"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3DB14656" w14:textId="10455ED4"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4BC2D5DF" w14:textId="54E42ADB"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E50A504"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22</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6D746C5" w14:textId="6BB4DB35"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504CF6B0" w14:textId="5053A96E"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22DBE58C" w14:textId="33A0A3B1"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C93B1D8"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113</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91A592D" w14:textId="09121B8C"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34B48A67" w14:textId="3497C691"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43EE68DB" w14:textId="0D2E67BD"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901E94C"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93</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96006B8" w14:textId="19B76DC0"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484E7ABA" w14:textId="3DA967D7"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33AFA22E" w14:textId="05C70CD6"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C397340"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78</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30721FC" w14:textId="13D307A1"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40442A5C" w14:textId="270181AB"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43D22CB2" w14:textId="1219E33E"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3ED8C2F"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96</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B27E03B" w14:textId="05A8D0EE"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062F7082" w14:textId="7FD8396F"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70D95611" w14:textId="64FBDA6E"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1098CD7"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37</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66D0EB1" w14:textId="3076C750"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CF7986F" w14:textId="25205FFF"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7AD45342" w14:textId="319FB86F"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CC7CC1A"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12</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7EDDA15" w14:textId="55DC5DFE"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5773598F" w14:textId="660F7919"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14E0F20C" w14:textId="7F3F979D"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E8B0017"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73</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58F4898" w14:textId="091CAFA9"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45A86BFA" w14:textId="7AA5AE83"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2F9E1397" w14:textId="69433F18"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4B26F88"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68</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C6D7E96" w14:textId="00E03C99"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53D85D6D" w14:textId="4124D026"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5010F503" w14:textId="2E84F30B"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E624C30"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84</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C11C073" w14:textId="40AAC0EA"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3D6CBBAC" w14:textId="3C5225AF"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4912F06D" w14:textId="0F6884B0"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5944A09"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50</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4E8FBDC" w14:textId="2AD7DE66"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37B70730" w14:textId="367C8949"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11E14B49" w14:textId="039B9F92"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69E66B4"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61</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5D6F0D1" w14:textId="42C32E4C"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0445636F" w14:textId="62AB7FC6"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3C3C39D2" w14:textId="7504400F"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B11DC55"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111</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73E4DD2" w14:textId="649C3883"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3F1A7C21" w14:textId="6851A8FE"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1C631C8F" w14:textId="7618E16A"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D830088"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58</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5B85A0A" w14:textId="68AF80A4"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338CA123" w14:textId="1FCCFEDA"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55C56B31" w14:textId="350E787C"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14B5525"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110</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20E32F2" w14:textId="4DCF3E43"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0730EC71" w14:textId="1659BE39"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6B299A47" w14:textId="7AEB51C9"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1AE2B9E"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62</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1CC06B1" w14:textId="312D8A3B"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30AD88B4" w14:textId="0BE3600F"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52FFE327" w14:textId="0C621E76"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61077CD"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87</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0D0BD6E" w14:textId="5ACE0284"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B3749C5" w14:textId="2CE8E0A3"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5234C2C8" w14:textId="0315C730"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DBA1FDE"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67</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865532E" w14:textId="30DFF881"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75872DE3" w14:textId="7CFEA819"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w:t>
            </w:r>
          </w:p>
        </w:tc>
      </w:tr>
      <w:tr w:rsidR="002B411B" w:rsidRPr="004C3C90" w14:paraId="19718146" w14:textId="5DF8592C"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D215FE7"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15</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468F451" w14:textId="5D744804"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1B81D98F" w14:textId="42F7C11C"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Parental Needs Scale for Rare Diseases</w:t>
            </w:r>
          </w:p>
        </w:tc>
      </w:tr>
      <w:tr w:rsidR="002B411B" w:rsidRPr="004C3C90" w14:paraId="3624BB59" w14:textId="5F83FDFE"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2791699"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112</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A64BFF3" w14:textId="285BEFB6"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65B3D835" w14:textId="46CE143C"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Health Survey SF-36</w:t>
            </w:r>
          </w:p>
        </w:tc>
      </w:tr>
      <w:tr w:rsidR="002B411B" w:rsidRPr="004C3C90" w14:paraId="27AA85EF" w14:textId="3F7A486A"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A3418A7"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114</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BA297E7" w14:textId="4A06E075"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5138D835" w14:textId="58D2B909"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Health Survey SF-36</w:t>
            </w:r>
          </w:p>
        </w:tc>
      </w:tr>
      <w:tr w:rsidR="002B411B" w:rsidRPr="004C3C90" w14:paraId="243537A9" w14:textId="0CCB50F5"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3E0F5F8"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66</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8490441" w14:textId="4A8C7A9B"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6EED8976" w14:textId="27118435"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Health Survey SF-36</w:t>
            </w:r>
          </w:p>
        </w:tc>
      </w:tr>
      <w:tr w:rsidR="002B411B" w:rsidRPr="004C3C90" w14:paraId="64EC5663" w14:textId="29BF787E"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8A52696"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47</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2C61A50" w14:textId="174148F2"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317E40BB" w14:textId="3C5AE500"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discrete choice experiment</w:t>
            </w:r>
          </w:p>
        </w:tc>
      </w:tr>
      <w:tr w:rsidR="002B411B" w:rsidRPr="004C3C90" w14:paraId="23CC849D" w14:textId="5386204C"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9BB004F"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29</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607C990" w14:textId="6C6397B9"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5B91DFB2" w14:textId="04B3273A"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discrete choice experiment</w:t>
            </w:r>
          </w:p>
        </w:tc>
      </w:tr>
      <w:tr w:rsidR="002B411B" w:rsidRPr="004C3C90" w14:paraId="00BBF2C3" w14:textId="063F9293"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80832B4"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lastRenderedPageBreak/>
              <w:t>65</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D8E2204" w14:textId="4B97AE15"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4FE6BBE3" w14:textId="67F4831B"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discrete choice experiment</w:t>
            </w:r>
          </w:p>
        </w:tc>
      </w:tr>
      <w:tr w:rsidR="002B411B" w:rsidRPr="004C3C90" w14:paraId="2A5EF0CE" w14:textId="61C2CCED"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55CC754"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49</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357CCF8" w14:textId="7AB74756"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Quantitative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093C9BA8" w14:textId="1E7E3A0F"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Acceptance Illness Scale + the Health Survey SF-36</w:t>
            </w:r>
          </w:p>
        </w:tc>
      </w:tr>
      <w:tr w:rsidR="002B411B" w:rsidRPr="004C3C90" w14:paraId="667783BA" w14:textId="752C43A9"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748D6D8"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23</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066E54C" w14:textId="24877817"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Qualitative</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3E2C9D1C" w14:textId="180D5FE8"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discussions</w:t>
            </w:r>
          </w:p>
        </w:tc>
      </w:tr>
      <w:tr w:rsidR="002B411B" w:rsidRPr="004C3C90" w14:paraId="3A3E356F" w14:textId="5094189B"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2055EB9"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30FA51D" w14:textId="7C16C878"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Mixed</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5C80DF8D" w14:textId="31ABA84B"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systematic review+survey; JLA methodology</w:t>
            </w:r>
          </w:p>
        </w:tc>
      </w:tr>
      <w:tr w:rsidR="002B411B" w:rsidRPr="004C3C90" w14:paraId="47FE6D7E" w14:textId="570D1DFB"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F94AC60"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5A5E2E7" w14:textId="3824859B"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D440665" w14:textId="54FD2810"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systematic review+questionnaire</w:t>
            </w:r>
          </w:p>
        </w:tc>
      </w:tr>
      <w:tr w:rsidR="002B411B" w:rsidRPr="004C3C90" w14:paraId="1EA40241" w14:textId="25B60CDC"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6BB4FBF"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32</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AEF051D" w14:textId="18FA695B"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5418284A" w14:textId="5E4F5859"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systematic review+discrete choice experiment</w:t>
            </w:r>
          </w:p>
        </w:tc>
      </w:tr>
      <w:tr w:rsidR="002B411B" w:rsidRPr="004C3C90" w14:paraId="28AB996F" w14:textId="3DCE8CF4"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4F72D7D"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74</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998DEE3" w14:textId="33E7D6C8"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38023FF6" w14:textId="72256185"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systematic review+Delphi</w:t>
            </w:r>
          </w:p>
        </w:tc>
      </w:tr>
      <w:tr w:rsidR="002B411B" w:rsidRPr="004C3C90" w14:paraId="773E1A4D" w14:textId="495C999B"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A2A1189"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108</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AEFA949" w14:textId="675DFB23"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007DB5F7" w14:textId="10955CFE"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systematic review + questionnaire</w:t>
            </w:r>
          </w:p>
        </w:tc>
      </w:tr>
      <w:tr w:rsidR="002B411B" w:rsidRPr="004C3C90" w14:paraId="7976DF4A" w14:textId="71BA725C"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483F270"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4F86CE7" w14:textId="72914AE8"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18C22504" w14:textId="4765B722"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survey+discussion</w:t>
            </w:r>
          </w:p>
        </w:tc>
      </w:tr>
      <w:tr w:rsidR="002B411B" w:rsidRPr="004C3C90" w14:paraId="2F093412" w14:textId="6B12D78D"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0610002"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99</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44A3CC0" w14:textId="7FE4F930"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4CE438E7" w14:textId="00D97D64"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registry data+survey</w:t>
            </w:r>
          </w:p>
        </w:tc>
      </w:tr>
      <w:tr w:rsidR="002B411B" w:rsidRPr="004C3C90" w14:paraId="52FB274C" w14:textId="6A67D958"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F1F515C"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39</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F810074" w14:textId="2D581F05"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D0A0699" w14:textId="6BE58E9F"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questionnaire+open ended questions</w:t>
            </w:r>
          </w:p>
        </w:tc>
      </w:tr>
      <w:tr w:rsidR="002B411B" w:rsidRPr="004C3C90" w14:paraId="618C078A" w14:textId="74ABD832"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81F818E"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28</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BB9CA20" w14:textId="3C841A5A"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7F91F457" w14:textId="3CAB9427"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questionnaire+open ended questions</w:t>
            </w:r>
          </w:p>
        </w:tc>
      </w:tr>
      <w:tr w:rsidR="002B411B" w:rsidRPr="004C3C90" w14:paraId="621FA920" w14:textId="1D57A951"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40A11C6"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48</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158AE33" w14:textId="4D4CE259"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470737B5" w14:textId="1C0E7170"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questionnaire+open ended questions</w:t>
            </w:r>
          </w:p>
        </w:tc>
      </w:tr>
      <w:tr w:rsidR="002B411B" w:rsidRPr="004C3C90" w14:paraId="28783319" w14:textId="7AF0E5D4"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3A81F37"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13</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3C28515" w14:textId="676FFCDB"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06ADF65F" w14:textId="5D32ED0E"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lit review+survey</w:t>
            </w:r>
          </w:p>
        </w:tc>
      </w:tr>
      <w:tr w:rsidR="002B411B" w:rsidRPr="004C3C90" w14:paraId="0571BE77" w14:textId="5AD153D5"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64D0FF7"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19</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56A2DF3" w14:textId="2BA3637E"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B89EA7F" w14:textId="05BD087B"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lit review+survey</w:t>
            </w:r>
          </w:p>
        </w:tc>
      </w:tr>
      <w:tr w:rsidR="002B411B" w:rsidRPr="004C3C90" w14:paraId="57862791" w14:textId="64F5D4FD" w:rsidTr="002B411B">
        <w:trPr>
          <w:trHeight w:val="199"/>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7A48004"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31</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CD020C5" w14:textId="6AE42D2E"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45F8D95B" w14:textId="7E5E8CC9"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lit review+discrete choice experiment</w:t>
            </w:r>
          </w:p>
        </w:tc>
      </w:tr>
      <w:tr w:rsidR="002B411B" w:rsidRPr="004C3C90" w14:paraId="741ACF34" w14:textId="76B76407"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0A8C535"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98</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5A272CB" w14:textId="58D9003E"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748556ED" w14:textId="0B147CA3"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interview+survey</w:t>
            </w:r>
          </w:p>
        </w:tc>
      </w:tr>
      <w:tr w:rsidR="002B411B" w:rsidRPr="004C3C90" w14:paraId="129758DD" w14:textId="3A64C200"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38BE8AA"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72</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9699573" w14:textId="334370EF"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4673563D" w14:textId="2BFE292C"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interview+survey</w:t>
            </w:r>
          </w:p>
        </w:tc>
      </w:tr>
      <w:tr w:rsidR="002B411B" w:rsidRPr="004C3C90" w14:paraId="2541E95A" w14:textId="51C02CA3"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338C1F8"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43</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3761CF6" w14:textId="4A439083"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547D582F" w14:textId="507E3A0D"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interview+survey</w:t>
            </w:r>
          </w:p>
        </w:tc>
      </w:tr>
      <w:tr w:rsidR="002B411B" w:rsidRPr="004C3C90" w14:paraId="5918C456" w14:textId="67ACDD49"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CA1EF52"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107</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B66FD86" w14:textId="6AF210D3"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6DB22E08" w14:textId="42FB5CFD"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interview+questionnaire</w:t>
            </w:r>
          </w:p>
        </w:tc>
      </w:tr>
      <w:tr w:rsidR="002B411B" w:rsidRPr="004C3C90" w14:paraId="0E58254B" w14:textId="679CD40D"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630FC19"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17</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044114A" w14:textId="37178058"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067FED57" w14:textId="402B282F"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interview+questionnaire</w:t>
            </w:r>
          </w:p>
        </w:tc>
      </w:tr>
      <w:tr w:rsidR="002B411B" w:rsidRPr="004C3C90" w14:paraId="6DB4FCB1" w14:textId="74C0C452"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69B66D1"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89</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72C43F15" w14:textId="6B5242B9"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23873F4" w14:textId="52B1577C"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interview+questionnaire</w:t>
            </w:r>
          </w:p>
        </w:tc>
      </w:tr>
      <w:tr w:rsidR="002B411B" w:rsidRPr="004C3C90" w14:paraId="052A58AD" w14:textId="6AC51C59"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534EFA13"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56</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17DC9AC6" w14:textId="3ED909E6"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6DD71D4" w14:textId="787603AA"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interview+questionnaire</w:t>
            </w:r>
          </w:p>
        </w:tc>
      </w:tr>
      <w:tr w:rsidR="002B411B" w:rsidRPr="004C3C90" w14:paraId="383C764D" w14:textId="18649049"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4498A7E9"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33</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F6E5EED" w14:textId="497CB39A"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64FFF1D2" w14:textId="1FDF912E"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interview, observational study, survey</w:t>
            </w:r>
          </w:p>
        </w:tc>
      </w:tr>
      <w:tr w:rsidR="002B411B" w:rsidRPr="004C3C90" w14:paraId="5CFE4A63" w14:textId="49ECF30F"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2933767"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69</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4C10C35" w14:textId="1A228F77"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22356443" w14:textId="3778D82C"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focus group interview+survey</w:t>
            </w:r>
          </w:p>
        </w:tc>
      </w:tr>
      <w:tr w:rsidR="002B411B" w:rsidRPr="004C3C90" w14:paraId="5E4F4B01" w14:textId="755421B3"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2788F7C"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41</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6254185" w14:textId="386F318E"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379DB52E" w14:textId="3209D19F"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focus group interview+survey</w:t>
            </w:r>
          </w:p>
        </w:tc>
      </w:tr>
      <w:tr w:rsidR="002B411B" w:rsidRPr="004C3C90" w14:paraId="75B01E9D" w14:textId="383C87F1"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22FD4E57"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11</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6AB32570" w14:textId="7ACA1573"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0538076A" w14:textId="19D4F060"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focus group interview+questionnaire</w:t>
            </w:r>
          </w:p>
        </w:tc>
      </w:tr>
      <w:tr w:rsidR="002B411B" w:rsidRPr="004C3C90" w14:paraId="064832FE" w14:textId="51811F56" w:rsidTr="002B411B">
        <w:trPr>
          <w:trHeight w:val="20"/>
        </w:trPr>
        <w:tc>
          <w:tcPr>
            <w:tcW w:w="1129"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00936094" w14:textId="77777777" w:rsidR="002B411B" w:rsidRPr="004C3C90" w:rsidRDefault="002B411B" w:rsidP="002B411B">
            <w:pPr>
              <w:spacing w:line="240" w:lineRule="auto"/>
              <w:textAlignment w:val="center"/>
              <w:rPr>
                <w:rFonts w:ascii="Times New Roman" w:eastAsia="굴림" w:hAnsi="Times New Roman" w:cs="Times New Roman"/>
                <w:bCs/>
                <w:sz w:val="20"/>
                <w:szCs w:val="20"/>
              </w:rPr>
            </w:pPr>
            <w:r w:rsidRPr="004C3C90">
              <w:rPr>
                <w:rFonts w:ascii="Times New Roman" w:eastAsia="맑은 고딕" w:hAnsi="Times New Roman" w:cs="Times New Roman"/>
                <w:bCs/>
                <w:sz w:val="20"/>
                <w:szCs w:val="20"/>
              </w:rPr>
              <w:t>54</w:t>
            </w:r>
          </w:p>
        </w:tc>
        <w:tc>
          <w:tcPr>
            <w:tcW w:w="2127" w:type="dxa"/>
            <w:tcBorders>
              <w:top w:val="nil"/>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14:paraId="30ECC4D7" w14:textId="378B75F6" w:rsidR="002B411B" w:rsidRPr="004C3C90" w:rsidRDefault="002B411B" w:rsidP="002B411B">
            <w:pPr>
              <w:spacing w:line="240" w:lineRule="auto"/>
              <w:textAlignment w:val="baseline"/>
              <w:rPr>
                <w:rFonts w:ascii="Times New Roman" w:eastAsia="굴림" w:hAnsi="Times New Roman" w:cs="Times New Roman"/>
                <w:sz w:val="20"/>
                <w:szCs w:val="20"/>
              </w:rPr>
            </w:pPr>
            <w:r w:rsidRPr="004C3C90">
              <w:rPr>
                <w:rFonts w:ascii="Times New Roman" w:eastAsia="맑은 고딕" w:hAnsi="Times New Roman" w:cs="Times New Roman"/>
                <w:sz w:val="20"/>
                <w:szCs w:val="20"/>
              </w:rPr>
              <w:t xml:space="preserve">Mixed </w:t>
            </w:r>
          </w:p>
        </w:tc>
        <w:tc>
          <w:tcPr>
            <w:tcW w:w="5819" w:type="dxa"/>
            <w:tcBorders>
              <w:top w:val="nil"/>
              <w:left w:val="single" w:sz="4" w:space="0" w:color="0A0000"/>
              <w:bottom w:val="single" w:sz="4" w:space="0" w:color="0A0000"/>
              <w:right w:val="single" w:sz="4" w:space="0" w:color="0A0000"/>
            </w:tcBorders>
            <w:shd w:val="clear" w:color="auto" w:fill="FFFFFF"/>
            <w:vAlign w:val="center"/>
          </w:tcPr>
          <w:p w14:paraId="619BF810" w14:textId="5C04A621" w:rsidR="002B411B" w:rsidRPr="004C3C90" w:rsidRDefault="002B411B" w:rsidP="002B411B">
            <w:pPr>
              <w:spacing w:line="240" w:lineRule="auto"/>
              <w:ind w:left="26"/>
              <w:textAlignment w:val="baseline"/>
              <w:rPr>
                <w:rFonts w:ascii="Times New Roman" w:eastAsia="맑은 고딕" w:hAnsi="Times New Roman" w:cs="Times New Roman"/>
                <w:sz w:val="20"/>
                <w:szCs w:val="20"/>
              </w:rPr>
            </w:pPr>
            <w:r w:rsidRPr="004C3C90">
              <w:rPr>
                <w:rFonts w:ascii="Times New Roman" w:eastAsia="맑은 고딕" w:hAnsi="Times New Roman" w:cs="Times New Roman"/>
                <w:sz w:val="20"/>
                <w:szCs w:val="20"/>
              </w:rPr>
              <w:t>comments+survey</w:t>
            </w:r>
          </w:p>
        </w:tc>
      </w:tr>
    </w:tbl>
    <w:p w14:paraId="1AD8F2CF" w14:textId="77777777" w:rsidR="00EB2C84" w:rsidRPr="004C3C90" w:rsidRDefault="00EB2C84" w:rsidP="00EB2C84">
      <w:pPr>
        <w:jc w:val="center"/>
        <w:rPr>
          <w:rFonts w:ascii="Times New Roman" w:hAnsi="Times New Roman" w:cs="Times New Roman"/>
          <w:sz w:val="20"/>
          <w:szCs w:val="20"/>
        </w:rPr>
      </w:pPr>
    </w:p>
    <w:p w14:paraId="0FE7B7B2" w14:textId="77777777" w:rsidR="00EB2C84" w:rsidRPr="004C3C90" w:rsidRDefault="00EB2C84" w:rsidP="00EB2C84">
      <w:pPr>
        <w:jc w:val="center"/>
        <w:rPr>
          <w:rFonts w:ascii="Times New Roman" w:hAnsi="Times New Roman" w:cs="Times New Roman"/>
          <w:sz w:val="20"/>
          <w:szCs w:val="20"/>
        </w:rPr>
      </w:pPr>
    </w:p>
    <w:p w14:paraId="784254B7" w14:textId="4DA07F7E" w:rsidR="00EE50CE" w:rsidRPr="004C3C90" w:rsidRDefault="00EE50CE" w:rsidP="00EB2C84">
      <w:pPr>
        <w:spacing w:line="240" w:lineRule="auto"/>
        <w:rPr>
          <w:rFonts w:ascii="Times New Roman" w:hAnsi="Times New Roman" w:cs="Times New Roman"/>
          <w:sz w:val="20"/>
          <w:szCs w:val="20"/>
        </w:rPr>
      </w:pPr>
    </w:p>
    <w:p w14:paraId="083E51FD" w14:textId="59DC0750" w:rsidR="00EE50CE" w:rsidRPr="004C3C90" w:rsidRDefault="00EE50CE">
      <w:pPr>
        <w:rPr>
          <w:rFonts w:ascii="Times New Roman" w:eastAsia="Times New Roman" w:hAnsi="Times New Roman" w:cs="Times New Roman"/>
          <w:sz w:val="20"/>
          <w:szCs w:val="20"/>
        </w:rPr>
      </w:pPr>
    </w:p>
    <w:p w14:paraId="67894259" w14:textId="17C34D2A" w:rsidR="00EE50CE" w:rsidRPr="004C3C90" w:rsidRDefault="00EE50CE">
      <w:pPr>
        <w:rPr>
          <w:rFonts w:ascii="Times New Roman" w:eastAsia="Times New Roman" w:hAnsi="Times New Roman" w:cs="Times New Roman"/>
          <w:sz w:val="20"/>
          <w:szCs w:val="20"/>
        </w:rPr>
      </w:pPr>
    </w:p>
    <w:p w14:paraId="73DD7DD4" w14:textId="79483BC3" w:rsidR="00EE50CE" w:rsidRPr="004C3C90" w:rsidRDefault="00EE50CE">
      <w:pPr>
        <w:rPr>
          <w:rFonts w:ascii="Times New Roman" w:hAnsi="Times New Roman" w:cs="Times New Roman"/>
          <w:sz w:val="20"/>
          <w:szCs w:val="20"/>
        </w:rPr>
        <w:sectPr w:rsidR="00EE50CE" w:rsidRPr="004C3C90" w:rsidSect="00EE50CE">
          <w:pgSz w:w="12240" w:h="15840"/>
          <w:pgMar w:top="1440" w:right="1440" w:bottom="1440" w:left="1440" w:header="720" w:footer="720" w:gutter="0"/>
          <w:cols w:space="720"/>
          <w:docGrid w:linePitch="326"/>
        </w:sectPr>
      </w:pPr>
    </w:p>
    <w:p w14:paraId="4123726D" w14:textId="4AE27D20" w:rsidR="0005130D" w:rsidRPr="004C3C90" w:rsidRDefault="00E1479D" w:rsidP="002B411B">
      <w:pPr>
        <w:widowControl w:val="0"/>
        <w:pBdr>
          <w:top w:val="nil"/>
          <w:left w:val="nil"/>
          <w:bottom w:val="nil"/>
          <w:right w:val="nil"/>
          <w:between w:val="nil"/>
        </w:pBdr>
        <w:spacing w:line="480" w:lineRule="auto"/>
        <w:rPr>
          <w:rFonts w:ascii="Times New Roman" w:eastAsia="Times New Roman" w:hAnsi="Times New Roman" w:cs="Times New Roman"/>
          <w:b/>
          <w:sz w:val="20"/>
          <w:szCs w:val="20"/>
        </w:rPr>
      </w:pPr>
      <w:r w:rsidRPr="004C3C90">
        <w:rPr>
          <w:rFonts w:ascii="Times New Roman" w:hAnsi="Times New Roman" w:cs="Times New Roman"/>
          <w:b/>
          <w:iCs/>
          <w:sz w:val="20"/>
          <w:szCs w:val="20"/>
        </w:rPr>
        <w:lastRenderedPageBreak/>
        <w:t xml:space="preserve">Supplementary </w:t>
      </w:r>
      <w:r w:rsidR="002B411B" w:rsidRPr="004C3C90">
        <w:rPr>
          <w:rFonts w:ascii="Times New Roman" w:hAnsi="Times New Roman" w:cs="Times New Roman"/>
          <w:b/>
          <w:iCs/>
          <w:sz w:val="20"/>
          <w:szCs w:val="20"/>
        </w:rPr>
        <w:t>t</w:t>
      </w:r>
      <w:r w:rsidRPr="004C3C90">
        <w:rPr>
          <w:rFonts w:ascii="Times New Roman" w:hAnsi="Times New Roman" w:cs="Times New Roman"/>
          <w:b/>
          <w:iCs/>
          <w:sz w:val="20"/>
          <w:szCs w:val="20"/>
        </w:rPr>
        <w:t>able</w:t>
      </w:r>
      <w:r w:rsidR="0005130D" w:rsidRPr="004C3C90">
        <w:rPr>
          <w:rFonts w:ascii="Times New Roman" w:eastAsia="Times New Roman" w:hAnsi="Times New Roman" w:cs="Times New Roman"/>
          <w:b/>
          <w:sz w:val="20"/>
          <w:szCs w:val="20"/>
        </w:rPr>
        <w:t xml:space="preserve"> </w:t>
      </w:r>
      <w:r w:rsidR="0005130D" w:rsidRPr="004C3C90">
        <w:rPr>
          <w:rFonts w:ascii="Times New Roman" w:hAnsi="Times New Roman" w:cs="Times New Roman"/>
          <w:b/>
          <w:sz w:val="20"/>
          <w:szCs w:val="20"/>
        </w:rPr>
        <w:t>7. Specific topics of the 115 selected surveys by participant</w:t>
      </w:r>
      <w:r w:rsidR="00C64131" w:rsidRPr="004C3C90">
        <w:rPr>
          <w:rFonts w:ascii="Times New Roman" w:hAnsi="Times New Roman" w:cs="Times New Roman"/>
          <w:b/>
          <w:sz w:val="20"/>
          <w:szCs w:val="20"/>
        </w:rPr>
        <w:t xml:space="preserve"> types</w:t>
      </w:r>
    </w:p>
    <w:tbl>
      <w:tblPr>
        <w:tblpPr w:leftFromText="142" w:rightFromText="142" w:vertAnchor="text" w:horzAnchor="margin" w:tblpY="75"/>
        <w:tblW w:w="12940" w:type="dxa"/>
        <w:tblLayout w:type="fixed"/>
        <w:tblLook w:val="04A0" w:firstRow="1" w:lastRow="0" w:firstColumn="1" w:lastColumn="0" w:noHBand="0" w:noVBand="1"/>
      </w:tblPr>
      <w:tblGrid>
        <w:gridCol w:w="2211"/>
        <w:gridCol w:w="712"/>
        <w:gridCol w:w="713"/>
        <w:gridCol w:w="759"/>
        <w:gridCol w:w="667"/>
        <w:gridCol w:w="713"/>
        <w:gridCol w:w="713"/>
        <w:gridCol w:w="713"/>
        <w:gridCol w:w="737"/>
        <w:gridCol w:w="709"/>
        <w:gridCol w:w="709"/>
        <w:gridCol w:w="696"/>
        <w:gridCol w:w="713"/>
        <w:gridCol w:w="713"/>
        <w:gridCol w:w="713"/>
        <w:gridCol w:w="749"/>
      </w:tblGrid>
      <w:tr w:rsidR="0005130D" w:rsidRPr="004C3C90" w14:paraId="6FB76A3E" w14:textId="77777777" w:rsidTr="004C3C90">
        <w:trPr>
          <w:trHeight w:val="264"/>
        </w:trPr>
        <w:tc>
          <w:tcPr>
            <w:tcW w:w="2211" w:type="dxa"/>
            <w:vMerge w:val="restart"/>
            <w:tcBorders>
              <w:top w:val="single" w:sz="8" w:space="0" w:color="auto"/>
              <w:right w:val="single" w:sz="8" w:space="0" w:color="auto"/>
            </w:tcBorders>
            <w:shd w:val="clear" w:color="auto" w:fill="E7E6E6" w:themeFill="background2"/>
            <w:noWrap/>
            <w:vAlign w:val="bottom"/>
          </w:tcPr>
          <w:p w14:paraId="449BC23D" w14:textId="77777777" w:rsidR="0005130D" w:rsidRPr="004C3C90" w:rsidRDefault="0005130D" w:rsidP="004C3C90">
            <w:pPr>
              <w:spacing w:line="240" w:lineRule="auto"/>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 Study topics</w:t>
            </w:r>
          </w:p>
          <w:p w14:paraId="267773CE" w14:textId="77777777" w:rsidR="0005130D" w:rsidRPr="004C3C90" w:rsidRDefault="0005130D" w:rsidP="004C3C90">
            <w:pPr>
              <w:spacing w:line="240" w:lineRule="auto"/>
              <w:rPr>
                <w:rFonts w:ascii="Times New Roman" w:eastAsia="Times New Roman" w:hAnsi="Times New Roman" w:cs="Times New Roman"/>
                <w:b/>
                <w:bCs/>
                <w:sz w:val="20"/>
                <w:szCs w:val="20"/>
              </w:rPr>
            </w:pPr>
          </w:p>
        </w:tc>
        <w:tc>
          <w:tcPr>
            <w:tcW w:w="7145" w:type="dxa"/>
            <w:gridSpan w:val="10"/>
            <w:tcBorders>
              <w:top w:val="single" w:sz="8" w:space="0" w:color="auto"/>
              <w:left w:val="single" w:sz="8" w:space="0" w:color="auto"/>
              <w:bottom w:val="single" w:sz="4" w:space="0" w:color="auto"/>
              <w:right w:val="single" w:sz="8" w:space="0" w:color="auto"/>
            </w:tcBorders>
            <w:shd w:val="clear" w:color="auto" w:fill="E7E6E6" w:themeFill="background2"/>
            <w:noWrap/>
            <w:vAlign w:val="center"/>
          </w:tcPr>
          <w:p w14:paraId="4FA270EA"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Single Group</w:t>
            </w:r>
          </w:p>
        </w:tc>
        <w:tc>
          <w:tcPr>
            <w:tcW w:w="2835" w:type="dxa"/>
            <w:gridSpan w:val="4"/>
            <w:vMerge w:val="restart"/>
            <w:tcBorders>
              <w:top w:val="single" w:sz="8" w:space="0" w:color="auto"/>
              <w:left w:val="single" w:sz="8" w:space="0" w:color="auto"/>
              <w:right w:val="single" w:sz="8" w:space="0" w:color="auto"/>
            </w:tcBorders>
            <w:shd w:val="clear" w:color="auto" w:fill="E7E6E6" w:themeFill="background2"/>
            <w:noWrap/>
            <w:vAlign w:val="center"/>
          </w:tcPr>
          <w:p w14:paraId="25D29B00"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Two groups or more</w:t>
            </w:r>
          </w:p>
        </w:tc>
        <w:tc>
          <w:tcPr>
            <w:tcW w:w="749" w:type="dxa"/>
            <w:vMerge w:val="restart"/>
            <w:tcBorders>
              <w:top w:val="single" w:sz="8" w:space="0" w:color="auto"/>
              <w:left w:val="single" w:sz="8" w:space="0" w:color="auto"/>
              <w:bottom w:val="single" w:sz="8" w:space="0" w:color="auto"/>
            </w:tcBorders>
            <w:shd w:val="clear" w:color="auto" w:fill="E7E6E6" w:themeFill="background2"/>
            <w:noWrap/>
            <w:vAlign w:val="bottom"/>
          </w:tcPr>
          <w:p w14:paraId="1B91083F"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Total</w:t>
            </w:r>
          </w:p>
          <w:p w14:paraId="25F62A09"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p>
        </w:tc>
      </w:tr>
      <w:tr w:rsidR="0005130D" w:rsidRPr="004C3C90" w14:paraId="6FA5BDC2" w14:textId="77777777" w:rsidTr="004C3C90">
        <w:trPr>
          <w:trHeight w:val="257"/>
        </w:trPr>
        <w:tc>
          <w:tcPr>
            <w:tcW w:w="2211" w:type="dxa"/>
            <w:vMerge/>
            <w:tcBorders>
              <w:right w:val="single" w:sz="8" w:space="0" w:color="auto"/>
            </w:tcBorders>
            <w:shd w:val="clear" w:color="auto" w:fill="E7E6E6" w:themeFill="background2"/>
            <w:noWrap/>
            <w:vAlign w:val="center"/>
            <w:hideMark/>
          </w:tcPr>
          <w:p w14:paraId="6A73B798" w14:textId="77777777" w:rsidR="0005130D" w:rsidRPr="004C3C90" w:rsidRDefault="0005130D" w:rsidP="004C3C90">
            <w:pPr>
              <w:spacing w:line="240" w:lineRule="auto"/>
              <w:rPr>
                <w:rFonts w:ascii="Times New Roman" w:eastAsia="Times New Roman" w:hAnsi="Times New Roman" w:cs="Times New Roman"/>
                <w:sz w:val="20"/>
                <w:szCs w:val="20"/>
              </w:rPr>
            </w:pPr>
          </w:p>
        </w:tc>
        <w:tc>
          <w:tcPr>
            <w:tcW w:w="2184" w:type="dxa"/>
            <w:gridSpan w:val="3"/>
            <w:tcBorders>
              <w:top w:val="single" w:sz="8" w:space="0" w:color="auto"/>
              <w:left w:val="single" w:sz="8" w:space="0" w:color="auto"/>
              <w:bottom w:val="single" w:sz="8" w:space="0" w:color="auto"/>
              <w:right w:val="single" w:sz="8" w:space="0" w:color="auto"/>
            </w:tcBorders>
            <w:shd w:val="clear" w:color="auto" w:fill="E7E6E6" w:themeFill="background2"/>
            <w:noWrap/>
            <w:vAlign w:val="center"/>
            <w:hideMark/>
          </w:tcPr>
          <w:p w14:paraId="745731C9"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Group 1</w:t>
            </w:r>
          </w:p>
        </w:tc>
        <w:tc>
          <w:tcPr>
            <w:tcW w:w="3543" w:type="dxa"/>
            <w:gridSpan w:val="5"/>
            <w:tcBorders>
              <w:top w:val="single" w:sz="8" w:space="0" w:color="auto"/>
              <w:left w:val="single" w:sz="8" w:space="0" w:color="auto"/>
              <w:bottom w:val="single" w:sz="8" w:space="0" w:color="auto"/>
              <w:right w:val="single" w:sz="8" w:space="0" w:color="auto"/>
            </w:tcBorders>
            <w:shd w:val="clear" w:color="auto" w:fill="E7E6E6" w:themeFill="background2"/>
            <w:noWrap/>
            <w:vAlign w:val="center"/>
            <w:hideMark/>
          </w:tcPr>
          <w:p w14:paraId="501DD79E"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Group 2</w:t>
            </w:r>
          </w:p>
        </w:tc>
        <w:tc>
          <w:tcPr>
            <w:tcW w:w="1418" w:type="dxa"/>
            <w:gridSpan w:val="2"/>
            <w:tcBorders>
              <w:top w:val="single" w:sz="8" w:space="0" w:color="auto"/>
              <w:left w:val="single" w:sz="8" w:space="0" w:color="auto"/>
              <w:bottom w:val="single" w:sz="8" w:space="0" w:color="auto"/>
              <w:right w:val="single" w:sz="8" w:space="0" w:color="auto"/>
            </w:tcBorders>
            <w:shd w:val="clear" w:color="auto" w:fill="E7E6E6" w:themeFill="background2"/>
            <w:noWrap/>
            <w:vAlign w:val="center"/>
            <w:hideMark/>
          </w:tcPr>
          <w:p w14:paraId="23E59BF2"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Group 3</w:t>
            </w:r>
          </w:p>
        </w:tc>
        <w:tc>
          <w:tcPr>
            <w:tcW w:w="2835" w:type="dxa"/>
            <w:gridSpan w:val="4"/>
            <w:vMerge/>
            <w:tcBorders>
              <w:left w:val="single" w:sz="8" w:space="0" w:color="auto"/>
              <w:bottom w:val="single" w:sz="8" w:space="0" w:color="auto"/>
              <w:right w:val="single" w:sz="8" w:space="0" w:color="auto"/>
            </w:tcBorders>
            <w:shd w:val="clear" w:color="auto" w:fill="E7E6E6" w:themeFill="background2"/>
            <w:noWrap/>
            <w:vAlign w:val="center"/>
          </w:tcPr>
          <w:p w14:paraId="3A9C5AB2"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p>
        </w:tc>
        <w:tc>
          <w:tcPr>
            <w:tcW w:w="749" w:type="dxa"/>
            <w:vMerge/>
            <w:tcBorders>
              <w:left w:val="single" w:sz="8" w:space="0" w:color="auto"/>
              <w:bottom w:val="single" w:sz="8" w:space="0" w:color="auto"/>
            </w:tcBorders>
            <w:shd w:val="clear" w:color="auto" w:fill="E7E6E6" w:themeFill="background2"/>
            <w:noWrap/>
            <w:vAlign w:val="center"/>
            <w:hideMark/>
          </w:tcPr>
          <w:p w14:paraId="1B5038F5" w14:textId="77777777" w:rsidR="0005130D" w:rsidRPr="004C3C90" w:rsidRDefault="0005130D" w:rsidP="004C3C90">
            <w:pPr>
              <w:spacing w:line="240" w:lineRule="auto"/>
              <w:rPr>
                <w:rFonts w:ascii="Times New Roman" w:eastAsia="Times New Roman" w:hAnsi="Times New Roman" w:cs="Times New Roman"/>
                <w:b/>
                <w:bCs/>
                <w:sz w:val="20"/>
                <w:szCs w:val="20"/>
              </w:rPr>
            </w:pPr>
          </w:p>
        </w:tc>
      </w:tr>
      <w:tr w:rsidR="0005130D" w:rsidRPr="004C3C90" w14:paraId="7B7B3BDF" w14:textId="77777777" w:rsidTr="004C3C90">
        <w:trPr>
          <w:cantSplit/>
          <w:trHeight w:val="2324"/>
        </w:trPr>
        <w:tc>
          <w:tcPr>
            <w:tcW w:w="2211" w:type="dxa"/>
            <w:vMerge/>
            <w:tcBorders>
              <w:bottom w:val="single" w:sz="8" w:space="0" w:color="auto"/>
              <w:right w:val="single" w:sz="8" w:space="0" w:color="auto"/>
            </w:tcBorders>
            <w:shd w:val="clear" w:color="auto" w:fill="E7E6E6" w:themeFill="background2"/>
            <w:noWrap/>
            <w:vAlign w:val="center"/>
            <w:hideMark/>
          </w:tcPr>
          <w:p w14:paraId="446DA281" w14:textId="77777777" w:rsidR="0005130D" w:rsidRPr="004C3C90" w:rsidRDefault="0005130D" w:rsidP="004C3C90">
            <w:pPr>
              <w:spacing w:line="240" w:lineRule="auto"/>
              <w:rPr>
                <w:rFonts w:ascii="Times New Roman" w:eastAsia="Times New Roman" w:hAnsi="Times New Roman" w:cs="Times New Roman"/>
                <w:sz w:val="20"/>
                <w:szCs w:val="20"/>
              </w:rPr>
            </w:pPr>
          </w:p>
        </w:tc>
        <w:tc>
          <w:tcPr>
            <w:tcW w:w="712" w:type="dxa"/>
            <w:tcBorders>
              <w:top w:val="single" w:sz="8" w:space="0" w:color="auto"/>
              <w:left w:val="single" w:sz="8" w:space="0" w:color="auto"/>
              <w:bottom w:val="single" w:sz="8" w:space="0" w:color="auto"/>
              <w:right w:val="dotted" w:sz="4" w:space="0" w:color="auto"/>
            </w:tcBorders>
            <w:shd w:val="clear" w:color="auto" w:fill="E7E6E6" w:themeFill="background2"/>
            <w:noWrap/>
            <w:textDirection w:val="btLr"/>
            <w:vAlign w:val="center"/>
            <w:hideMark/>
          </w:tcPr>
          <w:p w14:paraId="3CFFFF69" w14:textId="77777777" w:rsidR="0005130D" w:rsidRPr="004C3C90" w:rsidRDefault="0005130D" w:rsidP="004C3C90">
            <w:pPr>
              <w:spacing w:line="240" w:lineRule="auto"/>
              <w:ind w:left="113" w:right="113"/>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Families, Caregivers</w:t>
            </w:r>
          </w:p>
        </w:tc>
        <w:tc>
          <w:tcPr>
            <w:tcW w:w="713" w:type="dxa"/>
            <w:tcBorders>
              <w:top w:val="single" w:sz="8" w:space="0" w:color="auto"/>
              <w:left w:val="dotted" w:sz="4" w:space="0" w:color="auto"/>
              <w:bottom w:val="single" w:sz="8" w:space="0" w:color="auto"/>
              <w:right w:val="dotted" w:sz="4" w:space="0" w:color="auto"/>
            </w:tcBorders>
            <w:shd w:val="clear" w:color="auto" w:fill="E7E6E6" w:themeFill="background2"/>
            <w:noWrap/>
            <w:textDirection w:val="btLr"/>
            <w:vAlign w:val="center"/>
            <w:hideMark/>
          </w:tcPr>
          <w:p w14:paraId="43F64319" w14:textId="77777777" w:rsidR="0005130D" w:rsidRPr="004C3C90" w:rsidRDefault="0005130D" w:rsidP="004C3C90">
            <w:pPr>
              <w:spacing w:line="240" w:lineRule="auto"/>
              <w:ind w:left="113" w:right="113"/>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Patients</w:t>
            </w:r>
          </w:p>
        </w:tc>
        <w:tc>
          <w:tcPr>
            <w:tcW w:w="759" w:type="dxa"/>
            <w:tcBorders>
              <w:top w:val="single" w:sz="8" w:space="0" w:color="auto"/>
              <w:left w:val="dotted" w:sz="4" w:space="0" w:color="auto"/>
              <w:bottom w:val="single" w:sz="8" w:space="0" w:color="auto"/>
              <w:right w:val="single" w:sz="8" w:space="0" w:color="auto"/>
            </w:tcBorders>
            <w:shd w:val="clear" w:color="auto" w:fill="E7E6E6" w:themeFill="background2"/>
            <w:noWrap/>
            <w:textDirection w:val="btLr"/>
            <w:vAlign w:val="center"/>
            <w:hideMark/>
          </w:tcPr>
          <w:p w14:paraId="5978FBC2" w14:textId="77777777" w:rsidR="0005130D" w:rsidRPr="004C3C90" w:rsidRDefault="0005130D" w:rsidP="004C3C90">
            <w:pPr>
              <w:spacing w:line="240" w:lineRule="auto"/>
              <w:ind w:left="113" w:right="113"/>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Patients, Families, Caregivers</w:t>
            </w:r>
          </w:p>
        </w:tc>
        <w:tc>
          <w:tcPr>
            <w:tcW w:w="667" w:type="dxa"/>
            <w:tcBorders>
              <w:top w:val="single" w:sz="8" w:space="0" w:color="auto"/>
              <w:left w:val="single" w:sz="8" w:space="0" w:color="auto"/>
              <w:bottom w:val="single" w:sz="8" w:space="0" w:color="auto"/>
              <w:right w:val="dotted" w:sz="4" w:space="0" w:color="auto"/>
            </w:tcBorders>
            <w:shd w:val="clear" w:color="auto" w:fill="E7E6E6" w:themeFill="background2"/>
            <w:noWrap/>
            <w:textDirection w:val="btLr"/>
            <w:vAlign w:val="center"/>
            <w:hideMark/>
          </w:tcPr>
          <w:p w14:paraId="115F2DFA" w14:textId="77777777" w:rsidR="0005130D" w:rsidRPr="004C3C90" w:rsidRDefault="0005130D" w:rsidP="004C3C90">
            <w:pPr>
              <w:spacing w:line="240" w:lineRule="auto"/>
              <w:ind w:left="113" w:right="113"/>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GPs</w:t>
            </w:r>
          </w:p>
        </w:tc>
        <w:tc>
          <w:tcPr>
            <w:tcW w:w="713" w:type="dxa"/>
            <w:tcBorders>
              <w:top w:val="single" w:sz="8" w:space="0" w:color="auto"/>
              <w:left w:val="dotted" w:sz="4" w:space="0" w:color="auto"/>
              <w:bottom w:val="single" w:sz="8" w:space="0" w:color="auto"/>
              <w:right w:val="dotted" w:sz="4" w:space="0" w:color="auto"/>
            </w:tcBorders>
            <w:shd w:val="clear" w:color="auto" w:fill="E7E6E6" w:themeFill="background2"/>
            <w:noWrap/>
            <w:textDirection w:val="btLr"/>
            <w:vAlign w:val="center"/>
            <w:hideMark/>
          </w:tcPr>
          <w:p w14:paraId="0B7383E6" w14:textId="77777777" w:rsidR="0005130D" w:rsidRPr="004C3C90" w:rsidRDefault="0005130D" w:rsidP="004C3C90">
            <w:pPr>
              <w:spacing w:line="240" w:lineRule="auto"/>
              <w:ind w:left="113" w:right="113"/>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GPs, Other HCPs</w:t>
            </w:r>
          </w:p>
        </w:tc>
        <w:tc>
          <w:tcPr>
            <w:tcW w:w="713" w:type="dxa"/>
            <w:tcBorders>
              <w:top w:val="single" w:sz="8" w:space="0" w:color="auto"/>
              <w:left w:val="dotted" w:sz="4" w:space="0" w:color="auto"/>
              <w:bottom w:val="single" w:sz="8" w:space="0" w:color="auto"/>
              <w:right w:val="dotted" w:sz="4" w:space="0" w:color="auto"/>
            </w:tcBorders>
            <w:shd w:val="clear" w:color="auto" w:fill="E7E6E6" w:themeFill="background2"/>
            <w:noWrap/>
            <w:textDirection w:val="btLr"/>
            <w:vAlign w:val="center"/>
            <w:hideMark/>
          </w:tcPr>
          <w:p w14:paraId="6997CB3F" w14:textId="77777777" w:rsidR="0005130D" w:rsidRPr="004C3C90" w:rsidRDefault="0005130D" w:rsidP="004C3C90">
            <w:pPr>
              <w:spacing w:line="240" w:lineRule="auto"/>
              <w:ind w:left="113" w:right="113"/>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Other HCPs</w:t>
            </w:r>
          </w:p>
        </w:tc>
        <w:tc>
          <w:tcPr>
            <w:tcW w:w="713" w:type="dxa"/>
            <w:tcBorders>
              <w:top w:val="single" w:sz="8" w:space="0" w:color="auto"/>
              <w:left w:val="dotted" w:sz="4" w:space="0" w:color="auto"/>
              <w:bottom w:val="single" w:sz="8" w:space="0" w:color="auto"/>
              <w:right w:val="dotted" w:sz="4" w:space="0" w:color="auto"/>
            </w:tcBorders>
            <w:shd w:val="clear" w:color="auto" w:fill="E7E6E6" w:themeFill="background2"/>
            <w:noWrap/>
            <w:textDirection w:val="btLr"/>
            <w:vAlign w:val="center"/>
            <w:hideMark/>
          </w:tcPr>
          <w:p w14:paraId="7F5D0EAB" w14:textId="77777777" w:rsidR="0005130D" w:rsidRPr="004C3C90" w:rsidRDefault="0005130D" w:rsidP="004C3C90">
            <w:pPr>
              <w:spacing w:line="240" w:lineRule="auto"/>
              <w:ind w:left="113" w:right="113"/>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Specialists</w:t>
            </w:r>
          </w:p>
        </w:tc>
        <w:tc>
          <w:tcPr>
            <w:tcW w:w="737" w:type="dxa"/>
            <w:tcBorders>
              <w:top w:val="single" w:sz="8" w:space="0" w:color="auto"/>
              <w:left w:val="dotted" w:sz="4" w:space="0" w:color="auto"/>
              <w:bottom w:val="single" w:sz="8" w:space="0" w:color="auto"/>
              <w:right w:val="single" w:sz="8" w:space="0" w:color="auto"/>
            </w:tcBorders>
            <w:shd w:val="clear" w:color="auto" w:fill="E7E6E6" w:themeFill="background2"/>
            <w:noWrap/>
            <w:textDirection w:val="btLr"/>
            <w:vAlign w:val="center"/>
            <w:hideMark/>
          </w:tcPr>
          <w:p w14:paraId="3008ADB5" w14:textId="77777777" w:rsidR="0005130D" w:rsidRPr="004C3C90" w:rsidRDefault="0005130D" w:rsidP="004C3C90">
            <w:pPr>
              <w:spacing w:line="240" w:lineRule="auto"/>
              <w:ind w:left="113" w:right="113"/>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Specialists, GPs</w:t>
            </w:r>
          </w:p>
        </w:tc>
        <w:tc>
          <w:tcPr>
            <w:tcW w:w="709" w:type="dxa"/>
            <w:tcBorders>
              <w:top w:val="single" w:sz="8" w:space="0" w:color="auto"/>
              <w:left w:val="single" w:sz="8" w:space="0" w:color="auto"/>
              <w:bottom w:val="single" w:sz="8" w:space="0" w:color="auto"/>
              <w:right w:val="dotted" w:sz="4" w:space="0" w:color="auto"/>
            </w:tcBorders>
            <w:shd w:val="clear" w:color="auto" w:fill="E7E6E6" w:themeFill="background2"/>
            <w:noWrap/>
            <w:textDirection w:val="btLr"/>
            <w:vAlign w:val="center"/>
            <w:hideMark/>
          </w:tcPr>
          <w:p w14:paraId="57FCCEB2" w14:textId="77777777" w:rsidR="0005130D" w:rsidRPr="004C3C90" w:rsidRDefault="0005130D" w:rsidP="004C3C90">
            <w:pPr>
              <w:spacing w:line="240" w:lineRule="auto"/>
              <w:ind w:left="113" w:right="113"/>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Funders</w:t>
            </w:r>
          </w:p>
        </w:tc>
        <w:tc>
          <w:tcPr>
            <w:tcW w:w="709" w:type="dxa"/>
            <w:tcBorders>
              <w:top w:val="single" w:sz="8" w:space="0" w:color="auto"/>
              <w:left w:val="dotted" w:sz="4" w:space="0" w:color="auto"/>
              <w:bottom w:val="single" w:sz="8" w:space="0" w:color="auto"/>
              <w:right w:val="single" w:sz="8" w:space="0" w:color="auto"/>
            </w:tcBorders>
            <w:shd w:val="clear" w:color="auto" w:fill="E7E6E6" w:themeFill="background2"/>
            <w:noWrap/>
            <w:textDirection w:val="btLr"/>
            <w:vAlign w:val="center"/>
            <w:hideMark/>
          </w:tcPr>
          <w:p w14:paraId="1892699E" w14:textId="77777777" w:rsidR="0005130D" w:rsidRPr="004C3C90" w:rsidRDefault="0005130D" w:rsidP="004C3C90">
            <w:pPr>
              <w:spacing w:line="240" w:lineRule="auto"/>
              <w:ind w:left="113" w:right="113"/>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Public</w:t>
            </w:r>
          </w:p>
        </w:tc>
        <w:tc>
          <w:tcPr>
            <w:tcW w:w="696" w:type="dxa"/>
            <w:tcBorders>
              <w:top w:val="single" w:sz="8" w:space="0" w:color="auto"/>
              <w:left w:val="single" w:sz="8" w:space="0" w:color="auto"/>
              <w:bottom w:val="single" w:sz="8" w:space="0" w:color="auto"/>
              <w:right w:val="dotted" w:sz="4" w:space="0" w:color="auto"/>
            </w:tcBorders>
            <w:shd w:val="clear" w:color="auto" w:fill="E7E6E6" w:themeFill="background2"/>
            <w:noWrap/>
            <w:textDirection w:val="btLr"/>
            <w:vAlign w:val="center"/>
            <w:hideMark/>
          </w:tcPr>
          <w:p w14:paraId="43EA9BE7" w14:textId="77777777" w:rsidR="0005130D" w:rsidRPr="004C3C90" w:rsidRDefault="0005130D" w:rsidP="004C3C90">
            <w:pPr>
              <w:spacing w:line="240" w:lineRule="auto"/>
              <w:ind w:left="113" w:right="113"/>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Group 1, Group 2</w:t>
            </w:r>
          </w:p>
        </w:tc>
        <w:tc>
          <w:tcPr>
            <w:tcW w:w="713" w:type="dxa"/>
            <w:tcBorders>
              <w:top w:val="single" w:sz="8" w:space="0" w:color="auto"/>
              <w:left w:val="dotted" w:sz="4" w:space="0" w:color="auto"/>
              <w:bottom w:val="single" w:sz="8" w:space="0" w:color="auto"/>
              <w:right w:val="dotted" w:sz="4" w:space="0" w:color="auto"/>
            </w:tcBorders>
            <w:shd w:val="clear" w:color="auto" w:fill="E7E6E6" w:themeFill="background2"/>
            <w:noWrap/>
            <w:textDirection w:val="btLr"/>
            <w:vAlign w:val="center"/>
            <w:hideMark/>
          </w:tcPr>
          <w:p w14:paraId="1A6BCE07" w14:textId="77777777" w:rsidR="0005130D" w:rsidRPr="004C3C90" w:rsidRDefault="0005130D" w:rsidP="004C3C90">
            <w:pPr>
              <w:spacing w:line="240" w:lineRule="auto"/>
              <w:ind w:left="113" w:right="113"/>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Group 1, Group 3</w:t>
            </w:r>
          </w:p>
        </w:tc>
        <w:tc>
          <w:tcPr>
            <w:tcW w:w="713" w:type="dxa"/>
            <w:tcBorders>
              <w:top w:val="single" w:sz="8" w:space="0" w:color="auto"/>
              <w:left w:val="dotted" w:sz="4" w:space="0" w:color="auto"/>
              <w:bottom w:val="single" w:sz="8" w:space="0" w:color="auto"/>
              <w:right w:val="dotted" w:sz="4" w:space="0" w:color="auto"/>
            </w:tcBorders>
            <w:shd w:val="clear" w:color="auto" w:fill="E7E6E6" w:themeFill="background2"/>
            <w:noWrap/>
            <w:textDirection w:val="btLr"/>
            <w:vAlign w:val="center"/>
            <w:hideMark/>
          </w:tcPr>
          <w:p w14:paraId="34CBA59B" w14:textId="77777777" w:rsidR="0005130D" w:rsidRPr="004C3C90" w:rsidRDefault="0005130D" w:rsidP="004C3C90">
            <w:pPr>
              <w:spacing w:line="240" w:lineRule="auto"/>
              <w:ind w:left="113" w:right="113"/>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Group 2, Group 3</w:t>
            </w:r>
          </w:p>
        </w:tc>
        <w:tc>
          <w:tcPr>
            <w:tcW w:w="713" w:type="dxa"/>
            <w:tcBorders>
              <w:top w:val="single" w:sz="8" w:space="0" w:color="auto"/>
              <w:left w:val="dotted" w:sz="4" w:space="0" w:color="auto"/>
              <w:bottom w:val="single" w:sz="8" w:space="0" w:color="auto"/>
              <w:right w:val="single" w:sz="8" w:space="0" w:color="auto"/>
            </w:tcBorders>
            <w:shd w:val="clear" w:color="auto" w:fill="E7E6E6" w:themeFill="background2"/>
            <w:noWrap/>
            <w:textDirection w:val="btLr"/>
            <w:vAlign w:val="center"/>
            <w:hideMark/>
          </w:tcPr>
          <w:p w14:paraId="039CF498" w14:textId="77777777" w:rsidR="0005130D" w:rsidRPr="004C3C90" w:rsidRDefault="0005130D" w:rsidP="004C3C90">
            <w:pPr>
              <w:spacing w:line="240" w:lineRule="auto"/>
              <w:ind w:left="113" w:right="113"/>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Group 1, Group 2, Group 3</w:t>
            </w:r>
          </w:p>
        </w:tc>
        <w:tc>
          <w:tcPr>
            <w:tcW w:w="749" w:type="dxa"/>
            <w:vMerge/>
            <w:tcBorders>
              <w:left w:val="single" w:sz="8" w:space="0" w:color="auto"/>
              <w:bottom w:val="single" w:sz="8" w:space="0" w:color="auto"/>
            </w:tcBorders>
            <w:shd w:val="clear" w:color="auto" w:fill="E7E6E6" w:themeFill="background2"/>
            <w:vAlign w:val="center"/>
            <w:hideMark/>
          </w:tcPr>
          <w:p w14:paraId="3760110F" w14:textId="77777777" w:rsidR="0005130D" w:rsidRPr="004C3C90" w:rsidRDefault="0005130D" w:rsidP="004C3C90">
            <w:pPr>
              <w:spacing w:line="240" w:lineRule="auto"/>
              <w:rPr>
                <w:rFonts w:ascii="Times New Roman" w:eastAsia="Times New Roman" w:hAnsi="Times New Roman" w:cs="Times New Roman"/>
                <w:b/>
                <w:bCs/>
                <w:sz w:val="20"/>
                <w:szCs w:val="20"/>
              </w:rPr>
            </w:pPr>
          </w:p>
        </w:tc>
      </w:tr>
      <w:tr w:rsidR="0005130D" w:rsidRPr="004C3C90" w14:paraId="4D0EEA0D" w14:textId="77777777" w:rsidTr="004C3C90">
        <w:trPr>
          <w:trHeight w:val="231"/>
        </w:trPr>
        <w:tc>
          <w:tcPr>
            <w:tcW w:w="2211" w:type="dxa"/>
            <w:tcBorders>
              <w:top w:val="single" w:sz="8" w:space="0" w:color="auto"/>
              <w:right w:val="single" w:sz="8" w:space="0" w:color="auto"/>
            </w:tcBorders>
            <w:shd w:val="clear" w:color="auto" w:fill="E7E6E6" w:themeFill="background2"/>
            <w:noWrap/>
            <w:vAlign w:val="center"/>
            <w:hideMark/>
          </w:tcPr>
          <w:p w14:paraId="41B4C888" w14:textId="77777777" w:rsidR="0005130D" w:rsidRPr="004C3C90" w:rsidRDefault="0005130D" w:rsidP="004C3C90">
            <w:pPr>
              <w:spacing w:line="240" w:lineRule="auto"/>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Experience</w:t>
            </w:r>
          </w:p>
        </w:tc>
        <w:tc>
          <w:tcPr>
            <w:tcW w:w="712" w:type="dxa"/>
            <w:tcBorders>
              <w:top w:val="single" w:sz="8" w:space="0" w:color="auto"/>
              <w:left w:val="single" w:sz="8" w:space="0" w:color="auto"/>
              <w:right w:val="dotted" w:sz="4" w:space="0" w:color="auto"/>
            </w:tcBorders>
            <w:shd w:val="clear" w:color="auto" w:fill="auto"/>
            <w:noWrap/>
            <w:vAlign w:val="center"/>
          </w:tcPr>
          <w:p w14:paraId="4F7DE03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right w:val="dotted" w:sz="4" w:space="0" w:color="auto"/>
            </w:tcBorders>
            <w:shd w:val="clear" w:color="auto" w:fill="auto"/>
            <w:noWrap/>
            <w:vAlign w:val="center"/>
          </w:tcPr>
          <w:p w14:paraId="2B10BEBC"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59" w:type="dxa"/>
            <w:tcBorders>
              <w:top w:val="single" w:sz="8" w:space="0" w:color="auto"/>
              <w:left w:val="dotted" w:sz="4" w:space="0" w:color="auto"/>
              <w:right w:val="single" w:sz="8" w:space="0" w:color="auto"/>
            </w:tcBorders>
            <w:shd w:val="clear" w:color="auto" w:fill="auto"/>
            <w:noWrap/>
            <w:vAlign w:val="center"/>
          </w:tcPr>
          <w:p w14:paraId="3C71F0B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67" w:type="dxa"/>
            <w:tcBorders>
              <w:top w:val="single" w:sz="8" w:space="0" w:color="auto"/>
              <w:left w:val="single" w:sz="8" w:space="0" w:color="auto"/>
              <w:right w:val="dotted" w:sz="4" w:space="0" w:color="auto"/>
            </w:tcBorders>
            <w:shd w:val="clear" w:color="auto" w:fill="auto"/>
            <w:noWrap/>
            <w:vAlign w:val="center"/>
          </w:tcPr>
          <w:p w14:paraId="7A2C5BB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right w:val="dotted" w:sz="4" w:space="0" w:color="auto"/>
            </w:tcBorders>
            <w:shd w:val="clear" w:color="auto" w:fill="auto"/>
            <w:noWrap/>
            <w:vAlign w:val="center"/>
          </w:tcPr>
          <w:p w14:paraId="12C78760"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right w:val="dotted" w:sz="4" w:space="0" w:color="auto"/>
            </w:tcBorders>
            <w:shd w:val="clear" w:color="auto" w:fill="auto"/>
            <w:noWrap/>
            <w:vAlign w:val="center"/>
          </w:tcPr>
          <w:p w14:paraId="0BA1262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right w:val="dotted" w:sz="4" w:space="0" w:color="auto"/>
            </w:tcBorders>
            <w:shd w:val="clear" w:color="auto" w:fill="auto"/>
            <w:noWrap/>
            <w:vAlign w:val="center"/>
          </w:tcPr>
          <w:p w14:paraId="4041431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top w:val="single" w:sz="8" w:space="0" w:color="auto"/>
              <w:left w:val="dotted" w:sz="4" w:space="0" w:color="auto"/>
              <w:right w:val="single" w:sz="8" w:space="0" w:color="auto"/>
            </w:tcBorders>
            <w:shd w:val="clear" w:color="auto" w:fill="auto"/>
            <w:noWrap/>
            <w:vAlign w:val="center"/>
          </w:tcPr>
          <w:p w14:paraId="22B7A78B"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single" w:sz="8" w:space="0" w:color="auto"/>
              <w:left w:val="single" w:sz="8" w:space="0" w:color="auto"/>
              <w:right w:val="dotted" w:sz="4" w:space="0" w:color="auto"/>
            </w:tcBorders>
            <w:shd w:val="clear" w:color="auto" w:fill="auto"/>
            <w:noWrap/>
            <w:vAlign w:val="center"/>
          </w:tcPr>
          <w:p w14:paraId="7AA33F55"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single" w:sz="8" w:space="0" w:color="auto"/>
              <w:left w:val="dotted" w:sz="4" w:space="0" w:color="auto"/>
              <w:right w:val="single" w:sz="8" w:space="0" w:color="auto"/>
            </w:tcBorders>
            <w:shd w:val="clear" w:color="auto" w:fill="auto"/>
            <w:noWrap/>
            <w:vAlign w:val="center"/>
          </w:tcPr>
          <w:p w14:paraId="63C196C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single" w:sz="8" w:space="0" w:color="auto"/>
              <w:left w:val="single" w:sz="8" w:space="0" w:color="auto"/>
              <w:right w:val="dotted" w:sz="4" w:space="0" w:color="auto"/>
            </w:tcBorders>
            <w:shd w:val="clear" w:color="auto" w:fill="auto"/>
            <w:noWrap/>
            <w:vAlign w:val="center"/>
          </w:tcPr>
          <w:p w14:paraId="14C2A76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right w:val="dotted" w:sz="4" w:space="0" w:color="auto"/>
            </w:tcBorders>
            <w:shd w:val="clear" w:color="auto" w:fill="auto"/>
            <w:noWrap/>
            <w:vAlign w:val="center"/>
          </w:tcPr>
          <w:p w14:paraId="0A9D53CB"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right w:val="dotted" w:sz="4" w:space="0" w:color="auto"/>
            </w:tcBorders>
            <w:shd w:val="clear" w:color="auto" w:fill="auto"/>
            <w:noWrap/>
            <w:vAlign w:val="center"/>
          </w:tcPr>
          <w:p w14:paraId="50A454C2"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right w:val="single" w:sz="8" w:space="0" w:color="auto"/>
            </w:tcBorders>
            <w:shd w:val="clear" w:color="auto" w:fill="auto"/>
            <w:noWrap/>
            <w:vAlign w:val="center"/>
          </w:tcPr>
          <w:p w14:paraId="4B54714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single" w:sz="8" w:space="0" w:color="auto"/>
              <w:left w:val="single" w:sz="8" w:space="0" w:color="auto"/>
            </w:tcBorders>
            <w:shd w:val="clear" w:color="auto" w:fill="E7E6E6" w:themeFill="background2"/>
            <w:noWrap/>
            <w:vAlign w:val="center"/>
            <w:hideMark/>
          </w:tcPr>
          <w:p w14:paraId="018B036C"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p>
        </w:tc>
      </w:tr>
      <w:tr w:rsidR="0005130D" w:rsidRPr="004C3C90" w14:paraId="5091CC26" w14:textId="77777777" w:rsidTr="004C3C90">
        <w:trPr>
          <w:trHeight w:val="231"/>
        </w:trPr>
        <w:tc>
          <w:tcPr>
            <w:tcW w:w="2211" w:type="dxa"/>
            <w:tcBorders>
              <w:bottom w:val="dotted" w:sz="4" w:space="0" w:color="auto"/>
              <w:right w:val="single" w:sz="8" w:space="0" w:color="auto"/>
            </w:tcBorders>
            <w:shd w:val="clear" w:color="auto" w:fill="E7E6E6" w:themeFill="background2"/>
            <w:noWrap/>
            <w:vAlign w:val="center"/>
            <w:hideMark/>
          </w:tcPr>
          <w:p w14:paraId="5035C7D2"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access to information</w:t>
            </w:r>
          </w:p>
        </w:tc>
        <w:tc>
          <w:tcPr>
            <w:tcW w:w="712" w:type="dxa"/>
            <w:tcBorders>
              <w:left w:val="single" w:sz="8" w:space="0" w:color="auto"/>
              <w:bottom w:val="dotted" w:sz="4" w:space="0" w:color="auto"/>
              <w:right w:val="dotted" w:sz="4" w:space="0" w:color="auto"/>
            </w:tcBorders>
            <w:shd w:val="clear" w:color="auto" w:fill="auto"/>
            <w:noWrap/>
            <w:vAlign w:val="center"/>
            <w:hideMark/>
          </w:tcPr>
          <w:p w14:paraId="3A3F9317"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13" w:type="dxa"/>
            <w:tcBorders>
              <w:left w:val="dotted" w:sz="4" w:space="0" w:color="auto"/>
              <w:bottom w:val="dotted" w:sz="4" w:space="0" w:color="auto"/>
              <w:right w:val="dotted" w:sz="4" w:space="0" w:color="auto"/>
            </w:tcBorders>
            <w:shd w:val="clear" w:color="auto" w:fill="auto"/>
            <w:noWrap/>
            <w:vAlign w:val="center"/>
            <w:hideMark/>
          </w:tcPr>
          <w:p w14:paraId="33FA9DFE"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759" w:type="dxa"/>
            <w:tcBorders>
              <w:left w:val="dotted" w:sz="4" w:space="0" w:color="auto"/>
              <w:bottom w:val="dotted" w:sz="4" w:space="0" w:color="auto"/>
              <w:right w:val="single" w:sz="8" w:space="0" w:color="auto"/>
            </w:tcBorders>
            <w:shd w:val="clear" w:color="auto" w:fill="auto"/>
            <w:noWrap/>
            <w:vAlign w:val="center"/>
            <w:hideMark/>
          </w:tcPr>
          <w:p w14:paraId="308BDB70"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667" w:type="dxa"/>
            <w:tcBorders>
              <w:left w:val="single" w:sz="8" w:space="0" w:color="auto"/>
              <w:bottom w:val="dotted" w:sz="4" w:space="0" w:color="auto"/>
              <w:right w:val="dotted" w:sz="4" w:space="0" w:color="auto"/>
            </w:tcBorders>
            <w:shd w:val="clear" w:color="auto" w:fill="auto"/>
            <w:noWrap/>
            <w:vAlign w:val="center"/>
            <w:hideMark/>
          </w:tcPr>
          <w:p w14:paraId="006E1A14"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13" w:type="dxa"/>
            <w:tcBorders>
              <w:left w:val="dotted" w:sz="4" w:space="0" w:color="auto"/>
              <w:bottom w:val="dotted" w:sz="4" w:space="0" w:color="auto"/>
              <w:right w:val="dotted" w:sz="4" w:space="0" w:color="auto"/>
            </w:tcBorders>
            <w:shd w:val="clear" w:color="auto" w:fill="auto"/>
            <w:noWrap/>
            <w:vAlign w:val="center"/>
            <w:hideMark/>
          </w:tcPr>
          <w:p w14:paraId="1AEB2232"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left w:val="dotted" w:sz="4" w:space="0" w:color="auto"/>
              <w:bottom w:val="dotted" w:sz="4" w:space="0" w:color="auto"/>
              <w:right w:val="dotted" w:sz="4" w:space="0" w:color="auto"/>
            </w:tcBorders>
            <w:shd w:val="clear" w:color="auto" w:fill="auto"/>
            <w:noWrap/>
            <w:vAlign w:val="center"/>
            <w:hideMark/>
          </w:tcPr>
          <w:p w14:paraId="498BA31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left w:val="dotted" w:sz="4" w:space="0" w:color="auto"/>
              <w:bottom w:val="dotted" w:sz="4" w:space="0" w:color="auto"/>
              <w:right w:val="dotted" w:sz="4" w:space="0" w:color="auto"/>
            </w:tcBorders>
            <w:shd w:val="clear" w:color="auto" w:fill="auto"/>
            <w:noWrap/>
            <w:vAlign w:val="center"/>
            <w:hideMark/>
          </w:tcPr>
          <w:p w14:paraId="0CFCA74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left w:val="dotted" w:sz="4" w:space="0" w:color="auto"/>
              <w:bottom w:val="dotted" w:sz="4" w:space="0" w:color="auto"/>
              <w:right w:val="single" w:sz="8" w:space="0" w:color="auto"/>
            </w:tcBorders>
            <w:shd w:val="clear" w:color="auto" w:fill="auto"/>
            <w:noWrap/>
            <w:vAlign w:val="center"/>
            <w:hideMark/>
          </w:tcPr>
          <w:p w14:paraId="53A9F89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left w:val="single" w:sz="8" w:space="0" w:color="auto"/>
              <w:bottom w:val="dotted" w:sz="4" w:space="0" w:color="auto"/>
              <w:right w:val="dotted" w:sz="4" w:space="0" w:color="auto"/>
            </w:tcBorders>
            <w:shd w:val="clear" w:color="auto" w:fill="auto"/>
            <w:noWrap/>
            <w:vAlign w:val="center"/>
            <w:hideMark/>
          </w:tcPr>
          <w:p w14:paraId="3AB3136C"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left w:val="dotted" w:sz="4" w:space="0" w:color="auto"/>
              <w:bottom w:val="dotted" w:sz="4" w:space="0" w:color="auto"/>
              <w:right w:val="single" w:sz="8" w:space="0" w:color="auto"/>
            </w:tcBorders>
            <w:shd w:val="clear" w:color="auto" w:fill="auto"/>
            <w:noWrap/>
            <w:vAlign w:val="center"/>
            <w:hideMark/>
          </w:tcPr>
          <w:p w14:paraId="02FCEA2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left w:val="single" w:sz="8" w:space="0" w:color="auto"/>
              <w:bottom w:val="dotted" w:sz="4" w:space="0" w:color="auto"/>
              <w:right w:val="dotted" w:sz="4" w:space="0" w:color="auto"/>
            </w:tcBorders>
            <w:shd w:val="clear" w:color="auto" w:fill="auto"/>
            <w:noWrap/>
            <w:vAlign w:val="center"/>
            <w:hideMark/>
          </w:tcPr>
          <w:p w14:paraId="3BAFC4CB"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left w:val="dotted" w:sz="4" w:space="0" w:color="auto"/>
              <w:bottom w:val="dotted" w:sz="4" w:space="0" w:color="auto"/>
              <w:right w:val="dotted" w:sz="4" w:space="0" w:color="auto"/>
            </w:tcBorders>
            <w:shd w:val="clear" w:color="auto" w:fill="auto"/>
            <w:noWrap/>
            <w:vAlign w:val="center"/>
            <w:hideMark/>
          </w:tcPr>
          <w:p w14:paraId="611D656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left w:val="dotted" w:sz="4" w:space="0" w:color="auto"/>
              <w:bottom w:val="dotted" w:sz="4" w:space="0" w:color="auto"/>
              <w:right w:val="dotted" w:sz="4" w:space="0" w:color="auto"/>
            </w:tcBorders>
            <w:shd w:val="clear" w:color="auto" w:fill="auto"/>
            <w:noWrap/>
            <w:vAlign w:val="center"/>
            <w:hideMark/>
          </w:tcPr>
          <w:p w14:paraId="3FC91AF5"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left w:val="dotted" w:sz="4" w:space="0" w:color="auto"/>
              <w:bottom w:val="dotted" w:sz="4" w:space="0" w:color="auto"/>
              <w:right w:val="single" w:sz="8" w:space="0" w:color="auto"/>
            </w:tcBorders>
            <w:shd w:val="clear" w:color="auto" w:fill="auto"/>
            <w:noWrap/>
            <w:vAlign w:val="center"/>
            <w:hideMark/>
          </w:tcPr>
          <w:p w14:paraId="211BF55C"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749" w:type="dxa"/>
            <w:tcBorders>
              <w:left w:val="single" w:sz="8" w:space="0" w:color="auto"/>
              <w:bottom w:val="dotted" w:sz="4" w:space="0" w:color="auto"/>
            </w:tcBorders>
            <w:shd w:val="clear" w:color="auto" w:fill="E7E6E6" w:themeFill="background2"/>
            <w:noWrap/>
            <w:vAlign w:val="center"/>
            <w:hideMark/>
          </w:tcPr>
          <w:p w14:paraId="48A0816B"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10</w:t>
            </w:r>
          </w:p>
        </w:tc>
      </w:tr>
      <w:tr w:rsidR="0005130D" w:rsidRPr="004C3C90" w14:paraId="6ED19580" w14:textId="77777777" w:rsidTr="004C3C90">
        <w:trPr>
          <w:trHeight w:val="231"/>
        </w:trPr>
        <w:tc>
          <w:tcPr>
            <w:tcW w:w="2211" w:type="dxa"/>
            <w:tcBorders>
              <w:top w:val="dotted" w:sz="4" w:space="0" w:color="auto"/>
              <w:bottom w:val="dotted" w:sz="4" w:space="0" w:color="auto"/>
              <w:right w:val="single" w:sz="8" w:space="0" w:color="auto"/>
            </w:tcBorders>
            <w:shd w:val="clear" w:color="auto" w:fill="E7E6E6" w:themeFill="background2"/>
            <w:noWrap/>
            <w:vAlign w:val="center"/>
            <w:hideMark/>
          </w:tcPr>
          <w:p w14:paraId="0451A553"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burden of diseases, QoL</w:t>
            </w:r>
          </w:p>
        </w:tc>
        <w:tc>
          <w:tcPr>
            <w:tcW w:w="712"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4B401A9F"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54A2BD0"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15</w:t>
            </w:r>
          </w:p>
        </w:tc>
        <w:tc>
          <w:tcPr>
            <w:tcW w:w="75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397FB38A"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667"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73177B0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6D81A8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B7E9C7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345388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61966ED4"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6326A86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5D17A57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6F341149"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B8800CD"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B9385D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1583AE35"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dotted" w:sz="4" w:space="0" w:color="auto"/>
              <w:left w:val="single" w:sz="8" w:space="0" w:color="auto"/>
              <w:bottom w:val="dotted" w:sz="4" w:space="0" w:color="auto"/>
            </w:tcBorders>
            <w:shd w:val="clear" w:color="auto" w:fill="E7E6E6" w:themeFill="background2"/>
            <w:noWrap/>
            <w:vAlign w:val="center"/>
            <w:hideMark/>
          </w:tcPr>
          <w:p w14:paraId="77BED3D5"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27</w:t>
            </w:r>
          </w:p>
        </w:tc>
      </w:tr>
      <w:tr w:rsidR="0005130D" w:rsidRPr="004C3C90" w14:paraId="1C23CFBE" w14:textId="77777777" w:rsidTr="004C3C90">
        <w:trPr>
          <w:trHeight w:val="231"/>
        </w:trPr>
        <w:tc>
          <w:tcPr>
            <w:tcW w:w="2211" w:type="dxa"/>
            <w:tcBorders>
              <w:top w:val="dotted" w:sz="4" w:space="0" w:color="auto"/>
              <w:bottom w:val="dotted" w:sz="4" w:space="0" w:color="auto"/>
              <w:right w:val="single" w:sz="8" w:space="0" w:color="auto"/>
            </w:tcBorders>
            <w:shd w:val="clear" w:color="auto" w:fill="E7E6E6" w:themeFill="background2"/>
            <w:noWrap/>
            <w:vAlign w:val="center"/>
            <w:hideMark/>
          </w:tcPr>
          <w:p w14:paraId="79614AE7"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diagnosis</w:t>
            </w:r>
          </w:p>
        </w:tc>
        <w:tc>
          <w:tcPr>
            <w:tcW w:w="712"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2483866B"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4C86C25"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75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77E9A6E6"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667"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59B4AF21"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3AF5C4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9740115"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25A750B"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13490EED"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74CE4B2C"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2926D63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51F4BFF1"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57450B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A49B0A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080BFD7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dotted" w:sz="4" w:space="0" w:color="auto"/>
              <w:left w:val="single" w:sz="8" w:space="0" w:color="auto"/>
              <w:bottom w:val="dotted" w:sz="4" w:space="0" w:color="auto"/>
            </w:tcBorders>
            <w:shd w:val="clear" w:color="auto" w:fill="E7E6E6" w:themeFill="background2"/>
            <w:noWrap/>
            <w:vAlign w:val="center"/>
            <w:hideMark/>
          </w:tcPr>
          <w:p w14:paraId="4F08B565"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15</w:t>
            </w:r>
          </w:p>
        </w:tc>
      </w:tr>
      <w:tr w:rsidR="0005130D" w:rsidRPr="004C3C90" w14:paraId="1D82D835" w14:textId="77777777" w:rsidTr="004C3C90">
        <w:trPr>
          <w:trHeight w:val="231"/>
        </w:trPr>
        <w:tc>
          <w:tcPr>
            <w:tcW w:w="2211" w:type="dxa"/>
            <w:tcBorders>
              <w:top w:val="dotted" w:sz="4" w:space="0" w:color="auto"/>
              <w:bottom w:val="dotted" w:sz="4" w:space="0" w:color="auto"/>
              <w:right w:val="single" w:sz="8" w:space="0" w:color="auto"/>
            </w:tcBorders>
            <w:shd w:val="clear" w:color="auto" w:fill="E7E6E6" w:themeFill="background2"/>
            <w:noWrap/>
            <w:vAlign w:val="center"/>
            <w:hideMark/>
          </w:tcPr>
          <w:p w14:paraId="24E55CA7"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engagement</w:t>
            </w:r>
          </w:p>
        </w:tc>
        <w:tc>
          <w:tcPr>
            <w:tcW w:w="712"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0E204817"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77A508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5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7A703164"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67"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3D23CE2D"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1A97023"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C3FB5B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32C41B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43E207E2"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5155535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516B6CE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213D9F2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40F6EB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F172A42"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66BD26A0"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dotted" w:sz="4" w:space="0" w:color="auto"/>
              <w:left w:val="single" w:sz="8" w:space="0" w:color="auto"/>
              <w:bottom w:val="dotted" w:sz="4" w:space="0" w:color="auto"/>
            </w:tcBorders>
            <w:shd w:val="clear" w:color="auto" w:fill="E7E6E6" w:themeFill="background2"/>
            <w:noWrap/>
            <w:vAlign w:val="center"/>
            <w:hideMark/>
          </w:tcPr>
          <w:p w14:paraId="017FC3B0"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1</w:t>
            </w:r>
          </w:p>
        </w:tc>
      </w:tr>
      <w:tr w:rsidR="0005130D" w:rsidRPr="004C3C90" w14:paraId="6B32C490" w14:textId="77777777" w:rsidTr="004C3C90">
        <w:trPr>
          <w:trHeight w:val="231"/>
        </w:trPr>
        <w:tc>
          <w:tcPr>
            <w:tcW w:w="2211" w:type="dxa"/>
            <w:tcBorders>
              <w:top w:val="dotted" w:sz="4" w:space="0" w:color="auto"/>
              <w:bottom w:val="dotted" w:sz="4" w:space="0" w:color="auto"/>
              <w:right w:val="single" w:sz="8" w:space="0" w:color="auto"/>
            </w:tcBorders>
            <w:shd w:val="clear" w:color="auto" w:fill="E7E6E6" w:themeFill="background2"/>
            <w:noWrap/>
            <w:vAlign w:val="center"/>
            <w:hideMark/>
          </w:tcPr>
          <w:p w14:paraId="3FAD359B"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funding</w:t>
            </w:r>
          </w:p>
        </w:tc>
        <w:tc>
          <w:tcPr>
            <w:tcW w:w="712"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72EE642B" w14:textId="77777777" w:rsidR="0005130D" w:rsidRPr="004C3C90" w:rsidRDefault="0005130D" w:rsidP="004C3C90">
            <w:pPr>
              <w:spacing w:line="240" w:lineRule="auto"/>
              <w:ind w:firstLineChars="100" w:firstLine="200"/>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E85BA82"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5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2B50F4DB"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67"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5BCE310D"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03CA21B"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123AC3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093967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4900728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313690CB"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0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155D76D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3DA5E230"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FE3267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847E465"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2911DAD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dotted" w:sz="4" w:space="0" w:color="auto"/>
              <w:left w:val="single" w:sz="8" w:space="0" w:color="auto"/>
              <w:bottom w:val="dotted" w:sz="4" w:space="0" w:color="auto"/>
            </w:tcBorders>
            <w:shd w:val="clear" w:color="auto" w:fill="E7E6E6" w:themeFill="background2"/>
            <w:noWrap/>
            <w:vAlign w:val="center"/>
            <w:hideMark/>
          </w:tcPr>
          <w:p w14:paraId="2D06713C"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1</w:t>
            </w:r>
          </w:p>
        </w:tc>
      </w:tr>
      <w:tr w:rsidR="0005130D" w:rsidRPr="004C3C90" w14:paraId="0A79BD8B" w14:textId="77777777" w:rsidTr="004C3C90">
        <w:trPr>
          <w:trHeight w:val="231"/>
        </w:trPr>
        <w:tc>
          <w:tcPr>
            <w:tcW w:w="2211" w:type="dxa"/>
            <w:tcBorders>
              <w:top w:val="dotted" w:sz="4" w:space="0" w:color="auto"/>
              <w:bottom w:val="dotted" w:sz="4" w:space="0" w:color="auto"/>
              <w:right w:val="single" w:sz="8" w:space="0" w:color="auto"/>
            </w:tcBorders>
            <w:shd w:val="clear" w:color="auto" w:fill="E7E6E6" w:themeFill="background2"/>
            <w:noWrap/>
            <w:vAlign w:val="center"/>
            <w:hideMark/>
          </w:tcPr>
          <w:p w14:paraId="15ABCA3E"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health problems</w:t>
            </w:r>
          </w:p>
        </w:tc>
        <w:tc>
          <w:tcPr>
            <w:tcW w:w="712"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7A7A5ECC"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393B3BE"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75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14634EC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67"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40D1D81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D5C0C93"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F5B46E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BBC1483"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096BC474"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065C47F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1D41C6EB"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7F78E655"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C29373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43878B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757C2413"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dotted" w:sz="4" w:space="0" w:color="auto"/>
              <w:left w:val="single" w:sz="8" w:space="0" w:color="auto"/>
              <w:bottom w:val="dotted" w:sz="4" w:space="0" w:color="auto"/>
            </w:tcBorders>
            <w:shd w:val="clear" w:color="auto" w:fill="E7E6E6" w:themeFill="background2"/>
            <w:noWrap/>
            <w:vAlign w:val="center"/>
            <w:hideMark/>
          </w:tcPr>
          <w:p w14:paraId="3680E90F"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6</w:t>
            </w:r>
          </w:p>
        </w:tc>
      </w:tr>
      <w:tr w:rsidR="0005130D" w:rsidRPr="004C3C90" w14:paraId="194F55EC" w14:textId="77777777" w:rsidTr="004C3C90">
        <w:trPr>
          <w:trHeight w:val="231"/>
        </w:trPr>
        <w:tc>
          <w:tcPr>
            <w:tcW w:w="2211" w:type="dxa"/>
            <w:tcBorders>
              <w:top w:val="dotted" w:sz="4" w:space="0" w:color="auto"/>
              <w:bottom w:val="dotted" w:sz="4" w:space="0" w:color="auto"/>
              <w:right w:val="single" w:sz="8" w:space="0" w:color="auto"/>
            </w:tcBorders>
            <w:shd w:val="clear" w:color="auto" w:fill="E7E6E6" w:themeFill="background2"/>
            <w:noWrap/>
            <w:vAlign w:val="center"/>
            <w:hideMark/>
          </w:tcPr>
          <w:p w14:paraId="7B692FD8"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self-efficacy</w:t>
            </w:r>
          </w:p>
        </w:tc>
        <w:tc>
          <w:tcPr>
            <w:tcW w:w="712"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0D5D7412" w14:textId="77777777" w:rsidR="0005130D" w:rsidRPr="004C3C90" w:rsidRDefault="0005130D" w:rsidP="004C3C90">
            <w:pPr>
              <w:spacing w:line="240" w:lineRule="auto"/>
              <w:ind w:firstLineChars="100" w:firstLine="200"/>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53AA117"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5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4542E54B"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67"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3263445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5418C22"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EA9B59D"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FA929E5"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07B8F23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5D30C80C"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33776AAC"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07441B0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ACEC85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9E9A7A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23D15B8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dotted" w:sz="4" w:space="0" w:color="auto"/>
              <w:left w:val="single" w:sz="8" w:space="0" w:color="auto"/>
              <w:bottom w:val="dotted" w:sz="4" w:space="0" w:color="auto"/>
            </w:tcBorders>
            <w:shd w:val="clear" w:color="auto" w:fill="E7E6E6" w:themeFill="background2"/>
            <w:noWrap/>
            <w:vAlign w:val="center"/>
            <w:hideMark/>
          </w:tcPr>
          <w:p w14:paraId="31B21EAB"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1</w:t>
            </w:r>
          </w:p>
        </w:tc>
      </w:tr>
      <w:tr w:rsidR="0005130D" w:rsidRPr="004C3C90" w14:paraId="2862B03D" w14:textId="77777777" w:rsidTr="004C3C90">
        <w:trPr>
          <w:trHeight w:val="231"/>
        </w:trPr>
        <w:tc>
          <w:tcPr>
            <w:tcW w:w="2211" w:type="dxa"/>
            <w:tcBorders>
              <w:top w:val="dotted" w:sz="4" w:space="0" w:color="auto"/>
              <w:bottom w:val="dotted" w:sz="4" w:space="0" w:color="auto"/>
              <w:right w:val="single" w:sz="8" w:space="0" w:color="auto"/>
            </w:tcBorders>
            <w:shd w:val="clear" w:color="auto" w:fill="E7E6E6" w:themeFill="background2"/>
            <w:noWrap/>
            <w:vAlign w:val="center"/>
            <w:hideMark/>
          </w:tcPr>
          <w:p w14:paraId="13A0035F"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support</w:t>
            </w:r>
          </w:p>
        </w:tc>
        <w:tc>
          <w:tcPr>
            <w:tcW w:w="712"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7CAE15AC"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D82503C"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5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4B4CE53D"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67"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60032E0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509865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974134D"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51513F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54ABBDE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5BA1123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4D44DD3D"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65E8406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9FBA80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66AE57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2DF30CC2"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dotted" w:sz="4" w:space="0" w:color="auto"/>
              <w:left w:val="single" w:sz="8" w:space="0" w:color="auto"/>
              <w:bottom w:val="dotted" w:sz="4" w:space="0" w:color="auto"/>
            </w:tcBorders>
            <w:shd w:val="clear" w:color="auto" w:fill="E7E6E6" w:themeFill="background2"/>
            <w:noWrap/>
            <w:vAlign w:val="center"/>
            <w:hideMark/>
          </w:tcPr>
          <w:p w14:paraId="603D3D39"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2</w:t>
            </w:r>
          </w:p>
        </w:tc>
      </w:tr>
      <w:tr w:rsidR="0005130D" w:rsidRPr="004C3C90" w14:paraId="0458D502" w14:textId="77777777" w:rsidTr="004C3C90">
        <w:trPr>
          <w:trHeight w:val="231"/>
        </w:trPr>
        <w:tc>
          <w:tcPr>
            <w:tcW w:w="2211" w:type="dxa"/>
            <w:tcBorders>
              <w:top w:val="dotted" w:sz="4" w:space="0" w:color="auto"/>
              <w:bottom w:val="single" w:sz="8" w:space="0" w:color="auto"/>
              <w:right w:val="single" w:sz="8" w:space="0" w:color="auto"/>
            </w:tcBorders>
            <w:shd w:val="clear" w:color="auto" w:fill="E7E6E6" w:themeFill="background2"/>
            <w:noWrap/>
            <w:vAlign w:val="center"/>
            <w:hideMark/>
          </w:tcPr>
          <w:p w14:paraId="6D0FE9A7"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treatment</w:t>
            </w:r>
          </w:p>
        </w:tc>
        <w:tc>
          <w:tcPr>
            <w:tcW w:w="712" w:type="dxa"/>
            <w:tcBorders>
              <w:top w:val="dotted" w:sz="4" w:space="0" w:color="auto"/>
              <w:left w:val="single" w:sz="8" w:space="0" w:color="auto"/>
              <w:bottom w:val="single" w:sz="8" w:space="0" w:color="auto"/>
              <w:right w:val="dotted" w:sz="4" w:space="0" w:color="auto"/>
            </w:tcBorders>
            <w:shd w:val="clear" w:color="auto" w:fill="auto"/>
            <w:noWrap/>
            <w:vAlign w:val="center"/>
            <w:hideMark/>
          </w:tcPr>
          <w:p w14:paraId="16838F2D" w14:textId="77777777" w:rsidR="0005130D" w:rsidRPr="004C3C90" w:rsidRDefault="0005130D" w:rsidP="004C3C90">
            <w:pPr>
              <w:spacing w:line="240" w:lineRule="auto"/>
              <w:ind w:firstLineChars="100" w:firstLine="200"/>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single" w:sz="8" w:space="0" w:color="auto"/>
              <w:right w:val="dotted" w:sz="4" w:space="0" w:color="auto"/>
            </w:tcBorders>
            <w:shd w:val="clear" w:color="auto" w:fill="auto"/>
            <w:noWrap/>
            <w:vAlign w:val="center"/>
            <w:hideMark/>
          </w:tcPr>
          <w:p w14:paraId="50186D3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59" w:type="dxa"/>
            <w:tcBorders>
              <w:top w:val="dotted" w:sz="4" w:space="0" w:color="auto"/>
              <w:left w:val="dotted" w:sz="4" w:space="0" w:color="auto"/>
              <w:bottom w:val="single" w:sz="8" w:space="0" w:color="auto"/>
              <w:right w:val="single" w:sz="8" w:space="0" w:color="auto"/>
            </w:tcBorders>
            <w:shd w:val="clear" w:color="auto" w:fill="auto"/>
            <w:noWrap/>
            <w:vAlign w:val="center"/>
            <w:hideMark/>
          </w:tcPr>
          <w:p w14:paraId="5422B5D7"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667" w:type="dxa"/>
            <w:tcBorders>
              <w:top w:val="dotted" w:sz="4" w:space="0" w:color="auto"/>
              <w:left w:val="single" w:sz="8" w:space="0" w:color="auto"/>
              <w:bottom w:val="single" w:sz="8" w:space="0" w:color="auto"/>
              <w:right w:val="dotted" w:sz="4" w:space="0" w:color="auto"/>
            </w:tcBorders>
            <w:shd w:val="clear" w:color="auto" w:fill="auto"/>
            <w:noWrap/>
            <w:vAlign w:val="center"/>
            <w:hideMark/>
          </w:tcPr>
          <w:p w14:paraId="52A6D14C"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713" w:type="dxa"/>
            <w:tcBorders>
              <w:top w:val="dotted" w:sz="4" w:space="0" w:color="auto"/>
              <w:left w:val="dotted" w:sz="4" w:space="0" w:color="auto"/>
              <w:bottom w:val="single" w:sz="8" w:space="0" w:color="auto"/>
              <w:right w:val="dotted" w:sz="4" w:space="0" w:color="auto"/>
            </w:tcBorders>
            <w:shd w:val="clear" w:color="auto" w:fill="auto"/>
            <w:noWrap/>
            <w:vAlign w:val="center"/>
            <w:hideMark/>
          </w:tcPr>
          <w:p w14:paraId="64B8226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single" w:sz="8" w:space="0" w:color="auto"/>
              <w:right w:val="dotted" w:sz="4" w:space="0" w:color="auto"/>
            </w:tcBorders>
            <w:shd w:val="clear" w:color="auto" w:fill="auto"/>
            <w:noWrap/>
            <w:vAlign w:val="center"/>
            <w:hideMark/>
          </w:tcPr>
          <w:p w14:paraId="070DBD4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single" w:sz="8" w:space="0" w:color="auto"/>
              <w:right w:val="dotted" w:sz="4" w:space="0" w:color="auto"/>
            </w:tcBorders>
            <w:shd w:val="clear" w:color="auto" w:fill="auto"/>
            <w:noWrap/>
            <w:vAlign w:val="center"/>
            <w:hideMark/>
          </w:tcPr>
          <w:p w14:paraId="352385DE"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737" w:type="dxa"/>
            <w:tcBorders>
              <w:top w:val="dotted" w:sz="4" w:space="0" w:color="auto"/>
              <w:left w:val="dotted" w:sz="4" w:space="0" w:color="auto"/>
              <w:bottom w:val="single" w:sz="8" w:space="0" w:color="auto"/>
              <w:right w:val="single" w:sz="8" w:space="0" w:color="auto"/>
            </w:tcBorders>
            <w:shd w:val="clear" w:color="auto" w:fill="auto"/>
            <w:noWrap/>
            <w:vAlign w:val="center"/>
            <w:hideMark/>
          </w:tcPr>
          <w:p w14:paraId="2ED3622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single" w:sz="8" w:space="0" w:color="auto"/>
              <w:bottom w:val="single" w:sz="8" w:space="0" w:color="auto"/>
              <w:right w:val="dotted" w:sz="4" w:space="0" w:color="auto"/>
            </w:tcBorders>
            <w:shd w:val="clear" w:color="auto" w:fill="auto"/>
            <w:noWrap/>
            <w:vAlign w:val="center"/>
            <w:hideMark/>
          </w:tcPr>
          <w:p w14:paraId="7E69371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dotted" w:sz="4" w:space="0" w:color="auto"/>
              <w:bottom w:val="single" w:sz="8" w:space="0" w:color="auto"/>
              <w:right w:val="single" w:sz="8" w:space="0" w:color="auto"/>
            </w:tcBorders>
            <w:shd w:val="clear" w:color="auto" w:fill="auto"/>
            <w:noWrap/>
            <w:vAlign w:val="center"/>
            <w:hideMark/>
          </w:tcPr>
          <w:p w14:paraId="2573BE7B"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dotted" w:sz="4" w:space="0" w:color="auto"/>
              <w:left w:val="single" w:sz="8" w:space="0" w:color="auto"/>
              <w:bottom w:val="single" w:sz="8" w:space="0" w:color="auto"/>
              <w:right w:val="dotted" w:sz="4" w:space="0" w:color="auto"/>
            </w:tcBorders>
            <w:shd w:val="clear" w:color="auto" w:fill="auto"/>
            <w:noWrap/>
            <w:vAlign w:val="center"/>
            <w:hideMark/>
          </w:tcPr>
          <w:p w14:paraId="645F4D0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single" w:sz="8" w:space="0" w:color="auto"/>
              <w:right w:val="dotted" w:sz="4" w:space="0" w:color="auto"/>
            </w:tcBorders>
            <w:shd w:val="clear" w:color="auto" w:fill="auto"/>
            <w:noWrap/>
            <w:vAlign w:val="center"/>
            <w:hideMark/>
          </w:tcPr>
          <w:p w14:paraId="371ABEF0"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single" w:sz="8" w:space="0" w:color="auto"/>
              <w:right w:val="dotted" w:sz="4" w:space="0" w:color="auto"/>
            </w:tcBorders>
            <w:shd w:val="clear" w:color="auto" w:fill="auto"/>
            <w:noWrap/>
            <w:vAlign w:val="center"/>
            <w:hideMark/>
          </w:tcPr>
          <w:p w14:paraId="181BDC4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single" w:sz="8" w:space="0" w:color="auto"/>
              <w:right w:val="single" w:sz="8" w:space="0" w:color="auto"/>
            </w:tcBorders>
            <w:shd w:val="clear" w:color="auto" w:fill="auto"/>
            <w:noWrap/>
            <w:vAlign w:val="center"/>
            <w:hideMark/>
          </w:tcPr>
          <w:p w14:paraId="7FDE302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dotted" w:sz="4" w:space="0" w:color="auto"/>
              <w:left w:val="single" w:sz="8" w:space="0" w:color="auto"/>
              <w:bottom w:val="single" w:sz="8" w:space="0" w:color="auto"/>
            </w:tcBorders>
            <w:shd w:val="clear" w:color="auto" w:fill="E7E6E6" w:themeFill="background2"/>
            <w:noWrap/>
            <w:vAlign w:val="center"/>
            <w:hideMark/>
          </w:tcPr>
          <w:p w14:paraId="09EA80B8"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11</w:t>
            </w:r>
          </w:p>
        </w:tc>
      </w:tr>
      <w:tr w:rsidR="0005130D" w:rsidRPr="004C3C90" w14:paraId="35656E28" w14:textId="77777777" w:rsidTr="004C3C90">
        <w:trPr>
          <w:trHeight w:val="231"/>
        </w:trPr>
        <w:tc>
          <w:tcPr>
            <w:tcW w:w="2211" w:type="dxa"/>
            <w:tcBorders>
              <w:top w:val="single" w:sz="8" w:space="0" w:color="auto"/>
              <w:right w:val="single" w:sz="8" w:space="0" w:color="auto"/>
            </w:tcBorders>
            <w:shd w:val="clear" w:color="auto" w:fill="E7E6E6" w:themeFill="background2"/>
            <w:noWrap/>
            <w:vAlign w:val="center"/>
            <w:hideMark/>
          </w:tcPr>
          <w:p w14:paraId="5EF0701D" w14:textId="77777777" w:rsidR="0005130D" w:rsidRPr="004C3C90" w:rsidRDefault="0005130D" w:rsidP="004C3C90">
            <w:pPr>
              <w:spacing w:line="240" w:lineRule="auto"/>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Opinion</w:t>
            </w:r>
          </w:p>
        </w:tc>
        <w:tc>
          <w:tcPr>
            <w:tcW w:w="712" w:type="dxa"/>
            <w:tcBorders>
              <w:top w:val="single" w:sz="8" w:space="0" w:color="auto"/>
              <w:left w:val="single" w:sz="8" w:space="0" w:color="auto"/>
              <w:right w:val="dotted" w:sz="4" w:space="0" w:color="auto"/>
            </w:tcBorders>
            <w:shd w:val="clear" w:color="auto" w:fill="auto"/>
            <w:noWrap/>
            <w:vAlign w:val="center"/>
          </w:tcPr>
          <w:p w14:paraId="4909DFD4"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right w:val="dotted" w:sz="4" w:space="0" w:color="auto"/>
            </w:tcBorders>
            <w:shd w:val="clear" w:color="auto" w:fill="auto"/>
            <w:noWrap/>
            <w:vAlign w:val="center"/>
          </w:tcPr>
          <w:p w14:paraId="1ADC92F2"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59" w:type="dxa"/>
            <w:tcBorders>
              <w:top w:val="single" w:sz="8" w:space="0" w:color="auto"/>
              <w:left w:val="dotted" w:sz="4" w:space="0" w:color="auto"/>
              <w:right w:val="single" w:sz="8" w:space="0" w:color="auto"/>
            </w:tcBorders>
            <w:shd w:val="clear" w:color="auto" w:fill="auto"/>
            <w:noWrap/>
            <w:vAlign w:val="center"/>
          </w:tcPr>
          <w:p w14:paraId="1AFE19F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67" w:type="dxa"/>
            <w:tcBorders>
              <w:top w:val="single" w:sz="8" w:space="0" w:color="auto"/>
              <w:left w:val="single" w:sz="8" w:space="0" w:color="auto"/>
              <w:right w:val="dotted" w:sz="4" w:space="0" w:color="auto"/>
            </w:tcBorders>
            <w:shd w:val="clear" w:color="auto" w:fill="auto"/>
            <w:noWrap/>
            <w:vAlign w:val="center"/>
          </w:tcPr>
          <w:p w14:paraId="21370095"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right w:val="dotted" w:sz="4" w:space="0" w:color="auto"/>
            </w:tcBorders>
            <w:shd w:val="clear" w:color="auto" w:fill="auto"/>
            <w:noWrap/>
            <w:vAlign w:val="center"/>
          </w:tcPr>
          <w:p w14:paraId="561E248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right w:val="dotted" w:sz="4" w:space="0" w:color="auto"/>
            </w:tcBorders>
            <w:shd w:val="clear" w:color="auto" w:fill="auto"/>
            <w:noWrap/>
            <w:vAlign w:val="center"/>
          </w:tcPr>
          <w:p w14:paraId="5D6C250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right w:val="dotted" w:sz="4" w:space="0" w:color="auto"/>
            </w:tcBorders>
            <w:shd w:val="clear" w:color="auto" w:fill="auto"/>
            <w:noWrap/>
            <w:vAlign w:val="center"/>
          </w:tcPr>
          <w:p w14:paraId="18D69E5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top w:val="single" w:sz="8" w:space="0" w:color="auto"/>
              <w:left w:val="dotted" w:sz="4" w:space="0" w:color="auto"/>
              <w:right w:val="single" w:sz="8" w:space="0" w:color="auto"/>
            </w:tcBorders>
            <w:shd w:val="clear" w:color="auto" w:fill="auto"/>
            <w:noWrap/>
            <w:vAlign w:val="center"/>
          </w:tcPr>
          <w:p w14:paraId="7C8667E4"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single" w:sz="8" w:space="0" w:color="auto"/>
              <w:left w:val="single" w:sz="8" w:space="0" w:color="auto"/>
              <w:right w:val="dotted" w:sz="4" w:space="0" w:color="auto"/>
            </w:tcBorders>
            <w:shd w:val="clear" w:color="auto" w:fill="auto"/>
            <w:noWrap/>
            <w:vAlign w:val="center"/>
          </w:tcPr>
          <w:p w14:paraId="4B4C9DAC"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single" w:sz="8" w:space="0" w:color="auto"/>
              <w:left w:val="dotted" w:sz="4" w:space="0" w:color="auto"/>
              <w:right w:val="single" w:sz="8" w:space="0" w:color="auto"/>
            </w:tcBorders>
            <w:shd w:val="clear" w:color="auto" w:fill="auto"/>
            <w:noWrap/>
            <w:vAlign w:val="center"/>
          </w:tcPr>
          <w:p w14:paraId="5549B57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single" w:sz="8" w:space="0" w:color="auto"/>
              <w:left w:val="single" w:sz="8" w:space="0" w:color="auto"/>
              <w:right w:val="dotted" w:sz="4" w:space="0" w:color="auto"/>
            </w:tcBorders>
            <w:shd w:val="clear" w:color="auto" w:fill="auto"/>
            <w:noWrap/>
            <w:vAlign w:val="center"/>
          </w:tcPr>
          <w:p w14:paraId="07C351E1"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right w:val="dotted" w:sz="4" w:space="0" w:color="auto"/>
            </w:tcBorders>
            <w:shd w:val="clear" w:color="auto" w:fill="auto"/>
            <w:noWrap/>
            <w:vAlign w:val="center"/>
          </w:tcPr>
          <w:p w14:paraId="6B28C854"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right w:val="dotted" w:sz="4" w:space="0" w:color="auto"/>
            </w:tcBorders>
            <w:shd w:val="clear" w:color="auto" w:fill="auto"/>
            <w:noWrap/>
            <w:vAlign w:val="center"/>
            <w:hideMark/>
          </w:tcPr>
          <w:p w14:paraId="169A2312"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right w:val="single" w:sz="8" w:space="0" w:color="auto"/>
            </w:tcBorders>
            <w:shd w:val="clear" w:color="auto" w:fill="auto"/>
            <w:noWrap/>
            <w:vAlign w:val="center"/>
            <w:hideMark/>
          </w:tcPr>
          <w:p w14:paraId="32403A63"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single" w:sz="8" w:space="0" w:color="auto"/>
              <w:left w:val="single" w:sz="8" w:space="0" w:color="auto"/>
            </w:tcBorders>
            <w:shd w:val="clear" w:color="auto" w:fill="E7E6E6" w:themeFill="background2"/>
            <w:noWrap/>
            <w:vAlign w:val="center"/>
            <w:hideMark/>
          </w:tcPr>
          <w:p w14:paraId="650CC16D"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p>
        </w:tc>
      </w:tr>
      <w:tr w:rsidR="0005130D" w:rsidRPr="004C3C90" w14:paraId="307DC30B" w14:textId="77777777" w:rsidTr="004C3C90">
        <w:trPr>
          <w:trHeight w:val="231"/>
        </w:trPr>
        <w:tc>
          <w:tcPr>
            <w:tcW w:w="2211" w:type="dxa"/>
            <w:tcBorders>
              <w:bottom w:val="dotted" w:sz="4" w:space="0" w:color="auto"/>
              <w:right w:val="single" w:sz="8" w:space="0" w:color="auto"/>
            </w:tcBorders>
            <w:shd w:val="clear" w:color="auto" w:fill="E7E6E6" w:themeFill="background2"/>
            <w:noWrap/>
            <w:vAlign w:val="center"/>
            <w:hideMark/>
          </w:tcPr>
          <w:p w14:paraId="0F3FBC2A"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access to information</w:t>
            </w:r>
          </w:p>
        </w:tc>
        <w:tc>
          <w:tcPr>
            <w:tcW w:w="712" w:type="dxa"/>
            <w:tcBorders>
              <w:left w:val="single" w:sz="8" w:space="0" w:color="auto"/>
              <w:bottom w:val="dotted" w:sz="4" w:space="0" w:color="auto"/>
              <w:right w:val="dotted" w:sz="4" w:space="0" w:color="auto"/>
            </w:tcBorders>
            <w:shd w:val="clear" w:color="auto" w:fill="auto"/>
            <w:noWrap/>
            <w:vAlign w:val="center"/>
            <w:hideMark/>
          </w:tcPr>
          <w:p w14:paraId="1B22639D" w14:textId="77777777" w:rsidR="0005130D" w:rsidRPr="004C3C90" w:rsidRDefault="0005130D" w:rsidP="004C3C90">
            <w:pPr>
              <w:spacing w:line="240" w:lineRule="auto"/>
              <w:ind w:firstLineChars="100" w:firstLine="200"/>
              <w:jc w:val="center"/>
              <w:rPr>
                <w:rFonts w:ascii="Times New Roman" w:eastAsia="Times New Roman" w:hAnsi="Times New Roman" w:cs="Times New Roman"/>
                <w:sz w:val="20"/>
                <w:szCs w:val="20"/>
              </w:rPr>
            </w:pPr>
          </w:p>
        </w:tc>
        <w:tc>
          <w:tcPr>
            <w:tcW w:w="713" w:type="dxa"/>
            <w:tcBorders>
              <w:left w:val="dotted" w:sz="4" w:space="0" w:color="auto"/>
              <w:bottom w:val="dotted" w:sz="4" w:space="0" w:color="auto"/>
              <w:right w:val="dotted" w:sz="4" w:space="0" w:color="auto"/>
            </w:tcBorders>
            <w:shd w:val="clear" w:color="auto" w:fill="auto"/>
            <w:noWrap/>
            <w:vAlign w:val="center"/>
            <w:hideMark/>
          </w:tcPr>
          <w:p w14:paraId="11543509"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59" w:type="dxa"/>
            <w:tcBorders>
              <w:left w:val="dotted" w:sz="4" w:space="0" w:color="auto"/>
              <w:bottom w:val="dotted" w:sz="4" w:space="0" w:color="auto"/>
              <w:right w:val="single" w:sz="8" w:space="0" w:color="auto"/>
            </w:tcBorders>
            <w:shd w:val="clear" w:color="auto" w:fill="auto"/>
            <w:noWrap/>
            <w:vAlign w:val="center"/>
            <w:hideMark/>
          </w:tcPr>
          <w:p w14:paraId="66835A2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67" w:type="dxa"/>
            <w:tcBorders>
              <w:left w:val="single" w:sz="8" w:space="0" w:color="auto"/>
              <w:bottom w:val="dotted" w:sz="4" w:space="0" w:color="auto"/>
              <w:right w:val="dotted" w:sz="4" w:space="0" w:color="auto"/>
            </w:tcBorders>
            <w:shd w:val="clear" w:color="auto" w:fill="auto"/>
            <w:noWrap/>
            <w:vAlign w:val="center"/>
            <w:hideMark/>
          </w:tcPr>
          <w:p w14:paraId="5827949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left w:val="dotted" w:sz="4" w:space="0" w:color="auto"/>
              <w:bottom w:val="dotted" w:sz="4" w:space="0" w:color="auto"/>
              <w:right w:val="dotted" w:sz="4" w:space="0" w:color="auto"/>
            </w:tcBorders>
            <w:shd w:val="clear" w:color="auto" w:fill="auto"/>
            <w:noWrap/>
            <w:vAlign w:val="center"/>
            <w:hideMark/>
          </w:tcPr>
          <w:p w14:paraId="017C44B1"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left w:val="dotted" w:sz="4" w:space="0" w:color="auto"/>
              <w:bottom w:val="dotted" w:sz="4" w:space="0" w:color="auto"/>
              <w:right w:val="dotted" w:sz="4" w:space="0" w:color="auto"/>
            </w:tcBorders>
            <w:shd w:val="clear" w:color="auto" w:fill="auto"/>
            <w:noWrap/>
            <w:vAlign w:val="center"/>
            <w:hideMark/>
          </w:tcPr>
          <w:p w14:paraId="1763F9F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left w:val="dotted" w:sz="4" w:space="0" w:color="auto"/>
              <w:bottom w:val="dotted" w:sz="4" w:space="0" w:color="auto"/>
              <w:right w:val="dotted" w:sz="4" w:space="0" w:color="auto"/>
            </w:tcBorders>
            <w:shd w:val="clear" w:color="auto" w:fill="auto"/>
            <w:noWrap/>
            <w:vAlign w:val="center"/>
            <w:hideMark/>
          </w:tcPr>
          <w:p w14:paraId="717A47E2"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left w:val="dotted" w:sz="4" w:space="0" w:color="auto"/>
              <w:bottom w:val="dotted" w:sz="4" w:space="0" w:color="auto"/>
              <w:right w:val="single" w:sz="8" w:space="0" w:color="auto"/>
            </w:tcBorders>
            <w:shd w:val="clear" w:color="auto" w:fill="auto"/>
            <w:noWrap/>
            <w:vAlign w:val="center"/>
            <w:hideMark/>
          </w:tcPr>
          <w:p w14:paraId="7B24A0CC"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left w:val="single" w:sz="8" w:space="0" w:color="auto"/>
              <w:bottom w:val="dotted" w:sz="4" w:space="0" w:color="auto"/>
              <w:right w:val="dotted" w:sz="4" w:space="0" w:color="auto"/>
            </w:tcBorders>
            <w:shd w:val="clear" w:color="auto" w:fill="auto"/>
            <w:noWrap/>
            <w:vAlign w:val="center"/>
            <w:hideMark/>
          </w:tcPr>
          <w:p w14:paraId="4739A5B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left w:val="dotted" w:sz="4" w:space="0" w:color="auto"/>
              <w:bottom w:val="dotted" w:sz="4" w:space="0" w:color="auto"/>
              <w:right w:val="single" w:sz="8" w:space="0" w:color="auto"/>
            </w:tcBorders>
            <w:shd w:val="clear" w:color="auto" w:fill="auto"/>
            <w:noWrap/>
            <w:vAlign w:val="center"/>
            <w:hideMark/>
          </w:tcPr>
          <w:p w14:paraId="09978E8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left w:val="single" w:sz="8" w:space="0" w:color="auto"/>
              <w:bottom w:val="dotted" w:sz="4" w:space="0" w:color="auto"/>
              <w:right w:val="dotted" w:sz="4" w:space="0" w:color="auto"/>
            </w:tcBorders>
            <w:shd w:val="clear" w:color="auto" w:fill="auto"/>
            <w:noWrap/>
            <w:vAlign w:val="center"/>
            <w:hideMark/>
          </w:tcPr>
          <w:p w14:paraId="1643FFE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left w:val="dotted" w:sz="4" w:space="0" w:color="auto"/>
              <w:bottom w:val="dotted" w:sz="4" w:space="0" w:color="auto"/>
              <w:right w:val="dotted" w:sz="4" w:space="0" w:color="auto"/>
            </w:tcBorders>
            <w:shd w:val="clear" w:color="auto" w:fill="auto"/>
            <w:noWrap/>
            <w:vAlign w:val="center"/>
            <w:hideMark/>
          </w:tcPr>
          <w:p w14:paraId="49BDFEFD"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left w:val="dotted" w:sz="4" w:space="0" w:color="auto"/>
              <w:bottom w:val="dotted" w:sz="4" w:space="0" w:color="auto"/>
              <w:right w:val="dotted" w:sz="4" w:space="0" w:color="auto"/>
            </w:tcBorders>
            <w:shd w:val="clear" w:color="auto" w:fill="auto"/>
            <w:noWrap/>
            <w:vAlign w:val="center"/>
            <w:hideMark/>
          </w:tcPr>
          <w:p w14:paraId="18EC0C3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left w:val="dotted" w:sz="4" w:space="0" w:color="auto"/>
              <w:bottom w:val="dotted" w:sz="4" w:space="0" w:color="auto"/>
              <w:right w:val="single" w:sz="8" w:space="0" w:color="auto"/>
            </w:tcBorders>
            <w:shd w:val="clear" w:color="auto" w:fill="auto"/>
            <w:noWrap/>
            <w:vAlign w:val="center"/>
            <w:hideMark/>
          </w:tcPr>
          <w:p w14:paraId="329DB82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left w:val="single" w:sz="8" w:space="0" w:color="auto"/>
              <w:bottom w:val="dotted" w:sz="4" w:space="0" w:color="auto"/>
            </w:tcBorders>
            <w:shd w:val="clear" w:color="auto" w:fill="E7E6E6" w:themeFill="background2"/>
            <w:noWrap/>
            <w:vAlign w:val="center"/>
            <w:hideMark/>
          </w:tcPr>
          <w:p w14:paraId="67AE9B03"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1</w:t>
            </w:r>
          </w:p>
        </w:tc>
      </w:tr>
      <w:tr w:rsidR="0005130D" w:rsidRPr="004C3C90" w14:paraId="7370DEEC" w14:textId="77777777" w:rsidTr="004C3C90">
        <w:trPr>
          <w:trHeight w:val="231"/>
        </w:trPr>
        <w:tc>
          <w:tcPr>
            <w:tcW w:w="2211" w:type="dxa"/>
            <w:tcBorders>
              <w:top w:val="dotted" w:sz="4" w:space="0" w:color="auto"/>
              <w:bottom w:val="dotted" w:sz="4" w:space="0" w:color="auto"/>
              <w:right w:val="single" w:sz="8" w:space="0" w:color="auto"/>
            </w:tcBorders>
            <w:shd w:val="clear" w:color="auto" w:fill="E7E6E6" w:themeFill="background2"/>
            <w:noWrap/>
            <w:vAlign w:val="center"/>
            <w:hideMark/>
          </w:tcPr>
          <w:p w14:paraId="63B0479F"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burden of diseases, QoL</w:t>
            </w:r>
          </w:p>
        </w:tc>
        <w:tc>
          <w:tcPr>
            <w:tcW w:w="712" w:type="dxa"/>
            <w:tcBorders>
              <w:top w:val="dotted" w:sz="4" w:space="0" w:color="auto"/>
              <w:left w:val="single" w:sz="8" w:space="0" w:color="auto"/>
              <w:bottom w:val="dotted" w:sz="4" w:space="0" w:color="auto"/>
              <w:right w:val="dotted" w:sz="4" w:space="0" w:color="auto"/>
            </w:tcBorders>
            <w:shd w:val="clear" w:color="auto" w:fill="auto"/>
            <w:vAlign w:val="center"/>
          </w:tcPr>
          <w:p w14:paraId="7CB89BAA" w14:textId="77777777" w:rsidR="0005130D" w:rsidRPr="004C3C90" w:rsidRDefault="0005130D" w:rsidP="004C3C90">
            <w:pPr>
              <w:spacing w:line="240" w:lineRule="auto"/>
              <w:ind w:firstLineChars="100" w:firstLine="200"/>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138C118" w14:textId="77777777" w:rsidR="0005130D" w:rsidRPr="004C3C90" w:rsidRDefault="0005130D" w:rsidP="004C3C90">
            <w:pPr>
              <w:spacing w:line="240" w:lineRule="auto"/>
              <w:ind w:firstLineChars="100" w:firstLine="200"/>
              <w:jc w:val="center"/>
              <w:rPr>
                <w:rFonts w:ascii="Times New Roman" w:eastAsia="Times New Roman" w:hAnsi="Times New Roman" w:cs="Times New Roman"/>
                <w:sz w:val="20"/>
                <w:szCs w:val="20"/>
              </w:rPr>
            </w:pPr>
          </w:p>
        </w:tc>
        <w:tc>
          <w:tcPr>
            <w:tcW w:w="75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095484C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67"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0A76453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64B46E5"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0EBA432"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B06E64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42BE3DDD"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175826F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2BDBD03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2ACF7279"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367510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D9CD89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652E826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dotted" w:sz="4" w:space="0" w:color="auto"/>
              <w:left w:val="single" w:sz="8" w:space="0" w:color="auto"/>
              <w:bottom w:val="dotted" w:sz="4" w:space="0" w:color="auto"/>
            </w:tcBorders>
            <w:shd w:val="clear" w:color="auto" w:fill="E7E6E6" w:themeFill="background2"/>
            <w:noWrap/>
            <w:vAlign w:val="center"/>
            <w:hideMark/>
          </w:tcPr>
          <w:p w14:paraId="444DB04A"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1</w:t>
            </w:r>
          </w:p>
        </w:tc>
      </w:tr>
      <w:tr w:rsidR="0005130D" w:rsidRPr="004C3C90" w14:paraId="26F0191F" w14:textId="77777777" w:rsidTr="004C3C90">
        <w:trPr>
          <w:trHeight w:val="231"/>
        </w:trPr>
        <w:tc>
          <w:tcPr>
            <w:tcW w:w="2211" w:type="dxa"/>
            <w:tcBorders>
              <w:top w:val="dotted" w:sz="4" w:space="0" w:color="auto"/>
              <w:bottom w:val="dotted" w:sz="4" w:space="0" w:color="auto"/>
              <w:right w:val="single" w:sz="8" w:space="0" w:color="auto"/>
            </w:tcBorders>
            <w:shd w:val="clear" w:color="auto" w:fill="E7E6E6" w:themeFill="background2"/>
            <w:noWrap/>
            <w:vAlign w:val="center"/>
            <w:hideMark/>
          </w:tcPr>
          <w:p w14:paraId="4C24EDFB"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data sharing</w:t>
            </w:r>
          </w:p>
        </w:tc>
        <w:tc>
          <w:tcPr>
            <w:tcW w:w="712"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3FCAA5E7" w14:textId="77777777" w:rsidR="0005130D" w:rsidRPr="004C3C90" w:rsidRDefault="0005130D" w:rsidP="004C3C90">
            <w:pPr>
              <w:spacing w:line="240" w:lineRule="auto"/>
              <w:ind w:firstLineChars="100" w:firstLine="200"/>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C4B621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5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52FED7A8"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667"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15A436E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7DBF55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C60033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A6925E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2EE11572"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0C00852B"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0B01726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518F951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C5776DD"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277B82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15E08F0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dotted" w:sz="4" w:space="0" w:color="auto"/>
              <w:left w:val="single" w:sz="8" w:space="0" w:color="auto"/>
              <w:bottom w:val="dotted" w:sz="4" w:space="0" w:color="auto"/>
            </w:tcBorders>
            <w:shd w:val="clear" w:color="auto" w:fill="E7E6E6" w:themeFill="background2"/>
            <w:noWrap/>
            <w:vAlign w:val="center"/>
            <w:hideMark/>
          </w:tcPr>
          <w:p w14:paraId="62DBD7BB"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3</w:t>
            </w:r>
          </w:p>
        </w:tc>
      </w:tr>
      <w:tr w:rsidR="0005130D" w:rsidRPr="004C3C90" w14:paraId="52BB5D92" w14:textId="77777777" w:rsidTr="004C3C90">
        <w:trPr>
          <w:trHeight w:val="231"/>
        </w:trPr>
        <w:tc>
          <w:tcPr>
            <w:tcW w:w="2211" w:type="dxa"/>
            <w:tcBorders>
              <w:top w:val="dotted" w:sz="4" w:space="0" w:color="auto"/>
              <w:bottom w:val="dotted" w:sz="4" w:space="0" w:color="auto"/>
              <w:right w:val="single" w:sz="8" w:space="0" w:color="auto"/>
            </w:tcBorders>
            <w:shd w:val="clear" w:color="auto" w:fill="E7E6E6" w:themeFill="background2"/>
            <w:noWrap/>
            <w:vAlign w:val="center"/>
            <w:hideMark/>
          </w:tcPr>
          <w:p w14:paraId="64007B39"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diagnosis</w:t>
            </w:r>
          </w:p>
        </w:tc>
        <w:tc>
          <w:tcPr>
            <w:tcW w:w="712"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0184260F"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5B4B39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5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405A6CC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67"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680C6AE1"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F6D305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AE4B4C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2F8061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500E8B5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5904E43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2BB4211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38666D03"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C70D705"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FF5A6D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2E0F7A80"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dotted" w:sz="4" w:space="0" w:color="auto"/>
              <w:left w:val="single" w:sz="8" w:space="0" w:color="auto"/>
              <w:bottom w:val="dotted" w:sz="4" w:space="0" w:color="auto"/>
            </w:tcBorders>
            <w:shd w:val="clear" w:color="auto" w:fill="E7E6E6" w:themeFill="background2"/>
            <w:noWrap/>
            <w:vAlign w:val="center"/>
            <w:hideMark/>
          </w:tcPr>
          <w:p w14:paraId="22DB50E6"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2</w:t>
            </w:r>
          </w:p>
        </w:tc>
      </w:tr>
      <w:tr w:rsidR="0005130D" w:rsidRPr="004C3C90" w14:paraId="0794F319" w14:textId="77777777" w:rsidTr="004C3C90">
        <w:trPr>
          <w:trHeight w:val="231"/>
        </w:trPr>
        <w:tc>
          <w:tcPr>
            <w:tcW w:w="2211" w:type="dxa"/>
            <w:tcBorders>
              <w:top w:val="dotted" w:sz="4" w:space="0" w:color="auto"/>
              <w:bottom w:val="dotted" w:sz="4" w:space="0" w:color="auto"/>
              <w:right w:val="single" w:sz="8" w:space="0" w:color="auto"/>
            </w:tcBorders>
            <w:shd w:val="clear" w:color="auto" w:fill="E7E6E6" w:themeFill="background2"/>
            <w:noWrap/>
            <w:vAlign w:val="center"/>
            <w:hideMark/>
          </w:tcPr>
          <w:p w14:paraId="790197F5"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engagement</w:t>
            </w:r>
          </w:p>
        </w:tc>
        <w:tc>
          <w:tcPr>
            <w:tcW w:w="712"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4D2F7DC0" w14:textId="77777777" w:rsidR="0005130D" w:rsidRPr="004C3C90" w:rsidRDefault="0005130D" w:rsidP="004C3C90">
            <w:pPr>
              <w:spacing w:line="240" w:lineRule="auto"/>
              <w:ind w:firstLineChars="100" w:firstLine="200"/>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1F81062"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75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14994D15"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67"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582ECB0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630F3A4"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EFF915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D77FB11"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5EE79F34"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76D37A8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2A10C225"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5FF4E054"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04EDD04"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C81CED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1AEA3AD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dotted" w:sz="4" w:space="0" w:color="auto"/>
              <w:left w:val="single" w:sz="8" w:space="0" w:color="auto"/>
              <w:bottom w:val="dotted" w:sz="4" w:space="0" w:color="auto"/>
            </w:tcBorders>
            <w:shd w:val="clear" w:color="auto" w:fill="E7E6E6" w:themeFill="background2"/>
            <w:noWrap/>
            <w:vAlign w:val="center"/>
            <w:hideMark/>
          </w:tcPr>
          <w:p w14:paraId="26E057CC"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3</w:t>
            </w:r>
          </w:p>
        </w:tc>
      </w:tr>
      <w:tr w:rsidR="0005130D" w:rsidRPr="004C3C90" w14:paraId="047B4A29" w14:textId="77777777" w:rsidTr="004C3C90">
        <w:trPr>
          <w:trHeight w:val="231"/>
        </w:trPr>
        <w:tc>
          <w:tcPr>
            <w:tcW w:w="2211" w:type="dxa"/>
            <w:tcBorders>
              <w:top w:val="dotted" w:sz="4" w:space="0" w:color="auto"/>
              <w:bottom w:val="dotted" w:sz="4" w:space="0" w:color="auto"/>
              <w:right w:val="single" w:sz="8" w:space="0" w:color="auto"/>
            </w:tcBorders>
            <w:shd w:val="clear" w:color="auto" w:fill="E7E6E6" w:themeFill="background2"/>
            <w:noWrap/>
            <w:vAlign w:val="center"/>
            <w:hideMark/>
          </w:tcPr>
          <w:p w14:paraId="783EAC38"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funds</w:t>
            </w:r>
          </w:p>
        </w:tc>
        <w:tc>
          <w:tcPr>
            <w:tcW w:w="712"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1761CBA5" w14:textId="77777777" w:rsidR="0005130D" w:rsidRPr="004C3C90" w:rsidRDefault="0005130D" w:rsidP="004C3C90">
            <w:pPr>
              <w:spacing w:line="240" w:lineRule="auto"/>
              <w:ind w:firstLineChars="100" w:firstLine="200"/>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DCE309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5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0A2BCF4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67"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4DBC95C3"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6CA3D0B"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794BBB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FF24AD4"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5D2D575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2F7CAAE1"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5CB44065"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696"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0A17478C"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A208C11"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DAA499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58D5B810"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dotted" w:sz="4" w:space="0" w:color="auto"/>
              <w:left w:val="single" w:sz="8" w:space="0" w:color="auto"/>
              <w:bottom w:val="dotted" w:sz="4" w:space="0" w:color="auto"/>
            </w:tcBorders>
            <w:shd w:val="clear" w:color="auto" w:fill="E7E6E6" w:themeFill="background2"/>
            <w:noWrap/>
            <w:vAlign w:val="center"/>
            <w:hideMark/>
          </w:tcPr>
          <w:p w14:paraId="1A031CF9"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4</w:t>
            </w:r>
          </w:p>
        </w:tc>
      </w:tr>
      <w:tr w:rsidR="0005130D" w:rsidRPr="004C3C90" w14:paraId="0C975185" w14:textId="77777777" w:rsidTr="004C3C90">
        <w:trPr>
          <w:trHeight w:val="231"/>
        </w:trPr>
        <w:tc>
          <w:tcPr>
            <w:tcW w:w="2211" w:type="dxa"/>
            <w:tcBorders>
              <w:top w:val="dotted" w:sz="4" w:space="0" w:color="auto"/>
              <w:bottom w:val="dotted" w:sz="4" w:space="0" w:color="auto"/>
              <w:right w:val="single" w:sz="8" w:space="0" w:color="auto"/>
            </w:tcBorders>
            <w:shd w:val="clear" w:color="auto" w:fill="E7E6E6" w:themeFill="background2"/>
            <w:noWrap/>
            <w:vAlign w:val="center"/>
            <w:hideMark/>
          </w:tcPr>
          <w:p w14:paraId="08D8C83C"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illness perception</w:t>
            </w:r>
          </w:p>
        </w:tc>
        <w:tc>
          <w:tcPr>
            <w:tcW w:w="712"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7F866841" w14:textId="77777777" w:rsidR="0005130D" w:rsidRPr="004C3C90" w:rsidRDefault="0005130D" w:rsidP="004C3C90">
            <w:pPr>
              <w:spacing w:line="240" w:lineRule="auto"/>
              <w:ind w:firstLineChars="100" w:firstLine="200"/>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25A8A3C"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5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46760D1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67"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39E21243"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0E3706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05CE881"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7506DB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538DB895"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7EEF0152"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321294C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0DE2AF60"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C6EACD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CEACD4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66D2676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dotted" w:sz="4" w:space="0" w:color="auto"/>
              <w:left w:val="single" w:sz="8" w:space="0" w:color="auto"/>
              <w:bottom w:val="dotted" w:sz="4" w:space="0" w:color="auto"/>
            </w:tcBorders>
            <w:shd w:val="clear" w:color="auto" w:fill="E7E6E6" w:themeFill="background2"/>
            <w:noWrap/>
            <w:vAlign w:val="center"/>
            <w:hideMark/>
          </w:tcPr>
          <w:p w14:paraId="30D593E4"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1</w:t>
            </w:r>
          </w:p>
        </w:tc>
      </w:tr>
      <w:tr w:rsidR="0005130D" w:rsidRPr="004C3C90" w14:paraId="1B3EBB6B" w14:textId="77777777" w:rsidTr="004C3C90">
        <w:trPr>
          <w:trHeight w:val="231"/>
        </w:trPr>
        <w:tc>
          <w:tcPr>
            <w:tcW w:w="2211" w:type="dxa"/>
            <w:tcBorders>
              <w:top w:val="dotted" w:sz="4" w:space="0" w:color="auto"/>
              <w:bottom w:val="dotted" w:sz="4" w:space="0" w:color="auto"/>
              <w:right w:val="single" w:sz="8" w:space="0" w:color="auto"/>
            </w:tcBorders>
            <w:shd w:val="clear" w:color="auto" w:fill="E7E6E6" w:themeFill="background2"/>
            <w:noWrap/>
            <w:vAlign w:val="center"/>
            <w:hideMark/>
          </w:tcPr>
          <w:p w14:paraId="241F1DEE"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research priorities</w:t>
            </w:r>
          </w:p>
        </w:tc>
        <w:tc>
          <w:tcPr>
            <w:tcW w:w="712"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58CBF94B" w14:textId="77777777" w:rsidR="0005130D" w:rsidRPr="004C3C90" w:rsidRDefault="0005130D" w:rsidP="004C3C90">
            <w:pPr>
              <w:spacing w:line="240" w:lineRule="auto"/>
              <w:ind w:firstLineChars="100" w:firstLine="200"/>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427972D"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5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1DDF668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67"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1E6CFFF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6A4860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0B7094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8EB7B8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4CEEAD41"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7B797954"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7E308472"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26561036"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EB8B8C4"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F95062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331AD76C"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dotted" w:sz="4" w:space="0" w:color="auto"/>
              <w:left w:val="single" w:sz="8" w:space="0" w:color="auto"/>
              <w:bottom w:val="dotted" w:sz="4" w:space="0" w:color="auto"/>
            </w:tcBorders>
            <w:shd w:val="clear" w:color="auto" w:fill="E7E6E6" w:themeFill="background2"/>
            <w:noWrap/>
            <w:vAlign w:val="center"/>
            <w:hideMark/>
          </w:tcPr>
          <w:p w14:paraId="27C7135E"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1</w:t>
            </w:r>
          </w:p>
        </w:tc>
      </w:tr>
      <w:tr w:rsidR="0005130D" w:rsidRPr="004C3C90" w14:paraId="0BCB7BB3" w14:textId="77777777" w:rsidTr="004C3C90">
        <w:trPr>
          <w:trHeight w:val="231"/>
        </w:trPr>
        <w:tc>
          <w:tcPr>
            <w:tcW w:w="2211" w:type="dxa"/>
            <w:tcBorders>
              <w:top w:val="dotted" w:sz="4" w:space="0" w:color="auto"/>
              <w:bottom w:val="dotted" w:sz="4" w:space="0" w:color="auto"/>
              <w:right w:val="single" w:sz="8" w:space="0" w:color="auto"/>
            </w:tcBorders>
            <w:shd w:val="clear" w:color="auto" w:fill="E7E6E6" w:themeFill="background2"/>
            <w:noWrap/>
            <w:vAlign w:val="center"/>
            <w:hideMark/>
          </w:tcPr>
          <w:p w14:paraId="50A8A92C"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societal value</w:t>
            </w:r>
          </w:p>
        </w:tc>
        <w:tc>
          <w:tcPr>
            <w:tcW w:w="712"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716EEAC0" w14:textId="77777777" w:rsidR="0005130D" w:rsidRPr="004C3C90" w:rsidRDefault="0005130D" w:rsidP="004C3C90">
            <w:pPr>
              <w:spacing w:line="240" w:lineRule="auto"/>
              <w:ind w:firstLineChars="100" w:firstLine="200"/>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730CBEC"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5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360C067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67"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06609BA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3405E1D"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7674F76"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1601BE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0F1C9743"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56E3AD7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7783B7E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1332FFCC"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68BF7B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2AB3A0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dotted" w:sz="4" w:space="0" w:color="auto"/>
              <w:right w:val="single" w:sz="8" w:space="0" w:color="auto"/>
            </w:tcBorders>
            <w:shd w:val="clear" w:color="auto" w:fill="auto"/>
            <w:noWrap/>
            <w:vAlign w:val="center"/>
            <w:hideMark/>
          </w:tcPr>
          <w:p w14:paraId="5DDE768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dotted" w:sz="4" w:space="0" w:color="auto"/>
              <w:left w:val="single" w:sz="8" w:space="0" w:color="auto"/>
              <w:bottom w:val="dotted" w:sz="4" w:space="0" w:color="auto"/>
            </w:tcBorders>
            <w:shd w:val="clear" w:color="auto" w:fill="E7E6E6" w:themeFill="background2"/>
            <w:noWrap/>
            <w:vAlign w:val="center"/>
            <w:hideMark/>
          </w:tcPr>
          <w:p w14:paraId="3A773F7D"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2</w:t>
            </w:r>
          </w:p>
        </w:tc>
      </w:tr>
      <w:tr w:rsidR="0005130D" w:rsidRPr="004C3C90" w14:paraId="59CC7735" w14:textId="77777777" w:rsidTr="004C3C90">
        <w:trPr>
          <w:trHeight w:val="231"/>
        </w:trPr>
        <w:tc>
          <w:tcPr>
            <w:tcW w:w="2211" w:type="dxa"/>
            <w:tcBorders>
              <w:top w:val="dotted" w:sz="4" w:space="0" w:color="auto"/>
              <w:bottom w:val="single" w:sz="8" w:space="0" w:color="auto"/>
              <w:right w:val="single" w:sz="8" w:space="0" w:color="auto"/>
            </w:tcBorders>
            <w:shd w:val="clear" w:color="auto" w:fill="E7E6E6" w:themeFill="background2"/>
            <w:noWrap/>
            <w:vAlign w:val="center"/>
            <w:hideMark/>
          </w:tcPr>
          <w:p w14:paraId="18553AFA" w14:textId="77777777" w:rsidR="0005130D" w:rsidRPr="004C3C90" w:rsidRDefault="0005130D" w:rsidP="004C3C90">
            <w:pPr>
              <w:spacing w:line="240" w:lineRule="auto"/>
              <w:ind w:firstLineChars="100" w:firstLine="20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treatment</w:t>
            </w:r>
          </w:p>
        </w:tc>
        <w:tc>
          <w:tcPr>
            <w:tcW w:w="712" w:type="dxa"/>
            <w:tcBorders>
              <w:top w:val="dotted" w:sz="4" w:space="0" w:color="auto"/>
              <w:left w:val="single" w:sz="8" w:space="0" w:color="auto"/>
              <w:bottom w:val="single" w:sz="8" w:space="0" w:color="auto"/>
              <w:right w:val="dotted" w:sz="4" w:space="0" w:color="auto"/>
            </w:tcBorders>
            <w:shd w:val="clear" w:color="auto" w:fill="auto"/>
            <w:noWrap/>
            <w:vAlign w:val="center"/>
            <w:hideMark/>
          </w:tcPr>
          <w:p w14:paraId="18C43E19"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13" w:type="dxa"/>
            <w:tcBorders>
              <w:top w:val="dotted" w:sz="4" w:space="0" w:color="auto"/>
              <w:left w:val="dotted" w:sz="4" w:space="0" w:color="auto"/>
              <w:bottom w:val="single" w:sz="8" w:space="0" w:color="auto"/>
              <w:right w:val="dotted" w:sz="4" w:space="0" w:color="auto"/>
            </w:tcBorders>
            <w:shd w:val="clear" w:color="auto" w:fill="auto"/>
            <w:noWrap/>
            <w:vAlign w:val="center"/>
            <w:hideMark/>
          </w:tcPr>
          <w:p w14:paraId="3B8EFE2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59" w:type="dxa"/>
            <w:tcBorders>
              <w:top w:val="dotted" w:sz="4" w:space="0" w:color="auto"/>
              <w:left w:val="dotted" w:sz="4" w:space="0" w:color="auto"/>
              <w:bottom w:val="single" w:sz="8" w:space="0" w:color="auto"/>
              <w:right w:val="single" w:sz="8" w:space="0" w:color="auto"/>
            </w:tcBorders>
            <w:shd w:val="clear" w:color="auto" w:fill="auto"/>
            <w:noWrap/>
            <w:vAlign w:val="center"/>
            <w:hideMark/>
          </w:tcPr>
          <w:p w14:paraId="77B9EDEB"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667" w:type="dxa"/>
            <w:tcBorders>
              <w:top w:val="dotted" w:sz="4" w:space="0" w:color="auto"/>
              <w:left w:val="single" w:sz="8" w:space="0" w:color="auto"/>
              <w:bottom w:val="single" w:sz="8" w:space="0" w:color="auto"/>
              <w:right w:val="dotted" w:sz="4" w:space="0" w:color="auto"/>
            </w:tcBorders>
            <w:shd w:val="clear" w:color="auto" w:fill="auto"/>
            <w:noWrap/>
            <w:vAlign w:val="center"/>
            <w:hideMark/>
          </w:tcPr>
          <w:p w14:paraId="32E94DF4"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single" w:sz="8" w:space="0" w:color="auto"/>
              <w:right w:val="dotted" w:sz="4" w:space="0" w:color="auto"/>
            </w:tcBorders>
            <w:shd w:val="clear" w:color="auto" w:fill="auto"/>
            <w:noWrap/>
            <w:vAlign w:val="center"/>
            <w:hideMark/>
          </w:tcPr>
          <w:p w14:paraId="3B604D9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single" w:sz="8" w:space="0" w:color="auto"/>
              <w:right w:val="dotted" w:sz="4" w:space="0" w:color="auto"/>
            </w:tcBorders>
            <w:shd w:val="clear" w:color="auto" w:fill="auto"/>
            <w:noWrap/>
            <w:vAlign w:val="center"/>
            <w:hideMark/>
          </w:tcPr>
          <w:p w14:paraId="788DDD1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single" w:sz="8" w:space="0" w:color="auto"/>
              <w:right w:val="dotted" w:sz="4" w:space="0" w:color="auto"/>
            </w:tcBorders>
            <w:shd w:val="clear" w:color="auto" w:fill="auto"/>
            <w:noWrap/>
            <w:vAlign w:val="center"/>
            <w:hideMark/>
          </w:tcPr>
          <w:p w14:paraId="7568AF5F"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37" w:type="dxa"/>
            <w:tcBorders>
              <w:top w:val="dotted" w:sz="4" w:space="0" w:color="auto"/>
              <w:left w:val="dotted" w:sz="4" w:space="0" w:color="auto"/>
              <w:bottom w:val="single" w:sz="8" w:space="0" w:color="auto"/>
              <w:right w:val="single" w:sz="8" w:space="0" w:color="auto"/>
            </w:tcBorders>
            <w:shd w:val="clear" w:color="auto" w:fill="auto"/>
            <w:noWrap/>
            <w:vAlign w:val="center"/>
            <w:hideMark/>
          </w:tcPr>
          <w:p w14:paraId="4C1CC9DF"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09" w:type="dxa"/>
            <w:tcBorders>
              <w:top w:val="dotted" w:sz="4" w:space="0" w:color="auto"/>
              <w:left w:val="single" w:sz="8" w:space="0" w:color="auto"/>
              <w:bottom w:val="single" w:sz="8" w:space="0" w:color="auto"/>
              <w:right w:val="dotted" w:sz="4" w:space="0" w:color="auto"/>
            </w:tcBorders>
            <w:shd w:val="clear" w:color="auto" w:fill="auto"/>
            <w:noWrap/>
            <w:vAlign w:val="center"/>
            <w:hideMark/>
          </w:tcPr>
          <w:p w14:paraId="07793B52"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dotted" w:sz="4" w:space="0" w:color="auto"/>
              <w:left w:val="dotted" w:sz="4" w:space="0" w:color="auto"/>
              <w:bottom w:val="single" w:sz="8" w:space="0" w:color="auto"/>
              <w:right w:val="single" w:sz="8" w:space="0" w:color="auto"/>
            </w:tcBorders>
            <w:shd w:val="clear" w:color="auto" w:fill="auto"/>
            <w:noWrap/>
            <w:vAlign w:val="center"/>
            <w:hideMark/>
          </w:tcPr>
          <w:p w14:paraId="50E55AF5"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696" w:type="dxa"/>
            <w:tcBorders>
              <w:top w:val="dotted" w:sz="4" w:space="0" w:color="auto"/>
              <w:left w:val="single" w:sz="8" w:space="0" w:color="auto"/>
              <w:bottom w:val="single" w:sz="8" w:space="0" w:color="auto"/>
              <w:right w:val="dotted" w:sz="4" w:space="0" w:color="auto"/>
            </w:tcBorders>
            <w:shd w:val="clear" w:color="auto" w:fill="auto"/>
            <w:noWrap/>
            <w:vAlign w:val="center"/>
            <w:hideMark/>
          </w:tcPr>
          <w:p w14:paraId="09DF3C41"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single" w:sz="8" w:space="0" w:color="auto"/>
              <w:right w:val="dotted" w:sz="4" w:space="0" w:color="auto"/>
            </w:tcBorders>
            <w:shd w:val="clear" w:color="auto" w:fill="auto"/>
            <w:noWrap/>
            <w:vAlign w:val="center"/>
            <w:hideMark/>
          </w:tcPr>
          <w:p w14:paraId="54173585"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13" w:type="dxa"/>
            <w:tcBorders>
              <w:top w:val="dotted" w:sz="4" w:space="0" w:color="auto"/>
              <w:left w:val="dotted" w:sz="4" w:space="0" w:color="auto"/>
              <w:bottom w:val="single" w:sz="8" w:space="0" w:color="auto"/>
              <w:right w:val="dotted" w:sz="4" w:space="0" w:color="auto"/>
            </w:tcBorders>
            <w:shd w:val="clear" w:color="auto" w:fill="auto"/>
            <w:noWrap/>
            <w:vAlign w:val="center"/>
            <w:hideMark/>
          </w:tcPr>
          <w:p w14:paraId="196D1A18"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dotted" w:sz="4" w:space="0" w:color="auto"/>
              <w:left w:val="dotted" w:sz="4" w:space="0" w:color="auto"/>
              <w:bottom w:val="single" w:sz="8" w:space="0" w:color="auto"/>
              <w:right w:val="single" w:sz="8" w:space="0" w:color="auto"/>
            </w:tcBorders>
            <w:shd w:val="clear" w:color="auto" w:fill="auto"/>
            <w:noWrap/>
            <w:vAlign w:val="center"/>
            <w:hideMark/>
          </w:tcPr>
          <w:p w14:paraId="098EB7FB"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dotted" w:sz="4" w:space="0" w:color="auto"/>
              <w:left w:val="single" w:sz="8" w:space="0" w:color="auto"/>
              <w:bottom w:val="single" w:sz="8" w:space="0" w:color="auto"/>
            </w:tcBorders>
            <w:shd w:val="clear" w:color="auto" w:fill="E7E6E6" w:themeFill="background2"/>
            <w:noWrap/>
            <w:vAlign w:val="center"/>
            <w:hideMark/>
          </w:tcPr>
          <w:p w14:paraId="4334C092"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6</w:t>
            </w:r>
          </w:p>
        </w:tc>
      </w:tr>
      <w:tr w:rsidR="0005130D" w:rsidRPr="004C3C90" w14:paraId="0BE22772" w14:textId="77777777" w:rsidTr="004C3C90">
        <w:trPr>
          <w:trHeight w:val="231"/>
        </w:trPr>
        <w:tc>
          <w:tcPr>
            <w:tcW w:w="2211" w:type="dxa"/>
            <w:tcBorders>
              <w:top w:val="single" w:sz="8" w:space="0" w:color="auto"/>
              <w:bottom w:val="single" w:sz="8" w:space="0" w:color="auto"/>
              <w:right w:val="single" w:sz="8" w:space="0" w:color="auto"/>
            </w:tcBorders>
            <w:shd w:val="clear" w:color="auto" w:fill="E7E6E6" w:themeFill="background2"/>
            <w:noWrap/>
            <w:vAlign w:val="center"/>
          </w:tcPr>
          <w:p w14:paraId="140601C0" w14:textId="77777777" w:rsidR="0005130D" w:rsidRPr="004C3C90" w:rsidRDefault="0005130D" w:rsidP="004C3C90">
            <w:pPr>
              <w:spacing w:line="240" w:lineRule="auto"/>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Knowledge</w:t>
            </w:r>
          </w:p>
        </w:tc>
        <w:tc>
          <w:tcPr>
            <w:tcW w:w="712" w:type="dxa"/>
            <w:tcBorders>
              <w:top w:val="single" w:sz="8" w:space="0" w:color="auto"/>
              <w:left w:val="single" w:sz="8" w:space="0" w:color="auto"/>
              <w:bottom w:val="single" w:sz="8" w:space="0" w:color="auto"/>
              <w:right w:val="dotted" w:sz="4" w:space="0" w:color="auto"/>
            </w:tcBorders>
            <w:shd w:val="clear" w:color="auto" w:fill="auto"/>
            <w:noWrap/>
            <w:vAlign w:val="center"/>
          </w:tcPr>
          <w:p w14:paraId="457DDFE4"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13" w:type="dxa"/>
            <w:tcBorders>
              <w:top w:val="single" w:sz="8" w:space="0" w:color="auto"/>
              <w:left w:val="dotted" w:sz="4" w:space="0" w:color="auto"/>
              <w:bottom w:val="single" w:sz="8" w:space="0" w:color="auto"/>
              <w:right w:val="dotted" w:sz="4" w:space="0" w:color="auto"/>
            </w:tcBorders>
            <w:shd w:val="clear" w:color="auto" w:fill="auto"/>
            <w:noWrap/>
            <w:vAlign w:val="center"/>
          </w:tcPr>
          <w:p w14:paraId="09031010"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59" w:type="dxa"/>
            <w:tcBorders>
              <w:top w:val="single" w:sz="8" w:space="0" w:color="auto"/>
              <w:left w:val="dotted" w:sz="4" w:space="0" w:color="auto"/>
              <w:bottom w:val="single" w:sz="8" w:space="0" w:color="auto"/>
              <w:right w:val="single" w:sz="8" w:space="0" w:color="auto"/>
            </w:tcBorders>
            <w:shd w:val="clear" w:color="auto" w:fill="auto"/>
            <w:noWrap/>
            <w:vAlign w:val="center"/>
          </w:tcPr>
          <w:p w14:paraId="558BEE4F"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667" w:type="dxa"/>
            <w:tcBorders>
              <w:top w:val="single" w:sz="8" w:space="0" w:color="auto"/>
              <w:left w:val="single" w:sz="8" w:space="0" w:color="auto"/>
              <w:bottom w:val="single" w:sz="8" w:space="0" w:color="auto"/>
              <w:right w:val="dotted" w:sz="4" w:space="0" w:color="auto"/>
            </w:tcBorders>
            <w:shd w:val="clear" w:color="auto" w:fill="auto"/>
            <w:noWrap/>
            <w:vAlign w:val="center"/>
          </w:tcPr>
          <w:p w14:paraId="744224E3"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bottom w:val="single" w:sz="8" w:space="0" w:color="auto"/>
              <w:right w:val="dotted" w:sz="4" w:space="0" w:color="auto"/>
            </w:tcBorders>
            <w:shd w:val="clear" w:color="auto" w:fill="auto"/>
            <w:noWrap/>
            <w:vAlign w:val="center"/>
          </w:tcPr>
          <w:p w14:paraId="288E10A7"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13" w:type="dxa"/>
            <w:tcBorders>
              <w:top w:val="single" w:sz="8" w:space="0" w:color="auto"/>
              <w:left w:val="dotted" w:sz="4" w:space="0" w:color="auto"/>
              <w:bottom w:val="single" w:sz="8" w:space="0" w:color="auto"/>
              <w:right w:val="dotted" w:sz="4" w:space="0" w:color="auto"/>
            </w:tcBorders>
            <w:shd w:val="clear" w:color="auto" w:fill="auto"/>
            <w:noWrap/>
            <w:vAlign w:val="center"/>
          </w:tcPr>
          <w:p w14:paraId="6D2197A1"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bottom w:val="single" w:sz="8" w:space="0" w:color="auto"/>
              <w:right w:val="dotted" w:sz="4" w:space="0" w:color="auto"/>
            </w:tcBorders>
            <w:shd w:val="clear" w:color="auto" w:fill="auto"/>
            <w:noWrap/>
            <w:vAlign w:val="center"/>
          </w:tcPr>
          <w:p w14:paraId="3CC2E7D6"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737" w:type="dxa"/>
            <w:tcBorders>
              <w:top w:val="single" w:sz="8" w:space="0" w:color="auto"/>
              <w:left w:val="dotted" w:sz="4" w:space="0" w:color="auto"/>
              <w:bottom w:val="single" w:sz="8" w:space="0" w:color="auto"/>
              <w:right w:val="single" w:sz="8" w:space="0" w:color="auto"/>
            </w:tcBorders>
            <w:shd w:val="clear" w:color="auto" w:fill="auto"/>
            <w:noWrap/>
            <w:vAlign w:val="center"/>
          </w:tcPr>
          <w:p w14:paraId="1C44C965"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709" w:type="dxa"/>
            <w:tcBorders>
              <w:top w:val="single" w:sz="8" w:space="0" w:color="auto"/>
              <w:left w:val="single" w:sz="8" w:space="0" w:color="auto"/>
              <w:bottom w:val="single" w:sz="8" w:space="0" w:color="auto"/>
              <w:right w:val="dotted" w:sz="4" w:space="0" w:color="auto"/>
            </w:tcBorders>
            <w:shd w:val="clear" w:color="auto" w:fill="auto"/>
            <w:noWrap/>
            <w:vAlign w:val="center"/>
          </w:tcPr>
          <w:p w14:paraId="15EEFA91"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single" w:sz="8" w:space="0" w:color="auto"/>
              <w:left w:val="dotted" w:sz="4" w:space="0" w:color="auto"/>
              <w:bottom w:val="single" w:sz="8" w:space="0" w:color="auto"/>
              <w:right w:val="single" w:sz="8" w:space="0" w:color="auto"/>
            </w:tcBorders>
            <w:shd w:val="clear" w:color="auto" w:fill="auto"/>
            <w:noWrap/>
            <w:vAlign w:val="center"/>
          </w:tcPr>
          <w:p w14:paraId="0C0F3C1C"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single" w:sz="8" w:space="0" w:color="auto"/>
              <w:left w:val="single" w:sz="8" w:space="0" w:color="auto"/>
              <w:bottom w:val="single" w:sz="8" w:space="0" w:color="auto"/>
              <w:right w:val="dotted" w:sz="4" w:space="0" w:color="auto"/>
            </w:tcBorders>
            <w:shd w:val="clear" w:color="auto" w:fill="auto"/>
            <w:noWrap/>
            <w:vAlign w:val="center"/>
          </w:tcPr>
          <w:p w14:paraId="3F81B0D3"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bottom w:val="single" w:sz="8" w:space="0" w:color="auto"/>
              <w:right w:val="dotted" w:sz="4" w:space="0" w:color="auto"/>
            </w:tcBorders>
            <w:shd w:val="clear" w:color="auto" w:fill="auto"/>
            <w:noWrap/>
            <w:vAlign w:val="center"/>
          </w:tcPr>
          <w:p w14:paraId="6D696066"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bottom w:val="single" w:sz="8" w:space="0" w:color="auto"/>
              <w:right w:val="dotted" w:sz="4" w:space="0" w:color="auto"/>
            </w:tcBorders>
            <w:shd w:val="clear" w:color="auto" w:fill="auto"/>
            <w:noWrap/>
            <w:vAlign w:val="center"/>
          </w:tcPr>
          <w:p w14:paraId="7EA40969"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713" w:type="dxa"/>
            <w:tcBorders>
              <w:top w:val="single" w:sz="8" w:space="0" w:color="auto"/>
              <w:left w:val="dotted" w:sz="4" w:space="0" w:color="auto"/>
              <w:bottom w:val="single" w:sz="8" w:space="0" w:color="auto"/>
              <w:right w:val="single" w:sz="8" w:space="0" w:color="auto"/>
            </w:tcBorders>
            <w:shd w:val="clear" w:color="auto" w:fill="auto"/>
            <w:noWrap/>
            <w:vAlign w:val="center"/>
          </w:tcPr>
          <w:p w14:paraId="7609F1C2"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single" w:sz="8" w:space="0" w:color="auto"/>
              <w:left w:val="single" w:sz="8" w:space="0" w:color="auto"/>
              <w:bottom w:val="single" w:sz="8" w:space="0" w:color="auto"/>
            </w:tcBorders>
            <w:shd w:val="clear" w:color="auto" w:fill="E7E6E6" w:themeFill="background2"/>
            <w:noWrap/>
            <w:vAlign w:val="center"/>
          </w:tcPr>
          <w:p w14:paraId="768C9FFA"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9</w:t>
            </w:r>
          </w:p>
        </w:tc>
      </w:tr>
      <w:tr w:rsidR="0005130D" w:rsidRPr="004C3C90" w14:paraId="20F40CAA" w14:textId="77777777" w:rsidTr="004C3C90">
        <w:trPr>
          <w:trHeight w:val="231"/>
        </w:trPr>
        <w:tc>
          <w:tcPr>
            <w:tcW w:w="2211" w:type="dxa"/>
            <w:tcBorders>
              <w:top w:val="single" w:sz="8" w:space="0" w:color="auto"/>
              <w:bottom w:val="single" w:sz="8" w:space="0" w:color="auto"/>
              <w:right w:val="single" w:sz="8" w:space="0" w:color="auto"/>
            </w:tcBorders>
            <w:shd w:val="clear" w:color="auto" w:fill="E7E6E6" w:themeFill="background2"/>
            <w:noWrap/>
            <w:vAlign w:val="center"/>
            <w:hideMark/>
          </w:tcPr>
          <w:p w14:paraId="7E0FE9FF" w14:textId="77777777" w:rsidR="0005130D" w:rsidRPr="004C3C90" w:rsidRDefault="0005130D" w:rsidP="004C3C90">
            <w:pPr>
              <w:spacing w:line="240" w:lineRule="auto"/>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lastRenderedPageBreak/>
              <w:t>Prevalence</w:t>
            </w:r>
          </w:p>
        </w:tc>
        <w:tc>
          <w:tcPr>
            <w:tcW w:w="712" w:type="dxa"/>
            <w:tcBorders>
              <w:top w:val="single" w:sz="8" w:space="0" w:color="auto"/>
              <w:left w:val="single" w:sz="8" w:space="0" w:color="auto"/>
              <w:bottom w:val="single" w:sz="8" w:space="0" w:color="auto"/>
              <w:right w:val="dotted" w:sz="4" w:space="0" w:color="auto"/>
            </w:tcBorders>
            <w:shd w:val="clear" w:color="auto" w:fill="auto"/>
            <w:noWrap/>
            <w:vAlign w:val="center"/>
            <w:hideMark/>
          </w:tcPr>
          <w:p w14:paraId="4390D492"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13"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14:paraId="2637C579"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759" w:type="dxa"/>
            <w:tcBorders>
              <w:top w:val="single" w:sz="8" w:space="0" w:color="auto"/>
              <w:left w:val="dotted" w:sz="4" w:space="0" w:color="auto"/>
              <w:bottom w:val="single" w:sz="8" w:space="0" w:color="auto"/>
              <w:right w:val="single" w:sz="8" w:space="0" w:color="auto"/>
            </w:tcBorders>
            <w:shd w:val="clear" w:color="auto" w:fill="auto"/>
            <w:noWrap/>
            <w:vAlign w:val="center"/>
            <w:hideMark/>
          </w:tcPr>
          <w:p w14:paraId="449F8408"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667" w:type="dxa"/>
            <w:tcBorders>
              <w:top w:val="single" w:sz="8" w:space="0" w:color="auto"/>
              <w:left w:val="single" w:sz="8" w:space="0" w:color="auto"/>
              <w:bottom w:val="single" w:sz="8" w:space="0" w:color="auto"/>
              <w:right w:val="dotted" w:sz="4" w:space="0" w:color="auto"/>
            </w:tcBorders>
            <w:shd w:val="clear" w:color="auto" w:fill="auto"/>
            <w:noWrap/>
            <w:vAlign w:val="center"/>
            <w:hideMark/>
          </w:tcPr>
          <w:p w14:paraId="3698EEEA"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14:paraId="24124FD7"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14:paraId="6D8DB3DC"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14:paraId="7039E712"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37" w:type="dxa"/>
            <w:tcBorders>
              <w:top w:val="single" w:sz="8" w:space="0" w:color="auto"/>
              <w:left w:val="dotted" w:sz="4" w:space="0" w:color="auto"/>
              <w:bottom w:val="single" w:sz="8" w:space="0" w:color="auto"/>
              <w:right w:val="single" w:sz="8" w:space="0" w:color="auto"/>
            </w:tcBorders>
            <w:shd w:val="clear" w:color="auto" w:fill="auto"/>
            <w:noWrap/>
            <w:vAlign w:val="center"/>
            <w:hideMark/>
          </w:tcPr>
          <w:p w14:paraId="786289F5"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single" w:sz="8" w:space="0" w:color="auto"/>
              <w:left w:val="single" w:sz="8" w:space="0" w:color="auto"/>
              <w:bottom w:val="single" w:sz="8" w:space="0" w:color="auto"/>
              <w:right w:val="dotted" w:sz="4" w:space="0" w:color="auto"/>
            </w:tcBorders>
            <w:shd w:val="clear" w:color="auto" w:fill="auto"/>
            <w:noWrap/>
            <w:vAlign w:val="center"/>
            <w:hideMark/>
          </w:tcPr>
          <w:p w14:paraId="775375E9"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09" w:type="dxa"/>
            <w:tcBorders>
              <w:top w:val="single" w:sz="8" w:space="0" w:color="auto"/>
              <w:left w:val="dotted" w:sz="4" w:space="0" w:color="auto"/>
              <w:bottom w:val="single" w:sz="8" w:space="0" w:color="auto"/>
              <w:right w:val="single" w:sz="8" w:space="0" w:color="auto"/>
            </w:tcBorders>
            <w:shd w:val="clear" w:color="auto" w:fill="auto"/>
            <w:noWrap/>
            <w:vAlign w:val="center"/>
            <w:hideMark/>
          </w:tcPr>
          <w:p w14:paraId="57DF59DD"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696" w:type="dxa"/>
            <w:tcBorders>
              <w:top w:val="single" w:sz="8" w:space="0" w:color="auto"/>
              <w:left w:val="single" w:sz="8" w:space="0" w:color="auto"/>
              <w:bottom w:val="single" w:sz="8" w:space="0" w:color="auto"/>
              <w:right w:val="dotted" w:sz="4" w:space="0" w:color="auto"/>
            </w:tcBorders>
            <w:shd w:val="clear" w:color="auto" w:fill="auto"/>
            <w:noWrap/>
            <w:vAlign w:val="center"/>
            <w:hideMark/>
          </w:tcPr>
          <w:p w14:paraId="2E87549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14:paraId="18C6095E"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13"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14:paraId="00621812" w14:textId="77777777" w:rsidR="0005130D" w:rsidRPr="004C3C90" w:rsidRDefault="0005130D"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713" w:type="dxa"/>
            <w:tcBorders>
              <w:top w:val="single" w:sz="8" w:space="0" w:color="auto"/>
              <w:left w:val="dotted" w:sz="4" w:space="0" w:color="auto"/>
              <w:bottom w:val="single" w:sz="8" w:space="0" w:color="auto"/>
              <w:right w:val="single" w:sz="8" w:space="0" w:color="auto"/>
            </w:tcBorders>
            <w:shd w:val="clear" w:color="auto" w:fill="auto"/>
            <w:noWrap/>
            <w:vAlign w:val="center"/>
            <w:hideMark/>
          </w:tcPr>
          <w:p w14:paraId="4E421180" w14:textId="77777777" w:rsidR="0005130D" w:rsidRPr="004C3C90" w:rsidRDefault="0005130D" w:rsidP="004C3C90">
            <w:pPr>
              <w:spacing w:line="240" w:lineRule="auto"/>
              <w:jc w:val="center"/>
              <w:rPr>
                <w:rFonts w:ascii="Times New Roman" w:eastAsia="Times New Roman" w:hAnsi="Times New Roman" w:cs="Times New Roman"/>
                <w:sz w:val="20"/>
                <w:szCs w:val="20"/>
              </w:rPr>
            </w:pPr>
          </w:p>
        </w:tc>
        <w:tc>
          <w:tcPr>
            <w:tcW w:w="749" w:type="dxa"/>
            <w:tcBorders>
              <w:top w:val="single" w:sz="8" w:space="0" w:color="auto"/>
              <w:left w:val="single" w:sz="8" w:space="0" w:color="auto"/>
              <w:bottom w:val="single" w:sz="8" w:space="0" w:color="auto"/>
            </w:tcBorders>
            <w:shd w:val="clear" w:color="auto" w:fill="E7E6E6" w:themeFill="background2"/>
            <w:noWrap/>
            <w:vAlign w:val="center"/>
            <w:hideMark/>
          </w:tcPr>
          <w:p w14:paraId="57A646B9"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8</w:t>
            </w:r>
          </w:p>
        </w:tc>
      </w:tr>
      <w:tr w:rsidR="0005130D" w:rsidRPr="004C3C90" w14:paraId="2823BCD4" w14:textId="77777777" w:rsidTr="004C3C90">
        <w:trPr>
          <w:trHeight w:val="231"/>
        </w:trPr>
        <w:tc>
          <w:tcPr>
            <w:tcW w:w="2211" w:type="dxa"/>
            <w:tcBorders>
              <w:top w:val="single" w:sz="8" w:space="0" w:color="auto"/>
              <w:bottom w:val="single" w:sz="8" w:space="0" w:color="auto"/>
              <w:right w:val="single" w:sz="8" w:space="0" w:color="auto"/>
            </w:tcBorders>
            <w:shd w:val="clear" w:color="auto" w:fill="E7E6E6" w:themeFill="background2"/>
            <w:noWrap/>
            <w:vAlign w:val="center"/>
            <w:hideMark/>
          </w:tcPr>
          <w:p w14:paraId="4D9686FC"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Total</w:t>
            </w:r>
          </w:p>
        </w:tc>
        <w:tc>
          <w:tcPr>
            <w:tcW w:w="712" w:type="dxa"/>
            <w:tcBorders>
              <w:top w:val="single" w:sz="8" w:space="0" w:color="auto"/>
              <w:left w:val="single" w:sz="8" w:space="0" w:color="auto"/>
              <w:bottom w:val="single" w:sz="8" w:space="0" w:color="auto"/>
              <w:right w:val="dotted" w:sz="4" w:space="0" w:color="auto"/>
            </w:tcBorders>
            <w:shd w:val="clear" w:color="auto" w:fill="E7E6E6" w:themeFill="background2"/>
            <w:noWrap/>
            <w:vAlign w:val="center"/>
            <w:hideMark/>
          </w:tcPr>
          <w:p w14:paraId="22C5585A"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18</w:t>
            </w:r>
          </w:p>
        </w:tc>
        <w:tc>
          <w:tcPr>
            <w:tcW w:w="713" w:type="dxa"/>
            <w:tcBorders>
              <w:top w:val="single" w:sz="8" w:space="0" w:color="auto"/>
              <w:left w:val="dotted" w:sz="4" w:space="0" w:color="auto"/>
              <w:bottom w:val="single" w:sz="8" w:space="0" w:color="auto"/>
              <w:right w:val="dotted" w:sz="4" w:space="0" w:color="auto"/>
            </w:tcBorders>
            <w:shd w:val="clear" w:color="auto" w:fill="E7E6E6" w:themeFill="background2"/>
            <w:noWrap/>
            <w:vAlign w:val="center"/>
            <w:hideMark/>
          </w:tcPr>
          <w:p w14:paraId="07DB3044"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41</w:t>
            </w:r>
          </w:p>
        </w:tc>
        <w:tc>
          <w:tcPr>
            <w:tcW w:w="759" w:type="dxa"/>
            <w:tcBorders>
              <w:top w:val="single" w:sz="8" w:space="0" w:color="auto"/>
              <w:left w:val="dotted" w:sz="4" w:space="0" w:color="auto"/>
              <w:bottom w:val="single" w:sz="8" w:space="0" w:color="auto"/>
              <w:right w:val="single" w:sz="8" w:space="0" w:color="auto"/>
            </w:tcBorders>
            <w:shd w:val="clear" w:color="auto" w:fill="E7E6E6" w:themeFill="background2"/>
            <w:noWrap/>
            <w:vAlign w:val="center"/>
            <w:hideMark/>
          </w:tcPr>
          <w:p w14:paraId="7ED763AF"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18</w:t>
            </w:r>
          </w:p>
        </w:tc>
        <w:tc>
          <w:tcPr>
            <w:tcW w:w="667" w:type="dxa"/>
            <w:tcBorders>
              <w:top w:val="single" w:sz="8" w:space="0" w:color="auto"/>
              <w:left w:val="single" w:sz="8" w:space="0" w:color="auto"/>
              <w:bottom w:val="single" w:sz="8" w:space="0" w:color="auto"/>
              <w:right w:val="dotted" w:sz="4" w:space="0" w:color="auto"/>
            </w:tcBorders>
            <w:shd w:val="clear" w:color="auto" w:fill="E7E6E6" w:themeFill="background2"/>
            <w:noWrap/>
            <w:vAlign w:val="center"/>
            <w:hideMark/>
          </w:tcPr>
          <w:p w14:paraId="28183F9D"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4</w:t>
            </w:r>
          </w:p>
        </w:tc>
        <w:tc>
          <w:tcPr>
            <w:tcW w:w="713" w:type="dxa"/>
            <w:tcBorders>
              <w:top w:val="single" w:sz="8" w:space="0" w:color="auto"/>
              <w:left w:val="dotted" w:sz="4" w:space="0" w:color="auto"/>
              <w:bottom w:val="single" w:sz="8" w:space="0" w:color="auto"/>
              <w:right w:val="dotted" w:sz="4" w:space="0" w:color="auto"/>
            </w:tcBorders>
            <w:shd w:val="clear" w:color="auto" w:fill="E7E6E6" w:themeFill="background2"/>
            <w:noWrap/>
            <w:vAlign w:val="center"/>
            <w:hideMark/>
          </w:tcPr>
          <w:p w14:paraId="454D3A6F"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1</w:t>
            </w:r>
          </w:p>
        </w:tc>
        <w:tc>
          <w:tcPr>
            <w:tcW w:w="713" w:type="dxa"/>
            <w:tcBorders>
              <w:top w:val="single" w:sz="8" w:space="0" w:color="auto"/>
              <w:left w:val="dotted" w:sz="4" w:space="0" w:color="auto"/>
              <w:bottom w:val="single" w:sz="8" w:space="0" w:color="auto"/>
              <w:right w:val="dotted" w:sz="4" w:space="0" w:color="auto"/>
            </w:tcBorders>
            <w:shd w:val="clear" w:color="auto" w:fill="E7E6E6" w:themeFill="background2"/>
            <w:noWrap/>
            <w:vAlign w:val="center"/>
            <w:hideMark/>
          </w:tcPr>
          <w:p w14:paraId="3EC78A58"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1</w:t>
            </w:r>
          </w:p>
        </w:tc>
        <w:tc>
          <w:tcPr>
            <w:tcW w:w="713" w:type="dxa"/>
            <w:tcBorders>
              <w:top w:val="single" w:sz="8" w:space="0" w:color="auto"/>
              <w:left w:val="dotted" w:sz="4" w:space="0" w:color="auto"/>
              <w:bottom w:val="single" w:sz="8" w:space="0" w:color="auto"/>
              <w:right w:val="dotted" w:sz="4" w:space="0" w:color="auto"/>
            </w:tcBorders>
            <w:shd w:val="clear" w:color="auto" w:fill="E7E6E6" w:themeFill="background2"/>
            <w:noWrap/>
            <w:vAlign w:val="center"/>
            <w:hideMark/>
          </w:tcPr>
          <w:p w14:paraId="08131987"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9</w:t>
            </w:r>
          </w:p>
        </w:tc>
        <w:tc>
          <w:tcPr>
            <w:tcW w:w="737" w:type="dxa"/>
            <w:tcBorders>
              <w:top w:val="single" w:sz="8" w:space="0" w:color="auto"/>
              <w:left w:val="dotted" w:sz="4" w:space="0" w:color="auto"/>
              <w:bottom w:val="single" w:sz="8" w:space="0" w:color="auto"/>
              <w:right w:val="single" w:sz="8" w:space="0" w:color="auto"/>
            </w:tcBorders>
            <w:shd w:val="clear" w:color="auto" w:fill="E7E6E6" w:themeFill="background2"/>
            <w:noWrap/>
            <w:vAlign w:val="center"/>
            <w:hideMark/>
          </w:tcPr>
          <w:p w14:paraId="5FC7156D"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3</w:t>
            </w:r>
          </w:p>
        </w:tc>
        <w:tc>
          <w:tcPr>
            <w:tcW w:w="709" w:type="dxa"/>
            <w:tcBorders>
              <w:top w:val="single" w:sz="8" w:space="0" w:color="auto"/>
              <w:left w:val="single" w:sz="8" w:space="0" w:color="auto"/>
              <w:bottom w:val="single" w:sz="8" w:space="0" w:color="auto"/>
              <w:right w:val="dotted" w:sz="4" w:space="0" w:color="auto"/>
            </w:tcBorders>
            <w:shd w:val="clear" w:color="auto" w:fill="E7E6E6" w:themeFill="background2"/>
            <w:noWrap/>
            <w:vAlign w:val="center"/>
            <w:hideMark/>
          </w:tcPr>
          <w:p w14:paraId="738DD814"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1</w:t>
            </w:r>
          </w:p>
        </w:tc>
        <w:tc>
          <w:tcPr>
            <w:tcW w:w="709" w:type="dxa"/>
            <w:tcBorders>
              <w:top w:val="single" w:sz="8" w:space="0" w:color="auto"/>
              <w:left w:val="dotted" w:sz="4" w:space="0" w:color="auto"/>
              <w:bottom w:val="single" w:sz="8" w:space="0" w:color="auto"/>
              <w:right w:val="single" w:sz="8" w:space="0" w:color="auto"/>
            </w:tcBorders>
            <w:shd w:val="clear" w:color="auto" w:fill="E7E6E6" w:themeFill="background2"/>
            <w:noWrap/>
            <w:vAlign w:val="center"/>
            <w:hideMark/>
          </w:tcPr>
          <w:p w14:paraId="23A75D2C"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6</w:t>
            </w:r>
          </w:p>
        </w:tc>
        <w:tc>
          <w:tcPr>
            <w:tcW w:w="696" w:type="dxa"/>
            <w:tcBorders>
              <w:top w:val="single" w:sz="8" w:space="0" w:color="auto"/>
              <w:left w:val="single" w:sz="8" w:space="0" w:color="auto"/>
              <w:bottom w:val="single" w:sz="8" w:space="0" w:color="auto"/>
              <w:right w:val="dotted" w:sz="4" w:space="0" w:color="auto"/>
            </w:tcBorders>
            <w:shd w:val="clear" w:color="auto" w:fill="E7E6E6" w:themeFill="background2"/>
            <w:noWrap/>
            <w:vAlign w:val="center"/>
            <w:hideMark/>
          </w:tcPr>
          <w:p w14:paraId="66AE15A8"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7</w:t>
            </w:r>
          </w:p>
        </w:tc>
        <w:tc>
          <w:tcPr>
            <w:tcW w:w="713" w:type="dxa"/>
            <w:tcBorders>
              <w:top w:val="single" w:sz="8" w:space="0" w:color="auto"/>
              <w:left w:val="dotted" w:sz="4" w:space="0" w:color="auto"/>
              <w:bottom w:val="single" w:sz="8" w:space="0" w:color="auto"/>
              <w:right w:val="dotted" w:sz="4" w:space="0" w:color="auto"/>
            </w:tcBorders>
            <w:shd w:val="clear" w:color="auto" w:fill="E7E6E6" w:themeFill="background2"/>
            <w:noWrap/>
            <w:vAlign w:val="center"/>
            <w:hideMark/>
          </w:tcPr>
          <w:p w14:paraId="3F81C278"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1</w:t>
            </w:r>
          </w:p>
        </w:tc>
        <w:tc>
          <w:tcPr>
            <w:tcW w:w="713" w:type="dxa"/>
            <w:tcBorders>
              <w:top w:val="single" w:sz="8" w:space="0" w:color="auto"/>
              <w:left w:val="dotted" w:sz="4" w:space="0" w:color="auto"/>
              <w:bottom w:val="single" w:sz="8" w:space="0" w:color="auto"/>
              <w:right w:val="dotted" w:sz="4" w:space="0" w:color="auto"/>
            </w:tcBorders>
            <w:shd w:val="clear" w:color="auto" w:fill="E7E6E6" w:themeFill="background2"/>
            <w:noWrap/>
            <w:vAlign w:val="center"/>
            <w:hideMark/>
          </w:tcPr>
          <w:p w14:paraId="700E59C5"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3</w:t>
            </w:r>
          </w:p>
        </w:tc>
        <w:tc>
          <w:tcPr>
            <w:tcW w:w="713" w:type="dxa"/>
            <w:tcBorders>
              <w:top w:val="single" w:sz="8" w:space="0" w:color="auto"/>
              <w:left w:val="dotted" w:sz="4" w:space="0" w:color="auto"/>
              <w:bottom w:val="single" w:sz="8" w:space="0" w:color="auto"/>
              <w:right w:val="single" w:sz="8" w:space="0" w:color="auto"/>
            </w:tcBorders>
            <w:shd w:val="clear" w:color="auto" w:fill="E7E6E6" w:themeFill="background2"/>
            <w:noWrap/>
            <w:vAlign w:val="center"/>
            <w:hideMark/>
          </w:tcPr>
          <w:p w14:paraId="7196D525"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2</w:t>
            </w:r>
          </w:p>
        </w:tc>
        <w:tc>
          <w:tcPr>
            <w:tcW w:w="749" w:type="dxa"/>
            <w:tcBorders>
              <w:top w:val="single" w:sz="8" w:space="0" w:color="auto"/>
              <w:left w:val="single" w:sz="8" w:space="0" w:color="auto"/>
              <w:bottom w:val="single" w:sz="8" w:space="0" w:color="auto"/>
            </w:tcBorders>
            <w:shd w:val="clear" w:color="auto" w:fill="E7E6E6" w:themeFill="background2"/>
            <w:noWrap/>
            <w:vAlign w:val="center"/>
            <w:hideMark/>
          </w:tcPr>
          <w:p w14:paraId="427BF2F0" w14:textId="77777777" w:rsidR="0005130D" w:rsidRPr="004C3C90" w:rsidRDefault="0005130D" w:rsidP="004C3C90">
            <w:pPr>
              <w:spacing w:line="240" w:lineRule="auto"/>
              <w:jc w:val="center"/>
              <w:rPr>
                <w:rFonts w:ascii="Times New Roman" w:eastAsia="Times New Roman" w:hAnsi="Times New Roman" w:cs="Times New Roman"/>
                <w:b/>
                <w:bCs/>
                <w:sz w:val="20"/>
                <w:szCs w:val="20"/>
              </w:rPr>
            </w:pPr>
            <w:r w:rsidRPr="004C3C90">
              <w:rPr>
                <w:rFonts w:ascii="Times New Roman" w:eastAsia="Times New Roman" w:hAnsi="Times New Roman" w:cs="Times New Roman"/>
                <w:b/>
                <w:bCs/>
                <w:sz w:val="20"/>
                <w:szCs w:val="20"/>
              </w:rPr>
              <w:t>115</w:t>
            </w:r>
          </w:p>
        </w:tc>
      </w:tr>
    </w:tbl>
    <w:p w14:paraId="6FD9ED33" w14:textId="77777777" w:rsidR="0005130D" w:rsidRPr="004C3C90" w:rsidRDefault="0005130D" w:rsidP="0005130D">
      <w:pPr>
        <w:rPr>
          <w:rFonts w:ascii="Times New Roman" w:eastAsia="Times New Roman" w:hAnsi="Times New Roman" w:cs="Times New Roman"/>
          <w:sz w:val="20"/>
          <w:szCs w:val="20"/>
        </w:rPr>
        <w:sectPr w:rsidR="0005130D" w:rsidRPr="004C3C90" w:rsidSect="00EE50CE">
          <w:pgSz w:w="15840" w:h="12240" w:orient="landscape"/>
          <w:pgMar w:top="1440" w:right="1440" w:bottom="1440" w:left="1440" w:header="720" w:footer="720" w:gutter="0"/>
          <w:cols w:space="720"/>
          <w:docGrid w:linePitch="326"/>
        </w:sectPr>
      </w:pPr>
    </w:p>
    <w:p w14:paraId="49630F95" w14:textId="4DDA0CA2" w:rsidR="001D3C18" w:rsidRPr="004C3C90" w:rsidRDefault="001D3C18">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p w14:paraId="1FA42E01" w14:textId="021F8076" w:rsidR="001D3C18" w:rsidRPr="004C3C90" w:rsidRDefault="00E1479D" w:rsidP="004C3C90">
      <w:pPr>
        <w:pStyle w:val="a4"/>
        <w:keepNext/>
        <w:spacing w:line="480" w:lineRule="auto"/>
        <w:rPr>
          <w:rFonts w:ascii="Times New Roman" w:hAnsi="Times New Roman" w:cs="Times New Roman"/>
          <w:b/>
          <w:i w:val="0"/>
          <w:color w:val="auto"/>
          <w:sz w:val="20"/>
          <w:szCs w:val="20"/>
        </w:rPr>
      </w:pPr>
      <w:r w:rsidRPr="004C3C90">
        <w:rPr>
          <w:rFonts w:ascii="Times New Roman" w:hAnsi="Times New Roman" w:cs="Times New Roman"/>
          <w:b/>
          <w:i w:val="0"/>
          <w:color w:val="auto"/>
          <w:sz w:val="20"/>
          <w:szCs w:val="20"/>
        </w:rPr>
        <w:t xml:space="preserve">Supplementary </w:t>
      </w:r>
      <w:r w:rsidR="002B411B" w:rsidRPr="004C3C90">
        <w:rPr>
          <w:rFonts w:ascii="Times New Roman" w:hAnsi="Times New Roman" w:cs="Times New Roman"/>
          <w:b/>
          <w:i w:val="0"/>
          <w:color w:val="auto"/>
          <w:sz w:val="20"/>
          <w:szCs w:val="20"/>
        </w:rPr>
        <w:t>t</w:t>
      </w:r>
      <w:r w:rsidRPr="004C3C90">
        <w:rPr>
          <w:rFonts w:ascii="Times New Roman" w:hAnsi="Times New Roman" w:cs="Times New Roman"/>
          <w:b/>
          <w:i w:val="0"/>
          <w:color w:val="auto"/>
          <w:sz w:val="20"/>
          <w:szCs w:val="20"/>
        </w:rPr>
        <w:t>able</w:t>
      </w:r>
      <w:r w:rsidR="009D643F" w:rsidRPr="004C3C90">
        <w:rPr>
          <w:rFonts w:ascii="Times New Roman" w:hAnsi="Times New Roman" w:cs="Times New Roman"/>
          <w:b/>
          <w:i w:val="0"/>
          <w:color w:val="auto"/>
          <w:sz w:val="20"/>
          <w:szCs w:val="20"/>
        </w:rPr>
        <w:t xml:space="preserve"> </w:t>
      </w:r>
      <w:r w:rsidRPr="004C3C90">
        <w:rPr>
          <w:rFonts w:ascii="Times New Roman" w:hAnsi="Times New Roman" w:cs="Times New Roman"/>
          <w:b/>
          <w:i w:val="0"/>
          <w:color w:val="auto"/>
          <w:sz w:val="20"/>
          <w:szCs w:val="20"/>
        </w:rPr>
        <w:t>8</w:t>
      </w:r>
      <w:r w:rsidR="009D643F" w:rsidRPr="004C3C90">
        <w:rPr>
          <w:rFonts w:ascii="Times New Roman" w:hAnsi="Times New Roman" w:cs="Times New Roman"/>
          <w:b/>
          <w:i w:val="0"/>
          <w:color w:val="auto"/>
          <w:sz w:val="20"/>
          <w:szCs w:val="20"/>
        </w:rPr>
        <w:t>. Excluded articles via screening (n=1,047)</w:t>
      </w:r>
    </w:p>
    <w:tbl>
      <w:tblPr>
        <w:tblW w:w="0" w:type="auto"/>
        <w:tblBorders>
          <w:top w:val="single" w:sz="4" w:space="0" w:color="auto"/>
          <w:bottom w:val="single" w:sz="4" w:space="0" w:color="auto"/>
          <w:insideH w:val="dotted" w:sz="4" w:space="0" w:color="auto"/>
        </w:tblBorders>
        <w:tblLayout w:type="fixed"/>
        <w:tblCellMar>
          <w:left w:w="0" w:type="dxa"/>
          <w:right w:w="0" w:type="dxa"/>
        </w:tblCellMar>
        <w:tblLook w:val="0400" w:firstRow="0" w:lastRow="0" w:firstColumn="0" w:lastColumn="0" w:noHBand="0" w:noVBand="1"/>
      </w:tblPr>
      <w:tblGrid>
        <w:gridCol w:w="550"/>
        <w:gridCol w:w="1071"/>
        <w:gridCol w:w="3741"/>
        <w:gridCol w:w="7010"/>
        <w:gridCol w:w="568"/>
      </w:tblGrid>
      <w:tr w:rsidR="004C3C90" w:rsidRPr="004C3C90" w14:paraId="72705DBF" w14:textId="77777777" w:rsidTr="004C3C90">
        <w:trPr>
          <w:trHeight w:val="20"/>
        </w:trPr>
        <w:tc>
          <w:tcPr>
            <w:tcW w:w="550" w:type="dxa"/>
            <w:tcBorders>
              <w:top w:val="single" w:sz="4" w:space="0" w:color="auto"/>
              <w:bottom w:val="single" w:sz="4" w:space="0" w:color="auto"/>
            </w:tcBorders>
            <w:shd w:val="clear" w:color="auto" w:fill="auto"/>
            <w:vAlign w:val="center"/>
          </w:tcPr>
          <w:p w14:paraId="4C126E1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NO.</w:t>
            </w:r>
          </w:p>
        </w:tc>
        <w:tc>
          <w:tcPr>
            <w:tcW w:w="1071" w:type="dxa"/>
            <w:tcBorders>
              <w:top w:val="single" w:sz="4" w:space="0" w:color="auto"/>
              <w:bottom w:val="single" w:sz="4" w:space="0" w:color="auto"/>
            </w:tcBorders>
            <w:shd w:val="clear" w:color="auto" w:fill="auto"/>
            <w:vAlign w:val="center"/>
          </w:tcPr>
          <w:p w14:paraId="7A17515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Exclusive criteria #</w:t>
            </w:r>
          </w:p>
        </w:tc>
        <w:tc>
          <w:tcPr>
            <w:tcW w:w="3741" w:type="dxa"/>
            <w:tcBorders>
              <w:top w:val="single" w:sz="4" w:space="0" w:color="auto"/>
              <w:bottom w:val="single" w:sz="4" w:space="0" w:color="auto"/>
            </w:tcBorders>
            <w:shd w:val="clear" w:color="auto" w:fill="auto"/>
            <w:vAlign w:val="center"/>
          </w:tcPr>
          <w:p w14:paraId="6B9915C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Authors</w:t>
            </w:r>
          </w:p>
        </w:tc>
        <w:tc>
          <w:tcPr>
            <w:tcW w:w="7010" w:type="dxa"/>
            <w:tcBorders>
              <w:top w:val="single" w:sz="4" w:space="0" w:color="auto"/>
              <w:bottom w:val="single" w:sz="4" w:space="0" w:color="auto"/>
            </w:tcBorders>
            <w:shd w:val="clear" w:color="auto" w:fill="auto"/>
            <w:vAlign w:val="center"/>
          </w:tcPr>
          <w:p w14:paraId="6AE6628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Title</w:t>
            </w:r>
          </w:p>
        </w:tc>
        <w:tc>
          <w:tcPr>
            <w:tcW w:w="568" w:type="dxa"/>
            <w:tcBorders>
              <w:top w:val="single" w:sz="4" w:space="0" w:color="auto"/>
              <w:bottom w:val="single" w:sz="4" w:space="0" w:color="auto"/>
            </w:tcBorders>
            <w:shd w:val="clear" w:color="auto" w:fill="auto"/>
            <w:vAlign w:val="center"/>
          </w:tcPr>
          <w:p w14:paraId="235E445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Year</w:t>
            </w:r>
          </w:p>
        </w:tc>
      </w:tr>
      <w:tr w:rsidR="004C3C90" w:rsidRPr="004C3C90" w14:paraId="25AE7B73" w14:textId="77777777" w:rsidTr="004C3C90">
        <w:trPr>
          <w:trHeight w:val="20"/>
        </w:trPr>
        <w:tc>
          <w:tcPr>
            <w:tcW w:w="550" w:type="dxa"/>
            <w:tcBorders>
              <w:top w:val="single" w:sz="4" w:space="0" w:color="auto"/>
            </w:tcBorders>
            <w:shd w:val="clear" w:color="auto" w:fill="auto"/>
            <w:vAlign w:val="center"/>
          </w:tcPr>
          <w:p w14:paraId="5BC965A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w:t>
            </w:r>
          </w:p>
        </w:tc>
        <w:tc>
          <w:tcPr>
            <w:tcW w:w="1071" w:type="dxa"/>
            <w:tcBorders>
              <w:top w:val="single" w:sz="4" w:space="0" w:color="auto"/>
            </w:tcBorders>
            <w:shd w:val="clear" w:color="auto" w:fill="auto"/>
            <w:vAlign w:val="center"/>
          </w:tcPr>
          <w:p w14:paraId="584E1F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3741" w:type="dxa"/>
            <w:tcBorders>
              <w:top w:val="single" w:sz="4" w:space="0" w:color="auto"/>
            </w:tcBorders>
            <w:shd w:val="clear" w:color="auto" w:fill="auto"/>
            <w:vAlign w:val="center"/>
          </w:tcPr>
          <w:p w14:paraId="481E04B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Medić B, Divac N, Stopić N, Savić-Vujović K, Glišić A, Cerovac N, et al. </w:t>
            </w:r>
          </w:p>
        </w:tc>
        <w:tc>
          <w:tcPr>
            <w:tcW w:w="7010" w:type="dxa"/>
            <w:tcBorders>
              <w:top w:val="single" w:sz="4" w:space="0" w:color="auto"/>
            </w:tcBorders>
            <w:shd w:val="clear" w:color="auto" w:fill="auto"/>
            <w:vAlign w:val="center"/>
          </w:tcPr>
          <w:p w14:paraId="42A706A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Attitudes of Medical Students Towards Rare Diseases: A Cross-Sectional Study</w:t>
            </w:r>
          </w:p>
        </w:tc>
        <w:tc>
          <w:tcPr>
            <w:tcW w:w="568" w:type="dxa"/>
            <w:tcBorders>
              <w:top w:val="single" w:sz="4" w:space="0" w:color="auto"/>
            </w:tcBorders>
            <w:shd w:val="clear" w:color="auto" w:fill="auto"/>
            <w:vAlign w:val="center"/>
          </w:tcPr>
          <w:p w14:paraId="1CB6A39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5D0D92CD" w14:textId="77777777" w:rsidTr="004C3C90">
        <w:trPr>
          <w:trHeight w:val="20"/>
        </w:trPr>
        <w:tc>
          <w:tcPr>
            <w:tcW w:w="550" w:type="dxa"/>
            <w:shd w:val="clear" w:color="auto" w:fill="auto"/>
            <w:vAlign w:val="center"/>
          </w:tcPr>
          <w:p w14:paraId="31C2A8F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w:t>
            </w:r>
          </w:p>
        </w:tc>
        <w:tc>
          <w:tcPr>
            <w:tcW w:w="1071" w:type="dxa"/>
            <w:shd w:val="clear" w:color="auto" w:fill="auto"/>
            <w:vAlign w:val="center"/>
          </w:tcPr>
          <w:p w14:paraId="13D902C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3741" w:type="dxa"/>
            <w:shd w:val="clear" w:color="auto" w:fill="auto"/>
            <w:vAlign w:val="center"/>
          </w:tcPr>
          <w:p w14:paraId="074CF14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Queiroz MC, Pedrosa RC, Berensztejn AC, Pereira Bde B, Nascimento EM, Duarte MM, et al. </w:t>
            </w:r>
          </w:p>
        </w:tc>
        <w:tc>
          <w:tcPr>
            <w:tcW w:w="7010" w:type="dxa"/>
            <w:shd w:val="clear" w:color="auto" w:fill="auto"/>
            <w:vAlign w:val="center"/>
          </w:tcPr>
          <w:p w14:paraId="2DD0E7D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Frequency of Cardiovascular Involvement in Familial Amyloidotic Polyneuropathy in Brazilian Patients</w:t>
            </w:r>
          </w:p>
        </w:tc>
        <w:tc>
          <w:tcPr>
            <w:tcW w:w="568" w:type="dxa"/>
            <w:shd w:val="clear" w:color="auto" w:fill="auto"/>
            <w:vAlign w:val="center"/>
          </w:tcPr>
          <w:p w14:paraId="425BF68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9023C14" w14:textId="77777777" w:rsidTr="004C3C90">
        <w:trPr>
          <w:trHeight w:val="20"/>
        </w:trPr>
        <w:tc>
          <w:tcPr>
            <w:tcW w:w="550" w:type="dxa"/>
            <w:shd w:val="clear" w:color="auto" w:fill="auto"/>
            <w:vAlign w:val="center"/>
          </w:tcPr>
          <w:p w14:paraId="6CC5A2A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w:t>
            </w:r>
          </w:p>
        </w:tc>
        <w:tc>
          <w:tcPr>
            <w:tcW w:w="1071" w:type="dxa"/>
            <w:shd w:val="clear" w:color="auto" w:fill="auto"/>
            <w:vAlign w:val="center"/>
          </w:tcPr>
          <w:p w14:paraId="74FECFB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3741" w:type="dxa"/>
            <w:shd w:val="clear" w:color="auto" w:fill="auto"/>
            <w:vAlign w:val="center"/>
          </w:tcPr>
          <w:p w14:paraId="6E74807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Ayça A, Pınar G, Korcan D, Gönül Ç, Ayhan A, Ece B</w:t>
            </w:r>
          </w:p>
        </w:tc>
        <w:tc>
          <w:tcPr>
            <w:tcW w:w="7010" w:type="dxa"/>
            <w:shd w:val="clear" w:color="auto" w:fill="auto"/>
            <w:vAlign w:val="center"/>
          </w:tcPr>
          <w:p w14:paraId="06714A5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Erken Başlangıçlı Graves Olgusu</w:t>
            </w:r>
          </w:p>
        </w:tc>
        <w:tc>
          <w:tcPr>
            <w:tcW w:w="568" w:type="dxa"/>
            <w:shd w:val="clear" w:color="auto" w:fill="auto"/>
            <w:vAlign w:val="center"/>
          </w:tcPr>
          <w:p w14:paraId="433DE83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63A243D6" w14:textId="77777777" w:rsidTr="004C3C90">
        <w:trPr>
          <w:trHeight w:val="20"/>
        </w:trPr>
        <w:tc>
          <w:tcPr>
            <w:tcW w:w="550" w:type="dxa"/>
            <w:shd w:val="clear" w:color="auto" w:fill="auto"/>
            <w:vAlign w:val="center"/>
          </w:tcPr>
          <w:p w14:paraId="25C7AAA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w:t>
            </w:r>
          </w:p>
        </w:tc>
        <w:tc>
          <w:tcPr>
            <w:tcW w:w="1071" w:type="dxa"/>
            <w:shd w:val="clear" w:color="auto" w:fill="auto"/>
            <w:vAlign w:val="center"/>
          </w:tcPr>
          <w:p w14:paraId="77EA84E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3741" w:type="dxa"/>
            <w:shd w:val="clear" w:color="auto" w:fill="auto"/>
            <w:vAlign w:val="center"/>
          </w:tcPr>
          <w:p w14:paraId="7AF9B9F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Ayça A, Pınar G, Korcan D, Gönül Ç, Ayhan A, Ece B</w:t>
            </w:r>
          </w:p>
        </w:tc>
        <w:tc>
          <w:tcPr>
            <w:tcW w:w="7010" w:type="dxa"/>
            <w:shd w:val="clear" w:color="auto" w:fill="auto"/>
            <w:vAlign w:val="center"/>
          </w:tcPr>
          <w:p w14:paraId="5960BC3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Infantile Graves Disease</w:t>
            </w:r>
          </w:p>
        </w:tc>
        <w:tc>
          <w:tcPr>
            <w:tcW w:w="568" w:type="dxa"/>
            <w:shd w:val="clear" w:color="auto" w:fill="auto"/>
            <w:vAlign w:val="center"/>
          </w:tcPr>
          <w:p w14:paraId="6F2117F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27501B44" w14:textId="77777777" w:rsidTr="004C3C90">
        <w:trPr>
          <w:trHeight w:val="20"/>
        </w:trPr>
        <w:tc>
          <w:tcPr>
            <w:tcW w:w="550" w:type="dxa"/>
            <w:shd w:val="clear" w:color="auto" w:fill="auto"/>
            <w:vAlign w:val="center"/>
          </w:tcPr>
          <w:p w14:paraId="63115D8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w:t>
            </w:r>
          </w:p>
        </w:tc>
        <w:tc>
          <w:tcPr>
            <w:tcW w:w="1071" w:type="dxa"/>
            <w:shd w:val="clear" w:color="auto" w:fill="auto"/>
            <w:vAlign w:val="center"/>
          </w:tcPr>
          <w:p w14:paraId="2C3EF13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3741" w:type="dxa"/>
            <w:shd w:val="clear" w:color="auto" w:fill="auto"/>
            <w:vAlign w:val="center"/>
          </w:tcPr>
          <w:p w14:paraId="05B9BD8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Ernst, G, Szczepanski, R, Lange, K</w:t>
            </w:r>
          </w:p>
        </w:tc>
        <w:tc>
          <w:tcPr>
            <w:tcW w:w="7010" w:type="dxa"/>
            <w:shd w:val="clear" w:color="auto" w:fill="auto"/>
            <w:vAlign w:val="center"/>
          </w:tcPr>
          <w:p w14:paraId="41A7B98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 Education Programs for Children, Adolescents and Parents - Survey on the Current Status of Concepts and Education Requirements in Germany</w:t>
            </w:r>
          </w:p>
        </w:tc>
        <w:tc>
          <w:tcPr>
            <w:tcW w:w="568" w:type="dxa"/>
            <w:shd w:val="clear" w:color="auto" w:fill="auto"/>
            <w:vAlign w:val="center"/>
          </w:tcPr>
          <w:p w14:paraId="5A847A2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45EF8C1A" w14:textId="77777777" w:rsidTr="004C3C90">
        <w:trPr>
          <w:trHeight w:val="20"/>
        </w:trPr>
        <w:tc>
          <w:tcPr>
            <w:tcW w:w="550" w:type="dxa"/>
            <w:shd w:val="clear" w:color="auto" w:fill="auto"/>
            <w:vAlign w:val="center"/>
          </w:tcPr>
          <w:p w14:paraId="4732D06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w:t>
            </w:r>
          </w:p>
        </w:tc>
        <w:tc>
          <w:tcPr>
            <w:tcW w:w="1071" w:type="dxa"/>
            <w:shd w:val="clear" w:color="auto" w:fill="auto"/>
            <w:vAlign w:val="center"/>
          </w:tcPr>
          <w:p w14:paraId="0371CAF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w:t>
            </w:r>
          </w:p>
        </w:tc>
        <w:tc>
          <w:tcPr>
            <w:tcW w:w="3741" w:type="dxa"/>
            <w:shd w:val="clear" w:color="auto" w:fill="auto"/>
            <w:vAlign w:val="center"/>
          </w:tcPr>
          <w:p w14:paraId="3F83835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Debrix I, André T, Flahault A, Kalu O, Gligorov J, Lotz JP, et al. </w:t>
            </w:r>
          </w:p>
        </w:tc>
        <w:tc>
          <w:tcPr>
            <w:tcW w:w="7010" w:type="dxa"/>
            <w:shd w:val="clear" w:color="auto" w:fill="auto"/>
            <w:vAlign w:val="center"/>
          </w:tcPr>
          <w:p w14:paraId="3352DA9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Anticancer Drugs Use Evaluation: Limits of the Approved Labeling</w:t>
            </w:r>
          </w:p>
        </w:tc>
        <w:tc>
          <w:tcPr>
            <w:tcW w:w="568" w:type="dxa"/>
            <w:shd w:val="clear" w:color="auto" w:fill="auto"/>
            <w:vAlign w:val="center"/>
          </w:tcPr>
          <w:p w14:paraId="0C98332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2004</w:t>
            </w:r>
          </w:p>
        </w:tc>
      </w:tr>
      <w:tr w:rsidR="004C3C90" w:rsidRPr="004C3C90" w14:paraId="456FA4BC" w14:textId="77777777" w:rsidTr="004C3C90">
        <w:trPr>
          <w:trHeight w:val="20"/>
        </w:trPr>
        <w:tc>
          <w:tcPr>
            <w:tcW w:w="550" w:type="dxa"/>
            <w:shd w:val="clear" w:color="auto" w:fill="auto"/>
            <w:vAlign w:val="center"/>
          </w:tcPr>
          <w:p w14:paraId="11DEA3F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w:t>
            </w:r>
          </w:p>
        </w:tc>
        <w:tc>
          <w:tcPr>
            <w:tcW w:w="1071" w:type="dxa"/>
            <w:shd w:val="clear" w:color="auto" w:fill="auto"/>
            <w:vAlign w:val="center"/>
          </w:tcPr>
          <w:p w14:paraId="2545823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76A0598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Ballard LM, Horton RH, Dheensa S, Fenwick A, Lucassen AM</w:t>
            </w:r>
          </w:p>
        </w:tc>
        <w:tc>
          <w:tcPr>
            <w:tcW w:w="7010" w:type="dxa"/>
            <w:shd w:val="clear" w:color="auto" w:fill="auto"/>
            <w:vAlign w:val="center"/>
          </w:tcPr>
          <w:p w14:paraId="0096A38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Exploring Broad Consent in the Context of the 100,000 Genomes Project: A Mixed Methods Study</w:t>
            </w:r>
          </w:p>
        </w:tc>
        <w:tc>
          <w:tcPr>
            <w:tcW w:w="568" w:type="dxa"/>
            <w:shd w:val="clear" w:color="auto" w:fill="auto"/>
            <w:vAlign w:val="center"/>
          </w:tcPr>
          <w:p w14:paraId="2E0D0B1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40484245" w14:textId="77777777" w:rsidTr="004C3C90">
        <w:trPr>
          <w:trHeight w:val="20"/>
        </w:trPr>
        <w:tc>
          <w:tcPr>
            <w:tcW w:w="550" w:type="dxa"/>
            <w:shd w:val="clear" w:color="auto" w:fill="auto"/>
            <w:vAlign w:val="center"/>
          </w:tcPr>
          <w:p w14:paraId="670F9FC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w:t>
            </w:r>
          </w:p>
        </w:tc>
        <w:tc>
          <w:tcPr>
            <w:tcW w:w="1071" w:type="dxa"/>
            <w:shd w:val="clear" w:color="auto" w:fill="auto"/>
            <w:vAlign w:val="center"/>
          </w:tcPr>
          <w:p w14:paraId="5D7208A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7AC3140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Şimşek İE, Şimşek TT, Erel S, Atasavun Uysal</w:t>
            </w:r>
            <w:r w:rsidRPr="004C3C90">
              <w:rPr>
                <w:rFonts w:ascii="Times New Roman" w:eastAsia="Times New Roman" w:hAnsi="Times New Roman" w:cs="Times New Roman"/>
                <w:sz w:val="20"/>
                <w:szCs w:val="20"/>
              </w:rPr>
              <w:t xml:space="preserve"> S</w:t>
            </w:r>
          </w:p>
        </w:tc>
        <w:tc>
          <w:tcPr>
            <w:tcW w:w="7010" w:type="dxa"/>
            <w:shd w:val="clear" w:color="auto" w:fill="auto"/>
            <w:vAlign w:val="center"/>
          </w:tcPr>
          <w:p w14:paraId="28E4728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Factors Affecting Health Related Quality of Life and Depression Levels of Mothers in Families Having Children with Chronic Disabilities</w:t>
            </w:r>
          </w:p>
        </w:tc>
        <w:tc>
          <w:tcPr>
            <w:tcW w:w="568" w:type="dxa"/>
            <w:shd w:val="clear" w:color="auto" w:fill="auto"/>
            <w:vAlign w:val="center"/>
          </w:tcPr>
          <w:p w14:paraId="5F0AE6E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6D384F1A" w14:textId="77777777" w:rsidTr="004C3C90">
        <w:trPr>
          <w:trHeight w:val="20"/>
        </w:trPr>
        <w:tc>
          <w:tcPr>
            <w:tcW w:w="550" w:type="dxa"/>
            <w:shd w:val="clear" w:color="auto" w:fill="auto"/>
            <w:vAlign w:val="center"/>
          </w:tcPr>
          <w:p w14:paraId="2F23269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w:t>
            </w:r>
          </w:p>
        </w:tc>
        <w:tc>
          <w:tcPr>
            <w:tcW w:w="1071" w:type="dxa"/>
            <w:shd w:val="clear" w:color="auto" w:fill="auto"/>
            <w:vAlign w:val="center"/>
          </w:tcPr>
          <w:p w14:paraId="728B1F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5E42875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Inês M. et al</w:t>
            </w:r>
          </w:p>
        </w:tc>
        <w:tc>
          <w:tcPr>
            <w:tcW w:w="7010" w:type="dxa"/>
            <w:shd w:val="clear" w:color="auto" w:fill="auto"/>
            <w:vAlign w:val="center"/>
          </w:tcPr>
          <w:p w14:paraId="3950267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Future Is Now: Discuss a Specific Program in Which the Leveraging of Data and Analytics Helped Uncover Insights That Might Have Been Missed in an Earlier Era</w:t>
            </w:r>
          </w:p>
        </w:tc>
        <w:tc>
          <w:tcPr>
            <w:tcW w:w="568" w:type="dxa"/>
            <w:shd w:val="clear" w:color="auto" w:fill="auto"/>
            <w:vAlign w:val="center"/>
          </w:tcPr>
          <w:p w14:paraId="52DFC2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0C8AB848" w14:textId="77777777" w:rsidTr="004C3C90">
        <w:trPr>
          <w:trHeight w:val="20"/>
        </w:trPr>
        <w:tc>
          <w:tcPr>
            <w:tcW w:w="550" w:type="dxa"/>
            <w:shd w:val="clear" w:color="auto" w:fill="auto"/>
            <w:vAlign w:val="center"/>
          </w:tcPr>
          <w:p w14:paraId="243F802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w:t>
            </w:r>
          </w:p>
        </w:tc>
        <w:tc>
          <w:tcPr>
            <w:tcW w:w="1071" w:type="dxa"/>
            <w:shd w:val="clear" w:color="auto" w:fill="auto"/>
            <w:vAlign w:val="center"/>
          </w:tcPr>
          <w:p w14:paraId="3323F44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055EB2F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Inês M, Coelho T, Conceição I, Ferreira L, de Carvalho M, Costa J</w:t>
            </w:r>
          </w:p>
        </w:tc>
        <w:tc>
          <w:tcPr>
            <w:tcW w:w="7010" w:type="dxa"/>
            <w:shd w:val="clear" w:color="auto" w:fill="auto"/>
            <w:vAlign w:val="center"/>
          </w:tcPr>
          <w:p w14:paraId="1D04748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Health-Related Quality of Life in Hereditary Transthyretin Amyloidosis Polyneuropathy: A Prospective, Observational Study</w:t>
            </w:r>
          </w:p>
        </w:tc>
        <w:tc>
          <w:tcPr>
            <w:tcW w:w="568" w:type="dxa"/>
            <w:shd w:val="clear" w:color="auto" w:fill="auto"/>
            <w:vAlign w:val="center"/>
          </w:tcPr>
          <w:p w14:paraId="4EF79E8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23E01678" w14:textId="77777777" w:rsidTr="004C3C90">
        <w:trPr>
          <w:trHeight w:val="20"/>
        </w:trPr>
        <w:tc>
          <w:tcPr>
            <w:tcW w:w="550" w:type="dxa"/>
            <w:shd w:val="clear" w:color="auto" w:fill="auto"/>
            <w:vAlign w:val="center"/>
          </w:tcPr>
          <w:p w14:paraId="40CC5DF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11</w:t>
            </w:r>
          </w:p>
        </w:tc>
        <w:tc>
          <w:tcPr>
            <w:tcW w:w="1071" w:type="dxa"/>
            <w:shd w:val="clear" w:color="auto" w:fill="auto"/>
            <w:vAlign w:val="center"/>
          </w:tcPr>
          <w:p w14:paraId="7B3D0B2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6FE24CE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Rohner A, Gutbrod K, Kohler B, Lidzba K, Fischer U, Goeggel-Simonetti B, et al. </w:t>
            </w:r>
          </w:p>
        </w:tc>
        <w:tc>
          <w:tcPr>
            <w:tcW w:w="7010" w:type="dxa"/>
            <w:shd w:val="clear" w:color="auto" w:fill="auto"/>
            <w:vAlign w:val="center"/>
          </w:tcPr>
          <w:p w14:paraId="57AE3E4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Health-Related Quality of Life in Young Adults Following Pediatric Arterial Ischemic Stroke</w:t>
            </w:r>
          </w:p>
        </w:tc>
        <w:tc>
          <w:tcPr>
            <w:tcW w:w="568" w:type="dxa"/>
            <w:shd w:val="clear" w:color="auto" w:fill="auto"/>
            <w:vAlign w:val="center"/>
          </w:tcPr>
          <w:p w14:paraId="5297C7F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67C9C8FA" w14:textId="77777777" w:rsidTr="004C3C90">
        <w:trPr>
          <w:trHeight w:val="20"/>
        </w:trPr>
        <w:tc>
          <w:tcPr>
            <w:tcW w:w="550" w:type="dxa"/>
            <w:shd w:val="clear" w:color="auto" w:fill="auto"/>
            <w:vAlign w:val="center"/>
          </w:tcPr>
          <w:p w14:paraId="66CAC01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12</w:t>
            </w:r>
          </w:p>
        </w:tc>
        <w:tc>
          <w:tcPr>
            <w:tcW w:w="1071" w:type="dxa"/>
            <w:shd w:val="clear" w:color="auto" w:fill="auto"/>
            <w:vAlign w:val="center"/>
          </w:tcPr>
          <w:p w14:paraId="0B387C5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1107CA3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Evans WRH, Tranter J, Rafi I, Hayward J, Qureshi N</w:t>
            </w:r>
          </w:p>
        </w:tc>
        <w:tc>
          <w:tcPr>
            <w:tcW w:w="7010" w:type="dxa"/>
            <w:shd w:val="clear" w:color="auto" w:fill="auto"/>
            <w:vAlign w:val="center"/>
          </w:tcPr>
          <w:p w14:paraId="72E6407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How Genomic Information Is Accessed in Clinical Practice: An Electronic Survey of Uk General Practitioners</w:t>
            </w:r>
          </w:p>
        </w:tc>
        <w:tc>
          <w:tcPr>
            <w:tcW w:w="568" w:type="dxa"/>
            <w:shd w:val="clear" w:color="auto" w:fill="auto"/>
            <w:vAlign w:val="center"/>
          </w:tcPr>
          <w:p w14:paraId="0643881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5C3BFBB1" w14:textId="77777777" w:rsidTr="004C3C90">
        <w:trPr>
          <w:trHeight w:val="20"/>
        </w:trPr>
        <w:tc>
          <w:tcPr>
            <w:tcW w:w="550" w:type="dxa"/>
            <w:shd w:val="clear" w:color="auto" w:fill="auto"/>
            <w:vAlign w:val="center"/>
          </w:tcPr>
          <w:p w14:paraId="4330161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13</w:t>
            </w:r>
          </w:p>
        </w:tc>
        <w:tc>
          <w:tcPr>
            <w:tcW w:w="1071" w:type="dxa"/>
            <w:shd w:val="clear" w:color="auto" w:fill="auto"/>
            <w:vAlign w:val="center"/>
          </w:tcPr>
          <w:p w14:paraId="26CCEA3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1E431D9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Jandhyala R</w:t>
            </w:r>
          </w:p>
        </w:tc>
        <w:tc>
          <w:tcPr>
            <w:tcW w:w="7010" w:type="dxa"/>
            <w:shd w:val="clear" w:color="auto" w:fill="auto"/>
            <w:vAlign w:val="center"/>
          </w:tcPr>
          <w:p w14:paraId="0FD33E9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Influence of Pharmaceutical Company Engagement Activities on the Decision to Prescribe: A Pilot Survey of Uk Rare Disease Medicine Prescribers</w:t>
            </w:r>
          </w:p>
        </w:tc>
        <w:tc>
          <w:tcPr>
            <w:tcW w:w="568" w:type="dxa"/>
            <w:shd w:val="clear" w:color="auto" w:fill="auto"/>
            <w:vAlign w:val="center"/>
          </w:tcPr>
          <w:p w14:paraId="3614EFB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10FCB456" w14:textId="77777777" w:rsidTr="004C3C90">
        <w:trPr>
          <w:trHeight w:val="20"/>
        </w:trPr>
        <w:tc>
          <w:tcPr>
            <w:tcW w:w="550" w:type="dxa"/>
            <w:shd w:val="clear" w:color="auto" w:fill="auto"/>
            <w:vAlign w:val="center"/>
          </w:tcPr>
          <w:p w14:paraId="04339D7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14</w:t>
            </w:r>
          </w:p>
        </w:tc>
        <w:tc>
          <w:tcPr>
            <w:tcW w:w="1071" w:type="dxa"/>
            <w:shd w:val="clear" w:color="auto" w:fill="auto"/>
            <w:vAlign w:val="center"/>
          </w:tcPr>
          <w:p w14:paraId="4B2C310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7962854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Lacheta L, Dekker TJ, Goldenberg BT, Horan MP, Rosenberg SI, Pogorzelski J, et al. </w:t>
            </w:r>
          </w:p>
        </w:tc>
        <w:tc>
          <w:tcPr>
            <w:tcW w:w="7010" w:type="dxa"/>
            <w:shd w:val="clear" w:color="auto" w:fill="auto"/>
            <w:vAlign w:val="center"/>
          </w:tcPr>
          <w:p w14:paraId="539EFE0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Minimum 5-Year Clinical Outcomes, Survivorship, and Return to Sports after Hamstring Tendon Autograft Reconstruction for Sternoclavicular Joint Instability</w:t>
            </w:r>
          </w:p>
        </w:tc>
        <w:tc>
          <w:tcPr>
            <w:tcW w:w="568" w:type="dxa"/>
            <w:shd w:val="clear" w:color="auto" w:fill="auto"/>
            <w:vAlign w:val="center"/>
          </w:tcPr>
          <w:p w14:paraId="158456A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174971F8" w14:textId="77777777" w:rsidTr="004C3C90">
        <w:trPr>
          <w:trHeight w:val="20"/>
        </w:trPr>
        <w:tc>
          <w:tcPr>
            <w:tcW w:w="550" w:type="dxa"/>
            <w:shd w:val="clear" w:color="auto" w:fill="auto"/>
            <w:vAlign w:val="center"/>
          </w:tcPr>
          <w:p w14:paraId="499F0A2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15</w:t>
            </w:r>
          </w:p>
        </w:tc>
        <w:tc>
          <w:tcPr>
            <w:tcW w:w="1071" w:type="dxa"/>
            <w:shd w:val="clear" w:color="auto" w:fill="auto"/>
            <w:vAlign w:val="center"/>
          </w:tcPr>
          <w:p w14:paraId="75555BD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66B274D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Izquierdo-García E, Escobar-Rodríguez I, Moreno-Villares JM, Iglesias-Peinado I</w:t>
            </w:r>
          </w:p>
        </w:tc>
        <w:tc>
          <w:tcPr>
            <w:tcW w:w="7010" w:type="dxa"/>
            <w:shd w:val="clear" w:color="auto" w:fill="auto"/>
            <w:vAlign w:val="center"/>
          </w:tcPr>
          <w:p w14:paraId="67386B0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Social and Health Care Needs in Patients with Hereditary Fructose Intolerance in Spain</w:t>
            </w:r>
          </w:p>
        </w:tc>
        <w:tc>
          <w:tcPr>
            <w:tcW w:w="568" w:type="dxa"/>
            <w:shd w:val="clear" w:color="auto" w:fill="auto"/>
            <w:vAlign w:val="center"/>
          </w:tcPr>
          <w:p w14:paraId="7A6F34C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3F635002" w14:textId="77777777" w:rsidTr="004C3C90">
        <w:trPr>
          <w:trHeight w:val="20"/>
        </w:trPr>
        <w:tc>
          <w:tcPr>
            <w:tcW w:w="550" w:type="dxa"/>
            <w:shd w:val="clear" w:color="auto" w:fill="auto"/>
            <w:vAlign w:val="center"/>
          </w:tcPr>
          <w:p w14:paraId="77A5F44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16</w:t>
            </w:r>
          </w:p>
        </w:tc>
        <w:tc>
          <w:tcPr>
            <w:tcW w:w="1071" w:type="dxa"/>
            <w:shd w:val="clear" w:color="auto" w:fill="auto"/>
            <w:vAlign w:val="center"/>
          </w:tcPr>
          <w:p w14:paraId="349A63E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21F7494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Lagae L, Irwin J, Gibson E, Battersby A</w:t>
            </w:r>
          </w:p>
        </w:tc>
        <w:tc>
          <w:tcPr>
            <w:tcW w:w="7010" w:type="dxa"/>
            <w:shd w:val="clear" w:color="auto" w:fill="auto"/>
            <w:vAlign w:val="center"/>
          </w:tcPr>
          <w:p w14:paraId="26C39AD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Caregiver Impact and Health Service Use in High and Low Severity Dravet Syndrome: A Multinational Cohort Study\</w:t>
            </w:r>
          </w:p>
        </w:tc>
        <w:tc>
          <w:tcPr>
            <w:tcW w:w="568" w:type="dxa"/>
            <w:shd w:val="clear" w:color="auto" w:fill="auto"/>
            <w:vAlign w:val="center"/>
          </w:tcPr>
          <w:p w14:paraId="3916EBD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2A3D3BB3" w14:textId="77777777" w:rsidTr="004C3C90">
        <w:trPr>
          <w:trHeight w:val="20"/>
        </w:trPr>
        <w:tc>
          <w:tcPr>
            <w:tcW w:w="550" w:type="dxa"/>
            <w:shd w:val="clear" w:color="auto" w:fill="auto"/>
            <w:vAlign w:val="center"/>
          </w:tcPr>
          <w:p w14:paraId="6001249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17</w:t>
            </w:r>
          </w:p>
        </w:tc>
        <w:tc>
          <w:tcPr>
            <w:tcW w:w="1071" w:type="dxa"/>
            <w:shd w:val="clear" w:color="auto" w:fill="auto"/>
            <w:vAlign w:val="center"/>
          </w:tcPr>
          <w:p w14:paraId="26E5496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453D2BF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Chim L, Salkeld G, Kelly PJ, Lipworth W, Hughes DA, Stockler MR</w:t>
            </w:r>
          </w:p>
        </w:tc>
        <w:tc>
          <w:tcPr>
            <w:tcW w:w="7010" w:type="dxa"/>
            <w:shd w:val="clear" w:color="auto" w:fill="auto"/>
            <w:vAlign w:val="center"/>
          </w:tcPr>
          <w:p w14:paraId="56CC63C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Community Views on Factors Affecting Medicines Resource Allocation: Cross-Sectional Survey of 3080 Adults in Australia</w:t>
            </w:r>
          </w:p>
        </w:tc>
        <w:tc>
          <w:tcPr>
            <w:tcW w:w="568" w:type="dxa"/>
            <w:shd w:val="clear" w:color="auto" w:fill="auto"/>
            <w:vAlign w:val="center"/>
          </w:tcPr>
          <w:p w14:paraId="7A1C498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B31B2FB" w14:textId="77777777" w:rsidTr="004C3C90">
        <w:trPr>
          <w:trHeight w:val="20"/>
        </w:trPr>
        <w:tc>
          <w:tcPr>
            <w:tcW w:w="550" w:type="dxa"/>
            <w:shd w:val="clear" w:color="auto" w:fill="auto"/>
            <w:vAlign w:val="center"/>
          </w:tcPr>
          <w:p w14:paraId="0A28077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18</w:t>
            </w:r>
          </w:p>
        </w:tc>
        <w:tc>
          <w:tcPr>
            <w:tcW w:w="1071" w:type="dxa"/>
            <w:shd w:val="clear" w:color="auto" w:fill="auto"/>
            <w:vAlign w:val="center"/>
          </w:tcPr>
          <w:p w14:paraId="3CB4087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61B6D1E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Howell DA, Hart RI, Smith AG, Macleod U, Patmore R, Roman E</w:t>
            </w:r>
          </w:p>
        </w:tc>
        <w:tc>
          <w:tcPr>
            <w:tcW w:w="7010" w:type="dxa"/>
            <w:shd w:val="clear" w:color="auto" w:fill="auto"/>
            <w:vAlign w:val="center"/>
          </w:tcPr>
          <w:p w14:paraId="3D9FFFC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Disease-Related Factors Affecting Timely Lymphoma Diagnosis: A Qualitative Study Exploring Patient Experiences</w:t>
            </w:r>
          </w:p>
        </w:tc>
        <w:tc>
          <w:tcPr>
            <w:tcW w:w="568" w:type="dxa"/>
            <w:shd w:val="clear" w:color="auto" w:fill="auto"/>
            <w:vAlign w:val="center"/>
          </w:tcPr>
          <w:p w14:paraId="3E248C9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88C0E24" w14:textId="77777777" w:rsidTr="004C3C90">
        <w:trPr>
          <w:trHeight w:val="20"/>
        </w:trPr>
        <w:tc>
          <w:tcPr>
            <w:tcW w:w="550" w:type="dxa"/>
            <w:shd w:val="clear" w:color="auto" w:fill="auto"/>
            <w:vAlign w:val="center"/>
          </w:tcPr>
          <w:p w14:paraId="5CABF6E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19</w:t>
            </w:r>
          </w:p>
        </w:tc>
        <w:tc>
          <w:tcPr>
            <w:tcW w:w="1071" w:type="dxa"/>
            <w:shd w:val="clear" w:color="auto" w:fill="auto"/>
            <w:vAlign w:val="center"/>
          </w:tcPr>
          <w:p w14:paraId="4C2C3D8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5841720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Rizzardo S, Bansback N, Dragojlovic N, Douglas C, Li KH, Mitton C, </w:t>
            </w:r>
          </w:p>
        </w:tc>
        <w:tc>
          <w:tcPr>
            <w:tcW w:w="7010" w:type="dxa"/>
            <w:shd w:val="clear" w:color="auto" w:fill="auto"/>
            <w:vAlign w:val="center"/>
          </w:tcPr>
          <w:p w14:paraId="61C07EC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Evaluating Canadians' Values for Drug Coverage Decision Making</w:t>
            </w:r>
          </w:p>
        </w:tc>
        <w:tc>
          <w:tcPr>
            <w:tcW w:w="568" w:type="dxa"/>
            <w:shd w:val="clear" w:color="auto" w:fill="auto"/>
            <w:vAlign w:val="center"/>
          </w:tcPr>
          <w:p w14:paraId="30CBE13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481A6FC" w14:textId="77777777" w:rsidTr="004C3C90">
        <w:trPr>
          <w:trHeight w:val="20"/>
        </w:trPr>
        <w:tc>
          <w:tcPr>
            <w:tcW w:w="550" w:type="dxa"/>
            <w:shd w:val="clear" w:color="auto" w:fill="auto"/>
            <w:vAlign w:val="center"/>
          </w:tcPr>
          <w:p w14:paraId="50074B0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20</w:t>
            </w:r>
          </w:p>
        </w:tc>
        <w:tc>
          <w:tcPr>
            <w:tcW w:w="1071" w:type="dxa"/>
            <w:shd w:val="clear" w:color="auto" w:fill="auto"/>
            <w:vAlign w:val="center"/>
          </w:tcPr>
          <w:p w14:paraId="42D61E1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2B4E1ED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Horrow C, Pacyna JE, Cosenza C, Sharp R</w:t>
            </w:r>
          </w:p>
        </w:tc>
        <w:tc>
          <w:tcPr>
            <w:tcW w:w="7010" w:type="dxa"/>
            <w:shd w:val="clear" w:color="auto" w:fill="auto"/>
            <w:vAlign w:val="center"/>
          </w:tcPr>
          <w:p w14:paraId="6F01216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Examining Physician Interactions with Disease Advocacy Organizations</w:t>
            </w:r>
          </w:p>
        </w:tc>
        <w:tc>
          <w:tcPr>
            <w:tcW w:w="568" w:type="dxa"/>
            <w:shd w:val="clear" w:color="auto" w:fill="auto"/>
            <w:vAlign w:val="center"/>
          </w:tcPr>
          <w:p w14:paraId="196C22D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E7C78CD" w14:textId="77777777" w:rsidTr="004C3C90">
        <w:trPr>
          <w:trHeight w:val="20"/>
        </w:trPr>
        <w:tc>
          <w:tcPr>
            <w:tcW w:w="550" w:type="dxa"/>
            <w:shd w:val="clear" w:color="auto" w:fill="auto"/>
            <w:vAlign w:val="center"/>
          </w:tcPr>
          <w:p w14:paraId="5CF00EA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21</w:t>
            </w:r>
          </w:p>
        </w:tc>
        <w:tc>
          <w:tcPr>
            <w:tcW w:w="1071" w:type="dxa"/>
            <w:shd w:val="clear" w:color="auto" w:fill="auto"/>
            <w:vAlign w:val="center"/>
          </w:tcPr>
          <w:p w14:paraId="006FE9B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6066471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Rosell L, Wihl J, Hagberg O, Ohlsson B, Nilbert M</w:t>
            </w:r>
          </w:p>
        </w:tc>
        <w:tc>
          <w:tcPr>
            <w:tcW w:w="7010" w:type="dxa"/>
            <w:shd w:val="clear" w:color="auto" w:fill="auto"/>
            <w:vAlign w:val="center"/>
          </w:tcPr>
          <w:p w14:paraId="4EC2BC0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Function, Information, and Contributions: An Evaluation of National Multidisciplinary Team Meetings for Rare Cancers</w:t>
            </w:r>
          </w:p>
        </w:tc>
        <w:tc>
          <w:tcPr>
            <w:tcW w:w="568" w:type="dxa"/>
            <w:shd w:val="clear" w:color="auto" w:fill="auto"/>
            <w:vAlign w:val="center"/>
          </w:tcPr>
          <w:p w14:paraId="1FB499C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9686E92" w14:textId="77777777" w:rsidTr="004C3C90">
        <w:trPr>
          <w:trHeight w:val="20"/>
        </w:trPr>
        <w:tc>
          <w:tcPr>
            <w:tcW w:w="550" w:type="dxa"/>
            <w:shd w:val="clear" w:color="auto" w:fill="auto"/>
            <w:vAlign w:val="center"/>
          </w:tcPr>
          <w:p w14:paraId="383346E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22</w:t>
            </w:r>
          </w:p>
        </w:tc>
        <w:tc>
          <w:tcPr>
            <w:tcW w:w="1071" w:type="dxa"/>
            <w:shd w:val="clear" w:color="auto" w:fill="auto"/>
            <w:vAlign w:val="center"/>
          </w:tcPr>
          <w:p w14:paraId="22351F6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6B02B7C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Cahan EM, Frick SL</w:t>
            </w:r>
          </w:p>
        </w:tc>
        <w:tc>
          <w:tcPr>
            <w:tcW w:w="7010" w:type="dxa"/>
            <w:shd w:val="clear" w:color="auto" w:fill="auto"/>
            <w:vAlign w:val="center"/>
          </w:tcPr>
          <w:p w14:paraId="6251A68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Orthopaedic Phenotyping of Ngly1 Deficiency Using an International, Family-Led Disease Registry</w:t>
            </w:r>
          </w:p>
        </w:tc>
        <w:tc>
          <w:tcPr>
            <w:tcW w:w="568" w:type="dxa"/>
            <w:shd w:val="clear" w:color="auto" w:fill="auto"/>
            <w:vAlign w:val="center"/>
          </w:tcPr>
          <w:p w14:paraId="716DB93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9AD43DB" w14:textId="77777777" w:rsidTr="004C3C90">
        <w:trPr>
          <w:trHeight w:val="20"/>
        </w:trPr>
        <w:tc>
          <w:tcPr>
            <w:tcW w:w="550" w:type="dxa"/>
            <w:shd w:val="clear" w:color="auto" w:fill="auto"/>
            <w:vAlign w:val="center"/>
          </w:tcPr>
          <w:p w14:paraId="5666920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23</w:t>
            </w:r>
          </w:p>
        </w:tc>
        <w:tc>
          <w:tcPr>
            <w:tcW w:w="1071" w:type="dxa"/>
            <w:shd w:val="clear" w:color="auto" w:fill="auto"/>
            <w:vAlign w:val="center"/>
          </w:tcPr>
          <w:p w14:paraId="37FC2EB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60981F9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Bate J, Wingrove J, Donkin A, Taylor R, Whelan J</w:t>
            </w:r>
          </w:p>
        </w:tc>
        <w:tc>
          <w:tcPr>
            <w:tcW w:w="7010" w:type="dxa"/>
            <w:shd w:val="clear" w:color="auto" w:fill="auto"/>
            <w:vAlign w:val="center"/>
          </w:tcPr>
          <w:p w14:paraId="4700647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 Perspectives on a National Multidisciplinary Team Meeting for a Rare Cancer</w:t>
            </w:r>
          </w:p>
        </w:tc>
        <w:tc>
          <w:tcPr>
            <w:tcW w:w="568" w:type="dxa"/>
            <w:shd w:val="clear" w:color="auto" w:fill="auto"/>
            <w:vAlign w:val="center"/>
          </w:tcPr>
          <w:p w14:paraId="751AA15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F0DADF7" w14:textId="77777777" w:rsidTr="004C3C90">
        <w:trPr>
          <w:trHeight w:val="20"/>
        </w:trPr>
        <w:tc>
          <w:tcPr>
            <w:tcW w:w="550" w:type="dxa"/>
            <w:shd w:val="clear" w:color="auto" w:fill="auto"/>
            <w:vAlign w:val="center"/>
          </w:tcPr>
          <w:p w14:paraId="2710DEB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24</w:t>
            </w:r>
          </w:p>
        </w:tc>
        <w:tc>
          <w:tcPr>
            <w:tcW w:w="1071" w:type="dxa"/>
            <w:shd w:val="clear" w:color="auto" w:fill="auto"/>
            <w:vAlign w:val="center"/>
          </w:tcPr>
          <w:p w14:paraId="4D3D924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4E21D90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David MP, Funderburg A, Selig JP,  Brown R, Calishak PM, Cove L, et al. </w:t>
            </w:r>
          </w:p>
        </w:tc>
        <w:tc>
          <w:tcPr>
            <w:tcW w:w="7010" w:type="dxa"/>
            <w:shd w:val="clear" w:color="auto" w:fill="auto"/>
            <w:vAlign w:val="center"/>
          </w:tcPr>
          <w:p w14:paraId="038ED71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Perspectives of Patients with Dermatofibrosarcoma Protuberans on Diagnostic Delays, Surgical Outcomes, and Nonprotuberance</w:t>
            </w:r>
          </w:p>
        </w:tc>
        <w:tc>
          <w:tcPr>
            <w:tcW w:w="568" w:type="dxa"/>
            <w:shd w:val="clear" w:color="auto" w:fill="auto"/>
            <w:vAlign w:val="center"/>
          </w:tcPr>
          <w:p w14:paraId="19DDDA5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4D652A6" w14:textId="77777777" w:rsidTr="004C3C90">
        <w:trPr>
          <w:trHeight w:val="20"/>
        </w:trPr>
        <w:tc>
          <w:tcPr>
            <w:tcW w:w="550" w:type="dxa"/>
            <w:shd w:val="clear" w:color="auto" w:fill="auto"/>
            <w:vAlign w:val="center"/>
          </w:tcPr>
          <w:p w14:paraId="7AD7DAA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25</w:t>
            </w:r>
          </w:p>
        </w:tc>
        <w:tc>
          <w:tcPr>
            <w:tcW w:w="1071" w:type="dxa"/>
            <w:shd w:val="clear" w:color="auto" w:fill="auto"/>
            <w:vAlign w:val="center"/>
          </w:tcPr>
          <w:p w14:paraId="45ED527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3C80EEC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Nagamatsu Y, Oze I, Aoe K, Hotta K, Kato K, Nakagawa J, et al.</w:t>
            </w:r>
          </w:p>
        </w:tc>
        <w:tc>
          <w:tcPr>
            <w:tcW w:w="7010" w:type="dxa"/>
            <w:shd w:val="clear" w:color="auto" w:fill="auto"/>
            <w:vAlign w:val="center"/>
          </w:tcPr>
          <w:p w14:paraId="395427F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Physician Requests by Patients with Malignant Pleural Mesothelioma in Japan</w:t>
            </w:r>
          </w:p>
        </w:tc>
        <w:tc>
          <w:tcPr>
            <w:tcW w:w="568" w:type="dxa"/>
            <w:shd w:val="clear" w:color="auto" w:fill="auto"/>
            <w:vAlign w:val="center"/>
          </w:tcPr>
          <w:p w14:paraId="6C8D53D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A5732BF" w14:textId="77777777" w:rsidTr="004C3C90">
        <w:trPr>
          <w:trHeight w:val="20"/>
        </w:trPr>
        <w:tc>
          <w:tcPr>
            <w:tcW w:w="550" w:type="dxa"/>
            <w:shd w:val="clear" w:color="auto" w:fill="auto"/>
            <w:vAlign w:val="center"/>
          </w:tcPr>
          <w:p w14:paraId="2D2D616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26</w:t>
            </w:r>
          </w:p>
        </w:tc>
        <w:tc>
          <w:tcPr>
            <w:tcW w:w="1071" w:type="dxa"/>
            <w:shd w:val="clear" w:color="auto" w:fill="auto"/>
            <w:vAlign w:val="center"/>
          </w:tcPr>
          <w:p w14:paraId="40FD8D1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5A1BB1A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Andolina JR, Burke MJ, Hijiya N, Chaudhury S, Schultz KR, Roth ME</w:t>
            </w:r>
          </w:p>
        </w:tc>
        <w:tc>
          <w:tcPr>
            <w:tcW w:w="7010" w:type="dxa"/>
            <w:shd w:val="clear" w:color="auto" w:fill="auto"/>
            <w:vAlign w:val="center"/>
          </w:tcPr>
          <w:p w14:paraId="737B5A3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Practice Patterns of Physician Treatment for Pediatric Chronic Myelogenous Leukemia</w:t>
            </w:r>
          </w:p>
        </w:tc>
        <w:tc>
          <w:tcPr>
            <w:tcW w:w="568" w:type="dxa"/>
            <w:shd w:val="clear" w:color="auto" w:fill="auto"/>
            <w:vAlign w:val="center"/>
          </w:tcPr>
          <w:p w14:paraId="5E41B8B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58D2B8A4" w14:textId="77777777" w:rsidTr="004C3C90">
        <w:trPr>
          <w:trHeight w:val="20"/>
        </w:trPr>
        <w:tc>
          <w:tcPr>
            <w:tcW w:w="550" w:type="dxa"/>
            <w:shd w:val="clear" w:color="auto" w:fill="auto"/>
            <w:vAlign w:val="center"/>
          </w:tcPr>
          <w:p w14:paraId="1E42981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27</w:t>
            </w:r>
          </w:p>
        </w:tc>
        <w:tc>
          <w:tcPr>
            <w:tcW w:w="1071" w:type="dxa"/>
            <w:shd w:val="clear" w:color="auto" w:fill="auto"/>
            <w:vAlign w:val="center"/>
          </w:tcPr>
          <w:p w14:paraId="7BD06D0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05F2E5B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Lee H, Kim SY, Kim G, Kang HY</w:t>
            </w:r>
          </w:p>
        </w:tc>
        <w:tc>
          <w:tcPr>
            <w:tcW w:w="7010" w:type="dxa"/>
            <w:shd w:val="clear" w:color="auto" w:fill="auto"/>
            <w:vAlign w:val="center"/>
          </w:tcPr>
          <w:p w14:paraId="52630D8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Public Preferences for Corporate Social Responsibility Activities in the Pharmaceutical Industry: Empirical Evidence from Korea</w:t>
            </w:r>
          </w:p>
        </w:tc>
        <w:tc>
          <w:tcPr>
            <w:tcW w:w="568" w:type="dxa"/>
            <w:shd w:val="clear" w:color="auto" w:fill="auto"/>
            <w:vAlign w:val="center"/>
          </w:tcPr>
          <w:p w14:paraId="3D0A8D1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34648476" w14:textId="77777777" w:rsidTr="004C3C90">
        <w:trPr>
          <w:trHeight w:val="20"/>
        </w:trPr>
        <w:tc>
          <w:tcPr>
            <w:tcW w:w="550" w:type="dxa"/>
            <w:shd w:val="clear" w:color="auto" w:fill="auto"/>
            <w:vAlign w:val="center"/>
          </w:tcPr>
          <w:p w14:paraId="270241E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28</w:t>
            </w:r>
          </w:p>
        </w:tc>
        <w:tc>
          <w:tcPr>
            <w:tcW w:w="1071" w:type="dxa"/>
            <w:shd w:val="clear" w:color="auto" w:fill="auto"/>
            <w:vAlign w:val="center"/>
          </w:tcPr>
          <w:p w14:paraId="1CA6D1A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46C49C0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Hanisch M, Sielker S, Jung S, Kleinheinz J, Bohner L</w:t>
            </w:r>
          </w:p>
        </w:tc>
        <w:tc>
          <w:tcPr>
            <w:tcW w:w="7010" w:type="dxa"/>
            <w:shd w:val="clear" w:color="auto" w:fill="auto"/>
            <w:vAlign w:val="center"/>
          </w:tcPr>
          <w:p w14:paraId="7FA2752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Self-Assessment of Oral Health-Related Quality of Life in People with Ectodermal Dysplasia in Germany</w:t>
            </w:r>
          </w:p>
        </w:tc>
        <w:tc>
          <w:tcPr>
            <w:tcW w:w="568" w:type="dxa"/>
            <w:shd w:val="clear" w:color="auto" w:fill="auto"/>
            <w:vAlign w:val="center"/>
          </w:tcPr>
          <w:p w14:paraId="16757D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35A4EC7" w14:textId="77777777" w:rsidTr="004C3C90">
        <w:trPr>
          <w:trHeight w:val="20"/>
        </w:trPr>
        <w:tc>
          <w:tcPr>
            <w:tcW w:w="550" w:type="dxa"/>
            <w:shd w:val="clear" w:color="auto" w:fill="auto"/>
            <w:vAlign w:val="center"/>
          </w:tcPr>
          <w:p w14:paraId="0F3A787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29</w:t>
            </w:r>
          </w:p>
        </w:tc>
        <w:tc>
          <w:tcPr>
            <w:tcW w:w="1071" w:type="dxa"/>
            <w:shd w:val="clear" w:color="auto" w:fill="auto"/>
            <w:vAlign w:val="center"/>
          </w:tcPr>
          <w:p w14:paraId="512B24C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7F2F843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Gay EA, Byers PH, Bennett RL, Bird TD, Hisama FM</w:t>
            </w:r>
          </w:p>
        </w:tc>
        <w:tc>
          <w:tcPr>
            <w:tcW w:w="7010" w:type="dxa"/>
            <w:shd w:val="clear" w:color="auto" w:fill="auto"/>
            <w:vAlign w:val="center"/>
          </w:tcPr>
          <w:p w14:paraId="5CF0379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Trends over 42 Years in the Adult Medical Genetics Clinic at the University of Washington</w:t>
            </w:r>
          </w:p>
        </w:tc>
        <w:tc>
          <w:tcPr>
            <w:tcW w:w="568" w:type="dxa"/>
            <w:shd w:val="clear" w:color="auto" w:fill="auto"/>
            <w:vAlign w:val="center"/>
          </w:tcPr>
          <w:p w14:paraId="0690FD8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53F94A59" w14:textId="77777777" w:rsidTr="004C3C90">
        <w:trPr>
          <w:trHeight w:val="20"/>
        </w:trPr>
        <w:tc>
          <w:tcPr>
            <w:tcW w:w="550" w:type="dxa"/>
            <w:shd w:val="clear" w:color="auto" w:fill="auto"/>
            <w:vAlign w:val="center"/>
          </w:tcPr>
          <w:p w14:paraId="3A8CE70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30</w:t>
            </w:r>
          </w:p>
        </w:tc>
        <w:tc>
          <w:tcPr>
            <w:tcW w:w="1071" w:type="dxa"/>
            <w:shd w:val="clear" w:color="auto" w:fill="auto"/>
            <w:vAlign w:val="center"/>
          </w:tcPr>
          <w:p w14:paraId="4A8712D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3AEA972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Gonano C, Pasquier J, Daccord C, Johnson SR, Harari S, Leclerc V, et al</w:t>
            </w:r>
          </w:p>
        </w:tc>
        <w:tc>
          <w:tcPr>
            <w:tcW w:w="7010" w:type="dxa"/>
            <w:shd w:val="clear" w:color="auto" w:fill="auto"/>
            <w:vAlign w:val="center"/>
          </w:tcPr>
          <w:p w14:paraId="54B56CD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Air Travel and Incidence of Pneumothorax in Lymphangioleiomyomatosis</w:t>
            </w:r>
          </w:p>
        </w:tc>
        <w:tc>
          <w:tcPr>
            <w:tcW w:w="568" w:type="dxa"/>
            <w:shd w:val="clear" w:color="auto" w:fill="auto"/>
            <w:vAlign w:val="center"/>
          </w:tcPr>
          <w:p w14:paraId="4F1E2EE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3370B6A" w14:textId="77777777" w:rsidTr="004C3C90">
        <w:trPr>
          <w:trHeight w:val="20"/>
        </w:trPr>
        <w:tc>
          <w:tcPr>
            <w:tcW w:w="550" w:type="dxa"/>
            <w:shd w:val="clear" w:color="auto" w:fill="auto"/>
            <w:vAlign w:val="center"/>
          </w:tcPr>
          <w:p w14:paraId="1DA625A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31</w:t>
            </w:r>
          </w:p>
        </w:tc>
        <w:tc>
          <w:tcPr>
            <w:tcW w:w="1071" w:type="dxa"/>
            <w:shd w:val="clear" w:color="auto" w:fill="auto"/>
            <w:vAlign w:val="center"/>
          </w:tcPr>
          <w:p w14:paraId="09FF520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22FAD8F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Stewart M, Shaffer S, Murphy B, Loftus J, Alvir J, Cicchetti M, et al. </w:t>
            </w:r>
          </w:p>
        </w:tc>
        <w:tc>
          <w:tcPr>
            <w:tcW w:w="7010" w:type="dxa"/>
            <w:shd w:val="clear" w:color="auto" w:fill="auto"/>
            <w:vAlign w:val="center"/>
          </w:tcPr>
          <w:p w14:paraId="0C636B2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Characterizing the High Disease Burden of Transthyretin Amyloidosis for Patients and Caregivers</w:t>
            </w:r>
          </w:p>
        </w:tc>
        <w:tc>
          <w:tcPr>
            <w:tcW w:w="568" w:type="dxa"/>
            <w:shd w:val="clear" w:color="auto" w:fill="auto"/>
            <w:vAlign w:val="center"/>
          </w:tcPr>
          <w:p w14:paraId="5D13948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4C28AA1" w14:textId="77777777" w:rsidTr="004C3C90">
        <w:trPr>
          <w:trHeight w:val="20"/>
        </w:trPr>
        <w:tc>
          <w:tcPr>
            <w:tcW w:w="550" w:type="dxa"/>
            <w:shd w:val="clear" w:color="auto" w:fill="auto"/>
            <w:vAlign w:val="center"/>
          </w:tcPr>
          <w:p w14:paraId="01BDB6B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32</w:t>
            </w:r>
          </w:p>
        </w:tc>
        <w:tc>
          <w:tcPr>
            <w:tcW w:w="1071" w:type="dxa"/>
            <w:shd w:val="clear" w:color="auto" w:fill="auto"/>
            <w:vAlign w:val="center"/>
          </w:tcPr>
          <w:p w14:paraId="6616DF0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1676B58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Dufendach KA, Timothy K, Ackerman MJ, Blevins C, Pflaumer A, Etheridge S, et al. </w:t>
            </w:r>
          </w:p>
        </w:tc>
        <w:tc>
          <w:tcPr>
            <w:tcW w:w="7010" w:type="dxa"/>
            <w:shd w:val="clear" w:color="auto" w:fill="auto"/>
            <w:vAlign w:val="center"/>
          </w:tcPr>
          <w:p w14:paraId="631F16C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Outcomes and Modes of Death in Timothy Syndrome: A Multicenter International Study of a Rare Disorder</w:t>
            </w:r>
          </w:p>
        </w:tc>
        <w:tc>
          <w:tcPr>
            <w:tcW w:w="568" w:type="dxa"/>
            <w:shd w:val="clear" w:color="auto" w:fill="auto"/>
            <w:vAlign w:val="center"/>
          </w:tcPr>
          <w:p w14:paraId="3AB960C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9FDE315" w14:textId="77777777" w:rsidTr="004C3C90">
        <w:trPr>
          <w:trHeight w:val="20"/>
        </w:trPr>
        <w:tc>
          <w:tcPr>
            <w:tcW w:w="550" w:type="dxa"/>
            <w:shd w:val="clear" w:color="auto" w:fill="auto"/>
            <w:vAlign w:val="center"/>
          </w:tcPr>
          <w:p w14:paraId="664D489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33</w:t>
            </w:r>
          </w:p>
        </w:tc>
        <w:tc>
          <w:tcPr>
            <w:tcW w:w="1071" w:type="dxa"/>
            <w:shd w:val="clear" w:color="auto" w:fill="auto"/>
            <w:vAlign w:val="center"/>
          </w:tcPr>
          <w:p w14:paraId="3DE767E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718A03F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Millogo T, Bicaba BW, Soubeiga JK, Dabiré E, Médah I, Kouanda S</w:t>
            </w:r>
          </w:p>
        </w:tc>
        <w:tc>
          <w:tcPr>
            <w:tcW w:w="7010" w:type="dxa"/>
            <w:shd w:val="clear" w:color="auto" w:fill="auto"/>
            <w:vAlign w:val="center"/>
          </w:tcPr>
          <w:p w14:paraId="56C664D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Diabetes and Abnormal Glucose Regulation in the Adult Population of Burkina Faso: Prevalence and Predictors</w:t>
            </w:r>
          </w:p>
        </w:tc>
        <w:tc>
          <w:tcPr>
            <w:tcW w:w="568" w:type="dxa"/>
            <w:shd w:val="clear" w:color="auto" w:fill="auto"/>
            <w:vAlign w:val="center"/>
          </w:tcPr>
          <w:p w14:paraId="14180ED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DF6984D" w14:textId="77777777" w:rsidTr="004C3C90">
        <w:trPr>
          <w:trHeight w:val="20"/>
        </w:trPr>
        <w:tc>
          <w:tcPr>
            <w:tcW w:w="550" w:type="dxa"/>
            <w:shd w:val="clear" w:color="auto" w:fill="auto"/>
            <w:vAlign w:val="center"/>
          </w:tcPr>
          <w:p w14:paraId="1BFD977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34</w:t>
            </w:r>
          </w:p>
        </w:tc>
        <w:tc>
          <w:tcPr>
            <w:tcW w:w="1071" w:type="dxa"/>
            <w:shd w:val="clear" w:color="auto" w:fill="auto"/>
            <w:vAlign w:val="center"/>
          </w:tcPr>
          <w:p w14:paraId="6AA7726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34DE08D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Takashima K, Maru Y, Mori S, Mano H, Noda T, Muto K.</w:t>
            </w:r>
          </w:p>
        </w:tc>
        <w:tc>
          <w:tcPr>
            <w:tcW w:w="7010" w:type="dxa"/>
            <w:shd w:val="clear" w:color="auto" w:fill="auto"/>
            <w:vAlign w:val="center"/>
          </w:tcPr>
          <w:p w14:paraId="45068F0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Ethical Concerns on Sharing Genomic Data Including Patients' Family Members</w:t>
            </w:r>
          </w:p>
        </w:tc>
        <w:tc>
          <w:tcPr>
            <w:tcW w:w="568" w:type="dxa"/>
            <w:shd w:val="clear" w:color="auto" w:fill="auto"/>
            <w:vAlign w:val="center"/>
          </w:tcPr>
          <w:p w14:paraId="27AAC93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6F5774C" w14:textId="77777777" w:rsidTr="004C3C90">
        <w:trPr>
          <w:trHeight w:val="20"/>
        </w:trPr>
        <w:tc>
          <w:tcPr>
            <w:tcW w:w="550" w:type="dxa"/>
            <w:shd w:val="clear" w:color="auto" w:fill="auto"/>
            <w:vAlign w:val="center"/>
          </w:tcPr>
          <w:p w14:paraId="583DA0D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35</w:t>
            </w:r>
          </w:p>
        </w:tc>
        <w:tc>
          <w:tcPr>
            <w:tcW w:w="1071" w:type="dxa"/>
            <w:shd w:val="clear" w:color="auto" w:fill="auto"/>
            <w:vAlign w:val="center"/>
          </w:tcPr>
          <w:p w14:paraId="4F4FE3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46DA29D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Slightam CA, Brandt K, Jenchura EC, Lewis ET, Asch SM, Zulman DM.</w:t>
            </w:r>
          </w:p>
        </w:tc>
        <w:tc>
          <w:tcPr>
            <w:tcW w:w="7010" w:type="dxa"/>
            <w:shd w:val="clear" w:color="auto" w:fill="auto"/>
            <w:vAlign w:val="center"/>
          </w:tcPr>
          <w:p w14:paraId="3A84C44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 Had to Change So Much in My Life to Live with My New Limitations”: Multimorbid Patients’ Descriptions of Their Most Bothersome Chronic Conditions</w:t>
            </w:r>
          </w:p>
        </w:tc>
        <w:tc>
          <w:tcPr>
            <w:tcW w:w="568" w:type="dxa"/>
            <w:shd w:val="clear" w:color="auto" w:fill="auto"/>
            <w:vAlign w:val="center"/>
          </w:tcPr>
          <w:p w14:paraId="1269913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A5FA473" w14:textId="77777777" w:rsidTr="004C3C90">
        <w:trPr>
          <w:trHeight w:val="20"/>
        </w:trPr>
        <w:tc>
          <w:tcPr>
            <w:tcW w:w="550" w:type="dxa"/>
            <w:shd w:val="clear" w:color="auto" w:fill="auto"/>
            <w:vAlign w:val="center"/>
          </w:tcPr>
          <w:p w14:paraId="41EE89E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36</w:t>
            </w:r>
          </w:p>
        </w:tc>
        <w:tc>
          <w:tcPr>
            <w:tcW w:w="1071" w:type="dxa"/>
            <w:shd w:val="clear" w:color="auto" w:fill="auto"/>
            <w:vAlign w:val="center"/>
          </w:tcPr>
          <w:p w14:paraId="772D675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23E166B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Haller J, David MP, Lee NE, Shalin SC, Gardner JM</w:t>
            </w:r>
          </w:p>
        </w:tc>
        <w:tc>
          <w:tcPr>
            <w:tcW w:w="7010" w:type="dxa"/>
            <w:shd w:val="clear" w:color="auto" w:fill="auto"/>
            <w:vAlign w:val="center"/>
          </w:tcPr>
          <w:p w14:paraId="192D6D3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Impact of Pathologist Involvement in Sarcoma and Rare Tumor Patient Support Groups on Facebook: A Survey of 542 Patients and Family Members</w:t>
            </w:r>
          </w:p>
        </w:tc>
        <w:tc>
          <w:tcPr>
            <w:tcW w:w="568" w:type="dxa"/>
            <w:shd w:val="clear" w:color="auto" w:fill="auto"/>
            <w:vAlign w:val="center"/>
          </w:tcPr>
          <w:p w14:paraId="7EC4AE4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631AE665" w14:textId="77777777" w:rsidTr="004C3C90">
        <w:trPr>
          <w:trHeight w:val="20"/>
        </w:trPr>
        <w:tc>
          <w:tcPr>
            <w:tcW w:w="550" w:type="dxa"/>
            <w:shd w:val="clear" w:color="auto" w:fill="auto"/>
            <w:vAlign w:val="center"/>
          </w:tcPr>
          <w:p w14:paraId="2234BFF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37</w:t>
            </w:r>
          </w:p>
        </w:tc>
        <w:tc>
          <w:tcPr>
            <w:tcW w:w="1071" w:type="dxa"/>
            <w:shd w:val="clear" w:color="auto" w:fill="auto"/>
            <w:vAlign w:val="center"/>
          </w:tcPr>
          <w:p w14:paraId="5CB47D8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1340A35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Barashi NS, Pearce SM, Cohen AJ, Pariser JJ, Packiam VT, Eggener SE</w:t>
            </w:r>
          </w:p>
        </w:tc>
        <w:tc>
          <w:tcPr>
            <w:tcW w:w="7010" w:type="dxa"/>
            <w:shd w:val="clear" w:color="auto" w:fill="auto"/>
            <w:vAlign w:val="center"/>
          </w:tcPr>
          <w:p w14:paraId="31C7581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Incidence, Risk Factors, and Outcomes for Rectal Injury During Radical Prostatectomy: A Population-Based Study</w:t>
            </w:r>
          </w:p>
        </w:tc>
        <w:tc>
          <w:tcPr>
            <w:tcW w:w="568" w:type="dxa"/>
            <w:shd w:val="clear" w:color="auto" w:fill="auto"/>
            <w:vAlign w:val="center"/>
          </w:tcPr>
          <w:p w14:paraId="478C0EA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0CDB59BC" w14:textId="77777777" w:rsidTr="004C3C90">
        <w:trPr>
          <w:trHeight w:val="20"/>
        </w:trPr>
        <w:tc>
          <w:tcPr>
            <w:tcW w:w="550" w:type="dxa"/>
            <w:shd w:val="clear" w:color="auto" w:fill="auto"/>
            <w:vAlign w:val="center"/>
          </w:tcPr>
          <w:p w14:paraId="1A05A6B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38</w:t>
            </w:r>
          </w:p>
        </w:tc>
        <w:tc>
          <w:tcPr>
            <w:tcW w:w="1071" w:type="dxa"/>
            <w:shd w:val="clear" w:color="auto" w:fill="auto"/>
            <w:vAlign w:val="center"/>
          </w:tcPr>
          <w:p w14:paraId="65D9247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5658408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Rocha HM, Savatt JM, Riggs ER, Wagner JK, Faucett WA, Martin CL</w:t>
            </w:r>
          </w:p>
        </w:tc>
        <w:tc>
          <w:tcPr>
            <w:tcW w:w="7010" w:type="dxa"/>
            <w:shd w:val="clear" w:color="auto" w:fill="auto"/>
            <w:vAlign w:val="center"/>
          </w:tcPr>
          <w:p w14:paraId="12B0FC8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Incorporating Social Media into Your Support Tool Box: Points to Consider from Genetics-Based Communities</w:t>
            </w:r>
          </w:p>
        </w:tc>
        <w:tc>
          <w:tcPr>
            <w:tcW w:w="568" w:type="dxa"/>
            <w:shd w:val="clear" w:color="auto" w:fill="auto"/>
            <w:vAlign w:val="center"/>
          </w:tcPr>
          <w:p w14:paraId="2AD3727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292B4A58" w14:textId="77777777" w:rsidTr="004C3C90">
        <w:trPr>
          <w:trHeight w:val="20"/>
        </w:trPr>
        <w:tc>
          <w:tcPr>
            <w:tcW w:w="550" w:type="dxa"/>
            <w:shd w:val="clear" w:color="auto" w:fill="auto"/>
            <w:vAlign w:val="center"/>
          </w:tcPr>
          <w:p w14:paraId="560E499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39</w:t>
            </w:r>
          </w:p>
        </w:tc>
        <w:tc>
          <w:tcPr>
            <w:tcW w:w="1071" w:type="dxa"/>
            <w:shd w:val="clear" w:color="auto" w:fill="auto"/>
            <w:vAlign w:val="center"/>
          </w:tcPr>
          <w:p w14:paraId="7D2A7DA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622327F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Hua C, Bosc R, Sbidian E, De Prost N, Hughes C, Jabre P, Chosidow O, Le Cleach L </w:t>
            </w:r>
          </w:p>
        </w:tc>
        <w:tc>
          <w:tcPr>
            <w:tcW w:w="7010" w:type="dxa"/>
            <w:shd w:val="clear" w:color="auto" w:fill="auto"/>
            <w:vAlign w:val="center"/>
          </w:tcPr>
          <w:p w14:paraId="79C00BE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Interventions for Necrotizing Soft Tissue Infections in Adults</w:t>
            </w:r>
          </w:p>
        </w:tc>
        <w:tc>
          <w:tcPr>
            <w:tcW w:w="568" w:type="dxa"/>
            <w:shd w:val="clear" w:color="auto" w:fill="auto"/>
            <w:vAlign w:val="center"/>
          </w:tcPr>
          <w:p w14:paraId="5795CEC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1A414A7B" w14:textId="77777777" w:rsidTr="004C3C90">
        <w:trPr>
          <w:trHeight w:val="20"/>
        </w:trPr>
        <w:tc>
          <w:tcPr>
            <w:tcW w:w="550" w:type="dxa"/>
            <w:shd w:val="clear" w:color="auto" w:fill="auto"/>
            <w:vAlign w:val="center"/>
          </w:tcPr>
          <w:p w14:paraId="7CCFCA7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40</w:t>
            </w:r>
          </w:p>
        </w:tc>
        <w:tc>
          <w:tcPr>
            <w:tcW w:w="1071" w:type="dxa"/>
            <w:shd w:val="clear" w:color="auto" w:fill="auto"/>
            <w:vAlign w:val="center"/>
          </w:tcPr>
          <w:p w14:paraId="4A970F6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2037742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Giménez-Ayala  A, González-Brítez N, de- Arias AR</w:t>
            </w:r>
          </w:p>
        </w:tc>
        <w:tc>
          <w:tcPr>
            <w:tcW w:w="7010" w:type="dxa"/>
            <w:shd w:val="clear" w:color="auto" w:fill="auto"/>
            <w:vAlign w:val="center"/>
          </w:tcPr>
          <w:p w14:paraId="0A6F044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Knowledge, Attitudes, and Practices Regarding the Leishmaniases among Inhabitants from a Paraguayan District in the Border Area between Argentina, Brazil, and Paraguay</w:t>
            </w:r>
          </w:p>
        </w:tc>
        <w:tc>
          <w:tcPr>
            <w:tcW w:w="568" w:type="dxa"/>
            <w:shd w:val="clear" w:color="auto" w:fill="auto"/>
            <w:vAlign w:val="center"/>
          </w:tcPr>
          <w:p w14:paraId="6004266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1FEF8790" w14:textId="77777777" w:rsidTr="004C3C90">
        <w:trPr>
          <w:trHeight w:val="20"/>
        </w:trPr>
        <w:tc>
          <w:tcPr>
            <w:tcW w:w="550" w:type="dxa"/>
            <w:shd w:val="clear" w:color="auto" w:fill="auto"/>
            <w:vAlign w:val="center"/>
          </w:tcPr>
          <w:p w14:paraId="55D3121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41</w:t>
            </w:r>
          </w:p>
        </w:tc>
        <w:tc>
          <w:tcPr>
            <w:tcW w:w="1071" w:type="dxa"/>
            <w:shd w:val="clear" w:color="auto" w:fill="auto"/>
            <w:vAlign w:val="center"/>
          </w:tcPr>
          <w:p w14:paraId="1D6A128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095505B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Zolkipli-Cunningham Z, Xiao R, Stoddart A, McCormick EM, Holberts A, Burrill N, et al. </w:t>
            </w:r>
          </w:p>
        </w:tc>
        <w:tc>
          <w:tcPr>
            <w:tcW w:w="7010" w:type="dxa"/>
            <w:shd w:val="clear" w:color="auto" w:fill="auto"/>
            <w:vAlign w:val="center"/>
          </w:tcPr>
          <w:p w14:paraId="1DC99E1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Mitochondrial Disease Patient Motivations and Barriers to Participate in Clinical Trials</w:t>
            </w:r>
          </w:p>
        </w:tc>
        <w:tc>
          <w:tcPr>
            <w:tcW w:w="568" w:type="dxa"/>
            <w:shd w:val="clear" w:color="auto" w:fill="auto"/>
            <w:vAlign w:val="center"/>
          </w:tcPr>
          <w:p w14:paraId="5AC3ADC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13847D4B" w14:textId="77777777" w:rsidTr="004C3C90">
        <w:trPr>
          <w:trHeight w:val="20"/>
        </w:trPr>
        <w:tc>
          <w:tcPr>
            <w:tcW w:w="550" w:type="dxa"/>
            <w:shd w:val="clear" w:color="auto" w:fill="auto"/>
            <w:vAlign w:val="center"/>
          </w:tcPr>
          <w:p w14:paraId="43305CF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42</w:t>
            </w:r>
          </w:p>
        </w:tc>
        <w:tc>
          <w:tcPr>
            <w:tcW w:w="1071" w:type="dxa"/>
            <w:shd w:val="clear" w:color="auto" w:fill="auto"/>
            <w:vAlign w:val="center"/>
          </w:tcPr>
          <w:p w14:paraId="316BCF7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1002F09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Mastboom MJ, Planje R, van de Sande MA</w:t>
            </w:r>
          </w:p>
        </w:tc>
        <w:tc>
          <w:tcPr>
            <w:tcW w:w="7010" w:type="dxa"/>
            <w:shd w:val="clear" w:color="auto" w:fill="auto"/>
            <w:vAlign w:val="center"/>
          </w:tcPr>
          <w:p w14:paraId="5BD5451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Patient Perspective on the Impact of Tenosynovial Giant Cell Tumors on Daily Living: Crowdsourcing Study on Physical Function and Quality of Life</w:t>
            </w:r>
          </w:p>
        </w:tc>
        <w:tc>
          <w:tcPr>
            <w:tcW w:w="568" w:type="dxa"/>
            <w:shd w:val="clear" w:color="auto" w:fill="auto"/>
            <w:vAlign w:val="center"/>
          </w:tcPr>
          <w:p w14:paraId="1FC995C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28985BB2" w14:textId="77777777" w:rsidTr="004C3C90">
        <w:trPr>
          <w:trHeight w:val="20"/>
        </w:trPr>
        <w:tc>
          <w:tcPr>
            <w:tcW w:w="550" w:type="dxa"/>
            <w:shd w:val="clear" w:color="auto" w:fill="auto"/>
            <w:vAlign w:val="center"/>
          </w:tcPr>
          <w:p w14:paraId="5CC752F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43</w:t>
            </w:r>
          </w:p>
        </w:tc>
        <w:tc>
          <w:tcPr>
            <w:tcW w:w="1071" w:type="dxa"/>
            <w:shd w:val="clear" w:color="auto" w:fill="auto"/>
            <w:vAlign w:val="center"/>
          </w:tcPr>
          <w:p w14:paraId="65C72B8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24DD59F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Shaul E, Roth M, Lo Y, Geller DS, Hoang B, Yang R, et al</w:t>
            </w:r>
            <w:r w:rsidRPr="004C3C90">
              <w:rPr>
                <w:rFonts w:ascii="Times New Roman" w:eastAsia="Times New Roman" w:hAnsi="Times New Roman" w:cs="Times New Roman"/>
                <w:sz w:val="20"/>
                <w:szCs w:val="20"/>
                <w:highlight w:val="white"/>
              </w:rPr>
              <w:t>.</w:t>
            </w:r>
          </w:p>
        </w:tc>
        <w:tc>
          <w:tcPr>
            <w:tcW w:w="7010" w:type="dxa"/>
            <w:shd w:val="clear" w:color="auto" w:fill="auto"/>
            <w:vAlign w:val="center"/>
          </w:tcPr>
          <w:p w14:paraId="5AD151F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Pediatric Oncologist Willingness to Offer Germline Tp53 Testing in Osteosarcoma</w:t>
            </w:r>
          </w:p>
        </w:tc>
        <w:tc>
          <w:tcPr>
            <w:tcW w:w="568" w:type="dxa"/>
            <w:shd w:val="clear" w:color="auto" w:fill="auto"/>
            <w:vAlign w:val="center"/>
          </w:tcPr>
          <w:p w14:paraId="2B42468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37AD96F2" w14:textId="77777777" w:rsidTr="004C3C90">
        <w:trPr>
          <w:trHeight w:val="20"/>
        </w:trPr>
        <w:tc>
          <w:tcPr>
            <w:tcW w:w="550" w:type="dxa"/>
            <w:shd w:val="clear" w:color="auto" w:fill="auto"/>
            <w:vAlign w:val="center"/>
          </w:tcPr>
          <w:p w14:paraId="78028D6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44</w:t>
            </w:r>
          </w:p>
        </w:tc>
        <w:tc>
          <w:tcPr>
            <w:tcW w:w="1071" w:type="dxa"/>
            <w:shd w:val="clear" w:color="auto" w:fill="auto"/>
            <w:vAlign w:val="center"/>
          </w:tcPr>
          <w:p w14:paraId="14F7D58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02C6801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Chen W, Mo S, Luo G, Wang Y, Deng X, Zhu J, et al. </w:t>
            </w:r>
          </w:p>
        </w:tc>
        <w:tc>
          <w:tcPr>
            <w:tcW w:w="7010" w:type="dxa"/>
            <w:shd w:val="clear" w:color="auto" w:fill="auto"/>
            <w:vAlign w:val="center"/>
          </w:tcPr>
          <w:p w14:paraId="142DD8F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Progressive Pseudorheumatoid Dysplasia with New-Found Gene Mutation of Wntl Inducible Signaling Pathway Protein 3</w:t>
            </w:r>
          </w:p>
        </w:tc>
        <w:tc>
          <w:tcPr>
            <w:tcW w:w="568" w:type="dxa"/>
            <w:shd w:val="clear" w:color="auto" w:fill="auto"/>
            <w:vAlign w:val="center"/>
          </w:tcPr>
          <w:p w14:paraId="3DE93BF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6D6DAC3F" w14:textId="77777777" w:rsidTr="004C3C90">
        <w:trPr>
          <w:trHeight w:val="20"/>
        </w:trPr>
        <w:tc>
          <w:tcPr>
            <w:tcW w:w="550" w:type="dxa"/>
            <w:shd w:val="clear" w:color="auto" w:fill="auto"/>
            <w:vAlign w:val="center"/>
          </w:tcPr>
          <w:p w14:paraId="1984883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45</w:t>
            </w:r>
          </w:p>
        </w:tc>
        <w:tc>
          <w:tcPr>
            <w:tcW w:w="1071" w:type="dxa"/>
            <w:shd w:val="clear" w:color="auto" w:fill="auto"/>
            <w:vAlign w:val="center"/>
          </w:tcPr>
          <w:p w14:paraId="0C69CE8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52255EF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Dakić I, Arandjelović I, Savić B, Jovanović S, Tošić M, Kurucin T, et al. </w:t>
            </w:r>
          </w:p>
        </w:tc>
        <w:tc>
          <w:tcPr>
            <w:tcW w:w="7010" w:type="dxa"/>
            <w:shd w:val="clear" w:color="auto" w:fill="auto"/>
            <w:vAlign w:val="center"/>
          </w:tcPr>
          <w:p w14:paraId="7EB8497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Pulmonary Isolation and Clinical Relevance of Nontuberculous Mycobacteria During Nationwide Survey in Serbia, 2010-2015</w:t>
            </w:r>
          </w:p>
        </w:tc>
        <w:tc>
          <w:tcPr>
            <w:tcW w:w="568" w:type="dxa"/>
            <w:shd w:val="clear" w:color="auto" w:fill="auto"/>
            <w:vAlign w:val="center"/>
          </w:tcPr>
          <w:p w14:paraId="7EE68AF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6382EB44" w14:textId="77777777" w:rsidTr="004C3C90">
        <w:trPr>
          <w:trHeight w:val="20"/>
        </w:trPr>
        <w:tc>
          <w:tcPr>
            <w:tcW w:w="550" w:type="dxa"/>
            <w:shd w:val="clear" w:color="auto" w:fill="auto"/>
            <w:vAlign w:val="center"/>
          </w:tcPr>
          <w:p w14:paraId="2375E59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46</w:t>
            </w:r>
          </w:p>
        </w:tc>
        <w:tc>
          <w:tcPr>
            <w:tcW w:w="1071" w:type="dxa"/>
            <w:shd w:val="clear" w:color="auto" w:fill="auto"/>
            <w:vAlign w:val="center"/>
          </w:tcPr>
          <w:p w14:paraId="7CF5EA0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012031B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Dzemaili S, Tiemensma J, Quinton R, Pitteloud N, Morin D, Dwyer AA</w:t>
            </w:r>
          </w:p>
        </w:tc>
        <w:tc>
          <w:tcPr>
            <w:tcW w:w="7010" w:type="dxa"/>
            <w:shd w:val="clear" w:color="auto" w:fill="auto"/>
            <w:vAlign w:val="center"/>
          </w:tcPr>
          <w:p w14:paraId="4B20EAD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Beyond Hormone Replacement: Quality of Life in Women with Congenital Hypogonadotropic Hypogonadism</w:t>
            </w:r>
          </w:p>
        </w:tc>
        <w:tc>
          <w:tcPr>
            <w:tcW w:w="568" w:type="dxa"/>
            <w:shd w:val="clear" w:color="auto" w:fill="auto"/>
            <w:vAlign w:val="center"/>
          </w:tcPr>
          <w:p w14:paraId="48DD0E8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1458FF13" w14:textId="77777777" w:rsidTr="004C3C90">
        <w:trPr>
          <w:trHeight w:val="20"/>
        </w:trPr>
        <w:tc>
          <w:tcPr>
            <w:tcW w:w="550" w:type="dxa"/>
            <w:shd w:val="clear" w:color="auto" w:fill="auto"/>
            <w:vAlign w:val="center"/>
          </w:tcPr>
          <w:p w14:paraId="30887F9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47</w:t>
            </w:r>
          </w:p>
        </w:tc>
        <w:tc>
          <w:tcPr>
            <w:tcW w:w="1071" w:type="dxa"/>
            <w:shd w:val="clear" w:color="auto" w:fill="auto"/>
            <w:vAlign w:val="center"/>
          </w:tcPr>
          <w:p w14:paraId="7F92E52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416DA5D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Valkema PA, Luymes CH, Witteveen JE, le Cessie S, Appelman-Dijkstra NM, Hogendoorn PC, et al. </w:t>
            </w:r>
          </w:p>
        </w:tc>
        <w:tc>
          <w:tcPr>
            <w:tcW w:w="7010" w:type="dxa"/>
            <w:shd w:val="clear" w:color="auto" w:fill="auto"/>
            <w:vAlign w:val="center"/>
          </w:tcPr>
          <w:p w14:paraId="2680FF0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High Prevalence of Autoimmune Disease in the Rare Inflammatory Bone Disorder Sternocostoclavicular Hyperostosis: Survey of a Dutch Cohort</w:t>
            </w:r>
          </w:p>
        </w:tc>
        <w:tc>
          <w:tcPr>
            <w:tcW w:w="568" w:type="dxa"/>
            <w:shd w:val="clear" w:color="auto" w:fill="auto"/>
            <w:vAlign w:val="center"/>
          </w:tcPr>
          <w:p w14:paraId="3DC39C8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1FE67E84" w14:textId="77777777" w:rsidTr="004C3C90">
        <w:trPr>
          <w:trHeight w:val="20"/>
        </w:trPr>
        <w:tc>
          <w:tcPr>
            <w:tcW w:w="550" w:type="dxa"/>
            <w:shd w:val="clear" w:color="auto" w:fill="auto"/>
            <w:vAlign w:val="center"/>
          </w:tcPr>
          <w:p w14:paraId="353E446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48</w:t>
            </w:r>
          </w:p>
        </w:tc>
        <w:tc>
          <w:tcPr>
            <w:tcW w:w="1071" w:type="dxa"/>
            <w:shd w:val="clear" w:color="auto" w:fill="auto"/>
            <w:vAlign w:val="center"/>
          </w:tcPr>
          <w:p w14:paraId="30D429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564B984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Gemmell AP, Veach PM, MacFarlane I, Riesgraf R, LeRoy BS</w:t>
            </w:r>
          </w:p>
        </w:tc>
        <w:tc>
          <w:tcPr>
            <w:tcW w:w="7010" w:type="dxa"/>
            <w:shd w:val="clear" w:color="auto" w:fill="auto"/>
            <w:vAlign w:val="center"/>
          </w:tcPr>
          <w:p w14:paraId="2D1EF97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If It Helps, It's Worth a Try: An Investigation of Perceptions and Attitudes About Genetic Counseling among Southern Manitoba Hutterites</w:t>
            </w:r>
          </w:p>
        </w:tc>
        <w:tc>
          <w:tcPr>
            <w:tcW w:w="568" w:type="dxa"/>
            <w:shd w:val="clear" w:color="auto" w:fill="auto"/>
            <w:vAlign w:val="center"/>
          </w:tcPr>
          <w:p w14:paraId="18556A9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72AC5185" w14:textId="77777777" w:rsidTr="004C3C90">
        <w:trPr>
          <w:trHeight w:val="20"/>
        </w:trPr>
        <w:tc>
          <w:tcPr>
            <w:tcW w:w="550" w:type="dxa"/>
            <w:shd w:val="clear" w:color="auto" w:fill="auto"/>
            <w:vAlign w:val="center"/>
          </w:tcPr>
          <w:p w14:paraId="6890641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49</w:t>
            </w:r>
          </w:p>
        </w:tc>
        <w:tc>
          <w:tcPr>
            <w:tcW w:w="1071" w:type="dxa"/>
            <w:shd w:val="clear" w:color="auto" w:fill="auto"/>
            <w:vAlign w:val="center"/>
          </w:tcPr>
          <w:p w14:paraId="065DCEC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57D1A59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Mori Y, Downs J, Wong K, Anderson B, Epstein A, Leonard H</w:t>
            </w:r>
          </w:p>
        </w:tc>
        <w:tc>
          <w:tcPr>
            <w:tcW w:w="7010" w:type="dxa"/>
            <w:shd w:val="clear" w:color="auto" w:fill="auto"/>
            <w:vAlign w:val="center"/>
          </w:tcPr>
          <w:p w14:paraId="20CB80A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Impacts of Caring for a Child with the Cdkl5 Disorder on Parental Wellbeing and Family Quality of Life</w:t>
            </w:r>
          </w:p>
        </w:tc>
        <w:tc>
          <w:tcPr>
            <w:tcW w:w="568" w:type="dxa"/>
            <w:shd w:val="clear" w:color="auto" w:fill="auto"/>
            <w:vAlign w:val="center"/>
          </w:tcPr>
          <w:p w14:paraId="3A127F5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144E6426" w14:textId="77777777" w:rsidTr="004C3C90">
        <w:trPr>
          <w:trHeight w:val="20"/>
        </w:trPr>
        <w:tc>
          <w:tcPr>
            <w:tcW w:w="550" w:type="dxa"/>
            <w:shd w:val="clear" w:color="auto" w:fill="auto"/>
            <w:vAlign w:val="center"/>
          </w:tcPr>
          <w:p w14:paraId="57C0538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50</w:t>
            </w:r>
          </w:p>
        </w:tc>
        <w:tc>
          <w:tcPr>
            <w:tcW w:w="1071" w:type="dxa"/>
            <w:shd w:val="clear" w:color="auto" w:fill="auto"/>
            <w:vAlign w:val="center"/>
          </w:tcPr>
          <w:p w14:paraId="08503CD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093A570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Shimizu S, Kobayashi T, Tomioka H, Ohtsu K, Matsui T, Hibi T</w:t>
            </w:r>
          </w:p>
        </w:tc>
        <w:tc>
          <w:tcPr>
            <w:tcW w:w="7010" w:type="dxa"/>
            <w:shd w:val="clear" w:color="auto" w:fill="auto"/>
            <w:vAlign w:val="center"/>
          </w:tcPr>
          <w:p w14:paraId="1E28678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Involvement of Herbal Medicine as a Cause of Mesenteric Phlebosclerosis: Results from a Large-Scale Nationwide Survey</w:t>
            </w:r>
          </w:p>
        </w:tc>
        <w:tc>
          <w:tcPr>
            <w:tcW w:w="568" w:type="dxa"/>
            <w:shd w:val="clear" w:color="auto" w:fill="auto"/>
            <w:vAlign w:val="center"/>
          </w:tcPr>
          <w:p w14:paraId="0F1784C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3F38DFC7" w14:textId="77777777" w:rsidTr="004C3C90">
        <w:trPr>
          <w:trHeight w:val="20"/>
        </w:trPr>
        <w:tc>
          <w:tcPr>
            <w:tcW w:w="550" w:type="dxa"/>
            <w:shd w:val="clear" w:color="auto" w:fill="auto"/>
            <w:vAlign w:val="center"/>
          </w:tcPr>
          <w:p w14:paraId="1E64B7B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51</w:t>
            </w:r>
          </w:p>
        </w:tc>
        <w:tc>
          <w:tcPr>
            <w:tcW w:w="1071" w:type="dxa"/>
            <w:shd w:val="clear" w:color="auto" w:fill="auto"/>
            <w:vAlign w:val="center"/>
          </w:tcPr>
          <w:p w14:paraId="18E8738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28A57EB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Wang J, Al-Ouran R, Hu Y, Kim SY, Wan YW, Wangler MF, et al. </w:t>
            </w:r>
          </w:p>
        </w:tc>
        <w:tc>
          <w:tcPr>
            <w:tcW w:w="7010" w:type="dxa"/>
            <w:shd w:val="clear" w:color="auto" w:fill="auto"/>
            <w:vAlign w:val="center"/>
          </w:tcPr>
          <w:p w14:paraId="6FFA85B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Marrvel: Integration of Human and Model Organism Genetic Resources to Facilitate Functional Annotation of the Human Genome</w:t>
            </w:r>
          </w:p>
        </w:tc>
        <w:tc>
          <w:tcPr>
            <w:tcW w:w="568" w:type="dxa"/>
            <w:shd w:val="clear" w:color="auto" w:fill="auto"/>
            <w:vAlign w:val="center"/>
          </w:tcPr>
          <w:p w14:paraId="78E9DFB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36A84A50" w14:textId="77777777" w:rsidTr="004C3C90">
        <w:trPr>
          <w:trHeight w:val="20"/>
        </w:trPr>
        <w:tc>
          <w:tcPr>
            <w:tcW w:w="550" w:type="dxa"/>
            <w:shd w:val="clear" w:color="auto" w:fill="auto"/>
            <w:vAlign w:val="center"/>
          </w:tcPr>
          <w:p w14:paraId="03ED9CD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52</w:t>
            </w:r>
          </w:p>
        </w:tc>
        <w:tc>
          <w:tcPr>
            <w:tcW w:w="1071" w:type="dxa"/>
            <w:shd w:val="clear" w:color="auto" w:fill="auto"/>
            <w:vAlign w:val="center"/>
          </w:tcPr>
          <w:p w14:paraId="4DA71C9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1F003B4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Schmidt BM, Wrobel JS, Holmes CM</w:t>
            </w:r>
          </w:p>
        </w:tc>
        <w:tc>
          <w:tcPr>
            <w:tcW w:w="7010" w:type="dxa"/>
            <w:shd w:val="clear" w:color="auto" w:fill="auto"/>
            <w:vAlign w:val="center"/>
          </w:tcPr>
          <w:p w14:paraId="66EDC5C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Physician Knowledge of a Rare Foot Condition - Influence of Diabetic Patient Population on Self-Described Knowledge and Treatment</w:t>
            </w:r>
          </w:p>
        </w:tc>
        <w:tc>
          <w:tcPr>
            <w:tcW w:w="568" w:type="dxa"/>
            <w:shd w:val="clear" w:color="auto" w:fill="auto"/>
            <w:vAlign w:val="center"/>
          </w:tcPr>
          <w:p w14:paraId="4AC9B16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169E71E5" w14:textId="77777777" w:rsidTr="004C3C90">
        <w:trPr>
          <w:trHeight w:val="20"/>
        </w:trPr>
        <w:tc>
          <w:tcPr>
            <w:tcW w:w="550" w:type="dxa"/>
            <w:shd w:val="clear" w:color="auto" w:fill="auto"/>
            <w:vAlign w:val="center"/>
          </w:tcPr>
          <w:p w14:paraId="71379CE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53</w:t>
            </w:r>
          </w:p>
        </w:tc>
        <w:tc>
          <w:tcPr>
            <w:tcW w:w="1071" w:type="dxa"/>
            <w:shd w:val="clear" w:color="auto" w:fill="auto"/>
            <w:vAlign w:val="center"/>
          </w:tcPr>
          <w:p w14:paraId="7D8A37F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3A91922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Ranft A, Seidel C, Hoffmann C, Paulussen M, Warby AC, van den Berg H, et al. </w:t>
            </w:r>
          </w:p>
        </w:tc>
        <w:tc>
          <w:tcPr>
            <w:tcW w:w="7010" w:type="dxa"/>
            <w:shd w:val="clear" w:color="auto" w:fill="auto"/>
            <w:vAlign w:val="center"/>
          </w:tcPr>
          <w:p w14:paraId="7DA0245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Quality of Survivorship in a Rare Disease: Clinicofunctional Outcome and Physical Activity in an Observational Cohort Study of 618 Long-Term Survivors of Ewing Sarcoma</w:t>
            </w:r>
          </w:p>
        </w:tc>
        <w:tc>
          <w:tcPr>
            <w:tcW w:w="568" w:type="dxa"/>
            <w:shd w:val="clear" w:color="auto" w:fill="auto"/>
            <w:vAlign w:val="center"/>
          </w:tcPr>
          <w:p w14:paraId="039F702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0497D37D" w14:textId="77777777" w:rsidTr="004C3C90">
        <w:trPr>
          <w:trHeight w:val="20"/>
        </w:trPr>
        <w:tc>
          <w:tcPr>
            <w:tcW w:w="550" w:type="dxa"/>
            <w:shd w:val="clear" w:color="auto" w:fill="auto"/>
            <w:vAlign w:val="center"/>
          </w:tcPr>
          <w:p w14:paraId="57841CF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54</w:t>
            </w:r>
          </w:p>
        </w:tc>
        <w:tc>
          <w:tcPr>
            <w:tcW w:w="1071" w:type="dxa"/>
            <w:shd w:val="clear" w:color="auto" w:fill="auto"/>
            <w:vAlign w:val="center"/>
          </w:tcPr>
          <w:p w14:paraId="0258AB4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1EAF20A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Seanehia J, Treibich C, Holmberg C, Müller-Nordhorn J, Casin V, Raude J, et al. </w:t>
            </w:r>
          </w:p>
        </w:tc>
        <w:tc>
          <w:tcPr>
            <w:tcW w:w="7010" w:type="dxa"/>
            <w:shd w:val="clear" w:color="auto" w:fill="auto"/>
            <w:vAlign w:val="center"/>
          </w:tcPr>
          <w:p w14:paraId="3F837A8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Quantifying Population Preferences around Vaccination against Severe but Rare Diseases: A Conjoint Analysis among French University Students, 2016</w:t>
            </w:r>
          </w:p>
        </w:tc>
        <w:tc>
          <w:tcPr>
            <w:tcW w:w="568" w:type="dxa"/>
            <w:shd w:val="clear" w:color="auto" w:fill="auto"/>
            <w:vAlign w:val="center"/>
          </w:tcPr>
          <w:p w14:paraId="3201A80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729785D" w14:textId="77777777" w:rsidTr="004C3C90">
        <w:trPr>
          <w:trHeight w:val="20"/>
        </w:trPr>
        <w:tc>
          <w:tcPr>
            <w:tcW w:w="550" w:type="dxa"/>
            <w:shd w:val="clear" w:color="auto" w:fill="auto"/>
            <w:vAlign w:val="center"/>
          </w:tcPr>
          <w:p w14:paraId="4F9905B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55</w:t>
            </w:r>
          </w:p>
        </w:tc>
        <w:tc>
          <w:tcPr>
            <w:tcW w:w="1071" w:type="dxa"/>
            <w:shd w:val="clear" w:color="auto" w:fill="auto"/>
            <w:vAlign w:val="center"/>
          </w:tcPr>
          <w:p w14:paraId="3C7C931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1222FAB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Gnanasakthy A, Mordin M, Evans E, Doward L, DeMuro C</w:t>
            </w:r>
          </w:p>
        </w:tc>
        <w:tc>
          <w:tcPr>
            <w:tcW w:w="7010" w:type="dxa"/>
            <w:shd w:val="clear" w:color="auto" w:fill="auto"/>
            <w:vAlign w:val="center"/>
          </w:tcPr>
          <w:p w14:paraId="62F9553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Review of Patient-Reported Outcome Labeling in the United States (2011-2015)</w:t>
            </w:r>
          </w:p>
        </w:tc>
        <w:tc>
          <w:tcPr>
            <w:tcW w:w="568" w:type="dxa"/>
            <w:shd w:val="clear" w:color="auto" w:fill="auto"/>
            <w:vAlign w:val="center"/>
          </w:tcPr>
          <w:p w14:paraId="1247CA5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1AC009A2" w14:textId="77777777" w:rsidTr="004C3C90">
        <w:trPr>
          <w:trHeight w:val="20"/>
        </w:trPr>
        <w:tc>
          <w:tcPr>
            <w:tcW w:w="550" w:type="dxa"/>
            <w:shd w:val="clear" w:color="auto" w:fill="auto"/>
            <w:vAlign w:val="center"/>
          </w:tcPr>
          <w:p w14:paraId="3CFB7A0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56</w:t>
            </w:r>
          </w:p>
        </w:tc>
        <w:tc>
          <w:tcPr>
            <w:tcW w:w="1071" w:type="dxa"/>
            <w:shd w:val="clear" w:color="auto" w:fill="auto"/>
            <w:vAlign w:val="center"/>
          </w:tcPr>
          <w:p w14:paraId="16861EA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32522BD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Gupta N, Kopras EJ, Henske EP, James LE, El-Chemaly S, et al. </w:t>
            </w:r>
          </w:p>
        </w:tc>
        <w:tc>
          <w:tcPr>
            <w:tcW w:w="7010" w:type="dxa"/>
            <w:shd w:val="clear" w:color="auto" w:fill="auto"/>
            <w:vAlign w:val="center"/>
          </w:tcPr>
          <w:p w14:paraId="156945D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Spontaneous Pneumothoraces in Patients with Birt-Hogg-Dubé Syndrome</w:t>
            </w:r>
          </w:p>
        </w:tc>
        <w:tc>
          <w:tcPr>
            <w:tcW w:w="568" w:type="dxa"/>
            <w:shd w:val="clear" w:color="auto" w:fill="auto"/>
            <w:vAlign w:val="center"/>
          </w:tcPr>
          <w:p w14:paraId="02A8A49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183E2331" w14:textId="77777777" w:rsidTr="004C3C90">
        <w:trPr>
          <w:trHeight w:val="20"/>
        </w:trPr>
        <w:tc>
          <w:tcPr>
            <w:tcW w:w="550" w:type="dxa"/>
            <w:shd w:val="clear" w:color="auto" w:fill="auto"/>
            <w:vAlign w:val="center"/>
          </w:tcPr>
          <w:p w14:paraId="543E433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57</w:t>
            </w:r>
          </w:p>
        </w:tc>
        <w:tc>
          <w:tcPr>
            <w:tcW w:w="1071" w:type="dxa"/>
            <w:shd w:val="clear" w:color="auto" w:fill="auto"/>
            <w:vAlign w:val="center"/>
          </w:tcPr>
          <w:p w14:paraId="73A5DB7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3CE1447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Senier L, Lee R, Nicoll L</w:t>
            </w:r>
          </w:p>
        </w:tc>
        <w:tc>
          <w:tcPr>
            <w:tcW w:w="7010" w:type="dxa"/>
            <w:shd w:val="clear" w:color="auto" w:fill="auto"/>
            <w:vAlign w:val="center"/>
          </w:tcPr>
          <w:p w14:paraId="290B5F3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Strategic Defense of Physician Autonomy: State Public Health Agencies as Countervailing Powers</w:t>
            </w:r>
          </w:p>
        </w:tc>
        <w:tc>
          <w:tcPr>
            <w:tcW w:w="568" w:type="dxa"/>
            <w:shd w:val="clear" w:color="auto" w:fill="auto"/>
            <w:vAlign w:val="center"/>
          </w:tcPr>
          <w:p w14:paraId="3450BB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23C20BA8" w14:textId="77777777" w:rsidTr="004C3C90">
        <w:trPr>
          <w:trHeight w:val="20"/>
        </w:trPr>
        <w:tc>
          <w:tcPr>
            <w:tcW w:w="550" w:type="dxa"/>
            <w:shd w:val="clear" w:color="auto" w:fill="auto"/>
            <w:vAlign w:val="center"/>
          </w:tcPr>
          <w:p w14:paraId="22D8BBC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58</w:t>
            </w:r>
          </w:p>
        </w:tc>
        <w:tc>
          <w:tcPr>
            <w:tcW w:w="1071" w:type="dxa"/>
            <w:shd w:val="clear" w:color="auto" w:fill="auto"/>
            <w:vAlign w:val="center"/>
          </w:tcPr>
          <w:p w14:paraId="6FA7DA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157E852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Neamsuvan O, Ruangrit T</w:t>
            </w:r>
          </w:p>
        </w:tc>
        <w:tc>
          <w:tcPr>
            <w:tcW w:w="7010" w:type="dxa"/>
            <w:shd w:val="clear" w:color="auto" w:fill="auto"/>
            <w:vAlign w:val="center"/>
          </w:tcPr>
          <w:p w14:paraId="31C63D7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Survey of Herbal Weeds That Are Used to Treat Gastrointestinal Disorders from Southern Thailand: Krabi and Songkhla Provinces</w:t>
            </w:r>
          </w:p>
        </w:tc>
        <w:tc>
          <w:tcPr>
            <w:tcW w:w="568" w:type="dxa"/>
            <w:shd w:val="clear" w:color="auto" w:fill="auto"/>
            <w:vAlign w:val="center"/>
          </w:tcPr>
          <w:p w14:paraId="1D320A4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13E1259C" w14:textId="77777777" w:rsidTr="004C3C90">
        <w:trPr>
          <w:trHeight w:val="20"/>
        </w:trPr>
        <w:tc>
          <w:tcPr>
            <w:tcW w:w="550" w:type="dxa"/>
            <w:shd w:val="clear" w:color="auto" w:fill="auto"/>
            <w:vAlign w:val="center"/>
          </w:tcPr>
          <w:p w14:paraId="6646042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59</w:t>
            </w:r>
          </w:p>
        </w:tc>
        <w:tc>
          <w:tcPr>
            <w:tcW w:w="1071" w:type="dxa"/>
            <w:shd w:val="clear" w:color="auto" w:fill="auto"/>
            <w:vAlign w:val="center"/>
          </w:tcPr>
          <w:p w14:paraId="2719F0A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2932487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Dessens A, Guaragna-Filho G, Kyriakou A, et al. </w:t>
            </w:r>
          </w:p>
        </w:tc>
        <w:tc>
          <w:tcPr>
            <w:tcW w:w="7010" w:type="dxa"/>
            <w:shd w:val="clear" w:color="auto" w:fill="auto"/>
            <w:vAlign w:val="center"/>
          </w:tcPr>
          <w:p w14:paraId="09135C4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Understanding the Needs of Professionals Who Provide Psychosocial Care for Children and Adults with Disorders of Sex Development</w:t>
            </w:r>
          </w:p>
        </w:tc>
        <w:tc>
          <w:tcPr>
            <w:tcW w:w="568" w:type="dxa"/>
            <w:shd w:val="clear" w:color="auto" w:fill="auto"/>
            <w:vAlign w:val="center"/>
          </w:tcPr>
          <w:p w14:paraId="46C8794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30D13B49" w14:textId="77777777" w:rsidTr="004C3C90">
        <w:trPr>
          <w:trHeight w:val="20"/>
        </w:trPr>
        <w:tc>
          <w:tcPr>
            <w:tcW w:w="550" w:type="dxa"/>
            <w:shd w:val="clear" w:color="auto" w:fill="auto"/>
            <w:vAlign w:val="center"/>
          </w:tcPr>
          <w:p w14:paraId="3F6C877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60</w:t>
            </w:r>
          </w:p>
        </w:tc>
        <w:tc>
          <w:tcPr>
            <w:tcW w:w="1071" w:type="dxa"/>
            <w:shd w:val="clear" w:color="auto" w:fill="auto"/>
            <w:vAlign w:val="center"/>
          </w:tcPr>
          <w:p w14:paraId="4195F07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3036F85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Iskrov G, Ivanov S, Wrenn S, Stefanov R</w:t>
            </w:r>
          </w:p>
        </w:tc>
        <w:tc>
          <w:tcPr>
            <w:tcW w:w="7010" w:type="dxa"/>
            <w:shd w:val="clear" w:color="auto" w:fill="auto"/>
            <w:vAlign w:val="center"/>
          </w:tcPr>
          <w:p w14:paraId="47E13BA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Whole-Genome Sequencing in Newborn Screening-Attitudes and Opinions of Bulgarian Pediatricians and Geneticists</w:t>
            </w:r>
          </w:p>
        </w:tc>
        <w:tc>
          <w:tcPr>
            <w:tcW w:w="568" w:type="dxa"/>
            <w:shd w:val="clear" w:color="auto" w:fill="auto"/>
            <w:vAlign w:val="center"/>
          </w:tcPr>
          <w:p w14:paraId="26B9612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6FA1CAD" w14:textId="77777777" w:rsidTr="004C3C90">
        <w:trPr>
          <w:trHeight w:val="20"/>
        </w:trPr>
        <w:tc>
          <w:tcPr>
            <w:tcW w:w="550" w:type="dxa"/>
            <w:shd w:val="clear" w:color="auto" w:fill="auto"/>
            <w:vAlign w:val="center"/>
          </w:tcPr>
          <w:p w14:paraId="65DC2DB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61</w:t>
            </w:r>
          </w:p>
        </w:tc>
        <w:tc>
          <w:tcPr>
            <w:tcW w:w="1071" w:type="dxa"/>
            <w:shd w:val="clear" w:color="auto" w:fill="auto"/>
            <w:vAlign w:val="center"/>
          </w:tcPr>
          <w:p w14:paraId="4AD3C42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3918650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Ingersoll B, Wainer AL, Berger NI, Pickard KE, Bonter N</w:t>
            </w:r>
          </w:p>
        </w:tc>
        <w:tc>
          <w:tcPr>
            <w:tcW w:w="7010" w:type="dxa"/>
            <w:shd w:val="clear" w:color="auto" w:fill="auto"/>
            <w:vAlign w:val="center"/>
          </w:tcPr>
          <w:p w14:paraId="77E9AAF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Comparative Efficacy of Self-Directed &amp; Therapist-Assisted Telehealth Parent Training Intervention for Children with Asd</w:t>
            </w:r>
          </w:p>
        </w:tc>
        <w:tc>
          <w:tcPr>
            <w:tcW w:w="568" w:type="dxa"/>
            <w:shd w:val="clear" w:color="auto" w:fill="auto"/>
            <w:vAlign w:val="center"/>
          </w:tcPr>
          <w:p w14:paraId="5A50C09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1CCC35A0" w14:textId="77777777" w:rsidTr="004C3C90">
        <w:trPr>
          <w:trHeight w:val="20"/>
        </w:trPr>
        <w:tc>
          <w:tcPr>
            <w:tcW w:w="550" w:type="dxa"/>
            <w:shd w:val="clear" w:color="auto" w:fill="auto"/>
            <w:vAlign w:val="center"/>
          </w:tcPr>
          <w:p w14:paraId="242B0A4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62</w:t>
            </w:r>
          </w:p>
        </w:tc>
        <w:tc>
          <w:tcPr>
            <w:tcW w:w="1071" w:type="dxa"/>
            <w:shd w:val="clear" w:color="auto" w:fill="auto"/>
            <w:vAlign w:val="center"/>
          </w:tcPr>
          <w:p w14:paraId="223692E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22AD549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Beavers KM</w:t>
            </w:r>
          </w:p>
        </w:tc>
        <w:tc>
          <w:tcPr>
            <w:tcW w:w="7010" w:type="dxa"/>
            <w:shd w:val="clear" w:color="auto" w:fill="auto"/>
            <w:vAlign w:val="center"/>
          </w:tcPr>
          <w:p w14:paraId="6E9428E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Effect of High Protein Weight Loss for Seniors</w:t>
            </w:r>
          </w:p>
        </w:tc>
        <w:tc>
          <w:tcPr>
            <w:tcW w:w="568" w:type="dxa"/>
            <w:shd w:val="clear" w:color="auto" w:fill="auto"/>
            <w:vAlign w:val="center"/>
          </w:tcPr>
          <w:p w14:paraId="44F2419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53B34609" w14:textId="77777777" w:rsidTr="004C3C90">
        <w:trPr>
          <w:trHeight w:val="20"/>
        </w:trPr>
        <w:tc>
          <w:tcPr>
            <w:tcW w:w="550" w:type="dxa"/>
            <w:shd w:val="clear" w:color="auto" w:fill="auto"/>
            <w:vAlign w:val="center"/>
          </w:tcPr>
          <w:p w14:paraId="6131EBD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63</w:t>
            </w:r>
          </w:p>
        </w:tc>
        <w:tc>
          <w:tcPr>
            <w:tcW w:w="1071" w:type="dxa"/>
            <w:shd w:val="clear" w:color="auto" w:fill="auto"/>
            <w:vAlign w:val="center"/>
          </w:tcPr>
          <w:p w14:paraId="5331006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19E947D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Pasick RJ, Joseph G, Stewart S, Kaplan C, Lee R, Luce J, et al. </w:t>
            </w:r>
          </w:p>
        </w:tc>
        <w:tc>
          <w:tcPr>
            <w:tcW w:w="7010" w:type="dxa"/>
            <w:shd w:val="clear" w:color="auto" w:fill="auto"/>
            <w:vAlign w:val="center"/>
          </w:tcPr>
          <w:p w14:paraId="25759D1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Effective Referral of Low-Income Women at Risk for Hereditary Breast and Ovarian Cancer to Genetic Counseling: A Randomized Delayed Intervention Control Trial</w:t>
            </w:r>
          </w:p>
        </w:tc>
        <w:tc>
          <w:tcPr>
            <w:tcW w:w="568" w:type="dxa"/>
            <w:shd w:val="clear" w:color="auto" w:fill="auto"/>
            <w:vAlign w:val="center"/>
          </w:tcPr>
          <w:p w14:paraId="2C18EFC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788C1CDE" w14:textId="77777777" w:rsidTr="004C3C90">
        <w:trPr>
          <w:trHeight w:val="20"/>
        </w:trPr>
        <w:tc>
          <w:tcPr>
            <w:tcW w:w="550" w:type="dxa"/>
            <w:shd w:val="clear" w:color="auto" w:fill="auto"/>
            <w:vAlign w:val="center"/>
          </w:tcPr>
          <w:p w14:paraId="1F92AF9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64</w:t>
            </w:r>
          </w:p>
        </w:tc>
        <w:tc>
          <w:tcPr>
            <w:tcW w:w="1071" w:type="dxa"/>
            <w:shd w:val="clear" w:color="auto" w:fill="auto"/>
            <w:vAlign w:val="center"/>
          </w:tcPr>
          <w:p w14:paraId="596647E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43E08CC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Kim H, Bar Ad V, McAna J, Dicker AP. </w:t>
            </w:r>
          </w:p>
        </w:tc>
        <w:tc>
          <w:tcPr>
            <w:tcW w:w="7010" w:type="dxa"/>
            <w:shd w:val="clear" w:color="auto" w:fill="auto"/>
            <w:vAlign w:val="center"/>
          </w:tcPr>
          <w:p w14:paraId="1884B84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Evaluating the Quality, Clinical Relevance, and Resident Perception of the Radiation Oncology in-Training Examination: A National Survey</w:t>
            </w:r>
          </w:p>
        </w:tc>
        <w:tc>
          <w:tcPr>
            <w:tcW w:w="568" w:type="dxa"/>
            <w:shd w:val="clear" w:color="auto" w:fill="auto"/>
            <w:vAlign w:val="center"/>
          </w:tcPr>
          <w:p w14:paraId="369E78C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0553AD5F" w14:textId="77777777" w:rsidTr="004C3C90">
        <w:trPr>
          <w:trHeight w:val="20"/>
        </w:trPr>
        <w:tc>
          <w:tcPr>
            <w:tcW w:w="550" w:type="dxa"/>
            <w:shd w:val="clear" w:color="auto" w:fill="auto"/>
            <w:vAlign w:val="center"/>
          </w:tcPr>
          <w:p w14:paraId="323C61C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65</w:t>
            </w:r>
          </w:p>
        </w:tc>
        <w:tc>
          <w:tcPr>
            <w:tcW w:w="1071" w:type="dxa"/>
            <w:shd w:val="clear" w:color="auto" w:fill="auto"/>
            <w:vAlign w:val="center"/>
          </w:tcPr>
          <w:p w14:paraId="518067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45FCB5C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Lion A, Schummer C, Delagardelle C, Urhausen A, Seil R, Theisen D</w:t>
            </w:r>
          </w:p>
        </w:tc>
        <w:tc>
          <w:tcPr>
            <w:tcW w:w="7010" w:type="dxa"/>
            <w:shd w:val="clear" w:color="auto" w:fill="auto"/>
            <w:vAlign w:val="center"/>
          </w:tcPr>
          <w:p w14:paraId="0AD59AE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Promotion of Physical Activity in Patients with Non-Communicable Diseases in Luxembourg: A Follow-up of the Sport-Sante Inventory from 2014</w:t>
            </w:r>
          </w:p>
        </w:tc>
        <w:tc>
          <w:tcPr>
            <w:tcW w:w="568" w:type="dxa"/>
            <w:shd w:val="clear" w:color="auto" w:fill="auto"/>
            <w:vAlign w:val="center"/>
          </w:tcPr>
          <w:p w14:paraId="3FA3ADE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21200432" w14:textId="77777777" w:rsidTr="004C3C90">
        <w:trPr>
          <w:trHeight w:val="20"/>
        </w:trPr>
        <w:tc>
          <w:tcPr>
            <w:tcW w:w="550" w:type="dxa"/>
            <w:shd w:val="clear" w:color="auto" w:fill="auto"/>
            <w:vAlign w:val="center"/>
          </w:tcPr>
          <w:p w14:paraId="762ED44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66</w:t>
            </w:r>
          </w:p>
        </w:tc>
        <w:tc>
          <w:tcPr>
            <w:tcW w:w="1071" w:type="dxa"/>
            <w:shd w:val="clear" w:color="auto" w:fill="auto"/>
            <w:vAlign w:val="center"/>
          </w:tcPr>
          <w:p w14:paraId="7D93700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1C3E9A1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Schrøder S, Homøe P, Wagner N, Vataire AL, Lundager Madsen HE, Bardow A</w:t>
            </w:r>
          </w:p>
        </w:tc>
        <w:tc>
          <w:tcPr>
            <w:tcW w:w="7010" w:type="dxa"/>
            <w:shd w:val="clear" w:color="auto" w:fill="auto"/>
            <w:vAlign w:val="center"/>
          </w:tcPr>
          <w:p w14:paraId="28A9FF1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Does Drinking Water Influence Hospital-Admitted Sialolithiasis on an Epidemiological Level in Denmark?</w:t>
            </w:r>
          </w:p>
        </w:tc>
        <w:tc>
          <w:tcPr>
            <w:tcW w:w="568" w:type="dxa"/>
            <w:shd w:val="clear" w:color="auto" w:fill="auto"/>
            <w:vAlign w:val="center"/>
          </w:tcPr>
          <w:p w14:paraId="1CAC82B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16C4019" w14:textId="77777777" w:rsidTr="004C3C90">
        <w:trPr>
          <w:trHeight w:val="20"/>
        </w:trPr>
        <w:tc>
          <w:tcPr>
            <w:tcW w:w="550" w:type="dxa"/>
            <w:shd w:val="clear" w:color="auto" w:fill="auto"/>
            <w:vAlign w:val="center"/>
          </w:tcPr>
          <w:p w14:paraId="644DB7D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67</w:t>
            </w:r>
          </w:p>
        </w:tc>
        <w:tc>
          <w:tcPr>
            <w:tcW w:w="1071" w:type="dxa"/>
            <w:shd w:val="clear" w:color="auto" w:fill="auto"/>
            <w:vAlign w:val="center"/>
          </w:tcPr>
          <w:p w14:paraId="1492D6D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6048321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Monti G, Saccardo F, Castelnovo L, Novati P, Sollima S, Riva A, et al. </w:t>
            </w:r>
          </w:p>
        </w:tc>
        <w:tc>
          <w:tcPr>
            <w:tcW w:w="7010" w:type="dxa"/>
            <w:shd w:val="clear" w:color="auto" w:fill="auto"/>
            <w:vAlign w:val="center"/>
          </w:tcPr>
          <w:p w14:paraId="4CB5B91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Fontan-Associated Protein-Losing Enteropathy and Plastic Bronchitis</w:t>
            </w:r>
          </w:p>
        </w:tc>
        <w:tc>
          <w:tcPr>
            <w:tcW w:w="568" w:type="dxa"/>
            <w:shd w:val="clear" w:color="auto" w:fill="auto"/>
            <w:vAlign w:val="center"/>
          </w:tcPr>
          <w:p w14:paraId="7289F44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5A63E30E" w14:textId="77777777" w:rsidTr="004C3C90">
        <w:trPr>
          <w:trHeight w:val="20"/>
        </w:trPr>
        <w:tc>
          <w:tcPr>
            <w:tcW w:w="550" w:type="dxa"/>
            <w:shd w:val="clear" w:color="auto" w:fill="auto"/>
            <w:vAlign w:val="center"/>
          </w:tcPr>
          <w:p w14:paraId="20E3DAD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68</w:t>
            </w:r>
          </w:p>
        </w:tc>
        <w:tc>
          <w:tcPr>
            <w:tcW w:w="1071" w:type="dxa"/>
            <w:shd w:val="clear" w:color="auto" w:fill="auto"/>
            <w:vAlign w:val="center"/>
          </w:tcPr>
          <w:p w14:paraId="6050640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071ADB5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Ulm E, Feero WG, Dineen R, Charrow J, Wicklund C</w:t>
            </w:r>
          </w:p>
        </w:tc>
        <w:tc>
          <w:tcPr>
            <w:tcW w:w="7010" w:type="dxa"/>
            <w:shd w:val="clear" w:color="auto" w:fill="auto"/>
            <w:vAlign w:val="center"/>
          </w:tcPr>
          <w:p w14:paraId="2C5CFD7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Genetics Professionals' Opinions of Whole-Genome Sequencing in the Newborn Period</w:t>
            </w:r>
          </w:p>
        </w:tc>
        <w:tc>
          <w:tcPr>
            <w:tcW w:w="568" w:type="dxa"/>
            <w:shd w:val="clear" w:color="auto" w:fill="auto"/>
            <w:vAlign w:val="center"/>
          </w:tcPr>
          <w:p w14:paraId="06753AF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68CB3B6" w14:textId="77777777" w:rsidTr="004C3C90">
        <w:trPr>
          <w:trHeight w:val="20"/>
        </w:trPr>
        <w:tc>
          <w:tcPr>
            <w:tcW w:w="550" w:type="dxa"/>
            <w:shd w:val="clear" w:color="auto" w:fill="auto"/>
            <w:vAlign w:val="center"/>
          </w:tcPr>
          <w:p w14:paraId="450A7B4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69</w:t>
            </w:r>
          </w:p>
        </w:tc>
        <w:tc>
          <w:tcPr>
            <w:tcW w:w="1071" w:type="dxa"/>
            <w:shd w:val="clear" w:color="auto" w:fill="auto"/>
            <w:vAlign w:val="center"/>
          </w:tcPr>
          <w:p w14:paraId="3E295CC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53D8A79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Kent EE, Ambs A, Mitchell SA, Clauser SB, Smith AW, Hays RD</w:t>
            </w:r>
          </w:p>
        </w:tc>
        <w:tc>
          <w:tcPr>
            <w:tcW w:w="7010" w:type="dxa"/>
            <w:shd w:val="clear" w:color="auto" w:fill="auto"/>
            <w:vAlign w:val="center"/>
          </w:tcPr>
          <w:p w14:paraId="39A2244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Health-Related Quality of Life in Older Adult Survivors of Selected Cancers: Data from the Seer-Mhos Linkage</w:t>
            </w:r>
          </w:p>
        </w:tc>
        <w:tc>
          <w:tcPr>
            <w:tcW w:w="568" w:type="dxa"/>
            <w:shd w:val="clear" w:color="auto" w:fill="auto"/>
            <w:vAlign w:val="center"/>
          </w:tcPr>
          <w:p w14:paraId="1C5651C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56CF9B36" w14:textId="77777777" w:rsidTr="004C3C90">
        <w:trPr>
          <w:trHeight w:val="20"/>
        </w:trPr>
        <w:tc>
          <w:tcPr>
            <w:tcW w:w="550" w:type="dxa"/>
            <w:shd w:val="clear" w:color="auto" w:fill="auto"/>
            <w:vAlign w:val="center"/>
          </w:tcPr>
          <w:p w14:paraId="4ED7143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70</w:t>
            </w:r>
          </w:p>
        </w:tc>
        <w:tc>
          <w:tcPr>
            <w:tcW w:w="1071" w:type="dxa"/>
            <w:shd w:val="clear" w:color="auto" w:fill="auto"/>
            <w:vAlign w:val="center"/>
          </w:tcPr>
          <w:p w14:paraId="2C2FB70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3D8C9B9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Riesgraf RJ, Veach PM, MacFarlane IM, LeRoy BS</w:t>
            </w:r>
          </w:p>
        </w:tc>
        <w:tc>
          <w:tcPr>
            <w:tcW w:w="7010" w:type="dxa"/>
            <w:shd w:val="clear" w:color="auto" w:fill="auto"/>
            <w:vAlign w:val="center"/>
          </w:tcPr>
          <w:p w14:paraId="563913B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Perceptions and Attitudes About Genetic Counseling among Residents of a Midwestern Rural Area</w:t>
            </w:r>
          </w:p>
        </w:tc>
        <w:tc>
          <w:tcPr>
            <w:tcW w:w="568" w:type="dxa"/>
            <w:shd w:val="clear" w:color="auto" w:fill="auto"/>
            <w:vAlign w:val="center"/>
          </w:tcPr>
          <w:p w14:paraId="66B55D7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74A0CA96" w14:textId="77777777" w:rsidTr="004C3C90">
        <w:trPr>
          <w:trHeight w:val="20"/>
        </w:trPr>
        <w:tc>
          <w:tcPr>
            <w:tcW w:w="550" w:type="dxa"/>
            <w:shd w:val="clear" w:color="auto" w:fill="auto"/>
            <w:vAlign w:val="center"/>
          </w:tcPr>
          <w:p w14:paraId="75823F8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71</w:t>
            </w:r>
          </w:p>
        </w:tc>
        <w:tc>
          <w:tcPr>
            <w:tcW w:w="1071" w:type="dxa"/>
            <w:shd w:val="clear" w:color="auto" w:fill="auto"/>
            <w:vAlign w:val="center"/>
          </w:tcPr>
          <w:p w14:paraId="20CD1BB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77AD933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Berody S, Galeotti C, Koné-Paut I, Piram M</w:t>
            </w:r>
          </w:p>
        </w:tc>
        <w:tc>
          <w:tcPr>
            <w:tcW w:w="7010" w:type="dxa"/>
            <w:shd w:val="clear" w:color="auto" w:fill="auto"/>
            <w:vAlign w:val="center"/>
          </w:tcPr>
          <w:p w14:paraId="58F4E33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Restrospective Survey of Patients's Journey before the Diagnosis of Mevalonate Kinase Deficiency</w:t>
            </w:r>
          </w:p>
        </w:tc>
        <w:tc>
          <w:tcPr>
            <w:tcW w:w="568" w:type="dxa"/>
            <w:shd w:val="clear" w:color="auto" w:fill="auto"/>
            <w:vAlign w:val="center"/>
          </w:tcPr>
          <w:p w14:paraId="45BCBCB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7B7E7DC4" w14:textId="77777777" w:rsidTr="004C3C90">
        <w:trPr>
          <w:trHeight w:val="20"/>
        </w:trPr>
        <w:tc>
          <w:tcPr>
            <w:tcW w:w="550" w:type="dxa"/>
            <w:shd w:val="clear" w:color="auto" w:fill="auto"/>
            <w:vAlign w:val="center"/>
          </w:tcPr>
          <w:p w14:paraId="5788E45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72</w:t>
            </w:r>
          </w:p>
        </w:tc>
        <w:tc>
          <w:tcPr>
            <w:tcW w:w="1071" w:type="dxa"/>
            <w:shd w:val="clear" w:color="auto" w:fill="auto"/>
            <w:vAlign w:val="center"/>
          </w:tcPr>
          <w:p w14:paraId="39AC9D3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2E184F5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Kesselheim AS, Tan YT, Avorn J</w:t>
            </w:r>
          </w:p>
        </w:tc>
        <w:tc>
          <w:tcPr>
            <w:tcW w:w="7010" w:type="dxa"/>
            <w:shd w:val="clear" w:color="auto" w:fill="auto"/>
            <w:vAlign w:val="center"/>
          </w:tcPr>
          <w:p w14:paraId="75A8F9A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Roles of Academia, Rare Diseases, and Repurposing in the Development of the Most Transformative Drugs</w:t>
            </w:r>
          </w:p>
        </w:tc>
        <w:tc>
          <w:tcPr>
            <w:tcW w:w="568" w:type="dxa"/>
            <w:shd w:val="clear" w:color="auto" w:fill="auto"/>
            <w:vAlign w:val="center"/>
          </w:tcPr>
          <w:p w14:paraId="6E7E39D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0D48A908" w14:textId="77777777" w:rsidTr="004C3C90">
        <w:trPr>
          <w:trHeight w:val="20"/>
        </w:trPr>
        <w:tc>
          <w:tcPr>
            <w:tcW w:w="550" w:type="dxa"/>
            <w:shd w:val="clear" w:color="auto" w:fill="auto"/>
            <w:vAlign w:val="center"/>
          </w:tcPr>
          <w:p w14:paraId="3EABC81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73</w:t>
            </w:r>
          </w:p>
        </w:tc>
        <w:tc>
          <w:tcPr>
            <w:tcW w:w="1071" w:type="dxa"/>
            <w:shd w:val="clear" w:color="auto" w:fill="auto"/>
            <w:vAlign w:val="center"/>
          </w:tcPr>
          <w:p w14:paraId="5F28900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322AE6D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Hossain Shahcheraghi G, Javid M, Arasteh MM</w:t>
            </w:r>
          </w:p>
        </w:tc>
        <w:tc>
          <w:tcPr>
            <w:tcW w:w="7010" w:type="dxa"/>
            <w:shd w:val="clear" w:color="auto" w:fill="auto"/>
            <w:vAlign w:val="center"/>
          </w:tcPr>
          <w:p w14:paraId="32E68EB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Thromboembolic Disease after Knee Arthroplasty Is Rare in Southern Iran</w:t>
            </w:r>
          </w:p>
        </w:tc>
        <w:tc>
          <w:tcPr>
            <w:tcW w:w="568" w:type="dxa"/>
            <w:shd w:val="clear" w:color="auto" w:fill="auto"/>
            <w:vAlign w:val="center"/>
          </w:tcPr>
          <w:p w14:paraId="51FDB65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0DB7F5FE" w14:textId="77777777" w:rsidTr="004C3C90">
        <w:trPr>
          <w:trHeight w:val="20"/>
        </w:trPr>
        <w:tc>
          <w:tcPr>
            <w:tcW w:w="550" w:type="dxa"/>
            <w:shd w:val="clear" w:color="auto" w:fill="auto"/>
            <w:vAlign w:val="center"/>
          </w:tcPr>
          <w:p w14:paraId="37895CB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74</w:t>
            </w:r>
          </w:p>
        </w:tc>
        <w:tc>
          <w:tcPr>
            <w:tcW w:w="1071" w:type="dxa"/>
            <w:shd w:val="clear" w:color="auto" w:fill="auto"/>
            <w:vAlign w:val="center"/>
          </w:tcPr>
          <w:p w14:paraId="2BB5C26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76EFA38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Rossi-Semerano L, Fautrel B, Wendling D, et al. </w:t>
            </w:r>
          </w:p>
        </w:tc>
        <w:tc>
          <w:tcPr>
            <w:tcW w:w="7010" w:type="dxa"/>
            <w:shd w:val="clear" w:color="auto" w:fill="auto"/>
            <w:vAlign w:val="center"/>
          </w:tcPr>
          <w:p w14:paraId="6262A35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Tolerance and Efficacy of Off-Label Anti-Interleukin-1 Treatments in France: A Nationwide Survey</w:t>
            </w:r>
          </w:p>
        </w:tc>
        <w:tc>
          <w:tcPr>
            <w:tcW w:w="568" w:type="dxa"/>
            <w:shd w:val="clear" w:color="auto" w:fill="auto"/>
            <w:vAlign w:val="center"/>
          </w:tcPr>
          <w:p w14:paraId="7D219E0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4023318A" w14:textId="77777777" w:rsidTr="004C3C90">
        <w:trPr>
          <w:trHeight w:val="20"/>
        </w:trPr>
        <w:tc>
          <w:tcPr>
            <w:tcW w:w="550" w:type="dxa"/>
            <w:shd w:val="clear" w:color="auto" w:fill="auto"/>
            <w:vAlign w:val="center"/>
          </w:tcPr>
          <w:p w14:paraId="6564D28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75</w:t>
            </w:r>
          </w:p>
        </w:tc>
        <w:tc>
          <w:tcPr>
            <w:tcW w:w="1071" w:type="dxa"/>
            <w:shd w:val="clear" w:color="auto" w:fill="auto"/>
            <w:vAlign w:val="center"/>
          </w:tcPr>
          <w:p w14:paraId="67EDB3A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2510E38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Sundmacher L, Fischbach D, Schuettig W, Naumann C, Augustin U, Faisst C</w:t>
            </w:r>
          </w:p>
        </w:tc>
        <w:tc>
          <w:tcPr>
            <w:tcW w:w="7010" w:type="dxa"/>
            <w:shd w:val="clear" w:color="auto" w:fill="auto"/>
            <w:vAlign w:val="center"/>
          </w:tcPr>
          <w:p w14:paraId="13F4B8A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Which Hospitalisations Are Ambulatory Care-Sensitive, to What Degree, and How Could the Rates Be Reduced? Results of a Group Consensus Study in Germany</w:t>
            </w:r>
          </w:p>
        </w:tc>
        <w:tc>
          <w:tcPr>
            <w:tcW w:w="568" w:type="dxa"/>
            <w:shd w:val="clear" w:color="auto" w:fill="auto"/>
            <w:vAlign w:val="center"/>
          </w:tcPr>
          <w:p w14:paraId="2E5CFB5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6219F57A" w14:textId="77777777" w:rsidTr="004C3C90">
        <w:trPr>
          <w:trHeight w:val="20"/>
        </w:trPr>
        <w:tc>
          <w:tcPr>
            <w:tcW w:w="550" w:type="dxa"/>
            <w:shd w:val="clear" w:color="auto" w:fill="auto"/>
            <w:vAlign w:val="center"/>
          </w:tcPr>
          <w:p w14:paraId="21305B6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76</w:t>
            </w:r>
          </w:p>
        </w:tc>
        <w:tc>
          <w:tcPr>
            <w:tcW w:w="1071" w:type="dxa"/>
            <w:shd w:val="clear" w:color="auto" w:fill="auto"/>
            <w:vAlign w:val="center"/>
          </w:tcPr>
          <w:p w14:paraId="572FDB0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61F1ABF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Cueva M, Cueva K, Dignan M, Lanier A, Kuhnley R</w:t>
            </w:r>
          </w:p>
        </w:tc>
        <w:tc>
          <w:tcPr>
            <w:tcW w:w="7010" w:type="dxa"/>
            <w:shd w:val="clear" w:color="auto" w:fill="auto"/>
            <w:vAlign w:val="center"/>
          </w:tcPr>
          <w:p w14:paraId="0F5F5DE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Evaluating Arts-Based Cancer Education Using an Internet Survey among Alaska Community Health Workers</w:t>
            </w:r>
          </w:p>
        </w:tc>
        <w:tc>
          <w:tcPr>
            <w:tcW w:w="568" w:type="dxa"/>
            <w:shd w:val="clear" w:color="auto" w:fill="auto"/>
            <w:vAlign w:val="center"/>
          </w:tcPr>
          <w:p w14:paraId="58A236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5A06D7B3" w14:textId="77777777" w:rsidTr="004C3C90">
        <w:trPr>
          <w:trHeight w:val="20"/>
        </w:trPr>
        <w:tc>
          <w:tcPr>
            <w:tcW w:w="550" w:type="dxa"/>
            <w:shd w:val="clear" w:color="auto" w:fill="auto"/>
            <w:vAlign w:val="center"/>
          </w:tcPr>
          <w:p w14:paraId="18EB31D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77</w:t>
            </w:r>
          </w:p>
        </w:tc>
        <w:tc>
          <w:tcPr>
            <w:tcW w:w="1071" w:type="dxa"/>
            <w:shd w:val="clear" w:color="auto" w:fill="auto"/>
            <w:vAlign w:val="center"/>
          </w:tcPr>
          <w:p w14:paraId="11E4143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75E87FA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Dwyer AA, Quinton R, Morin D, Pitteloud N</w:t>
            </w:r>
          </w:p>
        </w:tc>
        <w:tc>
          <w:tcPr>
            <w:tcW w:w="7010" w:type="dxa"/>
            <w:shd w:val="clear" w:color="auto" w:fill="auto"/>
            <w:vAlign w:val="center"/>
          </w:tcPr>
          <w:p w14:paraId="73755B2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Identifying the Unmet Health Needs of Patients with Congenital Hypogonadotropic Hypogonadism Using a Web-Based Needs Assessment: Implications for Online Interventions and Peer-to-Peer Support</w:t>
            </w:r>
          </w:p>
        </w:tc>
        <w:tc>
          <w:tcPr>
            <w:tcW w:w="568" w:type="dxa"/>
            <w:shd w:val="clear" w:color="auto" w:fill="auto"/>
            <w:vAlign w:val="center"/>
          </w:tcPr>
          <w:p w14:paraId="7836667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023874BD" w14:textId="77777777" w:rsidTr="004C3C90">
        <w:trPr>
          <w:trHeight w:val="20"/>
        </w:trPr>
        <w:tc>
          <w:tcPr>
            <w:tcW w:w="550" w:type="dxa"/>
            <w:shd w:val="clear" w:color="auto" w:fill="auto"/>
            <w:vAlign w:val="center"/>
          </w:tcPr>
          <w:p w14:paraId="538DC57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78</w:t>
            </w:r>
          </w:p>
        </w:tc>
        <w:tc>
          <w:tcPr>
            <w:tcW w:w="1071" w:type="dxa"/>
            <w:shd w:val="clear" w:color="auto" w:fill="auto"/>
            <w:vAlign w:val="center"/>
          </w:tcPr>
          <w:p w14:paraId="00DD657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488A23A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Henrike HW, Schultz C</w:t>
            </w:r>
          </w:p>
        </w:tc>
        <w:tc>
          <w:tcPr>
            <w:tcW w:w="7010" w:type="dxa"/>
            <w:shd w:val="clear" w:color="auto" w:fill="auto"/>
            <w:vAlign w:val="center"/>
          </w:tcPr>
          <w:p w14:paraId="76878C7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Impact of Health Care Professionals' Service Orientation on Patients' Innovative Behavior</w:t>
            </w:r>
          </w:p>
        </w:tc>
        <w:tc>
          <w:tcPr>
            <w:tcW w:w="568" w:type="dxa"/>
            <w:shd w:val="clear" w:color="auto" w:fill="auto"/>
            <w:vAlign w:val="center"/>
          </w:tcPr>
          <w:p w14:paraId="4923EC9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5DDCADC4" w14:textId="77777777" w:rsidTr="004C3C90">
        <w:trPr>
          <w:trHeight w:val="20"/>
        </w:trPr>
        <w:tc>
          <w:tcPr>
            <w:tcW w:w="550" w:type="dxa"/>
            <w:shd w:val="clear" w:color="auto" w:fill="auto"/>
            <w:vAlign w:val="center"/>
          </w:tcPr>
          <w:p w14:paraId="4AE3314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79</w:t>
            </w:r>
          </w:p>
        </w:tc>
        <w:tc>
          <w:tcPr>
            <w:tcW w:w="1071" w:type="dxa"/>
            <w:shd w:val="clear" w:color="auto" w:fill="auto"/>
            <w:vAlign w:val="center"/>
          </w:tcPr>
          <w:p w14:paraId="08E5661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638ADBF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Monti G, Saccardo F, Castelnovo L, Novati P, Sollima S, Riva A, et al. </w:t>
            </w:r>
          </w:p>
        </w:tc>
        <w:tc>
          <w:tcPr>
            <w:tcW w:w="7010" w:type="dxa"/>
            <w:shd w:val="clear" w:color="auto" w:fill="auto"/>
            <w:vAlign w:val="center"/>
          </w:tcPr>
          <w:p w14:paraId="6125A1D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Prevalence of Mixed Cryoglobulinaemia Syndrome and Circulating Cryoglobulins in a Population-Based Survey: The Origgio Study</w:t>
            </w:r>
          </w:p>
        </w:tc>
        <w:tc>
          <w:tcPr>
            <w:tcW w:w="568" w:type="dxa"/>
            <w:shd w:val="clear" w:color="auto" w:fill="auto"/>
            <w:vAlign w:val="center"/>
          </w:tcPr>
          <w:p w14:paraId="7BBEB2C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25D280CD" w14:textId="77777777" w:rsidTr="004C3C90">
        <w:trPr>
          <w:trHeight w:val="20"/>
        </w:trPr>
        <w:tc>
          <w:tcPr>
            <w:tcW w:w="550" w:type="dxa"/>
            <w:shd w:val="clear" w:color="auto" w:fill="auto"/>
            <w:vAlign w:val="center"/>
          </w:tcPr>
          <w:p w14:paraId="76032A9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80</w:t>
            </w:r>
          </w:p>
        </w:tc>
        <w:tc>
          <w:tcPr>
            <w:tcW w:w="1071" w:type="dxa"/>
            <w:shd w:val="clear" w:color="auto" w:fill="auto"/>
            <w:vAlign w:val="center"/>
          </w:tcPr>
          <w:p w14:paraId="7286D73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39FC82C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Pabinger S, Dander A, Fischer M, Snajder R, Sperk M, Efremova M, et al. </w:t>
            </w:r>
          </w:p>
        </w:tc>
        <w:tc>
          <w:tcPr>
            <w:tcW w:w="7010" w:type="dxa"/>
            <w:shd w:val="clear" w:color="auto" w:fill="auto"/>
            <w:vAlign w:val="center"/>
          </w:tcPr>
          <w:p w14:paraId="2732B02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Survey of Tools for Variant Analysis of Next-Generation Genome Sequencing Data</w:t>
            </w:r>
          </w:p>
        </w:tc>
        <w:tc>
          <w:tcPr>
            <w:tcW w:w="568" w:type="dxa"/>
            <w:shd w:val="clear" w:color="auto" w:fill="auto"/>
            <w:vAlign w:val="center"/>
          </w:tcPr>
          <w:p w14:paraId="5E9C1B5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60BF3EC0" w14:textId="77777777" w:rsidTr="004C3C90">
        <w:trPr>
          <w:trHeight w:val="20"/>
        </w:trPr>
        <w:tc>
          <w:tcPr>
            <w:tcW w:w="550" w:type="dxa"/>
            <w:shd w:val="clear" w:color="auto" w:fill="auto"/>
            <w:vAlign w:val="center"/>
          </w:tcPr>
          <w:p w14:paraId="17A3ECE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81</w:t>
            </w:r>
          </w:p>
        </w:tc>
        <w:tc>
          <w:tcPr>
            <w:tcW w:w="1071" w:type="dxa"/>
            <w:shd w:val="clear" w:color="auto" w:fill="auto"/>
            <w:vAlign w:val="center"/>
          </w:tcPr>
          <w:p w14:paraId="06C4F94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4D9B963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Hadker N, Egan J, Sanders J, Lagast H, Clarke BL</w:t>
            </w:r>
          </w:p>
        </w:tc>
        <w:tc>
          <w:tcPr>
            <w:tcW w:w="7010" w:type="dxa"/>
            <w:shd w:val="clear" w:color="auto" w:fill="auto"/>
            <w:vAlign w:val="center"/>
          </w:tcPr>
          <w:p w14:paraId="64DFC1F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Understanding the Burden of Illness Associated with Hypoparathyroidism Reported among Patients in the Paradox Study</w:t>
            </w:r>
          </w:p>
        </w:tc>
        <w:tc>
          <w:tcPr>
            <w:tcW w:w="568" w:type="dxa"/>
            <w:shd w:val="clear" w:color="auto" w:fill="auto"/>
            <w:vAlign w:val="center"/>
          </w:tcPr>
          <w:p w14:paraId="7721A4E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368C6A81" w14:textId="77777777" w:rsidTr="004C3C90">
        <w:trPr>
          <w:trHeight w:val="20"/>
        </w:trPr>
        <w:tc>
          <w:tcPr>
            <w:tcW w:w="550" w:type="dxa"/>
            <w:shd w:val="clear" w:color="auto" w:fill="auto"/>
            <w:vAlign w:val="center"/>
          </w:tcPr>
          <w:p w14:paraId="23D7451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82</w:t>
            </w:r>
          </w:p>
        </w:tc>
        <w:tc>
          <w:tcPr>
            <w:tcW w:w="1071" w:type="dxa"/>
            <w:shd w:val="clear" w:color="auto" w:fill="auto"/>
            <w:vAlign w:val="center"/>
          </w:tcPr>
          <w:p w14:paraId="14812D3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3AB0458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Shams PN, Selva D; ANZSOPS Eyelid Retraction in Anophthalmia Survey Group</w:t>
            </w:r>
          </w:p>
        </w:tc>
        <w:tc>
          <w:tcPr>
            <w:tcW w:w="7010" w:type="dxa"/>
            <w:shd w:val="clear" w:color="auto" w:fill="auto"/>
            <w:vAlign w:val="center"/>
          </w:tcPr>
          <w:p w14:paraId="176784B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Upper Eyelid Retraction in the Anophthalmic Socket: Review and Survey of the Australian and New Zealand Society of Ophthalmic Plastic Surgeons (Anzsops)</w:t>
            </w:r>
          </w:p>
        </w:tc>
        <w:tc>
          <w:tcPr>
            <w:tcW w:w="568" w:type="dxa"/>
            <w:shd w:val="clear" w:color="auto" w:fill="auto"/>
            <w:vAlign w:val="center"/>
          </w:tcPr>
          <w:p w14:paraId="795B16F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6C50F63D" w14:textId="77777777" w:rsidTr="004C3C90">
        <w:trPr>
          <w:trHeight w:val="20"/>
        </w:trPr>
        <w:tc>
          <w:tcPr>
            <w:tcW w:w="550" w:type="dxa"/>
            <w:shd w:val="clear" w:color="auto" w:fill="auto"/>
            <w:vAlign w:val="center"/>
          </w:tcPr>
          <w:p w14:paraId="43DEA50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83</w:t>
            </w:r>
          </w:p>
        </w:tc>
        <w:tc>
          <w:tcPr>
            <w:tcW w:w="1071" w:type="dxa"/>
            <w:shd w:val="clear" w:color="auto" w:fill="auto"/>
            <w:vAlign w:val="center"/>
          </w:tcPr>
          <w:p w14:paraId="4F6D4F3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2F85A74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Lange M, Niedoszytko M, Renke J, Gleń J, Nedoszytko B</w:t>
            </w:r>
          </w:p>
        </w:tc>
        <w:tc>
          <w:tcPr>
            <w:tcW w:w="7010" w:type="dxa"/>
            <w:shd w:val="clear" w:color="auto" w:fill="auto"/>
            <w:vAlign w:val="center"/>
          </w:tcPr>
          <w:p w14:paraId="356E6F7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Aspects of Paediatric Mastocytosis: A Review of 101 Cases</w:t>
            </w:r>
          </w:p>
        </w:tc>
        <w:tc>
          <w:tcPr>
            <w:tcW w:w="568" w:type="dxa"/>
            <w:shd w:val="clear" w:color="auto" w:fill="auto"/>
            <w:vAlign w:val="center"/>
          </w:tcPr>
          <w:p w14:paraId="68B7C01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72CD1371" w14:textId="77777777" w:rsidTr="004C3C90">
        <w:trPr>
          <w:trHeight w:val="20"/>
        </w:trPr>
        <w:tc>
          <w:tcPr>
            <w:tcW w:w="550" w:type="dxa"/>
            <w:shd w:val="clear" w:color="auto" w:fill="auto"/>
            <w:vAlign w:val="center"/>
          </w:tcPr>
          <w:p w14:paraId="790371B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84</w:t>
            </w:r>
          </w:p>
        </w:tc>
        <w:tc>
          <w:tcPr>
            <w:tcW w:w="1071" w:type="dxa"/>
            <w:shd w:val="clear" w:color="auto" w:fill="auto"/>
            <w:vAlign w:val="center"/>
          </w:tcPr>
          <w:p w14:paraId="142ED83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642A9D1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Oi N, Ohi K</w:t>
            </w:r>
          </w:p>
        </w:tc>
        <w:tc>
          <w:tcPr>
            <w:tcW w:w="7010" w:type="dxa"/>
            <w:shd w:val="clear" w:color="auto" w:fill="auto"/>
            <w:vAlign w:val="center"/>
          </w:tcPr>
          <w:p w14:paraId="51DA2C2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Comparison of the Symptoms of Menopause and Symptoms of Thyroid Disease in Japanese Women Aged 35-59 Years</w:t>
            </w:r>
          </w:p>
        </w:tc>
        <w:tc>
          <w:tcPr>
            <w:tcW w:w="568" w:type="dxa"/>
            <w:shd w:val="clear" w:color="auto" w:fill="auto"/>
            <w:vAlign w:val="center"/>
          </w:tcPr>
          <w:p w14:paraId="39DD1DC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03B9BA37" w14:textId="77777777" w:rsidTr="004C3C90">
        <w:trPr>
          <w:trHeight w:val="20"/>
        </w:trPr>
        <w:tc>
          <w:tcPr>
            <w:tcW w:w="550" w:type="dxa"/>
            <w:shd w:val="clear" w:color="auto" w:fill="auto"/>
            <w:vAlign w:val="center"/>
          </w:tcPr>
          <w:p w14:paraId="406FCB5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85</w:t>
            </w:r>
          </w:p>
        </w:tc>
        <w:tc>
          <w:tcPr>
            <w:tcW w:w="1071" w:type="dxa"/>
            <w:shd w:val="clear" w:color="auto" w:fill="auto"/>
            <w:vAlign w:val="center"/>
          </w:tcPr>
          <w:p w14:paraId="1BD7A03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3A2B3EB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de Groot EP, Duiverman EJ, Brand PL</w:t>
            </w:r>
          </w:p>
        </w:tc>
        <w:tc>
          <w:tcPr>
            <w:tcW w:w="7010" w:type="dxa"/>
            <w:shd w:val="clear" w:color="auto" w:fill="auto"/>
            <w:vAlign w:val="center"/>
          </w:tcPr>
          <w:p w14:paraId="2812DF2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Dysfunctional Breathing in Children with Asthma: A Rare but Relevant Comorbidity</w:t>
            </w:r>
          </w:p>
        </w:tc>
        <w:tc>
          <w:tcPr>
            <w:tcW w:w="568" w:type="dxa"/>
            <w:shd w:val="clear" w:color="auto" w:fill="auto"/>
            <w:vAlign w:val="center"/>
          </w:tcPr>
          <w:p w14:paraId="7707DD1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779654D6" w14:textId="77777777" w:rsidTr="004C3C90">
        <w:trPr>
          <w:trHeight w:val="20"/>
        </w:trPr>
        <w:tc>
          <w:tcPr>
            <w:tcW w:w="550" w:type="dxa"/>
            <w:shd w:val="clear" w:color="auto" w:fill="auto"/>
            <w:vAlign w:val="center"/>
          </w:tcPr>
          <w:p w14:paraId="0729710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86</w:t>
            </w:r>
          </w:p>
        </w:tc>
        <w:tc>
          <w:tcPr>
            <w:tcW w:w="1071" w:type="dxa"/>
            <w:shd w:val="clear" w:color="auto" w:fill="auto"/>
            <w:vAlign w:val="center"/>
          </w:tcPr>
          <w:p w14:paraId="5BE1D0F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011B63A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Gallin EK, Bond E, Califf RM, Crowley WF Jr, Davis P, Galbraith R, et al. </w:t>
            </w:r>
          </w:p>
        </w:tc>
        <w:tc>
          <w:tcPr>
            <w:tcW w:w="7010" w:type="dxa"/>
            <w:shd w:val="clear" w:color="auto" w:fill="auto"/>
            <w:vAlign w:val="center"/>
          </w:tcPr>
          <w:p w14:paraId="12CA230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Forging Stronger Partnerships between Academic Health Centers and Patient-Driven Organizations</w:t>
            </w:r>
          </w:p>
        </w:tc>
        <w:tc>
          <w:tcPr>
            <w:tcW w:w="568" w:type="dxa"/>
            <w:shd w:val="clear" w:color="auto" w:fill="auto"/>
            <w:vAlign w:val="center"/>
          </w:tcPr>
          <w:p w14:paraId="6FADBF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453ABEBF" w14:textId="77777777" w:rsidTr="004C3C90">
        <w:trPr>
          <w:trHeight w:val="20"/>
        </w:trPr>
        <w:tc>
          <w:tcPr>
            <w:tcW w:w="550" w:type="dxa"/>
            <w:shd w:val="clear" w:color="auto" w:fill="auto"/>
            <w:vAlign w:val="center"/>
          </w:tcPr>
          <w:p w14:paraId="5D4184D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87</w:t>
            </w:r>
          </w:p>
        </w:tc>
        <w:tc>
          <w:tcPr>
            <w:tcW w:w="1071" w:type="dxa"/>
            <w:shd w:val="clear" w:color="auto" w:fill="auto"/>
            <w:vAlign w:val="center"/>
          </w:tcPr>
          <w:p w14:paraId="3592D42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5CE182A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Zhao W, Ye H, Zhao X, Zhang Z, Sun S, Jiang Y, et al. </w:t>
            </w:r>
          </w:p>
        </w:tc>
        <w:tc>
          <w:tcPr>
            <w:tcW w:w="7010" w:type="dxa"/>
            <w:shd w:val="clear" w:color="auto" w:fill="auto"/>
            <w:vAlign w:val="center"/>
          </w:tcPr>
          <w:p w14:paraId="525F34F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Network Investigation on Idiopathic Hypogonadotropic Hypogonadism in China</w:t>
            </w:r>
          </w:p>
        </w:tc>
        <w:tc>
          <w:tcPr>
            <w:tcW w:w="568" w:type="dxa"/>
            <w:shd w:val="clear" w:color="auto" w:fill="auto"/>
            <w:vAlign w:val="center"/>
          </w:tcPr>
          <w:p w14:paraId="2980975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62259232" w14:textId="77777777" w:rsidTr="004C3C90">
        <w:trPr>
          <w:trHeight w:val="20"/>
        </w:trPr>
        <w:tc>
          <w:tcPr>
            <w:tcW w:w="550" w:type="dxa"/>
            <w:shd w:val="clear" w:color="auto" w:fill="auto"/>
            <w:vAlign w:val="center"/>
          </w:tcPr>
          <w:p w14:paraId="79B46C9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88</w:t>
            </w:r>
          </w:p>
        </w:tc>
        <w:tc>
          <w:tcPr>
            <w:tcW w:w="1071" w:type="dxa"/>
            <w:shd w:val="clear" w:color="auto" w:fill="auto"/>
            <w:vAlign w:val="center"/>
          </w:tcPr>
          <w:p w14:paraId="19B5E5F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724344B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Linley WG, Hughes DA</w:t>
            </w:r>
          </w:p>
        </w:tc>
        <w:tc>
          <w:tcPr>
            <w:tcW w:w="7010" w:type="dxa"/>
            <w:shd w:val="clear" w:color="auto" w:fill="auto"/>
            <w:vAlign w:val="center"/>
          </w:tcPr>
          <w:p w14:paraId="19AFE51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Societal Views on Nice, Cancer Drugs Fund and Value-Based Pricing Criteria for Prioritising Medicines: A Cross-Sectional Survey of 4118 Adults in Great Britain</w:t>
            </w:r>
          </w:p>
        </w:tc>
        <w:tc>
          <w:tcPr>
            <w:tcW w:w="568" w:type="dxa"/>
            <w:shd w:val="clear" w:color="auto" w:fill="auto"/>
            <w:vAlign w:val="center"/>
          </w:tcPr>
          <w:p w14:paraId="0BF5721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16BC5949" w14:textId="77777777" w:rsidTr="004C3C90">
        <w:trPr>
          <w:trHeight w:val="20"/>
        </w:trPr>
        <w:tc>
          <w:tcPr>
            <w:tcW w:w="550" w:type="dxa"/>
            <w:shd w:val="clear" w:color="auto" w:fill="auto"/>
            <w:vAlign w:val="center"/>
          </w:tcPr>
          <w:p w14:paraId="566685D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89</w:t>
            </w:r>
          </w:p>
        </w:tc>
        <w:tc>
          <w:tcPr>
            <w:tcW w:w="1071" w:type="dxa"/>
            <w:shd w:val="clear" w:color="auto" w:fill="auto"/>
            <w:vAlign w:val="center"/>
          </w:tcPr>
          <w:p w14:paraId="3628943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4DCAF46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Wada-Isoe K, Ito S, Adachi T, Yamawaki M, Nakashita S, Kusumi M, et al. </w:t>
            </w:r>
          </w:p>
        </w:tc>
        <w:tc>
          <w:tcPr>
            <w:tcW w:w="7010" w:type="dxa"/>
            <w:shd w:val="clear" w:color="auto" w:fill="auto"/>
            <w:vAlign w:val="center"/>
          </w:tcPr>
          <w:p w14:paraId="7E0EAE8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Epidemiological Survey of Frontotemporal Lobar Degeneration in Tottori Prefecture, Japan</w:t>
            </w:r>
          </w:p>
        </w:tc>
        <w:tc>
          <w:tcPr>
            <w:tcW w:w="568" w:type="dxa"/>
            <w:shd w:val="clear" w:color="auto" w:fill="auto"/>
            <w:vAlign w:val="center"/>
          </w:tcPr>
          <w:p w14:paraId="144ADAE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1AE9164E" w14:textId="77777777" w:rsidTr="004C3C90">
        <w:trPr>
          <w:trHeight w:val="20"/>
        </w:trPr>
        <w:tc>
          <w:tcPr>
            <w:tcW w:w="550" w:type="dxa"/>
            <w:shd w:val="clear" w:color="auto" w:fill="auto"/>
            <w:vAlign w:val="center"/>
          </w:tcPr>
          <w:p w14:paraId="52BA140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90</w:t>
            </w:r>
          </w:p>
        </w:tc>
        <w:tc>
          <w:tcPr>
            <w:tcW w:w="1071" w:type="dxa"/>
            <w:shd w:val="clear" w:color="auto" w:fill="auto"/>
            <w:vAlign w:val="center"/>
          </w:tcPr>
          <w:p w14:paraId="479FD19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5939A29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Gilbert DL</w:t>
            </w:r>
          </w:p>
        </w:tc>
        <w:tc>
          <w:tcPr>
            <w:tcW w:w="7010" w:type="dxa"/>
            <w:shd w:val="clear" w:color="auto" w:fill="auto"/>
            <w:vAlign w:val="center"/>
          </w:tcPr>
          <w:p w14:paraId="132069C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Training the Next Generation of Child Neurologists: A Child Health-Based Approach</w:t>
            </w:r>
          </w:p>
        </w:tc>
        <w:tc>
          <w:tcPr>
            <w:tcW w:w="568" w:type="dxa"/>
            <w:shd w:val="clear" w:color="auto" w:fill="auto"/>
            <w:vAlign w:val="center"/>
          </w:tcPr>
          <w:p w14:paraId="5D86E41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555308F1" w14:textId="77777777" w:rsidTr="004C3C90">
        <w:trPr>
          <w:trHeight w:val="20"/>
        </w:trPr>
        <w:tc>
          <w:tcPr>
            <w:tcW w:w="550" w:type="dxa"/>
            <w:shd w:val="clear" w:color="auto" w:fill="auto"/>
            <w:vAlign w:val="center"/>
          </w:tcPr>
          <w:p w14:paraId="7B0980E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91</w:t>
            </w:r>
          </w:p>
        </w:tc>
        <w:tc>
          <w:tcPr>
            <w:tcW w:w="1071" w:type="dxa"/>
            <w:shd w:val="clear" w:color="auto" w:fill="auto"/>
            <w:vAlign w:val="center"/>
          </w:tcPr>
          <w:p w14:paraId="36A3249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2BBE91E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Malcolm C, Forbat L, Anderson G, Gibson F, Hain R</w:t>
            </w:r>
          </w:p>
        </w:tc>
        <w:tc>
          <w:tcPr>
            <w:tcW w:w="7010" w:type="dxa"/>
            <w:shd w:val="clear" w:color="auto" w:fill="auto"/>
            <w:vAlign w:val="center"/>
          </w:tcPr>
          <w:p w14:paraId="48EF88A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Challenging Symptom Profiles of Life-Limiting Conditions in Children: A Survey of Care Professionals and Families</w:t>
            </w:r>
          </w:p>
        </w:tc>
        <w:tc>
          <w:tcPr>
            <w:tcW w:w="568" w:type="dxa"/>
            <w:shd w:val="clear" w:color="auto" w:fill="auto"/>
            <w:vAlign w:val="center"/>
          </w:tcPr>
          <w:p w14:paraId="285B658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75A5C58D" w14:textId="77777777" w:rsidTr="004C3C90">
        <w:trPr>
          <w:trHeight w:val="20"/>
        </w:trPr>
        <w:tc>
          <w:tcPr>
            <w:tcW w:w="550" w:type="dxa"/>
            <w:shd w:val="clear" w:color="auto" w:fill="auto"/>
            <w:vAlign w:val="center"/>
          </w:tcPr>
          <w:p w14:paraId="6D8AED0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92</w:t>
            </w:r>
          </w:p>
        </w:tc>
        <w:tc>
          <w:tcPr>
            <w:tcW w:w="1071" w:type="dxa"/>
            <w:shd w:val="clear" w:color="auto" w:fill="auto"/>
            <w:vAlign w:val="center"/>
          </w:tcPr>
          <w:p w14:paraId="05B3F97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64760E7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Fehr A, Thürmann P, Razum O</w:t>
            </w:r>
          </w:p>
        </w:tc>
        <w:tc>
          <w:tcPr>
            <w:tcW w:w="7010" w:type="dxa"/>
            <w:shd w:val="clear" w:color="auto" w:fill="auto"/>
            <w:vAlign w:val="center"/>
          </w:tcPr>
          <w:p w14:paraId="2016BD7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Expert Delphi Survey on Research and Development into Drugs for Neglected Diseases</w:t>
            </w:r>
          </w:p>
        </w:tc>
        <w:tc>
          <w:tcPr>
            <w:tcW w:w="568" w:type="dxa"/>
            <w:shd w:val="clear" w:color="auto" w:fill="auto"/>
            <w:vAlign w:val="center"/>
          </w:tcPr>
          <w:p w14:paraId="236F087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3025C032" w14:textId="77777777" w:rsidTr="004C3C90">
        <w:trPr>
          <w:trHeight w:val="20"/>
        </w:trPr>
        <w:tc>
          <w:tcPr>
            <w:tcW w:w="550" w:type="dxa"/>
            <w:shd w:val="clear" w:color="auto" w:fill="auto"/>
            <w:vAlign w:val="center"/>
          </w:tcPr>
          <w:p w14:paraId="7398B51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93</w:t>
            </w:r>
          </w:p>
        </w:tc>
        <w:tc>
          <w:tcPr>
            <w:tcW w:w="1071" w:type="dxa"/>
            <w:shd w:val="clear" w:color="auto" w:fill="auto"/>
            <w:vAlign w:val="center"/>
          </w:tcPr>
          <w:p w14:paraId="44694CB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16AFE17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Dallapiccola B, Torrente I, Agolini E, Morena A, Mingarelli R</w:t>
            </w:r>
          </w:p>
        </w:tc>
        <w:tc>
          <w:tcPr>
            <w:tcW w:w="7010" w:type="dxa"/>
            <w:shd w:val="clear" w:color="auto" w:fill="auto"/>
            <w:vAlign w:val="center"/>
          </w:tcPr>
          <w:p w14:paraId="746970C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Nationwide Genetic Testing Survey in Italy, Year 2007</w:t>
            </w:r>
          </w:p>
        </w:tc>
        <w:tc>
          <w:tcPr>
            <w:tcW w:w="568" w:type="dxa"/>
            <w:shd w:val="clear" w:color="auto" w:fill="auto"/>
            <w:vAlign w:val="center"/>
          </w:tcPr>
          <w:p w14:paraId="0C18D81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51BA392A" w14:textId="77777777" w:rsidTr="004C3C90">
        <w:trPr>
          <w:trHeight w:val="20"/>
        </w:trPr>
        <w:tc>
          <w:tcPr>
            <w:tcW w:w="550" w:type="dxa"/>
            <w:shd w:val="clear" w:color="auto" w:fill="auto"/>
            <w:vAlign w:val="center"/>
          </w:tcPr>
          <w:p w14:paraId="334B049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94</w:t>
            </w:r>
          </w:p>
        </w:tc>
        <w:tc>
          <w:tcPr>
            <w:tcW w:w="1071" w:type="dxa"/>
            <w:shd w:val="clear" w:color="auto" w:fill="auto"/>
            <w:vAlign w:val="center"/>
          </w:tcPr>
          <w:p w14:paraId="5FFC318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690500F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Kinder BW, Sherman AC, Young LR, Hagaman JT, Oprescu N, Byrnes S, et al. </w:t>
            </w:r>
          </w:p>
        </w:tc>
        <w:tc>
          <w:tcPr>
            <w:tcW w:w="7010" w:type="dxa"/>
            <w:shd w:val="clear" w:color="auto" w:fill="auto"/>
            <w:vAlign w:val="center"/>
          </w:tcPr>
          <w:p w14:paraId="0003571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Predictors for Clinical Trial Participation in the Rare Lung Disease Lymphangioleiomyomatosis</w:t>
            </w:r>
          </w:p>
        </w:tc>
        <w:tc>
          <w:tcPr>
            <w:tcW w:w="568" w:type="dxa"/>
            <w:shd w:val="clear" w:color="auto" w:fill="auto"/>
            <w:vAlign w:val="center"/>
          </w:tcPr>
          <w:p w14:paraId="1B3169F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0C6F5724" w14:textId="77777777" w:rsidTr="004C3C90">
        <w:trPr>
          <w:trHeight w:val="20"/>
        </w:trPr>
        <w:tc>
          <w:tcPr>
            <w:tcW w:w="550" w:type="dxa"/>
            <w:shd w:val="clear" w:color="auto" w:fill="auto"/>
            <w:vAlign w:val="center"/>
          </w:tcPr>
          <w:p w14:paraId="702FD62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95</w:t>
            </w:r>
          </w:p>
        </w:tc>
        <w:tc>
          <w:tcPr>
            <w:tcW w:w="1071" w:type="dxa"/>
            <w:shd w:val="clear" w:color="auto" w:fill="auto"/>
            <w:vAlign w:val="center"/>
          </w:tcPr>
          <w:p w14:paraId="7637D99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57A2F82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de Beaucoudrey L, Samarina A, Bustamante J, Cobat A, Boisson-Dupuis S, Feinberg J, Al-Muhsen S, et al. </w:t>
            </w:r>
          </w:p>
        </w:tc>
        <w:tc>
          <w:tcPr>
            <w:tcW w:w="7010" w:type="dxa"/>
            <w:shd w:val="clear" w:color="auto" w:fill="auto"/>
            <w:vAlign w:val="center"/>
          </w:tcPr>
          <w:p w14:paraId="2217C87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Revisiting Human Il-12rβ1 Deficiency: A Survey of 141 Patients from 30 Countries</w:t>
            </w:r>
          </w:p>
        </w:tc>
        <w:tc>
          <w:tcPr>
            <w:tcW w:w="568" w:type="dxa"/>
            <w:shd w:val="clear" w:color="auto" w:fill="auto"/>
            <w:vAlign w:val="center"/>
          </w:tcPr>
          <w:p w14:paraId="0572493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1E68BCE4" w14:textId="77777777" w:rsidTr="004C3C90">
        <w:trPr>
          <w:trHeight w:val="20"/>
        </w:trPr>
        <w:tc>
          <w:tcPr>
            <w:tcW w:w="550" w:type="dxa"/>
            <w:shd w:val="clear" w:color="auto" w:fill="auto"/>
            <w:vAlign w:val="center"/>
          </w:tcPr>
          <w:p w14:paraId="266EAE3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96</w:t>
            </w:r>
          </w:p>
        </w:tc>
        <w:tc>
          <w:tcPr>
            <w:tcW w:w="1071" w:type="dxa"/>
            <w:shd w:val="clear" w:color="auto" w:fill="auto"/>
            <w:vAlign w:val="center"/>
          </w:tcPr>
          <w:p w14:paraId="7F1F097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64B9FF2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Bernal-Delgado E, Garcia-Armesto S, Oliva J, Sanchez Martinez FI, Repullo JR, et al. </w:t>
            </w:r>
          </w:p>
        </w:tc>
        <w:tc>
          <w:tcPr>
            <w:tcW w:w="7010" w:type="dxa"/>
            <w:shd w:val="clear" w:color="auto" w:fill="auto"/>
            <w:vAlign w:val="center"/>
          </w:tcPr>
          <w:p w14:paraId="4E7D6F2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Spain: Health System Review</w:t>
            </w:r>
          </w:p>
        </w:tc>
        <w:tc>
          <w:tcPr>
            <w:tcW w:w="568" w:type="dxa"/>
            <w:shd w:val="clear" w:color="auto" w:fill="auto"/>
            <w:vAlign w:val="center"/>
          </w:tcPr>
          <w:p w14:paraId="3D1D0C2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1227A299" w14:textId="77777777" w:rsidTr="004C3C90">
        <w:trPr>
          <w:trHeight w:val="20"/>
        </w:trPr>
        <w:tc>
          <w:tcPr>
            <w:tcW w:w="550" w:type="dxa"/>
            <w:shd w:val="clear" w:color="auto" w:fill="auto"/>
            <w:vAlign w:val="center"/>
          </w:tcPr>
          <w:p w14:paraId="3323468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97</w:t>
            </w:r>
          </w:p>
        </w:tc>
        <w:tc>
          <w:tcPr>
            <w:tcW w:w="1071" w:type="dxa"/>
            <w:shd w:val="clear" w:color="auto" w:fill="auto"/>
            <w:vAlign w:val="center"/>
          </w:tcPr>
          <w:p w14:paraId="6B56734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6E904AE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Milena M, Trofor A, Alexandrescu D, Balanescu O, Neagoe I, et al.</w:t>
            </w:r>
          </w:p>
        </w:tc>
        <w:tc>
          <w:tcPr>
            <w:tcW w:w="7010" w:type="dxa"/>
            <w:shd w:val="clear" w:color="auto" w:fill="auto"/>
            <w:vAlign w:val="center"/>
          </w:tcPr>
          <w:p w14:paraId="30961BB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Survival Patients with Pulmonary Metastases in Testicular Cancer</w:t>
            </w:r>
          </w:p>
        </w:tc>
        <w:tc>
          <w:tcPr>
            <w:tcW w:w="568" w:type="dxa"/>
            <w:shd w:val="clear" w:color="auto" w:fill="auto"/>
            <w:vAlign w:val="center"/>
          </w:tcPr>
          <w:p w14:paraId="09B2244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095F53D5" w14:textId="77777777" w:rsidTr="004C3C90">
        <w:trPr>
          <w:trHeight w:val="20"/>
        </w:trPr>
        <w:tc>
          <w:tcPr>
            <w:tcW w:w="550" w:type="dxa"/>
            <w:shd w:val="clear" w:color="auto" w:fill="auto"/>
            <w:vAlign w:val="center"/>
          </w:tcPr>
          <w:p w14:paraId="15958E6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98</w:t>
            </w:r>
          </w:p>
        </w:tc>
        <w:tc>
          <w:tcPr>
            <w:tcW w:w="1071" w:type="dxa"/>
            <w:shd w:val="clear" w:color="auto" w:fill="auto"/>
            <w:vAlign w:val="center"/>
          </w:tcPr>
          <w:p w14:paraId="25845EC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6233F67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He S, Zurynski YA, Elliott EJ</w:t>
            </w:r>
          </w:p>
        </w:tc>
        <w:tc>
          <w:tcPr>
            <w:tcW w:w="7010" w:type="dxa"/>
            <w:shd w:val="clear" w:color="auto" w:fill="auto"/>
            <w:vAlign w:val="center"/>
          </w:tcPr>
          <w:p w14:paraId="7E822F3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What Do Paediatricians Think of the Australian Paediatric Surveillance Unit?</w:t>
            </w:r>
          </w:p>
        </w:tc>
        <w:tc>
          <w:tcPr>
            <w:tcW w:w="568" w:type="dxa"/>
            <w:shd w:val="clear" w:color="auto" w:fill="auto"/>
            <w:vAlign w:val="center"/>
          </w:tcPr>
          <w:p w14:paraId="6359DC2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7B55FD86" w14:textId="77777777" w:rsidTr="004C3C90">
        <w:trPr>
          <w:trHeight w:val="20"/>
        </w:trPr>
        <w:tc>
          <w:tcPr>
            <w:tcW w:w="550" w:type="dxa"/>
            <w:shd w:val="clear" w:color="auto" w:fill="auto"/>
            <w:vAlign w:val="center"/>
          </w:tcPr>
          <w:p w14:paraId="291FC46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99</w:t>
            </w:r>
          </w:p>
        </w:tc>
        <w:tc>
          <w:tcPr>
            <w:tcW w:w="1071" w:type="dxa"/>
            <w:shd w:val="clear" w:color="auto" w:fill="auto"/>
            <w:vAlign w:val="center"/>
          </w:tcPr>
          <w:p w14:paraId="42BF96B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4B04B8E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Bager P, Meyer B, Brandt G</w:t>
            </w:r>
          </w:p>
        </w:tc>
        <w:tc>
          <w:tcPr>
            <w:tcW w:w="7010" w:type="dxa"/>
            <w:shd w:val="clear" w:color="auto" w:fill="auto"/>
            <w:vAlign w:val="center"/>
          </w:tcPr>
          <w:p w14:paraId="0F363D0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Assessment of the Need for Information among Patients with Neuroendocrine Tumors. A Pilot Study</w:t>
            </w:r>
          </w:p>
        </w:tc>
        <w:tc>
          <w:tcPr>
            <w:tcW w:w="568" w:type="dxa"/>
            <w:shd w:val="clear" w:color="auto" w:fill="auto"/>
            <w:vAlign w:val="center"/>
          </w:tcPr>
          <w:p w14:paraId="2ECFF77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2A06B6A5" w14:textId="77777777" w:rsidTr="004C3C90">
        <w:trPr>
          <w:trHeight w:val="20"/>
        </w:trPr>
        <w:tc>
          <w:tcPr>
            <w:tcW w:w="550" w:type="dxa"/>
            <w:shd w:val="clear" w:color="auto" w:fill="auto"/>
            <w:vAlign w:val="center"/>
          </w:tcPr>
          <w:p w14:paraId="2CEC07B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100</w:t>
            </w:r>
          </w:p>
        </w:tc>
        <w:tc>
          <w:tcPr>
            <w:tcW w:w="1071" w:type="dxa"/>
            <w:shd w:val="clear" w:color="auto" w:fill="auto"/>
            <w:vAlign w:val="center"/>
          </w:tcPr>
          <w:p w14:paraId="75F027F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193AACB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Bygum A</w:t>
            </w:r>
          </w:p>
        </w:tc>
        <w:tc>
          <w:tcPr>
            <w:tcW w:w="7010" w:type="dxa"/>
            <w:shd w:val="clear" w:color="auto" w:fill="auto"/>
            <w:vAlign w:val="center"/>
          </w:tcPr>
          <w:p w14:paraId="7B019F8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Hereditary Angio-Oedema in Denmark: A Nationwide Survey</w:t>
            </w:r>
          </w:p>
        </w:tc>
        <w:tc>
          <w:tcPr>
            <w:tcW w:w="568" w:type="dxa"/>
            <w:shd w:val="clear" w:color="auto" w:fill="auto"/>
            <w:vAlign w:val="center"/>
          </w:tcPr>
          <w:p w14:paraId="085117B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4F5F85A5" w14:textId="77777777" w:rsidTr="004C3C90">
        <w:trPr>
          <w:trHeight w:val="20"/>
        </w:trPr>
        <w:tc>
          <w:tcPr>
            <w:tcW w:w="550" w:type="dxa"/>
            <w:shd w:val="clear" w:color="auto" w:fill="auto"/>
            <w:vAlign w:val="center"/>
          </w:tcPr>
          <w:p w14:paraId="5E99AD8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101</w:t>
            </w:r>
          </w:p>
        </w:tc>
        <w:tc>
          <w:tcPr>
            <w:tcW w:w="1071" w:type="dxa"/>
            <w:shd w:val="clear" w:color="auto" w:fill="auto"/>
            <w:vAlign w:val="center"/>
          </w:tcPr>
          <w:p w14:paraId="48A23EB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134C372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Muhm JM, Rock PB, McMullin DL, et al. </w:t>
            </w:r>
          </w:p>
        </w:tc>
        <w:tc>
          <w:tcPr>
            <w:tcW w:w="7010" w:type="dxa"/>
            <w:shd w:val="clear" w:color="auto" w:fill="auto"/>
            <w:vAlign w:val="center"/>
          </w:tcPr>
          <w:p w14:paraId="6DEC18F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Effects of Aircraft Cabin Altitude on Passenger Comfort and Discomfort</w:t>
            </w:r>
          </w:p>
        </w:tc>
        <w:tc>
          <w:tcPr>
            <w:tcW w:w="568" w:type="dxa"/>
            <w:shd w:val="clear" w:color="auto" w:fill="auto"/>
            <w:vAlign w:val="center"/>
          </w:tcPr>
          <w:p w14:paraId="1585F6F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2006</w:t>
            </w:r>
          </w:p>
        </w:tc>
      </w:tr>
      <w:tr w:rsidR="004C3C90" w:rsidRPr="004C3C90" w14:paraId="0EAB027C" w14:textId="77777777" w:rsidTr="004C3C90">
        <w:trPr>
          <w:trHeight w:val="20"/>
        </w:trPr>
        <w:tc>
          <w:tcPr>
            <w:tcW w:w="550" w:type="dxa"/>
            <w:shd w:val="clear" w:color="auto" w:fill="auto"/>
            <w:vAlign w:val="center"/>
          </w:tcPr>
          <w:p w14:paraId="1E96DBB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102</w:t>
            </w:r>
          </w:p>
        </w:tc>
        <w:tc>
          <w:tcPr>
            <w:tcW w:w="1071" w:type="dxa"/>
            <w:shd w:val="clear" w:color="auto" w:fill="auto"/>
            <w:vAlign w:val="center"/>
          </w:tcPr>
          <w:p w14:paraId="1C77CDF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3B25C92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Mahmud FH, Murray JA, Kudva YC,  Zinsmeister AR, Dierkhising RA, Lahr BD, et al.</w:t>
            </w:r>
          </w:p>
        </w:tc>
        <w:tc>
          <w:tcPr>
            <w:tcW w:w="7010" w:type="dxa"/>
            <w:shd w:val="clear" w:color="auto" w:fill="auto"/>
            <w:vAlign w:val="center"/>
          </w:tcPr>
          <w:p w14:paraId="33A20AF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Celiac Disease in Type 1 Diabetes Mellitus in a North American Community: Prevalence, Serologic Screening, and Clinical Features</w:t>
            </w:r>
          </w:p>
        </w:tc>
        <w:tc>
          <w:tcPr>
            <w:tcW w:w="568" w:type="dxa"/>
            <w:shd w:val="clear" w:color="auto" w:fill="auto"/>
            <w:vAlign w:val="center"/>
          </w:tcPr>
          <w:p w14:paraId="6A8BC25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2005</w:t>
            </w:r>
          </w:p>
        </w:tc>
      </w:tr>
      <w:tr w:rsidR="004C3C90" w:rsidRPr="004C3C90" w14:paraId="0E4E8CDF" w14:textId="77777777" w:rsidTr="004C3C90">
        <w:trPr>
          <w:trHeight w:val="20"/>
        </w:trPr>
        <w:tc>
          <w:tcPr>
            <w:tcW w:w="550" w:type="dxa"/>
            <w:shd w:val="clear" w:color="auto" w:fill="auto"/>
            <w:vAlign w:val="center"/>
          </w:tcPr>
          <w:p w14:paraId="518B0D1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103</w:t>
            </w:r>
          </w:p>
        </w:tc>
        <w:tc>
          <w:tcPr>
            <w:tcW w:w="1071" w:type="dxa"/>
            <w:shd w:val="clear" w:color="auto" w:fill="auto"/>
            <w:vAlign w:val="center"/>
          </w:tcPr>
          <w:p w14:paraId="5E81EE1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3998C8A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Ben Chaim J, Livne PM, Binyamini J, Hardak B, Ben-Meir D, Mor Y</w:t>
            </w:r>
          </w:p>
        </w:tc>
        <w:tc>
          <w:tcPr>
            <w:tcW w:w="7010" w:type="dxa"/>
            <w:shd w:val="clear" w:color="auto" w:fill="auto"/>
            <w:vAlign w:val="center"/>
          </w:tcPr>
          <w:p w14:paraId="355724C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Complications of Circumcision in Israel: A One Year Multicenter Survey</w:t>
            </w:r>
          </w:p>
        </w:tc>
        <w:tc>
          <w:tcPr>
            <w:tcW w:w="568" w:type="dxa"/>
            <w:shd w:val="clear" w:color="auto" w:fill="auto"/>
            <w:vAlign w:val="center"/>
          </w:tcPr>
          <w:p w14:paraId="6B2BE71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2005</w:t>
            </w:r>
          </w:p>
        </w:tc>
      </w:tr>
      <w:tr w:rsidR="004C3C90" w:rsidRPr="004C3C90" w14:paraId="05885BDA" w14:textId="77777777" w:rsidTr="004C3C90">
        <w:trPr>
          <w:trHeight w:val="20"/>
        </w:trPr>
        <w:tc>
          <w:tcPr>
            <w:tcW w:w="550" w:type="dxa"/>
            <w:shd w:val="clear" w:color="auto" w:fill="auto"/>
            <w:vAlign w:val="center"/>
          </w:tcPr>
          <w:p w14:paraId="767EFD2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104</w:t>
            </w:r>
          </w:p>
        </w:tc>
        <w:tc>
          <w:tcPr>
            <w:tcW w:w="1071" w:type="dxa"/>
            <w:shd w:val="clear" w:color="auto" w:fill="auto"/>
            <w:vAlign w:val="center"/>
          </w:tcPr>
          <w:p w14:paraId="00C3DA6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749F663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Hirschhorn JN</w:t>
            </w:r>
          </w:p>
        </w:tc>
        <w:tc>
          <w:tcPr>
            <w:tcW w:w="7010" w:type="dxa"/>
            <w:shd w:val="clear" w:color="auto" w:fill="auto"/>
            <w:vAlign w:val="center"/>
          </w:tcPr>
          <w:p w14:paraId="2221CF1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Genetic and Genomic Approaches to Studying Stature and Pubertal Timing</w:t>
            </w:r>
          </w:p>
        </w:tc>
        <w:tc>
          <w:tcPr>
            <w:tcW w:w="568" w:type="dxa"/>
            <w:shd w:val="clear" w:color="auto" w:fill="auto"/>
            <w:vAlign w:val="center"/>
          </w:tcPr>
          <w:p w14:paraId="0612425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2005</w:t>
            </w:r>
          </w:p>
        </w:tc>
      </w:tr>
      <w:tr w:rsidR="004C3C90" w:rsidRPr="004C3C90" w14:paraId="13FC8CF3" w14:textId="77777777" w:rsidTr="004C3C90">
        <w:trPr>
          <w:trHeight w:val="20"/>
        </w:trPr>
        <w:tc>
          <w:tcPr>
            <w:tcW w:w="550" w:type="dxa"/>
            <w:shd w:val="clear" w:color="auto" w:fill="auto"/>
            <w:vAlign w:val="center"/>
          </w:tcPr>
          <w:p w14:paraId="5B3875E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105</w:t>
            </w:r>
          </w:p>
        </w:tc>
        <w:tc>
          <w:tcPr>
            <w:tcW w:w="1071" w:type="dxa"/>
            <w:shd w:val="clear" w:color="auto" w:fill="auto"/>
            <w:vAlign w:val="center"/>
          </w:tcPr>
          <w:p w14:paraId="201062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2FB024E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Sen S, Fawson P, Cherrington G, Friedman N, Maljanina R, Ftizner K, et al.</w:t>
            </w:r>
          </w:p>
        </w:tc>
        <w:tc>
          <w:tcPr>
            <w:tcW w:w="7010" w:type="dxa"/>
            <w:shd w:val="clear" w:color="auto" w:fill="auto"/>
            <w:vAlign w:val="center"/>
          </w:tcPr>
          <w:p w14:paraId="1384364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 Satisfaction Measurement in the Disease Management Industry</w:t>
            </w:r>
          </w:p>
        </w:tc>
        <w:tc>
          <w:tcPr>
            <w:tcW w:w="568" w:type="dxa"/>
            <w:shd w:val="clear" w:color="auto" w:fill="auto"/>
            <w:vAlign w:val="center"/>
          </w:tcPr>
          <w:p w14:paraId="522296B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2005</w:t>
            </w:r>
          </w:p>
        </w:tc>
      </w:tr>
      <w:tr w:rsidR="004C3C90" w:rsidRPr="004C3C90" w14:paraId="08B8221D" w14:textId="77777777" w:rsidTr="004C3C90">
        <w:trPr>
          <w:trHeight w:val="20"/>
        </w:trPr>
        <w:tc>
          <w:tcPr>
            <w:tcW w:w="550" w:type="dxa"/>
            <w:shd w:val="clear" w:color="auto" w:fill="auto"/>
            <w:vAlign w:val="center"/>
          </w:tcPr>
          <w:p w14:paraId="5AB80F0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106</w:t>
            </w:r>
          </w:p>
        </w:tc>
        <w:tc>
          <w:tcPr>
            <w:tcW w:w="1071" w:type="dxa"/>
            <w:shd w:val="clear" w:color="auto" w:fill="auto"/>
            <w:vAlign w:val="center"/>
          </w:tcPr>
          <w:p w14:paraId="62258E0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55C79B5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Osborn JM, Stevenson TR</w:t>
            </w:r>
          </w:p>
        </w:tc>
        <w:tc>
          <w:tcPr>
            <w:tcW w:w="7010" w:type="dxa"/>
            <w:shd w:val="clear" w:color="auto" w:fill="auto"/>
            <w:vAlign w:val="center"/>
          </w:tcPr>
          <w:p w14:paraId="659FDDF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Pneumothorax as a Complication of Breast Augmentation</w:t>
            </w:r>
          </w:p>
        </w:tc>
        <w:tc>
          <w:tcPr>
            <w:tcW w:w="568" w:type="dxa"/>
            <w:shd w:val="clear" w:color="auto" w:fill="auto"/>
            <w:vAlign w:val="center"/>
          </w:tcPr>
          <w:p w14:paraId="4112C90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2005</w:t>
            </w:r>
          </w:p>
        </w:tc>
      </w:tr>
      <w:tr w:rsidR="004C3C90" w:rsidRPr="004C3C90" w14:paraId="58042518" w14:textId="77777777" w:rsidTr="004C3C90">
        <w:trPr>
          <w:trHeight w:val="20"/>
        </w:trPr>
        <w:tc>
          <w:tcPr>
            <w:tcW w:w="550" w:type="dxa"/>
            <w:shd w:val="clear" w:color="auto" w:fill="auto"/>
            <w:vAlign w:val="center"/>
          </w:tcPr>
          <w:p w14:paraId="1B0167F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107</w:t>
            </w:r>
          </w:p>
        </w:tc>
        <w:tc>
          <w:tcPr>
            <w:tcW w:w="1071" w:type="dxa"/>
            <w:shd w:val="clear" w:color="auto" w:fill="auto"/>
            <w:vAlign w:val="center"/>
          </w:tcPr>
          <w:p w14:paraId="1FFE0F6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70A19D6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Temte JL, Zinkel AR</w:t>
            </w:r>
          </w:p>
        </w:tc>
        <w:tc>
          <w:tcPr>
            <w:tcW w:w="7010" w:type="dxa"/>
            <w:shd w:val="clear" w:color="auto" w:fill="auto"/>
            <w:vAlign w:val="center"/>
          </w:tcPr>
          <w:p w14:paraId="031FB6E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Primary Care Differential Diagnosis of Inhalational Anthrax</w:t>
            </w:r>
          </w:p>
        </w:tc>
        <w:tc>
          <w:tcPr>
            <w:tcW w:w="568" w:type="dxa"/>
            <w:shd w:val="clear" w:color="auto" w:fill="auto"/>
            <w:vAlign w:val="center"/>
          </w:tcPr>
          <w:p w14:paraId="72B9ABE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2004</w:t>
            </w:r>
          </w:p>
        </w:tc>
      </w:tr>
      <w:tr w:rsidR="004C3C90" w:rsidRPr="004C3C90" w14:paraId="2A9F3624" w14:textId="77777777" w:rsidTr="004C3C90">
        <w:trPr>
          <w:trHeight w:val="20"/>
        </w:trPr>
        <w:tc>
          <w:tcPr>
            <w:tcW w:w="550" w:type="dxa"/>
            <w:shd w:val="clear" w:color="auto" w:fill="auto"/>
            <w:vAlign w:val="center"/>
          </w:tcPr>
          <w:p w14:paraId="320FDD6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108</w:t>
            </w:r>
          </w:p>
        </w:tc>
        <w:tc>
          <w:tcPr>
            <w:tcW w:w="1071" w:type="dxa"/>
            <w:shd w:val="clear" w:color="auto" w:fill="auto"/>
            <w:vAlign w:val="center"/>
          </w:tcPr>
          <w:p w14:paraId="25AE013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1F71E01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Temte JL, Anderson AL.</w:t>
            </w:r>
          </w:p>
        </w:tc>
        <w:tc>
          <w:tcPr>
            <w:tcW w:w="7010" w:type="dxa"/>
            <w:shd w:val="clear" w:color="auto" w:fill="auto"/>
            <w:vAlign w:val="center"/>
          </w:tcPr>
          <w:p w14:paraId="6EAFB4C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Rapid Assessment of Agents of Biological Terrorism: Defining the Differential Diagnosis of Inhalational Anthrax Using Electronic Communication in a Practice-Based Research Network</w:t>
            </w:r>
          </w:p>
        </w:tc>
        <w:tc>
          <w:tcPr>
            <w:tcW w:w="568" w:type="dxa"/>
            <w:shd w:val="clear" w:color="auto" w:fill="auto"/>
            <w:vAlign w:val="center"/>
          </w:tcPr>
          <w:p w14:paraId="65B6A32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2004</w:t>
            </w:r>
          </w:p>
        </w:tc>
      </w:tr>
      <w:tr w:rsidR="004C3C90" w:rsidRPr="004C3C90" w14:paraId="378B4BCF" w14:textId="77777777" w:rsidTr="004C3C90">
        <w:trPr>
          <w:trHeight w:val="20"/>
        </w:trPr>
        <w:tc>
          <w:tcPr>
            <w:tcW w:w="550" w:type="dxa"/>
            <w:shd w:val="clear" w:color="auto" w:fill="auto"/>
            <w:vAlign w:val="center"/>
          </w:tcPr>
          <w:p w14:paraId="38ECC46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109</w:t>
            </w:r>
          </w:p>
        </w:tc>
        <w:tc>
          <w:tcPr>
            <w:tcW w:w="1071" w:type="dxa"/>
            <w:shd w:val="clear" w:color="auto" w:fill="auto"/>
            <w:vAlign w:val="center"/>
          </w:tcPr>
          <w:p w14:paraId="6E37FF5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754B3E2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Sommer, F., Schwarzer, U., Wassmer, G. Bloch W, Braun M, Klotz T, et al.</w:t>
            </w:r>
          </w:p>
        </w:tc>
        <w:tc>
          <w:tcPr>
            <w:tcW w:w="7010" w:type="dxa"/>
            <w:shd w:val="clear" w:color="auto" w:fill="auto"/>
            <w:vAlign w:val="center"/>
          </w:tcPr>
          <w:p w14:paraId="629BB20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Epidemiology of Peyronie's Disease</w:t>
            </w:r>
          </w:p>
        </w:tc>
        <w:tc>
          <w:tcPr>
            <w:tcW w:w="568" w:type="dxa"/>
            <w:shd w:val="clear" w:color="auto" w:fill="auto"/>
            <w:vAlign w:val="center"/>
          </w:tcPr>
          <w:p w14:paraId="0A09DDB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2002</w:t>
            </w:r>
          </w:p>
        </w:tc>
      </w:tr>
      <w:tr w:rsidR="004C3C90" w:rsidRPr="004C3C90" w14:paraId="1A785C17" w14:textId="77777777" w:rsidTr="004C3C90">
        <w:trPr>
          <w:trHeight w:val="20"/>
        </w:trPr>
        <w:tc>
          <w:tcPr>
            <w:tcW w:w="550" w:type="dxa"/>
            <w:shd w:val="clear" w:color="auto" w:fill="auto"/>
            <w:vAlign w:val="center"/>
          </w:tcPr>
          <w:p w14:paraId="75E822F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110</w:t>
            </w:r>
          </w:p>
        </w:tc>
        <w:tc>
          <w:tcPr>
            <w:tcW w:w="1071" w:type="dxa"/>
            <w:shd w:val="clear" w:color="auto" w:fill="auto"/>
            <w:vAlign w:val="center"/>
          </w:tcPr>
          <w:p w14:paraId="6592EEC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50DED18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Cullen RJ</w:t>
            </w:r>
          </w:p>
        </w:tc>
        <w:tc>
          <w:tcPr>
            <w:tcW w:w="7010" w:type="dxa"/>
            <w:shd w:val="clear" w:color="auto" w:fill="auto"/>
            <w:vAlign w:val="center"/>
          </w:tcPr>
          <w:p w14:paraId="0F184F2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 Search of Evidence: Family Practitioners' Use of the Internet for Clinical Information</w:t>
            </w:r>
          </w:p>
        </w:tc>
        <w:tc>
          <w:tcPr>
            <w:tcW w:w="568" w:type="dxa"/>
            <w:shd w:val="clear" w:color="auto" w:fill="auto"/>
            <w:vAlign w:val="center"/>
          </w:tcPr>
          <w:p w14:paraId="32A2613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2002</w:t>
            </w:r>
          </w:p>
        </w:tc>
      </w:tr>
      <w:tr w:rsidR="004C3C90" w:rsidRPr="004C3C90" w14:paraId="1274BFBD" w14:textId="77777777" w:rsidTr="004C3C90">
        <w:trPr>
          <w:trHeight w:val="20"/>
        </w:trPr>
        <w:tc>
          <w:tcPr>
            <w:tcW w:w="550" w:type="dxa"/>
            <w:shd w:val="clear" w:color="auto" w:fill="auto"/>
            <w:vAlign w:val="center"/>
          </w:tcPr>
          <w:p w14:paraId="1671A16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111</w:t>
            </w:r>
          </w:p>
        </w:tc>
        <w:tc>
          <w:tcPr>
            <w:tcW w:w="1071" w:type="dxa"/>
            <w:shd w:val="clear" w:color="auto" w:fill="auto"/>
            <w:vAlign w:val="center"/>
          </w:tcPr>
          <w:p w14:paraId="204A4F2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5DCB575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Schwarzer U, Sommer F, Klotz T, Braun M, Reifenrath B, Engelmann U</w:t>
            </w:r>
          </w:p>
        </w:tc>
        <w:tc>
          <w:tcPr>
            <w:tcW w:w="7010" w:type="dxa"/>
            <w:shd w:val="clear" w:color="auto" w:fill="auto"/>
            <w:vAlign w:val="center"/>
          </w:tcPr>
          <w:p w14:paraId="5CE3A6E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Prevalence of Peyronie's Disease: Results of a Large Survey</w:t>
            </w:r>
          </w:p>
        </w:tc>
        <w:tc>
          <w:tcPr>
            <w:tcW w:w="568" w:type="dxa"/>
            <w:shd w:val="clear" w:color="auto" w:fill="auto"/>
            <w:vAlign w:val="center"/>
          </w:tcPr>
          <w:p w14:paraId="24880D5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2001</w:t>
            </w:r>
          </w:p>
        </w:tc>
      </w:tr>
      <w:tr w:rsidR="004C3C90" w:rsidRPr="004C3C90" w14:paraId="4ABA7821" w14:textId="77777777" w:rsidTr="004C3C90">
        <w:trPr>
          <w:trHeight w:val="20"/>
        </w:trPr>
        <w:tc>
          <w:tcPr>
            <w:tcW w:w="550" w:type="dxa"/>
            <w:shd w:val="clear" w:color="auto" w:fill="auto"/>
            <w:vAlign w:val="center"/>
          </w:tcPr>
          <w:p w14:paraId="23EC762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112</w:t>
            </w:r>
          </w:p>
        </w:tc>
        <w:tc>
          <w:tcPr>
            <w:tcW w:w="1071" w:type="dxa"/>
            <w:shd w:val="clear" w:color="auto" w:fill="auto"/>
            <w:vAlign w:val="center"/>
          </w:tcPr>
          <w:p w14:paraId="417E5EE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w:t>
            </w:r>
          </w:p>
        </w:tc>
        <w:tc>
          <w:tcPr>
            <w:tcW w:w="3741" w:type="dxa"/>
            <w:shd w:val="clear" w:color="auto" w:fill="auto"/>
            <w:vAlign w:val="center"/>
          </w:tcPr>
          <w:p w14:paraId="280AE95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Yeaworth RC</w:t>
            </w:r>
          </w:p>
        </w:tc>
        <w:tc>
          <w:tcPr>
            <w:tcW w:w="7010" w:type="dxa"/>
            <w:shd w:val="clear" w:color="auto" w:fill="auto"/>
            <w:vAlign w:val="center"/>
          </w:tcPr>
          <w:p w14:paraId="45A6249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Use of the Internet in Survey Research</w:t>
            </w:r>
          </w:p>
        </w:tc>
        <w:tc>
          <w:tcPr>
            <w:tcW w:w="568" w:type="dxa"/>
            <w:shd w:val="clear" w:color="auto" w:fill="auto"/>
            <w:vAlign w:val="center"/>
          </w:tcPr>
          <w:p w14:paraId="11D59B7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2001</w:t>
            </w:r>
          </w:p>
        </w:tc>
      </w:tr>
      <w:tr w:rsidR="004C3C90" w:rsidRPr="004C3C90" w14:paraId="15AF3DEA" w14:textId="77777777" w:rsidTr="004C3C90">
        <w:trPr>
          <w:trHeight w:val="20"/>
        </w:trPr>
        <w:tc>
          <w:tcPr>
            <w:tcW w:w="550" w:type="dxa"/>
            <w:shd w:val="clear" w:color="auto" w:fill="auto"/>
            <w:vAlign w:val="center"/>
          </w:tcPr>
          <w:p w14:paraId="6E9F578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113</w:t>
            </w:r>
          </w:p>
        </w:tc>
        <w:tc>
          <w:tcPr>
            <w:tcW w:w="1071" w:type="dxa"/>
            <w:shd w:val="clear" w:color="auto" w:fill="auto"/>
            <w:vAlign w:val="center"/>
          </w:tcPr>
          <w:p w14:paraId="71EE22E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57BD9C6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Heard JM, Vrinten C, Schlander M, Bellettato CM, VanLingen C, Scarpa M, et al.</w:t>
            </w:r>
          </w:p>
        </w:tc>
        <w:tc>
          <w:tcPr>
            <w:tcW w:w="7010" w:type="dxa"/>
            <w:shd w:val="clear" w:color="auto" w:fill="auto"/>
            <w:vAlign w:val="center"/>
          </w:tcPr>
          <w:p w14:paraId="20262D4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Availability, Accessibility and Delivery to Patients of the 28 Orphan Medicines Approved by the European Medicine Agency for Hereditary Metabolic Diseases in the Metabern Network</w:t>
            </w:r>
          </w:p>
        </w:tc>
        <w:tc>
          <w:tcPr>
            <w:tcW w:w="568" w:type="dxa"/>
            <w:shd w:val="clear" w:color="auto" w:fill="auto"/>
            <w:vAlign w:val="center"/>
          </w:tcPr>
          <w:p w14:paraId="73A4D5E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54EAB060" w14:textId="77777777" w:rsidTr="004C3C90">
        <w:trPr>
          <w:trHeight w:val="20"/>
        </w:trPr>
        <w:tc>
          <w:tcPr>
            <w:tcW w:w="550" w:type="dxa"/>
            <w:shd w:val="clear" w:color="auto" w:fill="auto"/>
            <w:vAlign w:val="center"/>
          </w:tcPr>
          <w:p w14:paraId="7EE6EDA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114</w:t>
            </w:r>
          </w:p>
        </w:tc>
        <w:tc>
          <w:tcPr>
            <w:tcW w:w="1071" w:type="dxa"/>
            <w:shd w:val="clear" w:color="auto" w:fill="auto"/>
            <w:vAlign w:val="center"/>
          </w:tcPr>
          <w:p w14:paraId="7C373F7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6E8A630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Kreuzer M, Drube J, Prüfe J, Schaefer F, Pape L; Members of the ERKNet Taskforce ‘QoL &amp; Transition’</w:t>
            </w:r>
          </w:p>
        </w:tc>
        <w:tc>
          <w:tcPr>
            <w:tcW w:w="7010" w:type="dxa"/>
            <w:shd w:val="clear" w:color="auto" w:fill="auto"/>
            <w:vAlign w:val="center"/>
          </w:tcPr>
          <w:p w14:paraId="4E055F8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Current Management of Transition of Young People Affected by Rare Renal Conditions in the Erknet</w:t>
            </w:r>
          </w:p>
        </w:tc>
        <w:tc>
          <w:tcPr>
            <w:tcW w:w="568" w:type="dxa"/>
            <w:shd w:val="clear" w:color="auto" w:fill="auto"/>
            <w:vAlign w:val="center"/>
          </w:tcPr>
          <w:p w14:paraId="3F2DA39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31034FA1" w14:textId="77777777" w:rsidTr="004C3C90">
        <w:trPr>
          <w:trHeight w:val="20"/>
        </w:trPr>
        <w:tc>
          <w:tcPr>
            <w:tcW w:w="550" w:type="dxa"/>
            <w:shd w:val="clear" w:color="auto" w:fill="auto"/>
            <w:vAlign w:val="center"/>
          </w:tcPr>
          <w:p w14:paraId="4A7D33C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115</w:t>
            </w:r>
          </w:p>
        </w:tc>
        <w:tc>
          <w:tcPr>
            <w:tcW w:w="1071" w:type="dxa"/>
            <w:shd w:val="clear" w:color="auto" w:fill="auto"/>
            <w:vAlign w:val="center"/>
          </w:tcPr>
          <w:p w14:paraId="40376DF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2983A54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Rowczenio D, Shinar Y, Ceccherini I, Sheils K, van Gijin M, Patton SJ, et al.</w:t>
            </w:r>
          </w:p>
        </w:tc>
        <w:tc>
          <w:tcPr>
            <w:tcW w:w="7010" w:type="dxa"/>
            <w:shd w:val="clear" w:color="auto" w:fill="auto"/>
            <w:vAlign w:val="center"/>
          </w:tcPr>
          <w:p w14:paraId="3A68863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Current Practices for the Genetic Diagnosis of Autoinflammatory Diseases: Results of a European Molecular Genetics Quality Network Survey</w:t>
            </w:r>
          </w:p>
        </w:tc>
        <w:tc>
          <w:tcPr>
            <w:tcW w:w="568" w:type="dxa"/>
            <w:shd w:val="clear" w:color="auto" w:fill="auto"/>
            <w:vAlign w:val="center"/>
          </w:tcPr>
          <w:p w14:paraId="56F285C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55B1CA9F" w14:textId="77777777" w:rsidTr="004C3C90">
        <w:trPr>
          <w:trHeight w:val="20"/>
        </w:trPr>
        <w:tc>
          <w:tcPr>
            <w:tcW w:w="550" w:type="dxa"/>
            <w:shd w:val="clear" w:color="auto" w:fill="auto"/>
            <w:vAlign w:val="center"/>
          </w:tcPr>
          <w:p w14:paraId="6712A4A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116</w:t>
            </w:r>
          </w:p>
        </w:tc>
        <w:tc>
          <w:tcPr>
            <w:tcW w:w="1071" w:type="dxa"/>
            <w:shd w:val="clear" w:color="auto" w:fill="auto"/>
            <w:vAlign w:val="center"/>
          </w:tcPr>
          <w:p w14:paraId="5142D03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0B39AC8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Yen E, Davis JM, Milne CP</w:t>
            </w:r>
          </w:p>
        </w:tc>
        <w:tc>
          <w:tcPr>
            <w:tcW w:w="7010" w:type="dxa"/>
            <w:shd w:val="clear" w:color="auto" w:fill="auto"/>
            <w:vAlign w:val="center"/>
          </w:tcPr>
          <w:p w14:paraId="3E9BE6B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Impact of Regulatory Incentive Programs on the Future of Pediatric Drug Development</w:t>
            </w:r>
          </w:p>
        </w:tc>
        <w:tc>
          <w:tcPr>
            <w:tcW w:w="568" w:type="dxa"/>
            <w:shd w:val="clear" w:color="auto" w:fill="auto"/>
            <w:vAlign w:val="center"/>
          </w:tcPr>
          <w:p w14:paraId="7DEF057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6048981" w14:textId="77777777" w:rsidTr="004C3C90">
        <w:trPr>
          <w:trHeight w:val="20"/>
        </w:trPr>
        <w:tc>
          <w:tcPr>
            <w:tcW w:w="550" w:type="dxa"/>
            <w:shd w:val="clear" w:color="auto" w:fill="auto"/>
            <w:vAlign w:val="center"/>
          </w:tcPr>
          <w:p w14:paraId="20B723A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117</w:t>
            </w:r>
          </w:p>
        </w:tc>
        <w:tc>
          <w:tcPr>
            <w:tcW w:w="1071" w:type="dxa"/>
            <w:shd w:val="clear" w:color="auto" w:fill="auto"/>
            <w:vAlign w:val="center"/>
          </w:tcPr>
          <w:p w14:paraId="2CE0B5F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43B1597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Sawai H, Oka K, Ushioda M, Nishimura G, Omori T, Numache H, et al.</w:t>
            </w:r>
          </w:p>
        </w:tc>
        <w:tc>
          <w:tcPr>
            <w:tcW w:w="7010" w:type="dxa"/>
            <w:shd w:val="clear" w:color="auto" w:fill="auto"/>
            <w:vAlign w:val="center"/>
          </w:tcPr>
          <w:p w14:paraId="05C2CFF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National Survey of Prevalence and Prognosis of Thanatophoric Dysplasia in Japan</w:t>
            </w:r>
          </w:p>
        </w:tc>
        <w:tc>
          <w:tcPr>
            <w:tcW w:w="568" w:type="dxa"/>
            <w:shd w:val="clear" w:color="auto" w:fill="auto"/>
            <w:vAlign w:val="center"/>
          </w:tcPr>
          <w:p w14:paraId="1DB0785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4C2703A3" w14:textId="77777777" w:rsidTr="004C3C90">
        <w:trPr>
          <w:trHeight w:val="20"/>
        </w:trPr>
        <w:tc>
          <w:tcPr>
            <w:tcW w:w="550" w:type="dxa"/>
            <w:shd w:val="clear" w:color="auto" w:fill="auto"/>
            <w:vAlign w:val="center"/>
          </w:tcPr>
          <w:p w14:paraId="471BD7A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118</w:t>
            </w:r>
          </w:p>
        </w:tc>
        <w:tc>
          <w:tcPr>
            <w:tcW w:w="1071" w:type="dxa"/>
            <w:shd w:val="clear" w:color="auto" w:fill="auto"/>
            <w:vAlign w:val="center"/>
          </w:tcPr>
          <w:p w14:paraId="122E026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0A20161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Hong YD, Villalonga-Olives E, Perfetto EM</w:t>
            </w:r>
          </w:p>
        </w:tc>
        <w:tc>
          <w:tcPr>
            <w:tcW w:w="7010" w:type="dxa"/>
            <w:shd w:val="clear" w:color="auto" w:fill="auto"/>
            <w:vAlign w:val="center"/>
          </w:tcPr>
          <w:p w14:paraId="0BFC724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Patient-Reported Outcomes in Orphan Drug Labels Approved by the Us Food and Drug Administration</w:t>
            </w:r>
          </w:p>
        </w:tc>
        <w:tc>
          <w:tcPr>
            <w:tcW w:w="568" w:type="dxa"/>
            <w:shd w:val="clear" w:color="auto" w:fill="auto"/>
            <w:vAlign w:val="center"/>
          </w:tcPr>
          <w:p w14:paraId="6EB90CA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9D5DBC9" w14:textId="77777777" w:rsidTr="004C3C90">
        <w:trPr>
          <w:trHeight w:val="20"/>
        </w:trPr>
        <w:tc>
          <w:tcPr>
            <w:tcW w:w="550" w:type="dxa"/>
            <w:shd w:val="clear" w:color="auto" w:fill="auto"/>
            <w:vAlign w:val="center"/>
          </w:tcPr>
          <w:p w14:paraId="0FC35B0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119</w:t>
            </w:r>
          </w:p>
        </w:tc>
        <w:tc>
          <w:tcPr>
            <w:tcW w:w="1071" w:type="dxa"/>
            <w:shd w:val="clear" w:color="auto" w:fill="auto"/>
            <w:vAlign w:val="center"/>
          </w:tcPr>
          <w:p w14:paraId="548915E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2A1B303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Crowley S, Holgersen MG, Nielsen KG</w:t>
            </w:r>
          </w:p>
        </w:tc>
        <w:tc>
          <w:tcPr>
            <w:tcW w:w="7010" w:type="dxa"/>
            <w:shd w:val="clear" w:color="auto" w:fill="auto"/>
            <w:vAlign w:val="center"/>
          </w:tcPr>
          <w:p w14:paraId="701679C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Variation in Treatment Strategies for the Eradication of Pseudomonas Aeruginosa in Primary Ciliary Dyskinesia across European Centers</w:t>
            </w:r>
          </w:p>
        </w:tc>
        <w:tc>
          <w:tcPr>
            <w:tcW w:w="568" w:type="dxa"/>
            <w:shd w:val="clear" w:color="auto" w:fill="auto"/>
            <w:vAlign w:val="center"/>
          </w:tcPr>
          <w:p w14:paraId="294A135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303A0FE" w14:textId="77777777" w:rsidTr="004C3C90">
        <w:trPr>
          <w:trHeight w:val="20"/>
        </w:trPr>
        <w:tc>
          <w:tcPr>
            <w:tcW w:w="550" w:type="dxa"/>
            <w:shd w:val="clear" w:color="auto" w:fill="auto"/>
            <w:vAlign w:val="center"/>
          </w:tcPr>
          <w:p w14:paraId="3C5D714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120</w:t>
            </w:r>
          </w:p>
        </w:tc>
        <w:tc>
          <w:tcPr>
            <w:tcW w:w="1071" w:type="dxa"/>
            <w:shd w:val="clear" w:color="auto" w:fill="auto"/>
            <w:vAlign w:val="center"/>
          </w:tcPr>
          <w:p w14:paraId="67D09B8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48EB238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Wong ZH, Davenport M</w:t>
            </w:r>
          </w:p>
        </w:tc>
        <w:tc>
          <w:tcPr>
            <w:tcW w:w="7010" w:type="dxa"/>
            <w:shd w:val="clear" w:color="auto" w:fill="auto"/>
            <w:vAlign w:val="center"/>
          </w:tcPr>
          <w:p w14:paraId="7FBE75D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What Happens after Kasai for Biliary Atresia? A European Multicenter Survey</w:t>
            </w:r>
          </w:p>
        </w:tc>
        <w:tc>
          <w:tcPr>
            <w:tcW w:w="568" w:type="dxa"/>
            <w:shd w:val="clear" w:color="auto" w:fill="auto"/>
            <w:vAlign w:val="center"/>
          </w:tcPr>
          <w:p w14:paraId="48BC833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8FF461A" w14:textId="77777777" w:rsidTr="004C3C90">
        <w:trPr>
          <w:trHeight w:val="20"/>
        </w:trPr>
        <w:tc>
          <w:tcPr>
            <w:tcW w:w="550" w:type="dxa"/>
            <w:shd w:val="clear" w:color="auto" w:fill="auto"/>
            <w:vAlign w:val="center"/>
          </w:tcPr>
          <w:p w14:paraId="3D43DDF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121</w:t>
            </w:r>
          </w:p>
        </w:tc>
        <w:tc>
          <w:tcPr>
            <w:tcW w:w="1071" w:type="dxa"/>
            <w:shd w:val="clear" w:color="auto" w:fill="auto"/>
            <w:vAlign w:val="center"/>
          </w:tcPr>
          <w:p w14:paraId="6FA7B86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10595C0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Kamusheva M, Manova M, Savova AT, Petrova GI, Mitov K, Harsanyi A, et al. </w:t>
            </w:r>
          </w:p>
        </w:tc>
        <w:tc>
          <w:tcPr>
            <w:tcW w:w="7010" w:type="dxa"/>
            <w:shd w:val="clear" w:color="auto" w:fill="auto"/>
            <w:vAlign w:val="center"/>
          </w:tcPr>
          <w:p w14:paraId="4F2D071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Comparative Analysis of Legislative Requirements About Patients' Access to Biotechnological Drugs for Rare Diseases in Central and Eastern European Countries</w:t>
            </w:r>
          </w:p>
        </w:tc>
        <w:tc>
          <w:tcPr>
            <w:tcW w:w="568" w:type="dxa"/>
            <w:shd w:val="clear" w:color="auto" w:fill="auto"/>
            <w:vAlign w:val="center"/>
          </w:tcPr>
          <w:p w14:paraId="0D76935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2BC4646C" w14:textId="77777777" w:rsidTr="004C3C90">
        <w:trPr>
          <w:trHeight w:val="20"/>
        </w:trPr>
        <w:tc>
          <w:tcPr>
            <w:tcW w:w="550" w:type="dxa"/>
            <w:shd w:val="clear" w:color="auto" w:fill="auto"/>
            <w:vAlign w:val="center"/>
          </w:tcPr>
          <w:p w14:paraId="1431109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122</w:t>
            </w:r>
          </w:p>
        </w:tc>
        <w:tc>
          <w:tcPr>
            <w:tcW w:w="1071" w:type="dxa"/>
            <w:shd w:val="clear" w:color="auto" w:fill="auto"/>
            <w:vAlign w:val="center"/>
          </w:tcPr>
          <w:p w14:paraId="39562CB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39FE941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Kanamori Y, Watanabe T, Yorifuji T, Masue M, Sasaki H, Nio M</w:t>
            </w:r>
          </w:p>
        </w:tc>
        <w:tc>
          <w:tcPr>
            <w:tcW w:w="7010" w:type="dxa"/>
            <w:shd w:val="clear" w:color="auto" w:fill="auto"/>
            <w:vAlign w:val="center"/>
          </w:tcPr>
          <w:p w14:paraId="7683285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Congenital Hyperinsulinism Treated by Surgical Resection of the Hyperplastic Lesion Which Had Been Preoperatively Diagnosed by 18f-Dopa Pet Examination in Japan: A Nationwide Survey</w:t>
            </w:r>
          </w:p>
        </w:tc>
        <w:tc>
          <w:tcPr>
            <w:tcW w:w="568" w:type="dxa"/>
            <w:shd w:val="clear" w:color="auto" w:fill="auto"/>
            <w:vAlign w:val="center"/>
          </w:tcPr>
          <w:p w14:paraId="20B06F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2163D164" w14:textId="77777777" w:rsidTr="004C3C90">
        <w:trPr>
          <w:trHeight w:val="20"/>
        </w:trPr>
        <w:tc>
          <w:tcPr>
            <w:tcW w:w="550" w:type="dxa"/>
            <w:shd w:val="clear" w:color="auto" w:fill="auto"/>
            <w:vAlign w:val="center"/>
          </w:tcPr>
          <w:p w14:paraId="284D493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123</w:t>
            </w:r>
          </w:p>
        </w:tc>
        <w:tc>
          <w:tcPr>
            <w:tcW w:w="1071" w:type="dxa"/>
            <w:shd w:val="clear" w:color="auto" w:fill="auto"/>
            <w:vAlign w:val="center"/>
          </w:tcPr>
          <w:p w14:paraId="37FEB5D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41930AC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Mano H, Fujiwara S, Takamura K, Kitoh H, Takayama S, Ogata T, et al.</w:t>
            </w:r>
          </w:p>
        </w:tc>
        <w:tc>
          <w:tcPr>
            <w:tcW w:w="7010" w:type="dxa"/>
            <w:shd w:val="clear" w:color="auto" w:fill="auto"/>
            <w:vAlign w:val="center"/>
          </w:tcPr>
          <w:p w14:paraId="4110DF3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Congenital Limb Deficiency in Japan: A Cross-Sectional Nationwide Survey on Its Epidemiology</w:t>
            </w:r>
          </w:p>
        </w:tc>
        <w:tc>
          <w:tcPr>
            <w:tcW w:w="568" w:type="dxa"/>
            <w:shd w:val="clear" w:color="auto" w:fill="auto"/>
            <w:vAlign w:val="center"/>
          </w:tcPr>
          <w:p w14:paraId="3F50FF6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629DF2E4" w14:textId="77777777" w:rsidTr="004C3C90">
        <w:trPr>
          <w:trHeight w:val="20"/>
        </w:trPr>
        <w:tc>
          <w:tcPr>
            <w:tcW w:w="550" w:type="dxa"/>
            <w:shd w:val="clear" w:color="auto" w:fill="auto"/>
            <w:vAlign w:val="center"/>
          </w:tcPr>
          <w:p w14:paraId="0D64A62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124</w:t>
            </w:r>
          </w:p>
        </w:tc>
        <w:tc>
          <w:tcPr>
            <w:tcW w:w="1071" w:type="dxa"/>
            <w:shd w:val="clear" w:color="auto" w:fill="auto"/>
            <w:vAlign w:val="center"/>
          </w:tcPr>
          <w:p w14:paraId="6947AC5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7DAB74F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Wood L, Bassez G, Bleyenheuft C, Campbell C, Cossette L, Jimenez-Moreno AC, et al.</w:t>
            </w:r>
          </w:p>
        </w:tc>
        <w:tc>
          <w:tcPr>
            <w:tcW w:w="7010" w:type="dxa"/>
            <w:shd w:val="clear" w:color="auto" w:fill="auto"/>
            <w:vAlign w:val="center"/>
          </w:tcPr>
          <w:p w14:paraId="35B264F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Eight Years after an International Workshop on Myotonic Dystrophy Patient Registries: Case Study of a Global Collaboration for a Rare Disease</w:t>
            </w:r>
          </w:p>
        </w:tc>
        <w:tc>
          <w:tcPr>
            <w:tcW w:w="568" w:type="dxa"/>
            <w:shd w:val="clear" w:color="auto" w:fill="auto"/>
            <w:vAlign w:val="center"/>
          </w:tcPr>
          <w:p w14:paraId="17D85E1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B5788C8" w14:textId="77777777" w:rsidTr="004C3C90">
        <w:trPr>
          <w:trHeight w:val="20"/>
        </w:trPr>
        <w:tc>
          <w:tcPr>
            <w:tcW w:w="550" w:type="dxa"/>
            <w:shd w:val="clear" w:color="auto" w:fill="auto"/>
            <w:vAlign w:val="center"/>
          </w:tcPr>
          <w:p w14:paraId="607BF58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125</w:t>
            </w:r>
          </w:p>
        </w:tc>
        <w:tc>
          <w:tcPr>
            <w:tcW w:w="1071" w:type="dxa"/>
            <w:shd w:val="clear" w:color="auto" w:fill="auto"/>
            <w:vAlign w:val="center"/>
          </w:tcPr>
          <w:p w14:paraId="0E885BE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203A3E14" w14:textId="77777777" w:rsidR="004C3C90" w:rsidRPr="004C3C90" w:rsidRDefault="004C3C90" w:rsidP="004C3C90">
            <w:pPr>
              <w:pBdr>
                <w:top w:val="none" w:sz="0" w:space="0" w:color="000000"/>
                <w:bottom w:val="none" w:sz="0" w:space="0" w:color="000000"/>
                <w:right w:val="none" w:sz="0" w:space="0" w:color="000000"/>
                <w:between w:val="none" w:sz="0" w:space="0" w:color="000000"/>
              </w:pBdr>
              <w:shd w:val="clear" w:color="auto" w:fill="FFFFFF"/>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Bertalan R, Lucas-Herald A, Kolesinska Z, Berra M, Cools M, Balsamo A, Hiort O</w:t>
            </w:r>
          </w:p>
        </w:tc>
        <w:tc>
          <w:tcPr>
            <w:tcW w:w="7010" w:type="dxa"/>
            <w:shd w:val="clear" w:color="auto" w:fill="auto"/>
            <w:vAlign w:val="center"/>
          </w:tcPr>
          <w:p w14:paraId="756C4F9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Evaluation of Dsd Training Schools Organized by Cost Action Bm1303 "Dsdnet" 11 Medical and Health Sciences 1117 Public Health and Health Services</w:t>
            </w:r>
          </w:p>
        </w:tc>
        <w:tc>
          <w:tcPr>
            <w:tcW w:w="568" w:type="dxa"/>
            <w:shd w:val="clear" w:color="auto" w:fill="auto"/>
            <w:vAlign w:val="center"/>
          </w:tcPr>
          <w:p w14:paraId="57365B4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4CB4C68" w14:textId="77777777" w:rsidTr="004C3C90">
        <w:trPr>
          <w:trHeight w:val="20"/>
        </w:trPr>
        <w:tc>
          <w:tcPr>
            <w:tcW w:w="550" w:type="dxa"/>
            <w:shd w:val="clear" w:color="auto" w:fill="auto"/>
            <w:vAlign w:val="center"/>
          </w:tcPr>
          <w:p w14:paraId="4827350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126</w:t>
            </w:r>
          </w:p>
        </w:tc>
        <w:tc>
          <w:tcPr>
            <w:tcW w:w="1071" w:type="dxa"/>
            <w:shd w:val="clear" w:color="auto" w:fill="auto"/>
            <w:vAlign w:val="center"/>
          </w:tcPr>
          <w:p w14:paraId="232A154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207E0B9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Reimer A, Bruckner-Tuderman L, Ott H</w:t>
            </w:r>
          </w:p>
        </w:tc>
        <w:tc>
          <w:tcPr>
            <w:tcW w:w="7010" w:type="dxa"/>
            <w:shd w:val="clear" w:color="auto" w:fill="auto"/>
            <w:vAlign w:val="center"/>
          </w:tcPr>
          <w:p w14:paraId="1E8EB94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Mapping Health Care of Rare Diseases: The Example of Epidermolysis Bullosa in Germany 11 Medical and Health Sciences 1117 Public Health and Health Services</w:t>
            </w:r>
          </w:p>
        </w:tc>
        <w:tc>
          <w:tcPr>
            <w:tcW w:w="568" w:type="dxa"/>
            <w:shd w:val="clear" w:color="auto" w:fill="auto"/>
            <w:vAlign w:val="center"/>
          </w:tcPr>
          <w:p w14:paraId="6466BF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2DF5548C" w14:textId="77777777" w:rsidTr="004C3C90">
        <w:trPr>
          <w:trHeight w:val="20"/>
        </w:trPr>
        <w:tc>
          <w:tcPr>
            <w:tcW w:w="550" w:type="dxa"/>
            <w:shd w:val="clear" w:color="auto" w:fill="auto"/>
            <w:vAlign w:val="center"/>
          </w:tcPr>
          <w:p w14:paraId="163F236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127</w:t>
            </w:r>
          </w:p>
        </w:tc>
        <w:tc>
          <w:tcPr>
            <w:tcW w:w="1071" w:type="dxa"/>
            <w:shd w:val="clear" w:color="auto" w:fill="auto"/>
            <w:vAlign w:val="center"/>
          </w:tcPr>
          <w:p w14:paraId="0F3CDB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2CBB2F0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Jahnel J, Zöhrer E, Fischler B, D’Antiga L, Debray D, Dezsofi A, et al. </w:t>
            </w:r>
          </w:p>
        </w:tc>
        <w:tc>
          <w:tcPr>
            <w:tcW w:w="7010" w:type="dxa"/>
            <w:shd w:val="clear" w:color="auto" w:fill="auto"/>
            <w:vAlign w:val="center"/>
          </w:tcPr>
          <w:p w14:paraId="2408FDF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Attempt to Determine the Prevalence of Two Inborn Errors of Primary Bile Acid Synthesis: Results of a European Survey</w:t>
            </w:r>
          </w:p>
        </w:tc>
        <w:tc>
          <w:tcPr>
            <w:tcW w:w="568" w:type="dxa"/>
            <w:shd w:val="clear" w:color="auto" w:fill="auto"/>
            <w:vAlign w:val="center"/>
          </w:tcPr>
          <w:p w14:paraId="0804747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0A5500E" w14:textId="77777777" w:rsidTr="004C3C90">
        <w:trPr>
          <w:trHeight w:val="20"/>
        </w:trPr>
        <w:tc>
          <w:tcPr>
            <w:tcW w:w="550" w:type="dxa"/>
            <w:shd w:val="clear" w:color="auto" w:fill="auto"/>
            <w:vAlign w:val="center"/>
          </w:tcPr>
          <w:p w14:paraId="37B94BB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128</w:t>
            </w:r>
          </w:p>
        </w:tc>
        <w:tc>
          <w:tcPr>
            <w:tcW w:w="1071" w:type="dxa"/>
            <w:shd w:val="clear" w:color="auto" w:fill="auto"/>
            <w:vAlign w:val="center"/>
          </w:tcPr>
          <w:p w14:paraId="5A9B531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13CEC95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Lazzarotto D, Candoni A, Filì C, Forghier F, Pagano L, Busca A, et al.</w:t>
            </w:r>
          </w:p>
        </w:tc>
        <w:tc>
          <w:tcPr>
            <w:tcW w:w="7010" w:type="dxa"/>
            <w:shd w:val="clear" w:color="auto" w:fill="auto"/>
            <w:vAlign w:val="center"/>
          </w:tcPr>
          <w:p w14:paraId="7F0E9C0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Outcome of Myeloid Sarcoma in Adult Patients and Effect of Allogeneic Stem Cell Transplantation. Results from a Multicenter Survey</w:t>
            </w:r>
          </w:p>
        </w:tc>
        <w:tc>
          <w:tcPr>
            <w:tcW w:w="568" w:type="dxa"/>
            <w:shd w:val="clear" w:color="auto" w:fill="auto"/>
            <w:vAlign w:val="center"/>
          </w:tcPr>
          <w:p w14:paraId="6E8432F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34994DA0" w14:textId="77777777" w:rsidTr="004C3C90">
        <w:trPr>
          <w:trHeight w:val="20"/>
        </w:trPr>
        <w:tc>
          <w:tcPr>
            <w:tcW w:w="550" w:type="dxa"/>
            <w:shd w:val="clear" w:color="auto" w:fill="auto"/>
            <w:vAlign w:val="center"/>
          </w:tcPr>
          <w:p w14:paraId="40FD06D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129</w:t>
            </w:r>
          </w:p>
        </w:tc>
        <w:tc>
          <w:tcPr>
            <w:tcW w:w="1071" w:type="dxa"/>
            <w:shd w:val="clear" w:color="auto" w:fill="auto"/>
            <w:vAlign w:val="center"/>
          </w:tcPr>
          <w:p w14:paraId="45FB890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5DC5544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Blöß S, Klemann C, Rother AK,  Mehmecke S, Schumacher U, Mucke U, et al. </w:t>
            </w:r>
          </w:p>
        </w:tc>
        <w:tc>
          <w:tcPr>
            <w:tcW w:w="7010" w:type="dxa"/>
            <w:shd w:val="clear" w:color="auto" w:fill="auto"/>
            <w:vAlign w:val="center"/>
          </w:tcPr>
          <w:p w14:paraId="763EBCC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Diagnostic Needs for Rare Diseases and Shared Prediagnostic Phenomena: Results of a German-Wide Expert Delphi Survey</w:t>
            </w:r>
          </w:p>
        </w:tc>
        <w:tc>
          <w:tcPr>
            <w:tcW w:w="568" w:type="dxa"/>
            <w:shd w:val="clear" w:color="auto" w:fill="auto"/>
            <w:vAlign w:val="center"/>
          </w:tcPr>
          <w:p w14:paraId="5FDCCC5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2D419B76" w14:textId="77777777" w:rsidTr="004C3C90">
        <w:trPr>
          <w:trHeight w:val="20"/>
        </w:trPr>
        <w:tc>
          <w:tcPr>
            <w:tcW w:w="550" w:type="dxa"/>
            <w:shd w:val="clear" w:color="auto" w:fill="auto"/>
            <w:vAlign w:val="center"/>
          </w:tcPr>
          <w:p w14:paraId="7843C94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130</w:t>
            </w:r>
          </w:p>
        </w:tc>
        <w:tc>
          <w:tcPr>
            <w:tcW w:w="1071" w:type="dxa"/>
            <w:shd w:val="clear" w:color="auto" w:fill="auto"/>
            <w:vAlign w:val="center"/>
          </w:tcPr>
          <w:p w14:paraId="5B8E17B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7531913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Minghetti P, Lanati EP, Godfrey J, Solà-Morales O, Wong O, Selletti S</w:t>
            </w:r>
          </w:p>
        </w:tc>
        <w:tc>
          <w:tcPr>
            <w:tcW w:w="7010" w:type="dxa"/>
            <w:shd w:val="clear" w:color="auto" w:fill="auto"/>
            <w:vAlign w:val="center"/>
          </w:tcPr>
          <w:p w14:paraId="099DBA5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From Off-Label to Repurposed Drug in Non-Oncological Rare Diseases: Definition and State of the Art in Selected Eu Countries</w:t>
            </w:r>
          </w:p>
        </w:tc>
        <w:tc>
          <w:tcPr>
            <w:tcW w:w="568" w:type="dxa"/>
            <w:shd w:val="clear" w:color="auto" w:fill="auto"/>
            <w:vAlign w:val="center"/>
          </w:tcPr>
          <w:p w14:paraId="0303362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AC19A42" w14:textId="77777777" w:rsidTr="004C3C90">
        <w:trPr>
          <w:trHeight w:val="20"/>
        </w:trPr>
        <w:tc>
          <w:tcPr>
            <w:tcW w:w="550" w:type="dxa"/>
            <w:shd w:val="clear" w:color="auto" w:fill="auto"/>
            <w:vAlign w:val="center"/>
          </w:tcPr>
          <w:p w14:paraId="48F5CC2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131</w:t>
            </w:r>
          </w:p>
        </w:tc>
        <w:tc>
          <w:tcPr>
            <w:tcW w:w="1071" w:type="dxa"/>
            <w:shd w:val="clear" w:color="auto" w:fill="auto"/>
            <w:vAlign w:val="center"/>
          </w:tcPr>
          <w:p w14:paraId="18A6775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453D501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De Sanctis V, Soliman AT, Canatan D, Elsedfy H, Karimi M, Daar S, et al. </w:t>
            </w:r>
          </w:p>
        </w:tc>
        <w:tc>
          <w:tcPr>
            <w:tcW w:w="7010" w:type="dxa"/>
            <w:shd w:val="clear" w:color="auto" w:fill="auto"/>
            <w:vAlign w:val="center"/>
          </w:tcPr>
          <w:p w14:paraId="5C37975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 Icet- a Survey on Hypoparathyroidism in Patients with Thalassaemia Major and Intermedia: A Preliminary Report</w:t>
            </w:r>
          </w:p>
        </w:tc>
        <w:tc>
          <w:tcPr>
            <w:tcW w:w="568" w:type="dxa"/>
            <w:shd w:val="clear" w:color="auto" w:fill="auto"/>
            <w:vAlign w:val="center"/>
          </w:tcPr>
          <w:p w14:paraId="5BB5DBE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2BAE718A" w14:textId="77777777" w:rsidTr="004C3C90">
        <w:trPr>
          <w:trHeight w:val="20"/>
        </w:trPr>
        <w:tc>
          <w:tcPr>
            <w:tcW w:w="550" w:type="dxa"/>
            <w:shd w:val="clear" w:color="auto" w:fill="auto"/>
            <w:vAlign w:val="center"/>
          </w:tcPr>
          <w:p w14:paraId="2047CD6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132</w:t>
            </w:r>
          </w:p>
        </w:tc>
        <w:tc>
          <w:tcPr>
            <w:tcW w:w="1071" w:type="dxa"/>
            <w:shd w:val="clear" w:color="auto" w:fill="auto"/>
            <w:vAlign w:val="center"/>
          </w:tcPr>
          <w:p w14:paraId="7DA0238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037F47C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Roman H; FRIENDS group (French coloRectal Infiltrating ENDometriosis Study group)</w:t>
            </w:r>
          </w:p>
        </w:tc>
        <w:tc>
          <w:tcPr>
            <w:tcW w:w="7010" w:type="dxa"/>
            <w:shd w:val="clear" w:color="auto" w:fill="auto"/>
            <w:vAlign w:val="center"/>
          </w:tcPr>
          <w:p w14:paraId="44F1B2C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National Snapshot of the Surgical Management of Deep Infiltrating Endometriosis of the Rectum and Colon in France in 2015: A Multicenter Series of 1135 Cases</w:t>
            </w:r>
          </w:p>
        </w:tc>
        <w:tc>
          <w:tcPr>
            <w:tcW w:w="568" w:type="dxa"/>
            <w:shd w:val="clear" w:color="auto" w:fill="auto"/>
            <w:vAlign w:val="center"/>
          </w:tcPr>
          <w:p w14:paraId="07643E1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017E7E1" w14:textId="77777777" w:rsidTr="004C3C90">
        <w:trPr>
          <w:trHeight w:val="20"/>
        </w:trPr>
        <w:tc>
          <w:tcPr>
            <w:tcW w:w="550" w:type="dxa"/>
            <w:shd w:val="clear" w:color="auto" w:fill="auto"/>
            <w:vAlign w:val="center"/>
          </w:tcPr>
          <w:p w14:paraId="5E4680A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133</w:t>
            </w:r>
          </w:p>
        </w:tc>
        <w:tc>
          <w:tcPr>
            <w:tcW w:w="1071" w:type="dxa"/>
            <w:shd w:val="clear" w:color="auto" w:fill="auto"/>
            <w:vAlign w:val="center"/>
          </w:tcPr>
          <w:p w14:paraId="51C2E92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3D78410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Gong S, Wang Y, Pan X, Zhang L, Huang R, Chen X, et al. </w:t>
            </w:r>
          </w:p>
        </w:tc>
        <w:tc>
          <w:tcPr>
            <w:tcW w:w="7010" w:type="dxa"/>
            <w:shd w:val="clear" w:color="auto" w:fill="auto"/>
            <w:vAlign w:val="center"/>
          </w:tcPr>
          <w:p w14:paraId="4962C58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Availability and Affordability of Orphan Drugs for Rare Diseases in China</w:t>
            </w:r>
          </w:p>
        </w:tc>
        <w:tc>
          <w:tcPr>
            <w:tcW w:w="568" w:type="dxa"/>
            <w:shd w:val="clear" w:color="auto" w:fill="auto"/>
            <w:vAlign w:val="center"/>
          </w:tcPr>
          <w:p w14:paraId="6D401FF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3868B444" w14:textId="77777777" w:rsidTr="004C3C90">
        <w:trPr>
          <w:trHeight w:val="20"/>
        </w:trPr>
        <w:tc>
          <w:tcPr>
            <w:tcW w:w="550" w:type="dxa"/>
            <w:shd w:val="clear" w:color="auto" w:fill="auto"/>
            <w:vAlign w:val="center"/>
          </w:tcPr>
          <w:p w14:paraId="40277AC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134</w:t>
            </w:r>
          </w:p>
        </w:tc>
        <w:tc>
          <w:tcPr>
            <w:tcW w:w="1071" w:type="dxa"/>
            <w:shd w:val="clear" w:color="auto" w:fill="auto"/>
            <w:vAlign w:val="center"/>
          </w:tcPr>
          <w:p w14:paraId="459E0E8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5BA0B3B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Kyriakou A, Dessens A, Bryce J, Lotova V, Juul A, Krawczynski M, et al.</w:t>
            </w:r>
          </w:p>
        </w:tc>
        <w:tc>
          <w:tcPr>
            <w:tcW w:w="7010" w:type="dxa"/>
            <w:shd w:val="clear" w:color="auto" w:fill="auto"/>
            <w:vAlign w:val="center"/>
          </w:tcPr>
          <w:p w14:paraId="3F1AC5A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Current Models of Care for Disorders of Sex Development - Results from an International Survey of Specialist Centres</w:t>
            </w:r>
          </w:p>
        </w:tc>
        <w:tc>
          <w:tcPr>
            <w:tcW w:w="568" w:type="dxa"/>
            <w:shd w:val="clear" w:color="auto" w:fill="auto"/>
            <w:vAlign w:val="center"/>
          </w:tcPr>
          <w:p w14:paraId="011C5EA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13E8A896" w14:textId="77777777" w:rsidTr="004C3C90">
        <w:trPr>
          <w:trHeight w:val="20"/>
        </w:trPr>
        <w:tc>
          <w:tcPr>
            <w:tcW w:w="550" w:type="dxa"/>
            <w:shd w:val="clear" w:color="auto" w:fill="auto"/>
            <w:vAlign w:val="center"/>
          </w:tcPr>
          <w:p w14:paraId="23D86EF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135</w:t>
            </w:r>
          </w:p>
        </w:tc>
        <w:tc>
          <w:tcPr>
            <w:tcW w:w="1071" w:type="dxa"/>
            <w:shd w:val="clear" w:color="auto" w:fill="auto"/>
            <w:vAlign w:val="center"/>
          </w:tcPr>
          <w:p w14:paraId="4126E6D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0C733E9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Pinto D, Martin D, Chenhall R</w:t>
            </w:r>
          </w:p>
        </w:tc>
        <w:tc>
          <w:tcPr>
            <w:tcW w:w="7010" w:type="dxa"/>
            <w:shd w:val="clear" w:color="auto" w:fill="auto"/>
            <w:vAlign w:val="center"/>
          </w:tcPr>
          <w:p w14:paraId="3C3426C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Involvement of Patient Organisations in Rare Disease Research: A Mixed Methods Study in Australia</w:t>
            </w:r>
          </w:p>
        </w:tc>
        <w:tc>
          <w:tcPr>
            <w:tcW w:w="568" w:type="dxa"/>
            <w:shd w:val="clear" w:color="auto" w:fill="auto"/>
            <w:vAlign w:val="center"/>
          </w:tcPr>
          <w:p w14:paraId="37C1766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6D22DC10" w14:textId="77777777" w:rsidTr="004C3C90">
        <w:trPr>
          <w:trHeight w:val="20"/>
        </w:trPr>
        <w:tc>
          <w:tcPr>
            <w:tcW w:w="550" w:type="dxa"/>
            <w:shd w:val="clear" w:color="auto" w:fill="auto"/>
            <w:vAlign w:val="center"/>
          </w:tcPr>
          <w:p w14:paraId="5F98416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136</w:t>
            </w:r>
          </w:p>
        </w:tc>
        <w:tc>
          <w:tcPr>
            <w:tcW w:w="1071" w:type="dxa"/>
            <w:shd w:val="clear" w:color="auto" w:fill="auto"/>
            <w:vAlign w:val="center"/>
          </w:tcPr>
          <w:p w14:paraId="6F1308F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484C4DD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Nakano E, Masaki T, Kanda F, et al.</w:t>
            </w:r>
          </w:p>
        </w:tc>
        <w:tc>
          <w:tcPr>
            <w:tcW w:w="7010" w:type="dxa"/>
            <w:shd w:val="clear" w:color="auto" w:fill="auto"/>
            <w:vAlign w:val="center"/>
          </w:tcPr>
          <w:p w14:paraId="3253F89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Present Status of Xeroderma Pigmentosum in Japan and a Tentative Severity Classification Scale</w:t>
            </w:r>
          </w:p>
        </w:tc>
        <w:tc>
          <w:tcPr>
            <w:tcW w:w="568" w:type="dxa"/>
            <w:shd w:val="clear" w:color="auto" w:fill="auto"/>
            <w:vAlign w:val="center"/>
          </w:tcPr>
          <w:p w14:paraId="5A759D5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23FE7D89" w14:textId="77777777" w:rsidTr="004C3C90">
        <w:trPr>
          <w:trHeight w:val="20"/>
        </w:trPr>
        <w:tc>
          <w:tcPr>
            <w:tcW w:w="550" w:type="dxa"/>
            <w:shd w:val="clear" w:color="auto" w:fill="auto"/>
            <w:vAlign w:val="center"/>
          </w:tcPr>
          <w:p w14:paraId="6D61458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137</w:t>
            </w:r>
          </w:p>
        </w:tc>
        <w:tc>
          <w:tcPr>
            <w:tcW w:w="1071" w:type="dxa"/>
            <w:shd w:val="clear" w:color="auto" w:fill="auto"/>
            <w:vAlign w:val="center"/>
          </w:tcPr>
          <w:p w14:paraId="47B42AB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65D7D25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Habra O, Heinzer R, Haba-Rubio J, Rossetti AO</w:t>
            </w:r>
          </w:p>
        </w:tc>
        <w:tc>
          <w:tcPr>
            <w:tcW w:w="7010" w:type="dxa"/>
            <w:shd w:val="clear" w:color="auto" w:fill="auto"/>
            <w:vAlign w:val="center"/>
          </w:tcPr>
          <w:p w14:paraId="23AD83B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Prevalence and Mimics of Kleine-Levin Syndrome: A Survey in French-Speaking Switzerland</w:t>
            </w:r>
          </w:p>
        </w:tc>
        <w:tc>
          <w:tcPr>
            <w:tcW w:w="568" w:type="dxa"/>
            <w:shd w:val="clear" w:color="auto" w:fill="auto"/>
            <w:vAlign w:val="center"/>
          </w:tcPr>
          <w:p w14:paraId="52A1CB3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273A1A92" w14:textId="77777777" w:rsidTr="004C3C90">
        <w:trPr>
          <w:trHeight w:val="20"/>
        </w:trPr>
        <w:tc>
          <w:tcPr>
            <w:tcW w:w="550" w:type="dxa"/>
            <w:shd w:val="clear" w:color="auto" w:fill="auto"/>
            <w:vAlign w:val="center"/>
          </w:tcPr>
          <w:p w14:paraId="7522C83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138</w:t>
            </w:r>
          </w:p>
        </w:tc>
        <w:tc>
          <w:tcPr>
            <w:tcW w:w="1071" w:type="dxa"/>
            <w:shd w:val="clear" w:color="auto" w:fill="auto"/>
            <w:vAlign w:val="center"/>
          </w:tcPr>
          <w:p w14:paraId="5267987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6B51910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Campo I, Luisetti M, Griese M, et al.</w:t>
            </w:r>
          </w:p>
        </w:tc>
        <w:tc>
          <w:tcPr>
            <w:tcW w:w="7010" w:type="dxa"/>
            <w:shd w:val="clear" w:color="auto" w:fill="auto"/>
            <w:vAlign w:val="center"/>
          </w:tcPr>
          <w:p w14:paraId="3334C9E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Whole Lung Lavage Therapy for Pulmonary Alveolar Proteinosis: A Global Survey of Current Practices and Procedures</w:t>
            </w:r>
          </w:p>
        </w:tc>
        <w:tc>
          <w:tcPr>
            <w:tcW w:w="568" w:type="dxa"/>
            <w:shd w:val="clear" w:color="auto" w:fill="auto"/>
            <w:vAlign w:val="center"/>
          </w:tcPr>
          <w:p w14:paraId="0B32642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207EB88B" w14:textId="77777777" w:rsidTr="004C3C90">
        <w:trPr>
          <w:trHeight w:val="20"/>
        </w:trPr>
        <w:tc>
          <w:tcPr>
            <w:tcW w:w="550" w:type="dxa"/>
            <w:shd w:val="clear" w:color="auto" w:fill="auto"/>
            <w:vAlign w:val="center"/>
          </w:tcPr>
          <w:p w14:paraId="7B1A0F0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139</w:t>
            </w:r>
          </w:p>
        </w:tc>
        <w:tc>
          <w:tcPr>
            <w:tcW w:w="1071" w:type="dxa"/>
            <w:shd w:val="clear" w:color="auto" w:fill="auto"/>
            <w:vAlign w:val="center"/>
          </w:tcPr>
          <w:p w14:paraId="31C078E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3FEA460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Hyry HI, Manuel J, Cox TM, Roos JC</w:t>
            </w:r>
          </w:p>
        </w:tc>
        <w:tc>
          <w:tcPr>
            <w:tcW w:w="7010" w:type="dxa"/>
            <w:shd w:val="clear" w:color="auto" w:fill="auto"/>
            <w:vAlign w:val="center"/>
          </w:tcPr>
          <w:p w14:paraId="198E334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Compassionate Use of Orphan Drugs</w:t>
            </w:r>
          </w:p>
        </w:tc>
        <w:tc>
          <w:tcPr>
            <w:tcW w:w="568" w:type="dxa"/>
            <w:shd w:val="clear" w:color="auto" w:fill="auto"/>
            <w:vAlign w:val="center"/>
          </w:tcPr>
          <w:p w14:paraId="7F52A48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12C4069A" w14:textId="77777777" w:rsidTr="004C3C90">
        <w:trPr>
          <w:trHeight w:val="20"/>
        </w:trPr>
        <w:tc>
          <w:tcPr>
            <w:tcW w:w="550" w:type="dxa"/>
            <w:shd w:val="clear" w:color="auto" w:fill="auto"/>
            <w:vAlign w:val="center"/>
          </w:tcPr>
          <w:p w14:paraId="387A7CB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140</w:t>
            </w:r>
          </w:p>
        </w:tc>
        <w:tc>
          <w:tcPr>
            <w:tcW w:w="1071" w:type="dxa"/>
            <w:shd w:val="clear" w:color="auto" w:fill="auto"/>
            <w:vAlign w:val="center"/>
          </w:tcPr>
          <w:p w14:paraId="4E10737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682A926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Hattori M, Sako M, Kaneko T, Ashida A, Matsunaga A, Igarashi T, et al. </w:t>
            </w:r>
          </w:p>
        </w:tc>
        <w:tc>
          <w:tcPr>
            <w:tcW w:w="7010" w:type="dxa"/>
            <w:shd w:val="clear" w:color="auto" w:fill="auto"/>
            <w:vAlign w:val="center"/>
          </w:tcPr>
          <w:p w14:paraId="443EF15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End-Stage Renal Disease in Japanese Children: A Nationwide Survey During 2006–2011</w:t>
            </w:r>
          </w:p>
        </w:tc>
        <w:tc>
          <w:tcPr>
            <w:tcW w:w="568" w:type="dxa"/>
            <w:shd w:val="clear" w:color="auto" w:fill="auto"/>
            <w:vAlign w:val="center"/>
          </w:tcPr>
          <w:p w14:paraId="3DBCE5A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55C6972B" w14:textId="77777777" w:rsidTr="004C3C90">
        <w:trPr>
          <w:trHeight w:val="20"/>
        </w:trPr>
        <w:tc>
          <w:tcPr>
            <w:tcW w:w="550" w:type="dxa"/>
            <w:shd w:val="clear" w:color="auto" w:fill="auto"/>
            <w:vAlign w:val="center"/>
          </w:tcPr>
          <w:p w14:paraId="053DF2E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141</w:t>
            </w:r>
          </w:p>
        </w:tc>
        <w:tc>
          <w:tcPr>
            <w:tcW w:w="1071" w:type="dxa"/>
            <w:shd w:val="clear" w:color="auto" w:fill="auto"/>
            <w:vAlign w:val="center"/>
          </w:tcPr>
          <w:p w14:paraId="349B464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43E4EA6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Williams DA, Bennett C, Bertuch A, Arcecti RJ, Bennett C, Bertuch A, et al. </w:t>
            </w:r>
          </w:p>
        </w:tc>
        <w:tc>
          <w:tcPr>
            <w:tcW w:w="7010" w:type="dxa"/>
            <w:shd w:val="clear" w:color="auto" w:fill="auto"/>
            <w:vAlign w:val="center"/>
          </w:tcPr>
          <w:p w14:paraId="4000BFD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Diagnosis and Treatment of Pediatric Acquired Aplastic Anemia (Aaa): An Initial Survey of the North American Pediatric Aplastic Anemia Consortium (Napaac)</w:t>
            </w:r>
          </w:p>
        </w:tc>
        <w:tc>
          <w:tcPr>
            <w:tcW w:w="568" w:type="dxa"/>
            <w:shd w:val="clear" w:color="auto" w:fill="auto"/>
            <w:vAlign w:val="center"/>
          </w:tcPr>
          <w:p w14:paraId="77CB855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4140AD10" w14:textId="77777777" w:rsidTr="004C3C90">
        <w:trPr>
          <w:trHeight w:val="20"/>
        </w:trPr>
        <w:tc>
          <w:tcPr>
            <w:tcW w:w="550" w:type="dxa"/>
            <w:shd w:val="clear" w:color="auto" w:fill="auto"/>
            <w:vAlign w:val="center"/>
          </w:tcPr>
          <w:p w14:paraId="3EA23A8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142</w:t>
            </w:r>
          </w:p>
        </w:tc>
        <w:tc>
          <w:tcPr>
            <w:tcW w:w="1071" w:type="dxa"/>
            <w:shd w:val="clear" w:color="auto" w:fill="auto"/>
            <w:vAlign w:val="center"/>
          </w:tcPr>
          <w:p w14:paraId="70ACABE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2B4AB83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Žnidar I, Collin-Histed T, Niemeyer P,Parkkinene J, Lauridsen AG, Zarina S, et al.</w:t>
            </w:r>
          </w:p>
        </w:tc>
        <w:tc>
          <w:tcPr>
            <w:tcW w:w="7010" w:type="dxa"/>
            <w:shd w:val="clear" w:color="auto" w:fill="auto"/>
            <w:vAlign w:val="center"/>
          </w:tcPr>
          <w:p w14:paraId="6C8A225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European Gaucher Alliance: A Survey of Member Patient Organisations' Activities, Healthcare Environments and Concerns</w:t>
            </w:r>
          </w:p>
        </w:tc>
        <w:tc>
          <w:tcPr>
            <w:tcW w:w="568" w:type="dxa"/>
            <w:shd w:val="clear" w:color="auto" w:fill="auto"/>
            <w:vAlign w:val="center"/>
          </w:tcPr>
          <w:p w14:paraId="0A5385C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05BACB3C" w14:textId="77777777" w:rsidTr="004C3C90">
        <w:trPr>
          <w:trHeight w:val="20"/>
        </w:trPr>
        <w:tc>
          <w:tcPr>
            <w:tcW w:w="550" w:type="dxa"/>
            <w:shd w:val="clear" w:color="auto" w:fill="auto"/>
            <w:vAlign w:val="center"/>
          </w:tcPr>
          <w:p w14:paraId="693C235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143</w:t>
            </w:r>
          </w:p>
        </w:tc>
        <w:tc>
          <w:tcPr>
            <w:tcW w:w="1071" w:type="dxa"/>
            <w:shd w:val="clear" w:color="auto" w:fill="auto"/>
            <w:vAlign w:val="center"/>
          </w:tcPr>
          <w:p w14:paraId="43259DD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1525595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Fischer KE, Rogowski WH</w:t>
            </w:r>
          </w:p>
        </w:tc>
        <w:tc>
          <w:tcPr>
            <w:tcW w:w="7010" w:type="dxa"/>
            <w:shd w:val="clear" w:color="auto" w:fill="auto"/>
            <w:vAlign w:val="center"/>
          </w:tcPr>
          <w:p w14:paraId="54E1FBD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Funding Decisions for Newborn Screening: A Comparative Review of 22 Decision Processes in Europe</w:t>
            </w:r>
          </w:p>
        </w:tc>
        <w:tc>
          <w:tcPr>
            <w:tcW w:w="568" w:type="dxa"/>
            <w:shd w:val="clear" w:color="auto" w:fill="auto"/>
            <w:vAlign w:val="center"/>
          </w:tcPr>
          <w:p w14:paraId="7C87EDC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3FBCC7C3" w14:textId="77777777" w:rsidTr="004C3C90">
        <w:trPr>
          <w:trHeight w:val="20"/>
        </w:trPr>
        <w:tc>
          <w:tcPr>
            <w:tcW w:w="550" w:type="dxa"/>
            <w:shd w:val="clear" w:color="auto" w:fill="auto"/>
            <w:vAlign w:val="center"/>
          </w:tcPr>
          <w:p w14:paraId="6A1376B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144</w:t>
            </w:r>
          </w:p>
        </w:tc>
        <w:tc>
          <w:tcPr>
            <w:tcW w:w="1071" w:type="dxa"/>
            <w:shd w:val="clear" w:color="auto" w:fill="auto"/>
            <w:vAlign w:val="center"/>
          </w:tcPr>
          <w:p w14:paraId="07BE33F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26DCF46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McMillan K</w:t>
            </w:r>
          </w:p>
        </w:tc>
        <w:tc>
          <w:tcPr>
            <w:tcW w:w="7010" w:type="dxa"/>
            <w:shd w:val="clear" w:color="auto" w:fill="auto"/>
            <w:vAlign w:val="center"/>
          </w:tcPr>
          <w:p w14:paraId="059A0E6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Hidradenitis Suppurativa: Number of Diagnosed Patients, Demographic Characteristics, and Treatment Patterns in the United States</w:t>
            </w:r>
          </w:p>
        </w:tc>
        <w:tc>
          <w:tcPr>
            <w:tcW w:w="568" w:type="dxa"/>
            <w:shd w:val="clear" w:color="auto" w:fill="auto"/>
            <w:vAlign w:val="center"/>
          </w:tcPr>
          <w:p w14:paraId="02277B9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2897F730" w14:textId="77777777" w:rsidTr="004C3C90">
        <w:trPr>
          <w:trHeight w:val="20"/>
        </w:trPr>
        <w:tc>
          <w:tcPr>
            <w:tcW w:w="550" w:type="dxa"/>
            <w:shd w:val="clear" w:color="auto" w:fill="auto"/>
            <w:vAlign w:val="center"/>
          </w:tcPr>
          <w:p w14:paraId="48486C5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145</w:t>
            </w:r>
          </w:p>
        </w:tc>
        <w:tc>
          <w:tcPr>
            <w:tcW w:w="1071" w:type="dxa"/>
            <w:shd w:val="clear" w:color="auto" w:fill="auto"/>
            <w:vAlign w:val="center"/>
          </w:tcPr>
          <w:p w14:paraId="1D722B8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3FFD1B5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Taguchi T, Kobayashi H, Kanamori Y, et al. </w:t>
            </w:r>
          </w:p>
        </w:tc>
        <w:tc>
          <w:tcPr>
            <w:tcW w:w="7010" w:type="dxa"/>
            <w:shd w:val="clear" w:color="auto" w:fill="auto"/>
            <w:vAlign w:val="center"/>
          </w:tcPr>
          <w:p w14:paraId="6C0F642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Isolated Intestinal Neuronal Dysplasia Type B (Ind-B) in Japan: Results from a Nationwide Survey</w:t>
            </w:r>
          </w:p>
        </w:tc>
        <w:tc>
          <w:tcPr>
            <w:tcW w:w="568" w:type="dxa"/>
            <w:shd w:val="clear" w:color="auto" w:fill="auto"/>
            <w:vAlign w:val="center"/>
          </w:tcPr>
          <w:p w14:paraId="2582DE5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5465E6E1" w14:textId="77777777" w:rsidTr="004C3C90">
        <w:trPr>
          <w:trHeight w:val="20"/>
        </w:trPr>
        <w:tc>
          <w:tcPr>
            <w:tcW w:w="550" w:type="dxa"/>
            <w:shd w:val="clear" w:color="auto" w:fill="auto"/>
            <w:vAlign w:val="center"/>
          </w:tcPr>
          <w:p w14:paraId="68F2A88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146</w:t>
            </w:r>
          </w:p>
        </w:tc>
        <w:tc>
          <w:tcPr>
            <w:tcW w:w="1071" w:type="dxa"/>
            <w:shd w:val="clear" w:color="auto" w:fill="auto"/>
            <w:vAlign w:val="center"/>
          </w:tcPr>
          <w:p w14:paraId="403836C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479B6F0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Read N, Lim E, Tarzi MD, Hildick-Smith P, Burns S, Fidler KJ</w:t>
            </w:r>
          </w:p>
        </w:tc>
        <w:tc>
          <w:tcPr>
            <w:tcW w:w="7010" w:type="dxa"/>
            <w:shd w:val="clear" w:color="auto" w:fill="auto"/>
            <w:vAlign w:val="center"/>
          </w:tcPr>
          <w:p w14:paraId="30FF327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Paediatric Hereditary Angioedema: A Survey of Uk Service Provision and Patient Experience</w:t>
            </w:r>
          </w:p>
        </w:tc>
        <w:tc>
          <w:tcPr>
            <w:tcW w:w="568" w:type="dxa"/>
            <w:shd w:val="clear" w:color="auto" w:fill="auto"/>
            <w:vAlign w:val="center"/>
          </w:tcPr>
          <w:p w14:paraId="4940C22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0334C998" w14:textId="77777777" w:rsidTr="004C3C90">
        <w:trPr>
          <w:trHeight w:val="20"/>
        </w:trPr>
        <w:tc>
          <w:tcPr>
            <w:tcW w:w="550" w:type="dxa"/>
            <w:shd w:val="clear" w:color="auto" w:fill="auto"/>
            <w:vAlign w:val="center"/>
          </w:tcPr>
          <w:p w14:paraId="645717D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147</w:t>
            </w:r>
          </w:p>
        </w:tc>
        <w:tc>
          <w:tcPr>
            <w:tcW w:w="1071" w:type="dxa"/>
            <w:shd w:val="clear" w:color="auto" w:fill="auto"/>
            <w:vAlign w:val="center"/>
          </w:tcPr>
          <w:p w14:paraId="7C3B2FC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05A4015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Ampuero J, Bañales JM, Soriano G, Crespo J, Olcoz JL, Diago M, et al.</w:t>
            </w:r>
          </w:p>
        </w:tc>
        <w:tc>
          <w:tcPr>
            <w:tcW w:w="7010" w:type="dxa"/>
            <w:shd w:val="clear" w:color="auto" w:fill="auto"/>
            <w:vAlign w:val="center"/>
          </w:tcPr>
          <w:p w14:paraId="7FD434C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Polycystic Liver in the Adult (Pla) in Spain: Analysis of a Structured Survey Analysing the Experience and Attitude of Spanish Gastroenterologists</w:t>
            </w:r>
          </w:p>
        </w:tc>
        <w:tc>
          <w:tcPr>
            <w:tcW w:w="568" w:type="dxa"/>
            <w:shd w:val="clear" w:color="auto" w:fill="auto"/>
            <w:vAlign w:val="center"/>
          </w:tcPr>
          <w:p w14:paraId="0AF8BB4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309B224B" w14:textId="77777777" w:rsidTr="004C3C90">
        <w:trPr>
          <w:trHeight w:val="20"/>
        </w:trPr>
        <w:tc>
          <w:tcPr>
            <w:tcW w:w="550" w:type="dxa"/>
            <w:shd w:val="clear" w:color="auto" w:fill="auto"/>
            <w:vAlign w:val="center"/>
          </w:tcPr>
          <w:p w14:paraId="1B266DF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148</w:t>
            </w:r>
          </w:p>
        </w:tc>
        <w:tc>
          <w:tcPr>
            <w:tcW w:w="1071" w:type="dxa"/>
            <w:shd w:val="clear" w:color="auto" w:fill="auto"/>
            <w:vAlign w:val="center"/>
          </w:tcPr>
          <w:p w14:paraId="2C545FF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3BF3488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Moore SW, Tshifularo N, Banieghbal B, Le Grange E, Millar A, Lakhoo K</w:t>
            </w:r>
          </w:p>
        </w:tc>
        <w:tc>
          <w:tcPr>
            <w:tcW w:w="7010" w:type="dxa"/>
            <w:shd w:val="clear" w:color="auto" w:fill="auto"/>
            <w:vAlign w:val="center"/>
          </w:tcPr>
          <w:p w14:paraId="7F33025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Anorectal Atresia with Gross Terminal Colonic Distension in Africa</w:t>
            </w:r>
          </w:p>
        </w:tc>
        <w:tc>
          <w:tcPr>
            <w:tcW w:w="568" w:type="dxa"/>
            <w:shd w:val="clear" w:color="auto" w:fill="auto"/>
            <w:vAlign w:val="center"/>
          </w:tcPr>
          <w:p w14:paraId="62ECC6F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17DCABDD" w14:textId="77777777" w:rsidTr="004C3C90">
        <w:trPr>
          <w:trHeight w:val="20"/>
        </w:trPr>
        <w:tc>
          <w:tcPr>
            <w:tcW w:w="550" w:type="dxa"/>
            <w:shd w:val="clear" w:color="auto" w:fill="auto"/>
            <w:vAlign w:val="center"/>
          </w:tcPr>
          <w:p w14:paraId="4A7F622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149</w:t>
            </w:r>
          </w:p>
        </w:tc>
        <w:tc>
          <w:tcPr>
            <w:tcW w:w="1071" w:type="dxa"/>
            <w:shd w:val="clear" w:color="auto" w:fill="auto"/>
            <w:vAlign w:val="center"/>
          </w:tcPr>
          <w:p w14:paraId="13E6246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7F0F44E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Sfeir R, Bonnard A, Khen-Dunlop N, Auber F, Gelas T, Michaud L, et al.</w:t>
            </w:r>
          </w:p>
        </w:tc>
        <w:tc>
          <w:tcPr>
            <w:tcW w:w="7010" w:type="dxa"/>
            <w:shd w:val="clear" w:color="auto" w:fill="auto"/>
            <w:vAlign w:val="center"/>
          </w:tcPr>
          <w:p w14:paraId="07D348A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Esophageal Atresia: Data from a National Cohort</w:t>
            </w:r>
          </w:p>
        </w:tc>
        <w:tc>
          <w:tcPr>
            <w:tcW w:w="568" w:type="dxa"/>
            <w:shd w:val="clear" w:color="auto" w:fill="auto"/>
            <w:vAlign w:val="center"/>
          </w:tcPr>
          <w:p w14:paraId="4F98114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42592451" w14:textId="77777777" w:rsidTr="004C3C90">
        <w:trPr>
          <w:trHeight w:val="20"/>
        </w:trPr>
        <w:tc>
          <w:tcPr>
            <w:tcW w:w="550" w:type="dxa"/>
            <w:shd w:val="clear" w:color="auto" w:fill="auto"/>
            <w:vAlign w:val="center"/>
          </w:tcPr>
          <w:p w14:paraId="07B9FE8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150</w:t>
            </w:r>
          </w:p>
        </w:tc>
        <w:tc>
          <w:tcPr>
            <w:tcW w:w="1071" w:type="dxa"/>
            <w:shd w:val="clear" w:color="auto" w:fill="auto"/>
            <w:vAlign w:val="center"/>
          </w:tcPr>
          <w:p w14:paraId="056722B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60ABA8D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Walzer S, Travers K, Rieder S, Erazo-Fischer E, Matusiewicz D</w:t>
            </w:r>
          </w:p>
        </w:tc>
        <w:tc>
          <w:tcPr>
            <w:tcW w:w="7010" w:type="dxa"/>
            <w:shd w:val="clear" w:color="auto" w:fill="auto"/>
            <w:vAlign w:val="center"/>
          </w:tcPr>
          <w:p w14:paraId="3479ECB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Homozygous Familial Hypercholesterolemia (Hofh) in Germany: An Epidemiological Survey</w:t>
            </w:r>
          </w:p>
        </w:tc>
        <w:tc>
          <w:tcPr>
            <w:tcW w:w="568" w:type="dxa"/>
            <w:shd w:val="clear" w:color="auto" w:fill="auto"/>
            <w:vAlign w:val="center"/>
          </w:tcPr>
          <w:p w14:paraId="447B1EC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1249D058" w14:textId="77777777" w:rsidTr="004C3C90">
        <w:trPr>
          <w:trHeight w:val="20"/>
        </w:trPr>
        <w:tc>
          <w:tcPr>
            <w:tcW w:w="550" w:type="dxa"/>
            <w:shd w:val="clear" w:color="auto" w:fill="auto"/>
            <w:vAlign w:val="center"/>
          </w:tcPr>
          <w:p w14:paraId="70D317B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151</w:t>
            </w:r>
          </w:p>
        </w:tc>
        <w:tc>
          <w:tcPr>
            <w:tcW w:w="1071" w:type="dxa"/>
            <w:shd w:val="clear" w:color="auto" w:fill="auto"/>
            <w:vAlign w:val="center"/>
          </w:tcPr>
          <w:p w14:paraId="6D41644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00AFE1D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Angastiniotis M, Vives Corrons JL, Soteriades ES, Eleftheriou A</w:t>
            </w:r>
          </w:p>
        </w:tc>
        <w:tc>
          <w:tcPr>
            <w:tcW w:w="7010" w:type="dxa"/>
            <w:shd w:val="clear" w:color="auto" w:fill="auto"/>
            <w:vAlign w:val="center"/>
          </w:tcPr>
          <w:p w14:paraId="7678A37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Impact of Migrations on the Health Services for Rare Diseases in Europe: The Example of Haemoglobin Disorders</w:t>
            </w:r>
          </w:p>
        </w:tc>
        <w:tc>
          <w:tcPr>
            <w:tcW w:w="568" w:type="dxa"/>
            <w:shd w:val="clear" w:color="auto" w:fill="auto"/>
            <w:vAlign w:val="center"/>
          </w:tcPr>
          <w:p w14:paraId="0D22FCD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35BF6D33" w14:textId="77777777" w:rsidTr="004C3C90">
        <w:trPr>
          <w:trHeight w:val="20"/>
        </w:trPr>
        <w:tc>
          <w:tcPr>
            <w:tcW w:w="550" w:type="dxa"/>
            <w:shd w:val="clear" w:color="auto" w:fill="auto"/>
            <w:vAlign w:val="center"/>
          </w:tcPr>
          <w:p w14:paraId="34CA817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152</w:t>
            </w:r>
          </w:p>
        </w:tc>
        <w:tc>
          <w:tcPr>
            <w:tcW w:w="1071" w:type="dxa"/>
            <w:shd w:val="clear" w:color="auto" w:fill="auto"/>
            <w:vAlign w:val="center"/>
          </w:tcPr>
          <w:p w14:paraId="57D535E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2981B4F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Handfield R, Feldstein </w:t>
            </w:r>
          </w:p>
        </w:tc>
        <w:tc>
          <w:tcPr>
            <w:tcW w:w="7010" w:type="dxa"/>
            <w:shd w:val="clear" w:color="auto" w:fill="auto"/>
            <w:vAlign w:val="center"/>
          </w:tcPr>
          <w:p w14:paraId="700722B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Insurance Companies' Perspectives on the Orphan Drug Pipeline</w:t>
            </w:r>
          </w:p>
        </w:tc>
        <w:tc>
          <w:tcPr>
            <w:tcW w:w="568" w:type="dxa"/>
            <w:shd w:val="clear" w:color="auto" w:fill="auto"/>
            <w:vAlign w:val="center"/>
          </w:tcPr>
          <w:p w14:paraId="5CCCBEC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7D5E7F76" w14:textId="77777777" w:rsidTr="004C3C90">
        <w:trPr>
          <w:trHeight w:val="20"/>
        </w:trPr>
        <w:tc>
          <w:tcPr>
            <w:tcW w:w="550" w:type="dxa"/>
            <w:shd w:val="clear" w:color="auto" w:fill="auto"/>
            <w:vAlign w:val="center"/>
          </w:tcPr>
          <w:p w14:paraId="0BCD0B0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153</w:t>
            </w:r>
          </w:p>
        </w:tc>
        <w:tc>
          <w:tcPr>
            <w:tcW w:w="1071" w:type="dxa"/>
            <w:shd w:val="clear" w:color="auto" w:fill="auto"/>
            <w:vAlign w:val="center"/>
          </w:tcPr>
          <w:p w14:paraId="542BF82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35DC0BB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Tibussek D, Distelmaier F, von Kries R, Mayatepek E</w:t>
            </w:r>
          </w:p>
        </w:tc>
        <w:tc>
          <w:tcPr>
            <w:tcW w:w="7010" w:type="dxa"/>
            <w:shd w:val="clear" w:color="auto" w:fill="auto"/>
            <w:vAlign w:val="center"/>
          </w:tcPr>
          <w:p w14:paraId="55BA6EF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Pseudotumor Cerebri in Childhood and Adolescence -- Results of a Germany-Wide Esped-Survey</w:t>
            </w:r>
          </w:p>
        </w:tc>
        <w:tc>
          <w:tcPr>
            <w:tcW w:w="568" w:type="dxa"/>
            <w:shd w:val="clear" w:color="auto" w:fill="auto"/>
            <w:vAlign w:val="center"/>
          </w:tcPr>
          <w:p w14:paraId="6C40648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42F9BEDD" w14:textId="77777777" w:rsidTr="004C3C90">
        <w:trPr>
          <w:trHeight w:val="20"/>
        </w:trPr>
        <w:tc>
          <w:tcPr>
            <w:tcW w:w="550" w:type="dxa"/>
            <w:shd w:val="clear" w:color="auto" w:fill="auto"/>
            <w:vAlign w:val="center"/>
          </w:tcPr>
          <w:p w14:paraId="2D4CD70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154</w:t>
            </w:r>
          </w:p>
        </w:tc>
        <w:tc>
          <w:tcPr>
            <w:tcW w:w="1071" w:type="dxa"/>
            <w:shd w:val="clear" w:color="auto" w:fill="auto"/>
            <w:vAlign w:val="center"/>
          </w:tcPr>
          <w:p w14:paraId="77E185B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21D4F3A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Hasegawa H, Kawasaki K, Inoue H, Umehara M, Takase M; Japanese Society of Pediatric Pulmonology Working Group (JSPPWG)</w:t>
            </w:r>
          </w:p>
        </w:tc>
        <w:tc>
          <w:tcPr>
            <w:tcW w:w="7010" w:type="dxa"/>
            <w:shd w:val="clear" w:color="auto" w:fill="auto"/>
            <w:vAlign w:val="center"/>
          </w:tcPr>
          <w:p w14:paraId="01947D3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Epidemiologic Survey of Patients with Congenital Central Hypoventilation Syndrome in Japan</w:t>
            </w:r>
          </w:p>
        </w:tc>
        <w:tc>
          <w:tcPr>
            <w:tcW w:w="568" w:type="dxa"/>
            <w:shd w:val="clear" w:color="auto" w:fill="auto"/>
            <w:vAlign w:val="center"/>
          </w:tcPr>
          <w:p w14:paraId="3894E3F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3CAA2DB3" w14:textId="77777777" w:rsidTr="004C3C90">
        <w:trPr>
          <w:trHeight w:val="20"/>
        </w:trPr>
        <w:tc>
          <w:tcPr>
            <w:tcW w:w="550" w:type="dxa"/>
            <w:shd w:val="clear" w:color="auto" w:fill="auto"/>
            <w:vAlign w:val="center"/>
          </w:tcPr>
          <w:p w14:paraId="021C049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155</w:t>
            </w:r>
          </w:p>
        </w:tc>
        <w:tc>
          <w:tcPr>
            <w:tcW w:w="1071" w:type="dxa"/>
            <w:shd w:val="clear" w:color="auto" w:fill="auto"/>
            <w:vAlign w:val="center"/>
          </w:tcPr>
          <w:p w14:paraId="07E8182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6DF4469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Migita K, Uehara R, Nakamura Y, Yasunami M, Tsuchyua-Suzuki A, et al.</w:t>
            </w:r>
          </w:p>
        </w:tc>
        <w:tc>
          <w:tcPr>
            <w:tcW w:w="7010" w:type="dxa"/>
            <w:shd w:val="clear" w:color="auto" w:fill="auto"/>
            <w:vAlign w:val="center"/>
          </w:tcPr>
          <w:p w14:paraId="4F453AA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Familial Mediterranean Fever in Japan</w:t>
            </w:r>
          </w:p>
        </w:tc>
        <w:tc>
          <w:tcPr>
            <w:tcW w:w="568" w:type="dxa"/>
            <w:shd w:val="clear" w:color="auto" w:fill="auto"/>
            <w:vAlign w:val="center"/>
          </w:tcPr>
          <w:p w14:paraId="2DE81C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3975828C" w14:textId="77777777" w:rsidTr="004C3C90">
        <w:trPr>
          <w:trHeight w:val="20"/>
        </w:trPr>
        <w:tc>
          <w:tcPr>
            <w:tcW w:w="550" w:type="dxa"/>
            <w:shd w:val="clear" w:color="auto" w:fill="auto"/>
            <w:vAlign w:val="center"/>
          </w:tcPr>
          <w:p w14:paraId="67A80D0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156</w:t>
            </w:r>
          </w:p>
        </w:tc>
        <w:tc>
          <w:tcPr>
            <w:tcW w:w="1071" w:type="dxa"/>
            <w:shd w:val="clear" w:color="auto" w:fill="auto"/>
            <w:vAlign w:val="center"/>
          </w:tcPr>
          <w:p w14:paraId="3509DAE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561FC3A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Sakushima Reinecke M, Rommel K, Schmidtke J.K, Tsuboi S, Yabe I, et al.</w:t>
            </w:r>
          </w:p>
        </w:tc>
        <w:tc>
          <w:tcPr>
            <w:tcW w:w="7010" w:type="dxa"/>
            <w:shd w:val="clear" w:color="auto" w:fill="auto"/>
            <w:vAlign w:val="center"/>
          </w:tcPr>
          <w:p w14:paraId="1BA2DC6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Nationwide Survey on the Epidemiology of Syringomyelia in Japan</w:t>
            </w:r>
          </w:p>
        </w:tc>
        <w:tc>
          <w:tcPr>
            <w:tcW w:w="568" w:type="dxa"/>
            <w:shd w:val="clear" w:color="auto" w:fill="auto"/>
            <w:vAlign w:val="center"/>
          </w:tcPr>
          <w:p w14:paraId="51EE2E5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4E4D84A3" w14:textId="77777777" w:rsidTr="004C3C90">
        <w:trPr>
          <w:trHeight w:val="20"/>
        </w:trPr>
        <w:tc>
          <w:tcPr>
            <w:tcW w:w="550" w:type="dxa"/>
            <w:shd w:val="clear" w:color="auto" w:fill="auto"/>
            <w:vAlign w:val="center"/>
          </w:tcPr>
          <w:p w14:paraId="6C1E09C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157</w:t>
            </w:r>
          </w:p>
        </w:tc>
        <w:tc>
          <w:tcPr>
            <w:tcW w:w="1071" w:type="dxa"/>
            <w:shd w:val="clear" w:color="auto" w:fill="auto"/>
            <w:vAlign w:val="center"/>
          </w:tcPr>
          <w:p w14:paraId="5769033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72ADF1A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Reinecke M, Rommel K, Schmidtke J</w:t>
            </w:r>
          </w:p>
        </w:tc>
        <w:tc>
          <w:tcPr>
            <w:tcW w:w="7010" w:type="dxa"/>
            <w:shd w:val="clear" w:color="auto" w:fill="auto"/>
            <w:vAlign w:val="center"/>
          </w:tcPr>
          <w:p w14:paraId="161BAFB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Funding of Rare Disease Research in Germany: A Pilot Study</w:t>
            </w:r>
          </w:p>
        </w:tc>
        <w:tc>
          <w:tcPr>
            <w:tcW w:w="568" w:type="dxa"/>
            <w:shd w:val="clear" w:color="auto" w:fill="auto"/>
            <w:vAlign w:val="center"/>
          </w:tcPr>
          <w:p w14:paraId="3F30CDA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2974EF21" w14:textId="77777777" w:rsidTr="004C3C90">
        <w:trPr>
          <w:trHeight w:val="20"/>
        </w:trPr>
        <w:tc>
          <w:tcPr>
            <w:tcW w:w="550" w:type="dxa"/>
            <w:shd w:val="clear" w:color="auto" w:fill="auto"/>
            <w:vAlign w:val="center"/>
          </w:tcPr>
          <w:p w14:paraId="0EE6315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158</w:t>
            </w:r>
          </w:p>
        </w:tc>
        <w:tc>
          <w:tcPr>
            <w:tcW w:w="1071" w:type="dxa"/>
            <w:shd w:val="clear" w:color="auto" w:fill="auto"/>
            <w:vAlign w:val="center"/>
          </w:tcPr>
          <w:p w14:paraId="2FFEAA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57E27B1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Denis A, Mergaert L, Fostier C, Cleemput I, Simoens S</w:t>
            </w:r>
          </w:p>
        </w:tc>
        <w:tc>
          <w:tcPr>
            <w:tcW w:w="7010" w:type="dxa"/>
            <w:shd w:val="clear" w:color="auto" w:fill="auto"/>
            <w:vAlign w:val="center"/>
          </w:tcPr>
          <w:p w14:paraId="2698988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Comparative Study of European Rare Disease and Orphan Drug Markets</w:t>
            </w:r>
          </w:p>
        </w:tc>
        <w:tc>
          <w:tcPr>
            <w:tcW w:w="568" w:type="dxa"/>
            <w:shd w:val="clear" w:color="auto" w:fill="auto"/>
            <w:vAlign w:val="center"/>
          </w:tcPr>
          <w:p w14:paraId="471FC92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54AABB21" w14:textId="77777777" w:rsidTr="004C3C90">
        <w:trPr>
          <w:trHeight w:val="20"/>
        </w:trPr>
        <w:tc>
          <w:tcPr>
            <w:tcW w:w="550" w:type="dxa"/>
            <w:shd w:val="clear" w:color="auto" w:fill="auto"/>
            <w:vAlign w:val="center"/>
          </w:tcPr>
          <w:p w14:paraId="0606988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159</w:t>
            </w:r>
          </w:p>
        </w:tc>
        <w:tc>
          <w:tcPr>
            <w:tcW w:w="1071" w:type="dxa"/>
            <w:shd w:val="clear" w:color="auto" w:fill="auto"/>
            <w:vAlign w:val="center"/>
          </w:tcPr>
          <w:p w14:paraId="4616878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695B068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Winter Y, Schepelmann K, Spottke AE, Spottke AE, Claus D, Grothe C, et al.</w:t>
            </w:r>
          </w:p>
        </w:tc>
        <w:tc>
          <w:tcPr>
            <w:tcW w:w="7010" w:type="dxa"/>
            <w:shd w:val="clear" w:color="auto" w:fill="auto"/>
            <w:vAlign w:val="center"/>
          </w:tcPr>
          <w:p w14:paraId="6415A4B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Health-Related Quality of Life in Als, Myasthenia Gravis and Facioscapulohumeral Muscular Dystrophy</w:t>
            </w:r>
          </w:p>
        </w:tc>
        <w:tc>
          <w:tcPr>
            <w:tcW w:w="568" w:type="dxa"/>
            <w:shd w:val="clear" w:color="auto" w:fill="auto"/>
            <w:vAlign w:val="center"/>
          </w:tcPr>
          <w:p w14:paraId="2D5C9AC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6100956A" w14:textId="77777777" w:rsidTr="004C3C90">
        <w:trPr>
          <w:trHeight w:val="20"/>
        </w:trPr>
        <w:tc>
          <w:tcPr>
            <w:tcW w:w="550" w:type="dxa"/>
            <w:shd w:val="clear" w:color="auto" w:fill="auto"/>
            <w:vAlign w:val="center"/>
          </w:tcPr>
          <w:p w14:paraId="34D9BDF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160</w:t>
            </w:r>
          </w:p>
        </w:tc>
        <w:tc>
          <w:tcPr>
            <w:tcW w:w="1071" w:type="dxa"/>
            <w:shd w:val="clear" w:color="auto" w:fill="auto"/>
            <w:vAlign w:val="center"/>
          </w:tcPr>
          <w:p w14:paraId="2059E34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337020B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Lainka E, Neudorf U, Lohse P, Timmann C, Stojanov S, Huss K, et al. </w:t>
            </w:r>
          </w:p>
        </w:tc>
        <w:tc>
          <w:tcPr>
            <w:tcW w:w="7010" w:type="dxa"/>
            <w:shd w:val="clear" w:color="auto" w:fill="auto"/>
            <w:vAlign w:val="center"/>
          </w:tcPr>
          <w:p w14:paraId="6FA4AA4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Incidence of Tnfrsf1a Mutations in German Children: Epidemiological, Clinical and Genetic Characteristics</w:t>
            </w:r>
          </w:p>
        </w:tc>
        <w:tc>
          <w:tcPr>
            <w:tcW w:w="568" w:type="dxa"/>
            <w:shd w:val="clear" w:color="auto" w:fill="auto"/>
            <w:vAlign w:val="center"/>
          </w:tcPr>
          <w:p w14:paraId="1B24774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388CB88F" w14:textId="77777777" w:rsidTr="004C3C90">
        <w:trPr>
          <w:trHeight w:val="20"/>
        </w:trPr>
        <w:tc>
          <w:tcPr>
            <w:tcW w:w="550" w:type="dxa"/>
            <w:shd w:val="clear" w:color="auto" w:fill="auto"/>
            <w:vAlign w:val="center"/>
          </w:tcPr>
          <w:p w14:paraId="6E70ED4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161</w:t>
            </w:r>
          </w:p>
        </w:tc>
        <w:tc>
          <w:tcPr>
            <w:tcW w:w="1071" w:type="dxa"/>
            <w:shd w:val="clear" w:color="auto" w:fill="auto"/>
            <w:vAlign w:val="center"/>
          </w:tcPr>
          <w:p w14:paraId="7D4CB5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02DA278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Gingter C, Wilm S, Abholz HH</w:t>
            </w:r>
          </w:p>
        </w:tc>
        <w:tc>
          <w:tcPr>
            <w:tcW w:w="7010" w:type="dxa"/>
            <w:shd w:val="clear" w:color="auto" w:fill="auto"/>
            <w:vAlign w:val="center"/>
          </w:tcPr>
          <w:p w14:paraId="062BB17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Is Copd a Rare Disease? Prevalence and Identification Rates in Smokers Aged 40 Years and over within General Practice in Germany</w:t>
            </w:r>
          </w:p>
        </w:tc>
        <w:tc>
          <w:tcPr>
            <w:tcW w:w="568" w:type="dxa"/>
            <w:shd w:val="clear" w:color="auto" w:fill="auto"/>
            <w:vAlign w:val="center"/>
          </w:tcPr>
          <w:p w14:paraId="55444E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7630F55F" w14:textId="77777777" w:rsidTr="004C3C90">
        <w:trPr>
          <w:trHeight w:val="20"/>
        </w:trPr>
        <w:tc>
          <w:tcPr>
            <w:tcW w:w="550" w:type="dxa"/>
            <w:shd w:val="clear" w:color="auto" w:fill="auto"/>
            <w:vAlign w:val="center"/>
          </w:tcPr>
          <w:p w14:paraId="09911AB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162</w:t>
            </w:r>
          </w:p>
        </w:tc>
        <w:tc>
          <w:tcPr>
            <w:tcW w:w="1071" w:type="dxa"/>
            <w:shd w:val="clear" w:color="auto" w:fill="auto"/>
            <w:vAlign w:val="center"/>
          </w:tcPr>
          <w:p w14:paraId="1EB9E2D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5C4083E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Neu A, Feldhahn L, Ehehalt S, Hub R, Ranke MB; DIARY group Baden-Württemberg</w:t>
            </w:r>
          </w:p>
        </w:tc>
        <w:tc>
          <w:tcPr>
            <w:tcW w:w="7010" w:type="dxa"/>
            <w:shd w:val="clear" w:color="auto" w:fill="auto"/>
            <w:vAlign w:val="center"/>
          </w:tcPr>
          <w:p w14:paraId="32115CC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Type 2 Diabetes Mellitus in Children and Adolescents Is Still a Rare Disease in Germany: A Population-Based Assessment of the Prevalence of Type 2 Diabetes and Mody in Patients Aged 20 Years</w:t>
            </w:r>
          </w:p>
        </w:tc>
        <w:tc>
          <w:tcPr>
            <w:tcW w:w="568" w:type="dxa"/>
            <w:shd w:val="clear" w:color="auto" w:fill="auto"/>
            <w:vAlign w:val="center"/>
          </w:tcPr>
          <w:p w14:paraId="5F20538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0710E737" w14:textId="77777777" w:rsidTr="004C3C90">
        <w:trPr>
          <w:trHeight w:val="20"/>
        </w:trPr>
        <w:tc>
          <w:tcPr>
            <w:tcW w:w="550" w:type="dxa"/>
            <w:shd w:val="clear" w:color="auto" w:fill="auto"/>
            <w:vAlign w:val="center"/>
          </w:tcPr>
          <w:p w14:paraId="4F42387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163</w:t>
            </w:r>
          </w:p>
        </w:tc>
        <w:tc>
          <w:tcPr>
            <w:tcW w:w="1071" w:type="dxa"/>
            <w:shd w:val="clear" w:color="auto" w:fill="auto"/>
            <w:vAlign w:val="center"/>
          </w:tcPr>
          <w:p w14:paraId="3A7D304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6FB2081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Herrgott I, Riemekasten G, Hunzelmann N, Sunderkötter C</w:t>
            </w:r>
          </w:p>
        </w:tc>
        <w:tc>
          <w:tcPr>
            <w:tcW w:w="7010" w:type="dxa"/>
            <w:shd w:val="clear" w:color="auto" w:fill="auto"/>
            <w:vAlign w:val="center"/>
          </w:tcPr>
          <w:p w14:paraId="1BECE3E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Management of Cutaneous Vascular Complications in Systemic Scleroderma: Experience from the German Network</w:t>
            </w:r>
          </w:p>
        </w:tc>
        <w:tc>
          <w:tcPr>
            <w:tcW w:w="568" w:type="dxa"/>
            <w:shd w:val="clear" w:color="auto" w:fill="auto"/>
            <w:vAlign w:val="center"/>
          </w:tcPr>
          <w:p w14:paraId="69EEBE8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2008</w:t>
            </w:r>
          </w:p>
        </w:tc>
      </w:tr>
      <w:tr w:rsidR="004C3C90" w:rsidRPr="004C3C90" w14:paraId="09FB775C" w14:textId="77777777" w:rsidTr="004C3C90">
        <w:trPr>
          <w:trHeight w:val="20"/>
        </w:trPr>
        <w:tc>
          <w:tcPr>
            <w:tcW w:w="550" w:type="dxa"/>
            <w:shd w:val="clear" w:color="auto" w:fill="auto"/>
            <w:vAlign w:val="center"/>
          </w:tcPr>
          <w:p w14:paraId="2E82E11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164</w:t>
            </w:r>
          </w:p>
        </w:tc>
        <w:tc>
          <w:tcPr>
            <w:tcW w:w="1071" w:type="dxa"/>
            <w:shd w:val="clear" w:color="auto" w:fill="auto"/>
            <w:vAlign w:val="center"/>
          </w:tcPr>
          <w:p w14:paraId="6E027E2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70AEAAF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Javeria, Samiullah, Marium,  Neelofar Samad F, Babi G, et al. </w:t>
            </w:r>
          </w:p>
        </w:tc>
        <w:tc>
          <w:tcPr>
            <w:tcW w:w="7010" w:type="dxa"/>
            <w:shd w:val="clear" w:color="auto" w:fill="auto"/>
            <w:vAlign w:val="center"/>
          </w:tcPr>
          <w:p w14:paraId="77E15E8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Urbach-Wiethe Disease: Experience at a Tertiary Care Hospital in Abbottabad, Pakistan</w:t>
            </w:r>
          </w:p>
        </w:tc>
        <w:tc>
          <w:tcPr>
            <w:tcW w:w="568" w:type="dxa"/>
            <w:shd w:val="clear" w:color="auto" w:fill="auto"/>
            <w:vAlign w:val="center"/>
          </w:tcPr>
          <w:p w14:paraId="1BF4660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2008</w:t>
            </w:r>
          </w:p>
        </w:tc>
      </w:tr>
      <w:tr w:rsidR="004C3C90" w:rsidRPr="004C3C90" w14:paraId="047E93F6" w14:textId="77777777" w:rsidTr="004C3C90">
        <w:trPr>
          <w:trHeight w:val="20"/>
        </w:trPr>
        <w:tc>
          <w:tcPr>
            <w:tcW w:w="550" w:type="dxa"/>
            <w:shd w:val="clear" w:color="auto" w:fill="auto"/>
            <w:vAlign w:val="center"/>
          </w:tcPr>
          <w:p w14:paraId="0F1EC33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165</w:t>
            </w:r>
          </w:p>
        </w:tc>
        <w:tc>
          <w:tcPr>
            <w:tcW w:w="1071" w:type="dxa"/>
            <w:shd w:val="clear" w:color="auto" w:fill="auto"/>
            <w:vAlign w:val="center"/>
          </w:tcPr>
          <w:p w14:paraId="2A33D0B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20DA33F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Delgado J, Villar A, Jimenez-Yuste V, Gago J, Quintana M, Hernandez-Navarro F</w:t>
            </w:r>
          </w:p>
        </w:tc>
        <w:tc>
          <w:tcPr>
            <w:tcW w:w="7010" w:type="dxa"/>
            <w:shd w:val="clear" w:color="auto" w:fill="auto"/>
            <w:vAlign w:val="center"/>
          </w:tcPr>
          <w:p w14:paraId="6E07D1B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Phyllodes Tumours of the Breast</w:t>
            </w:r>
          </w:p>
        </w:tc>
        <w:tc>
          <w:tcPr>
            <w:tcW w:w="568" w:type="dxa"/>
            <w:shd w:val="clear" w:color="auto" w:fill="auto"/>
            <w:vAlign w:val="center"/>
          </w:tcPr>
          <w:p w14:paraId="3D05043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2005</w:t>
            </w:r>
          </w:p>
        </w:tc>
      </w:tr>
      <w:tr w:rsidR="004C3C90" w:rsidRPr="004C3C90" w14:paraId="49D950CF" w14:textId="77777777" w:rsidTr="004C3C90">
        <w:trPr>
          <w:trHeight w:val="20"/>
        </w:trPr>
        <w:tc>
          <w:tcPr>
            <w:tcW w:w="550" w:type="dxa"/>
            <w:shd w:val="clear" w:color="auto" w:fill="auto"/>
            <w:vAlign w:val="center"/>
          </w:tcPr>
          <w:p w14:paraId="06FEF4C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166</w:t>
            </w:r>
          </w:p>
        </w:tc>
        <w:tc>
          <w:tcPr>
            <w:tcW w:w="1071" w:type="dxa"/>
            <w:shd w:val="clear" w:color="auto" w:fill="auto"/>
            <w:vAlign w:val="center"/>
          </w:tcPr>
          <w:p w14:paraId="7E0110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09E0A7F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Dionisi-Vici C, Rizzo C, Burlina AB, Gago J, Quintana M, Hernandez-Navarro F, et al. </w:t>
            </w:r>
          </w:p>
        </w:tc>
        <w:tc>
          <w:tcPr>
            <w:tcW w:w="7010" w:type="dxa"/>
            <w:shd w:val="clear" w:color="auto" w:fill="auto"/>
            <w:vAlign w:val="center"/>
          </w:tcPr>
          <w:p w14:paraId="0A97FA8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Acquired Hemophilia: A Single-Center Survey with Emphasis on Immunotherapy and Treatment-Related Side-Effects</w:t>
            </w:r>
          </w:p>
        </w:tc>
        <w:tc>
          <w:tcPr>
            <w:tcW w:w="568" w:type="dxa"/>
            <w:shd w:val="clear" w:color="auto" w:fill="auto"/>
            <w:vAlign w:val="center"/>
          </w:tcPr>
          <w:p w14:paraId="03720F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2002</w:t>
            </w:r>
          </w:p>
        </w:tc>
      </w:tr>
      <w:tr w:rsidR="004C3C90" w:rsidRPr="004C3C90" w14:paraId="03EFE791" w14:textId="77777777" w:rsidTr="004C3C90">
        <w:trPr>
          <w:trHeight w:val="20"/>
        </w:trPr>
        <w:tc>
          <w:tcPr>
            <w:tcW w:w="550" w:type="dxa"/>
            <w:shd w:val="clear" w:color="auto" w:fill="auto"/>
            <w:vAlign w:val="center"/>
          </w:tcPr>
          <w:p w14:paraId="30FDF60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167</w:t>
            </w:r>
          </w:p>
        </w:tc>
        <w:tc>
          <w:tcPr>
            <w:tcW w:w="1071" w:type="dxa"/>
            <w:shd w:val="clear" w:color="auto" w:fill="auto"/>
            <w:vAlign w:val="center"/>
          </w:tcPr>
          <w:p w14:paraId="19D3784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3</w:t>
            </w:r>
          </w:p>
        </w:tc>
        <w:tc>
          <w:tcPr>
            <w:tcW w:w="3741" w:type="dxa"/>
            <w:shd w:val="clear" w:color="auto" w:fill="auto"/>
            <w:vAlign w:val="center"/>
          </w:tcPr>
          <w:p w14:paraId="60BA158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Dionisi-Vici C, RizzoC, Burlina AB, Caruso U, Sabetta G, Uziel G, et al. </w:t>
            </w:r>
          </w:p>
        </w:tc>
        <w:tc>
          <w:tcPr>
            <w:tcW w:w="7010" w:type="dxa"/>
            <w:shd w:val="clear" w:color="auto" w:fill="auto"/>
            <w:vAlign w:val="center"/>
          </w:tcPr>
          <w:p w14:paraId="5DD9D9A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Inborn Errors of Metabolism in the Italian Pediatric Population: A National Retrospective Survey</w:t>
            </w:r>
          </w:p>
        </w:tc>
        <w:tc>
          <w:tcPr>
            <w:tcW w:w="568" w:type="dxa"/>
            <w:shd w:val="clear" w:color="auto" w:fill="auto"/>
            <w:vAlign w:val="center"/>
          </w:tcPr>
          <w:p w14:paraId="097FB92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2002</w:t>
            </w:r>
          </w:p>
        </w:tc>
      </w:tr>
      <w:tr w:rsidR="004C3C90" w:rsidRPr="004C3C90" w14:paraId="7B6D484C" w14:textId="77777777" w:rsidTr="004C3C90">
        <w:trPr>
          <w:trHeight w:val="20"/>
        </w:trPr>
        <w:tc>
          <w:tcPr>
            <w:tcW w:w="550" w:type="dxa"/>
            <w:shd w:val="clear" w:color="auto" w:fill="auto"/>
            <w:vAlign w:val="center"/>
          </w:tcPr>
          <w:p w14:paraId="25934E9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168</w:t>
            </w:r>
          </w:p>
        </w:tc>
        <w:tc>
          <w:tcPr>
            <w:tcW w:w="1071" w:type="dxa"/>
            <w:shd w:val="clear" w:color="auto" w:fill="auto"/>
            <w:vAlign w:val="center"/>
          </w:tcPr>
          <w:p w14:paraId="1F3AB11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9A804E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Johnson R, Fairchild A, Huang L, Srivastava A</w:t>
            </w:r>
          </w:p>
        </w:tc>
        <w:tc>
          <w:tcPr>
            <w:tcW w:w="7010" w:type="dxa"/>
            <w:shd w:val="clear" w:color="auto" w:fill="auto"/>
            <w:vAlign w:val="center"/>
          </w:tcPr>
          <w:p w14:paraId="2DD144C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Assessing Disease Experience across the Life Span for Individuals with Osteogenesis Imperfecta: Challenges and Opportunities for Patient-Reported Outcomes (Pros) Measurement: A Pilot Study</w:t>
            </w:r>
          </w:p>
        </w:tc>
        <w:tc>
          <w:tcPr>
            <w:tcW w:w="568" w:type="dxa"/>
            <w:shd w:val="clear" w:color="auto" w:fill="auto"/>
            <w:vAlign w:val="center"/>
          </w:tcPr>
          <w:p w14:paraId="5048298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8E72142" w14:textId="77777777" w:rsidTr="004C3C90">
        <w:trPr>
          <w:trHeight w:val="20"/>
        </w:trPr>
        <w:tc>
          <w:tcPr>
            <w:tcW w:w="550" w:type="dxa"/>
            <w:shd w:val="clear" w:color="auto" w:fill="auto"/>
            <w:vAlign w:val="center"/>
          </w:tcPr>
          <w:p w14:paraId="2A7B974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169</w:t>
            </w:r>
          </w:p>
        </w:tc>
        <w:tc>
          <w:tcPr>
            <w:tcW w:w="1071" w:type="dxa"/>
            <w:shd w:val="clear" w:color="auto" w:fill="auto"/>
            <w:vAlign w:val="center"/>
          </w:tcPr>
          <w:p w14:paraId="6267487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F532C7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Tan H, Yu K, Yu Y, An Z, Li J</w:t>
            </w:r>
          </w:p>
        </w:tc>
        <w:tc>
          <w:tcPr>
            <w:tcW w:w="7010" w:type="dxa"/>
            <w:shd w:val="clear" w:color="auto" w:fill="auto"/>
            <w:vAlign w:val="center"/>
          </w:tcPr>
          <w:p w14:paraId="24DD65B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281. Understanding Patient Preferences for Meningococcal Serogroup B Vaccines</w:t>
            </w:r>
          </w:p>
        </w:tc>
        <w:tc>
          <w:tcPr>
            <w:tcW w:w="568" w:type="dxa"/>
            <w:shd w:val="clear" w:color="auto" w:fill="auto"/>
            <w:vAlign w:val="center"/>
          </w:tcPr>
          <w:p w14:paraId="5C92DAF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2D0551F5" w14:textId="77777777" w:rsidTr="004C3C90">
        <w:trPr>
          <w:trHeight w:val="20"/>
        </w:trPr>
        <w:tc>
          <w:tcPr>
            <w:tcW w:w="550" w:type="dxa"/>
            <w:shd w:val="clear" w:color="auto" w:fill="auto"/>
            <w:vAlign w:val="center"/>
          </w:tcPr>
          <w:p w14:paraId="25F3873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170</w:t>
            </w:r>
          </w:p>
        </w:tc>
        <w:tc>
          <w:tcPr>
            <w:tcW w:w="1071" w:type="dxa"/>
            <w:shd w:val="clear" w:color="auto" w:fill="auto"/>
            <w:vAlign w:val="center"/>
          </w:tcPr>
          <w:p w14:paraId="0A962EB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E8A894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Khan A, Gnanalingham K, Kearney T</w:t>
            </w:r>
          </w:p>
        </w:tc>
        <w:tc>
          <w:tcPr>
            <w:tcW w:w="7010" w:type="dxa"/>
            <w:shd w:val="clear" w:color="auto" w:fill="auto"/>
            <w:vAlign w:val="center"/>
          </w:tcPr>
          <w:p w14:paraId="63C24DF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Rare Case of Isolated Hypothalamic-Pituitary Langerhans' Cell Histiocytosis</w:t>
            </w:r>
          </w:p>
        </w:tc>
        <w:tc>
          <w:tcPr>
            <w:tcW w:w="568" w:type="dxa"/>
            <w:shd w:val="clear" w:color="auto" w:fill="auto"/>
            <w:vAlign w:val="center"/>
          </w:tcPr>
          <w:p w14:paraId="3036451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11E32AF7" w14:textId="77777777" w:rsidTr="004C3C90">
        <w:trPr>
          <w:trHeight w:val="20"/>
        </w:trPr>
        <w:tc>
          <w:tcPr>
            <w:tcW w:w="550" w:type="dxa"/>
            <w:shd w:val="clear" w:color="auto" w:fill="auto"/>
            <w:vAlign w:val="center"/>
          </w:tcPr>
          <w:p w14:paraId="4025EC3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171</w:t>
            </w:r>
          </w:p>
        </w:tc>
        <w:tc>
          <w:tcPr>
            <w:tcW w:w="1071" w:type="dxa"/>
            <w:shd w:val="clear" w:color="auto" w:fill="auto"/>
            <w:vAlign w:val="center"/>
          </w:tcPr>
          <w:p w14:paraId="09E4978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1961F2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Rasamison R, Alili JM, Berleur MP, Husson MC</w:t>
            </w:r>
          </w:p>
        </w:tc>
        <w:tc>
          <w:tcPr>
            <w:tcW w:w="7010" w:type="dxa"/>
            <w:shd w:val="clear" w:color="auto" w:fill="auto"/>
            <w:vAlign w:val="center"/>
          </w:tcPr>
          <w:p w14:paraId="1736512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Arginine and Citrulline: Survey on the Uses in French Hospitals</w:t>
            </w:r>
          </w:p>
        </w:tc>
        <w:tc>
          <w:tcPr>
            <w:tcW w:w="568" w:type="dxa"/>
            <w:shd w:val="clear" w:color="auto" w:fill="auto"/>
            <w:vAlign w:val="center"/>
          </w:tcPr>
          <w:p w14:paraId="19D4C05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7BDA604" w14:textId="77777777" w:rsidTr="004C3C90">
        <w:trPr>
          <w:trHeight w:val="20"/>
        </w:trPr>
        <w:tc>
          <w:tcPr>
            <w:tcW w:w="550" w:type="dxa"/>
            <w:shd w:val="clear" w:color="auto" w:fill="auto"/>
            <w:vAlign w:val="center"/>
          </w:tcPr>
          <w:p w14:paraId="52F3EE0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172</w:t>
            </w:r>
          </w:p>
        </w:tc>
        <w:tc>
          <w:tcPr>
            <w:tcW w:w="1071" w:type="dxa"/>
            <w:shd w:val="clear" w:color="auto" w:fill="auto"/>
            <w:vAlign w:val="center"/>
          </w:tcPr>
          <w:p w14:paraId="72FFEB3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EEEB6C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Rhee J, Whitehead M, Fraser J, Tochen L</w:t>
            </w:r>
          </w:p>
        </w:tc>
        <w:tc>
          <w:tcPr>
            <w:tcW w:w="7010" w:type="dxa"/>
            <w:shd w:val="clear" w:color="auto" w:fill="auto"/>
            <w:vAlign w:val="center"/>
          </w:tcPr>
          <w:p w14:paraId="06E6D36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and Neuroimaging Features of Labrune Syndrome (Leukoencephalopathy with Calcifications and Cysts)</w:t>
            </w:r>
          </w:p>
        </w:tc>
        <w:tc>
          <w:tcPr>
            <w:tcW w:w="568" w:type="dxa"/>
            <w:shd w:val="clear" w:color="auto" w:fill="auto"/>
            <w:vAlign w:val="center"/>
          </w:tcPr>
          <w:p w14:paraId="6049BBF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308DE2BD" w14:textId="77777777" w:rsidTr="004C3C90">
        <w:trPr>
          <w:trHeight w:val="20"/>
        </w:trPr>
        <w:tc>
          <w:tcPr>
            <w:tcW w:w="550" w:type="dxa"/>
            <w:shd w:val="clear" w:color="auto" w:fill="auto"/>
            <w:vAlign w:val="center"/>
          </w:tcPr>
          <w:p w14:paraId="1196976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173</w:t>
            </w:r>
          </w:p>
        </w:tc>
        <w:tc>
          <w:tcPr>
            <w:tcW w:w="1071" w:type="dxa"/>
            <w:shd w:val="clear" w:color="auto" w:fill="auto"/>
            <w:vAlign w:val="center"/>
          </w:tcPr>
          <w:p w14:paraId="593B543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41A76E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Tiede A, Giangrande P, Teitel J, Amano K, Benso G, Nemes L, et al. </w:t>
            </w:r>
          </w:p>
        </w:tc>
        <w:tc>
          <w:tcPr>
            <w:tcW w:w="7010" w:type="dxa"/>
            <w:shd w:val="clear" w:color="auto" w:fill="auto"/>
            <w:vAlign w:val="center"/>
          </w:tcPr>
          <w:p w14:paraId="164F78B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Delphi Expert Consensus Statements on Clinical Evaluation of Bleeds in Patients with Acquired Haemophilia</w:t>
            </w:r>
          </w:p>
        </w:tc>
        <w:tc>
          <w:tcPr>
            <w:tcW w:w="568" w:type="dxa"/>
            <w:shd w:val="clear" w:color="auto" w:fill="auto"/>
            <w:vAlign w:val="center"/>
          </w:tcPr>
          <w:p w14:paraId="01D702A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41C09A1F" w14:textId="77777777" w:rsidTr="004C3C90">
        <w:trPr>
          <w:trHeight w:val="20"/>
        </w:trPr>
        <w:tc>
          <w:tcPr>
            <w:tcW w:w="550" w:type="dxa"/>
            <w:shd w:val="clear" w:color="auto" w:fill="auto"/>
            <w:vAlign w:val="center"/>
          </w:tcPr>
          <w:p w14:paraId="4E40423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174</w:t>
            </w:r>
          </w:p>
        </w:tc>
        <w:tc>
          <w:tcPr>
            <w:tcW w:w="1071" w:type="dxa"/>
            <w:shd w:val="clear" w:color="auto" w:fill="auto"/>
            <w:vAlign w:val="center"/>
          </w:tcPr>
          <w:p w14:paraId="1239AC8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99D4BE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Silva J, ferreira B, Resende G</w:t>
            </w:r>
          </w:p>
        </w:tc>
        <w:tc>
          <w:tcPr>
            <w:tcW w:w="7010" w:type="dxa"/>
            <w:shd w:val="clear" w:color="auto" w:fill="auto"/>
            <w:vAlign w:val="center"/>
          </w:tcPr>
          <w:p w14:paraId="3275BCF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Fertility-Preserving Surgery in Low-Grade Endometrial Stromal Sarcoma with Diffuse Peritoneal Disease</w:t>
            </w:r>
          </w:p>
        </w:tc>
        <w:tc>
          <w:tcPr>
            <w:tcW w:w="568" w:type="dxa"/>
            <w:shd w:val="clear" w:color="auto" w:fill="auto"/>
            <w:vAlign w:val="center"/>
          </w:tcPr>
          <w:p w14:paraId="69DF976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9D6E5A6" w14:textId="77777777" w:rsidTr="004C3C90">
        <w:trPr>
          <w:trHeight w:val="20"/>
        </w:trPr>
        <w:tc>
          <w:tcPr>
            <w:tcW w:w="550" w:type="dxa"/>
            <w:shd w:val="clear" w:color="auto" w:fill="auto"/>
            <w:vAlign w:val="center"/>
          </w:tcPr>
          <w:p w14:paraId="14E55E3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175</w:t>
            </w:r>
          </w:p>
        </w:tc>
        <w:tc>
          <w:tcPr>
            <w:tcW w:w="1071" w:type="dxa"/>
            <w:shd w:val="clear" w:color="auto" w:fill="auto"/>
            <w:vAlign w:val="center"/>
          </w:tcPr>
          <w:p w14:paraId="3E5C64B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9904FD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Doğan Ü, Sertan D, Isik SR, Olgac M,Coskun, R, Terzioglu K, et al.</w:t>
            </w:r>
          </w:p>
        </w:tc>
        <w:tc>
          <w:tcPr>
            <w:tcW w:w="7010" w:type="dxa"/>
            <w:shd w:val="clear" w:color="auto" w:fill="auto"/>
            <w:vAlign w:val="center"/>
          </w:tcPr>
          <w:p w14:paraId="3053CE0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Hereditary Angioedema Awareness in Turkish Emergency Department Physicians and the Results of a Brief Video Assisted Education</w:t>
            </w:r>
          </w:p>
        </w:tc>
        <w:tc>
          <w:tcPr>
            <w:tcW w:w="568" w:type="dxa"/>
            <w:shd w:val="clear" w:color="auto" w:fill="auto"/>
            <w:vAlign w:val="center"/>
          </w:tcPr>
          <w:p w14:paraId="1A1319F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4AF06E28" w14:textId="77777777" w:rsidTr="004C3C90">
        <w:trPr>
          <w:trHeight w:val="20"/>
        </w:trPr>
        <w:tc>
          <w:tcPr>
            <w:tcW w:w="550" w:type="dxa"/>
            <w:shd w:val="clear" w:color="auto" w:fill="auto"/>
            <w:vAlign w:val="center"/>
          </w:tcPr>
          <w:p w14:paraId="74350CD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176</w:t>
            </w:r>
          </w:p>
        </w:tc>
        <w:tc>
          <w:tcPr>
            <w:tcW w:w="1071" w:type="dxa"/>
            <w:shd w:val="clear" w:color="auto" w:fill="auto"/>
            <w:vAlign w:val="center"/>
          </w:tcPr>
          <w:p w14:paraId="323B41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65CA0B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Sheard D, Greenfield J, Fere RL, Hall A, Griffiths A, Haughton M</w:t>
            </w:r>
          </w:p>
        </w:tc>
        <w:tc>
          <w:tcPr>
            <w:tcW w:w="7010" w:type="dxa"/>
            <w:shd w:val="clear" w:color="auto" w:fill="auto"/>
            <w:vAlign w:val="center"/>
          </w:tcPr>
          <w:p w14:paraId="4A8EB69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How Do Patients and Caregivers Access Scientific Literature?</w:t>
            </w:r>
          </w:p>
        </w:tc>
        <w:tc>
          <w:tcPr>
            <w:tcW w:w="568" w:type="dxa"/>
            <w:shd w:val="clear" w:color="auto" w:fill="auto"/>
            <w:vAlign w:val="center"/>
          </w:tcPr>
          <w:p w14:paraId="5FFEBEF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515AF78" w14:textId="77777777" w:rsidTr="004C3C90">
        <w:trPr>
          <w:trHeight w:val="20"/>
        </w:trPr>
        <w:tc>
          <w:tcPr>
            <w:tcW w:w="550" w:type="dxa"/>
            <w:shd w:val="clear" w:color="auto" w:fill="auto"/>
            <w:vAlign w:val="center"/>
          </w:tcPr>
          <w:p w14:paraId="04BED45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177</w:t>
            </w:r>
          </w:p>
        </w:tc>
        <w:tc>
          <w:tcPr>
            <w:tcW w:w="1071" w:type="dxa"/>
            <w:shd w:val="clear" w:color="auto" w:fill="auto"/>
            <w:vAlign w:val="center"/>
          </w:tcPr>
          <w:p w14:paraId="27E5D9D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7E2CFB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Yarlas A,  Kessler AS,  Lovely A, Guthrie S, Pollock M, White MK, et al. </w:t>
            </w:r>
          </w:p>
        </w:tc>
        <w:tc>
          <w:tcPr>
            <w:tcW w:w="7010" w:type="dxa"/>
            <w:shd w:val="clear" w:color="auto" w:fill="auto"/>
            <w:vAlign w:val="center"/>
          </w:tcPr>
          <w:p w14:paraId="13478BA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Impact of Disease and Treatment on Generic Health-Related Quality of Life in Patients with Hattr Amyloidosis: Sf-36v2 Results from a Double-Blind Placebocontrolled Trial of Inotersen</w:t>
            </w:r>
          </w:p>
        </w:tc>
        <w:tc>
          <w:tcPr>
            <w:tcW w:w="568" w:type="dxa"/>
            <w:shd w:val="clear" w:color="auto" w:fill="auto"/>
            <w:vAlign w:val="center"/>
          </w:tcPr>
          <w:p w14:paraId="3AC650C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370B975B" w14:textId="77777777" w:rsidTr="004C3C90">
        <w:trPr>
          <w:trHeight w:val="20"/>
        </w:trPr>
        <w:tc>
          <w:tcPr>
            <w:tcW w:w="550" w:type="dxa"/>
            <w:shd w:val="clear" w:color="auto" w:fill="auto"/>
            <w:vAlign w:val="center"/>
          </w:tcPr>
          <w:p w14:paraId="0BF96BE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178</w:t>
            </w:r>
          </w:p>
        </w:tc>
        <w:tc>
          <w:tcPr>
            <w:tcW w:w="1071" w:type="dxa"/>
            <w:shd w:val="clear" w:color="auto" w:fill="auto"/>
            <w:vAlign w:val="center"/>
          </w:tcPr>
          <w:p w14:paraId="7AAC760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53985F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Rasamison R, Alili JM, Berleur MP, Husson MC</w:t>
            </w:r>
          </w:p>
        </w:tc>
        <w:tc>
          <w:tcPr>
            <w:tcW w:w="7010" w:type="dxa"/>
            <w:shd w:val="clear" w:color="auto" w:fill="auto"/>
            <w:vAlign w:val="center"/>
          </w:tcPr>
          <w:p w14:paraId="4AD6672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Isoleucine and Valine: Survey on the Uses in French Hospitals</w:t>
            </w:r>
          </w:p>
        </w:tc>
        <w:tc>
          <w:tcPr>
            <w:tcW w:w="568" w:type="dxa"/>
            <w:shd w:val="clear" w:color="auto" w:fill="auto"/>
            <w:vAlign w:val="center"/>
          </w:tcPr>
          <w:p w14:paraId="1E40CD2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461B3AC9" w14:textId="77777777" w:rsidTr="004C3C90">
        <w:trPr>
          <w:trHeight w:val="20"/>
        </w:trPr>
        <w:tc>
          <w:tcPr>
            <w:tcW w:w="550" w:type="dxa"/>
            <w:shd w:val="clear" w:color="auto" w:fill="auto"/>
            <w:vAlign w:val="center"/>
          </w:tcPr>
          <w:p w14:paraId="52BA426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179</w:t>
            </w:r>
          </w:p>
        </w:tc>
        <w:tc>
          <w:tcPr>
            <w:tcW w:w="1071" w:type="dxa"/>
            <w:shd w:val="clear" w:color="auto" w:fill="auto"/>
            <w:vAlign w:val="center"/>
          </w:tcPr>
          <w:p w14:paraId="4E91E95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EB1A7D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Rudebeck M, Scott C, Sireau N, Ranganath L</w:t>
            </w:r>
          </w:p>
        </w:tc>
        <w:tc>
          <w:tcPr>
            <w:tcW w:w="7010" w:type="dxa"/>
            <w:shd w:val="clear" w:color="auto" w:fill="auto"/>
            <w:vAlign w:val="center"/>
          </w:tcPr>
          <w:p w14:paraId="1080B8E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Patients' Experiences of Living with Alkaptonuria (Aku) from Diagnosis to Receiving Treatment and Care</w:t>
            </w:r>
          </w:p>
        </w:tc>
        <w:tc>
          <w:tcPr>
            <w:tcW w:w="568" w:type="dxa"/>
            <w:shd w:val="clear" w:color="auto" w:fill="auto"/>
            <w:vAlign w:val="center"/>
          </w:tcPr>
          <w:p w14:paraId="354228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48F74FB0" w14:textId="77777777" w:rsidTr="004C3C90">
        <w:trPr>
          <w:trHeight w:val="20"/>
        </w:trPr>
        <w:tc>
          <w:tcPr>
            <w:tcW w:w="550" w:type="dxa"/>
            <w:shd w:val="clear" w:color="auto" w:fill="auto"/>
            <w:vAlign w:val="center"/>
          </w:tcPr>
          <w:p w14:paraId="1DAB116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180</w:t>
            </w:r>
          </w:p>
        </w:tc>
        <w:tc>
          <w:tcPr>
            <w:tcW w:w="1071" w:type="dxa"/>
            <w:shd w:val="clear" w:color="auto" w:fill="auto"/>
            <w:vAlign w:val="center"/>
          </w:tcPr>
          <w:p w14:paraId="46C6805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8367C1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Skinner M, O'Hara J, Nugent D</w:t>
            </w:r>
          </w:p>
        </w:tc>
        <w:tc>
          <w:tcPr>
            <w:tcW w:w="7010" w:type="dxa"/>
            <w:shd w:val="clear" w:color="auto" w:fill="auto"/>
            <w:vAlign w:val="center"/>
          </w:tcPr>
          <w:p w14:paraId="6D43938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Physical Activity and Treatment Adherence in Persons with Hemophilia Receiving Standard Half-Life (Shl) Vs. Extended Half-Life (Ehl) Replacement Factor Viii (Fviii): Findings from the Hemactive Patient Survey</w:t>
            </w:r>
          </w:p>
        </w:tc>
        <w:tc>
          <w:tcPr>
            <w:tcW w:w="568" w:type="dxa"/>
            <w:shd w:val="clear" w:color="auto" w:fill="auto"/>
            <w:vAlign w:val="center"/>
          </w:tcPr>
          <w:p w14:paraId="547FE16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4C1DC10" w14:textId="77777777" w:rsidTr="004C3C90">
        <w:trPr>
          <w:trHeight w:val="20"/>
        </w:trPr>
        <w:tc>
          <w:tcPr>
            <w:tcW w:w="550" w:type="dxa"/>
            <w:shd w:val="clear" w:color="auto" w:fill="auto"/>
            <w:vAlign w:val="center"/>
          </w:tcPr>
          <w:p w14:paraId="52B8E4E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181</w:t>
            </w:r>
          </w:p>
        </w:tc>
        <w:tc>
          <w:tcPr>
            <w:tcW w:w="1071" w:type="dxa"/>
            <w:shd w:val="clear" w:color="auto" w:fill="auto"/>
            <w:vAlign w:val="center"/>
          </w:tcPr>
          <w:p w14:paraId="1A328D8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06CF19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Samanek A, Waterton L</w:t>
            </w:r>
          </w:p>
        </w:tc>
        <w:tc>
          <w:tcPr>
            <w:tcW w:w="7010" w:type="dxa"/>
            <w:shd w:val="clear" w:color="auto" w:fill="auto"/>
            <w:vAlign w:val="center"/>
          </w:tcPr>
          <w:p w14:paraId="0E7D6E3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Rare Health Professionals</w:t>
            </w:r>
          </w:p>
        </w:tc>
        <w:tc>
          <w:tcPr>
            <w:tcW w:w="568" w:type="dxa"/>
            <w:shd w:val="clear" w:color="auto" w:fill="auto"/>
            <w:vAlign w:val="center"/>
          </w:tcPr>
          <w:p w14:paraId="7CF9586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3CDF09B5" w14:textId="77777777" w:rsidTr="004C3C90">
        <w:trPr>
          <w:trHeight w:val="20"/>
        </w:trPr>
        <w:tc>
          <w:tcPr>
            <w:tcW w:w="550" w:type="dxa"/>
            <w:shd w:val="clear" w:color="auto" w:fill="auto"/>
            <w:vAlign w:val="center"/>
          </w:tcPr>
          <w:p w14:paraId="1C24078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182</w:t>
            </w:r>
          </w:p>
        </w:tc>
        <w:tc>
          <w:tcPr>
            <w:tcW w:w="1071" w:type="dxa"/>
            <w:shd w:val="clear" w:color="auto" w:fill="auto"/>
            <w:vAlign w:val="center"/>
          </w:tcPr>
          <w:p w14:paraId="2D41F5A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67ABEB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Rajpurkar M, Williams S, Goldenberg NA, et al.</w:t>
            </w:r>
          </w:p>
        </w:tc>
        <w:tc>
          <w:tcPr>
            <w:tcW w:w="7010" w:type="dxa"/>
            <w:shd w:val="clear" w:color="auto" w:fill="auto"/>
            <w:vAlign w:val="center"/>
          </w:tcPr>
          <w:p w14:paraId="3DF28C2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Results of an International Survey of Practice in the Diagnosis and Management of Pediatric Pulmonary Embolism</w:t>
            </w:r>
          </w:p>
        </w:tc>
        <w:tc>
          <w:tcPr>
            <w:tcW w:w="568" w:type="dxa"/>
            <w:shd w:val="clear" w:color="auto" w:fill="auto"/>
            <w:vAlign w:val="center"/>
          </w:tcPr>
          <w:p w14:paraId="1CF6A32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82A7C91" w14:textId="77777777" w:rsidTr="004C3C90">
        <w:trPr>
          <w:trHeight w:val="20"/>
        </w:trPr>
        <w:tc>
          <w:tcPr>
            <w:tcW w:w="550" w:type="dxa"/>
            <w:shd w:val="clear" w:color="auto" w:fill="auto"/>
            <w:vAlign w:val="center"/>
          </w:tcPr>
          <w:p w14:paraId="5384311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183</w:t>
            </w:r>
          </w:p>
        </w:tc>
        <w:tc>
          <w:tcPr>
            <w:tcW w:w="1071" w:type="dxa"/>
            <w:shd w:val="clear" w:color="auto" w:fill="auto"/>
            <w:vAlign w:val="center"/>
          </w:tcPr>
          <w:p w14:paraId="115CB62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CC575E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Walker R, Jinnah H, Violante MR, Gonzalez C, Gatto E</w:t>
            </w:r>
          </w:p>
        </w:tc>
        <w:tc>
          <w:tcPr>
            <w:tcW w:w="7010" w:type="dxa"/>
            <w:shd w:val="clear" w:color="auto" w:fill="auto"/>
            <w:vAlign w:val="center"/>
          </w:tcPr>
          <w:p w14:paraId="2E48D01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Telemedicine Impact on Hemophilia Treatment Management</w:t>
            </w:r>
          </w:p>
        </w:tc>
        <w:tc>
          <w:tcPr>
            <w:tcW w:w="568" w:type="dxa"/>
            <w:shd w:val="clear" w:color="auto" w:fill="auto"/>
            <w:vAlign w:val="center"/>
          </w:tcPr>
          <w:p w14:paraId="3A63225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8397A36" w14:textId="77777777" w:rsidTr="004C3C90">
        <w:trPr>
          <w:trHeight w:val="20"/>
        </w:trPr>
        <w:tc>
          <w:tcPr>
            <w:tcW w:w="550" w:type="dxa"/>
            <w:shd w:val="clear" w:color="auto" w:fill="auto"/>
            <w:vAlign w:val="center"/>
          </w:tcPr>
          <w:p w14:paraId="60F9894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184</w:t>
            </w:r>
          </w:p>
        </w:tc>
        <w:tc>
          <w:tcPr>
            <w:tcW w:w="1071" w:type="dxa"/>
            <w:shd w:val="clear" w:color="auto" w:fill="auto"/>
            <w:vAlign w:val="center"/>
          </w:tcPr>
          <w:p w14:paraId="6014A1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28CCE6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Walker R, Jinnah H, Violante MR, Gonzalez C, Gatto E</w:t>
            </w:r>
          </w:p>
        </w:tc>
        <w:tc>
          <w:tcPr>
            <w:tcW w:w="7010" w:type="dxa"/>
            <w:shd w:val="clear" w:color="auto" w:fill="auto"/>
            <w:vAlign w:val="center"/>
          </w:tcPr>
          <w:p w14:paraId="3ED75F5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MDS rare movement disorders study group global genetic testing survey: Exploring the unmet needs</w:t>
            </w:r>
          </w:p>
        </w:tc>
        <w:tc>
          <w:tcPr>
            <w:tcW w:w="568" w:type="dxa"/>
            <w:shd w:val="clear" w:color="auto" w:fill="auto"/>
            <w:vAlign w:val="center"/>
          </w:tcPr>
          <w:p w14:paraId="6770AA1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5F9E241" w14:textId="77777777" w:rsidTr="004C3C90">
        <w:trPr>
          <w:trHeight w:val="20"/>
        </w:trPr>
        <w:tc>
          <w:tcPr>
            <w:tcW w:w="550" w:type="dxa"/>
            <w:shd w:val="clear" w:color="auto" w:fill="auto"/>
            <w:vAlign w:val="center"/>
          </w:tcPr>
          <w:p w14:paraId="0012454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185</w:t>
            </w:r>
          </w:p>
        </w:tc>
        <w:tc>
          <w:tcPr>
            <w:tcW w:w="1071" w:type="dxa"/>
            <w:shd w:val="clear" w:color="auto" w:fill="auto"/>
            <w:vAlign w:val="center"/>
          </w:tcPr>
          <w:p w14:paraId="57F7AE1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3DDD21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Vollstedt EJ, Kasten M, Klein C</w:t>
            </w:r>
          </w:p>
        </w:tc>
        <w:tc>
          <w:tcPr>
            <w:tcW w:w="7010" w:type="dxa"/>
            <w:shd w:val="clear" w:color="auto" w:fill="auto"/>
            <w:vAlign w:val="center"/>
          </w:tcPr>
          <w:p w14:paraId="7FD2876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Identifying genetic Parkinson's disease patients worldwide: Exploiting novel ways of team science</w:t>
            </w:r>
          </w:p>
        </w:tc>
        <w:tc>
          <w:tcPr>
            <w:tcW w:w="568" w:type="dxa"/>
            <w:shd w:val="clear" w:color="auto" w:fill="auto"/>
            <w:vAlign w:val="center"/>
          </w:tcPr>
          <w:p w14:paraId="4AA0CD8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4028B13C" w14:textId="77777777" w:rsidTr="004C3C90">
        <w:trPr>
          <w:trHeight w:val="20"/>
        </w:trPr>
        <w:tc>
          <w:tcPr>
            <w:tcW w:w="550" w:type="dxa"/>
            <w:shd w:val="clear" w:color="auto" w:fill="auto"/>
            <w:vAlign w:val="center"/>
          </w:tcPr>
          <w:p w14:paraId="2E69972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186</w:t>
            </w:r>
          </w:p>
        </w:tc>
        <w:tc>
          <w:tcPr>
            <w:tcW w:w="1071" w:type="dxa"/>
            <w:shd w:val="clear" w:color="auto" w:fill="auto"/>
            <w:vAlign w:val="center"/>
          </w:tcPr>
          <w:p w14:paraId="23D88E3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5D4555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Visser J, Perry L, Mitchell A,  Bomken S, English M, Glaser A, et al.  </w:t>
            </w:r>
          </w:p>
        </w:tc>
        <w:tc>
          <w:tcPr>
            <w:tcW w:w="7010" w:type="dxa"/>
            <w:shd w:val="clear" w:color="auto" w:fill="auto"/>
            <w:vAlign w:val="center"/>
          </w:tcPr>
          <w:p w14:paraId="7DDA5BB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rare complication of a rare disease: Challenges in studying langerhans cell histiocytosis neurodegeneration in Uk and Ireland</w:t>
            </w:r>
          </w:p>
        </w:tc>
        <w:tc>
          <w:tcPr>
            <w:tcW w:w="568" w:type="dxa"/>
            <w:shd w:val="clear" w:color="auto" w:fill="auto"/>
            <w:vAlign w:val="center"/>
          </w:tcPr>
          <w:p w14:paraId="3CFC8FE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3BFFE709" w14:textId="77777777" w:rsidTr="004C3C90">
        <w:trPr>
          <w:trHeight w:val="20"/>
        </w:trPr>
        <w:tc>
          <w:tcPr>
            <w:tcW w:w="550" w:type="dxa"/>
            <w:shd w:val="clear" w:color="auto" w:fill="auto"/>
            <w:vAlign w:val="center"/>
          </w:tcPr>
          <w:p w14:paraId="7424265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187</w:t>
            </w:r>
          </w:p>
        </w:tc>
        <w:tc>
          <w:tcPr>
            <w:tcW w:w="1071" w:type="dxa"/>
            <w:shd w:val="clear" w:color="auto" w:fill="auto"/>
            <w:vAlign w:val="center"/>
          </w:tcPr>
          <w:p w14:paraId="29E06FE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2322B6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Villa S, Peyvandi F, De Cristofaro R, Di Minno G, Pippo L, Finardi A,  et al. </w:t>
            </w:r>
          </w:p>
        </w:tc>
        <w:tc>
          <w:tcPr>
            <w:tcW w:w="7010" w:type="dxa"/>
            <w:shd w:val="clear" w:color="auto" w:fill="auto"/>
            <w:vAlign w:val="center"/>
          </w:tcPr>
          <w:p w14:paraId="79B85F5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PRO95 FROM DRUG ACCESS TO VALUE BASED HEALTHCARE: INTEGRATED CARE PATHWAYS FOR HEMOPHILIA IN ITALY</w:t>
            </w:r>
          </w:p>
        </w:tc>
        <w:tc>
          <w:tcPr>
            <w:tcW w:w="568" w:type="dxa"/>
            <w:shd w:val="clear" w:color="auto" w:fill="auto"/>
            <w:vAlign w:val="center"/>
          </w:tcPr>
          <w:p w14:paraId="312D902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750A2D7" w14:textId="77777777" w:rsidTr="004C3C90">
        <w:trPr>
          <w:trHeight w:val="20"/>
        </w:trPr>
        <w:tc>
          <w:tcPr>
            <w:tcW w:w="550" w:type="dxa"/>
            <w:shd w:val="clear" w:color="auto" w:fill="auto"/>
            <w:vAlign w:val="center"/>
          </w:tcPr>
          <w:p w14:paraId="634F06F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188</w:t>
            </w:r>
          </w:p>
        </w:tc>
        <w:tc>
          <w:tcPr>
            <w:tcW w:w="1071" w:type="dxa"/>
            <w:shd w:val="clear" w:color="auto" w:fill="auto"/>
            <w:vAlign w:val="center"/>
          </w:tcPr>
          <w:p w14:paraId="69CAB1C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0140CA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Tsang VW, El-Sayegh L, Thompson C</w:t>
            </w:r>
          </w:p>
        </w:tc>
        <w:tc>
          <w:tcPr>
            <w:tcW w:w="7010" w:type="dxa"/>
            <w:shd w:val="clear" w:color="auto" w:fill="auto"/>
            <w:vAlign w:val="center"/>
          </w:tcPr>
          <w:p w14:paraId="3C35E37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Perceptions of transition from pediatric to adult care for youth with chronic and rare diseases: A participatory health research project</w:t>
            </w:r>
          </w:p>
        </w:tc>
        <w:tc>
          <w:tcPr>
            <w:tcW w:w="568" w:type="dxa"/>
            <w:shd w:val="clear" w:color="auto" w:fill="auto"/>
            <w:vAlign w:val="center"/>
          </w:tcPr>
          <w:p w14:paraId="7A65328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FB25D59" w14:textId="77777777" w:rsidTr="004C3C90">
        <w:trPr>
          <w:trHeight w:val="20"/>
        </w:trPr>
        <w:tc>
          <w:tcPr>
            <w:tcW w:w="550" w:type="dxa"/>
            <w:shd w:val="clear" w:color="auto" w:fill="auto"/>
            <w:vAlign w:val="center"/>
          </w:tcPr>
          <w:p w14:paraId="0B83C95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189</w:t>
            </w:r>
          </w:p>
        </w:tc>
        <w:tc>
          <w:tcPr>
            <w:tcW w:w="1071" w:type="dxa"/>
            <w:shd w:val="clear" w:color="auto" w:fill="auto"/>
            <w:vAlign w:val="center"/>
          </w:tcPr>
          <w:p w14:paraId="59CF705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6155E6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Tomazos I, Sierra R, Cheung A, Brodsky R, Weitz I, Johnston K</w:t>
            </w:r>
          </w:p>
        </w:tc>
        <w:tc>
          <w:tcPr>
            <w:tcW w:w="7010" w:type="dxa"/>
            <w:shd w:val="clear" w:color="auto" w:fill="auto"/>
            <w:vAlign w:val="center"/>
          </w:tcPr>
          <w:p w14:paraId="7CD329A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PSY12 COST BURDEN OF BREAKTHROUGH HEMOLYSIS IN PATIENTS WITH PAROXYSMAL NOCTURNAL HEMOGLOBINURIA ON ECULIZUMAB TREATMENT</w:t>
            </w:r>
          </w:p>
        </w:tc>
        <w:tc>
          <w:tcPr>
            <w:tcW w:w="568" w:type="dxa"/>
            <w:shd w:val="clear" w:color="auto" w:fill="auto"/>
            <w:vAlign w:val="center"/>
          </w:tcPr>
          <w:p w14:paraId="4BF1A0C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2CC42E8" w14:textId="77777777" w:rsidTr="004C3C90">
        <w:trPr>
          <w:trHeight w:val="20"/>
        </w:trPr>
        <w:tc>
          <w:tcPr>
            <w:tcW w:w="550" w:type="dxa"/>
            <w:shd w:val="clear" w:color="auto" w:fill="auto"/>
            <w:vAlign w:val="center"/>
          </w:tcPr>
          <w:p w14:paraId="48B3CB6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190</w:t>
            </w:r>
          </w:p>
        </w:tc>
        <w:tc>
          <w:tcPr>
            <w:tcW w:w="1071" w:type="dxa"/>
            <w:shd w:val="clear" w:color="auto" w:fill="auto"/>
            <w:vAlign w:val="center"/>
          </w:tcPr>
          <w:p w14:paraId="348E8DA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BDDF13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Stouraca P, Bednarova J</w:t>
            </w:r>
          </w:p>
        </w:tc>
        <w:tc>
          <w:tcPr>
            <w:tcW w:w="7010" w:type="dxa"/>
            <w:shd w:val="clear" w:color="auto" w:fill="auto"/>
            <w:vAlign w:val="center"/>
          </w:tcPr>
          <w:p w14:paraId="6C7C0D9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survey of autoimmune paraneoplastic neurological syndromes in the Southern Moravia region of the Czech Republic during 2005-2018 period</w:t>
            </w:r>
          </w:p>
        </w:tc>
        <w:tc>
          <w:tcPr>
            <w:tcW w:w="568" w:type="dxa"/>
            <w:shd w:val="clear" w:color="auto" w:fill="auto"/>
            <w:vAlign w:val="center"/>
          </w:tcPr>
          <w:p w14:paraId="6E21692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995C8C5" w14:textId="77777777" w:rsidTr="004C3C90">
        <w:trPr>
          <w:trHeight w:val="20"/>
        </w:trPr>
        <w:tc>
          <w:tcPr>
            <w:tcW w:w="550" w:type="dxa"/>
            <w:shd w:val="clear" w:color="auto" w:fill="auto"/>
            <w:vAlign w:val="center"/>
          </w:tcPr>
          <w:p w14:paraId="412F7F3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191</w:t>
            </w:r>
          </w:p>
        </w:tc>
        <w:tc>
          <w:tcPr>
            <w:tcW w:w="1071" w:type="dxa"/>
            <w:shd w:val="clear" w:color="auto" w:fill="auto"/>
            <w:vAlign w:val="center"/>
          </w:tcPr>
          <w:p w14:paraId="563159D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E518C8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Marchi E, Tobinai K, Maruyama D, Nagai H, O’Connor OA</w:t>
            </w:r>
          </w:p>
        </w:tc>
        <w:tc>
          <w:tcPr>
            <w:tcW w:w="7010" w:type="dxa"/>
            <w:shd w:val="clear" w:color="auto" w:fill="auto"/>
            <w:vAlign w:val="center"/>
          </w:tcPr>
          <w:p w14:paraId="598868E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Analysis of Published Treatment Options for Relapsed or Refractory (R/R) Peripheral T-Cell Lymphoma (Ptcl): An Evidence Based Decision Making Approach</w:t>
            </w:r>
          </w:p>
        </w:tc>
        <w:tc>
          <w:tcPr>
            <w:tcW w:w="568" w:type="dxa"/>
            <w:shd w:val="clear" w:color="auto" w:fill="auto"/>
            <w:vAlign w:val="center"/>
          </w:tcPr>
          <w:p w14:paraId="612CAA8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2A59B780" w14:textId="77777777" w:rsidTr="004C3C90">
        <w:trPr>
          <w:trHeight w:val="20"/>
        </w:trPr>
        <w:tc>
          <w:tcPr>
            <w:tcW w:w="550" w:type="dxa"/>
            <w:shd w:val="clear" w:color="auto" w:fill="auto"/>
            <w:vAlign w:val="center"/>
          </w:tcPr>
          <w:p w14:paraId="5243DFF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192</w:t>
            </w:r>
          </w:p>
        </w:tc>
        <w:tc>
          <w:tcPr>
            <w:tcW w:w="1071" w:type="dxa"/>
            <w:shd w:val="clear" w:color="auto" w:fill="auto"/>
            <w:vAlign w:val="center"/>
          </w:tcPr>
          <w:p w14:paraId="10F4F67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0A0930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Rahman A, Choe M, Giza C, McArthur D, Wilson RB</w:t>
            </w:r>
          </w:p>
        </w:tc>
        <w:tc>
          <w:tcPr>
            <w:tcW w:w="7010" w:type="dxa"/>
            <w:shd w:val="clear" w:color="auto" w:fill="auto"/>
            <w:vAlign w:val="center"/>
          </w:tcPr>
          <w:p w14:paraId="4B35D5F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Assessing Effectiveness of an Educational Intervention on Gaps in Child Neurology Knowledge for Pediatric Residents</w:t>
            </w:r>
          </w:p>
        </w:tc>
        <w:tc>
          <w:tcPr>
            <w:tcW w:w="568" w:type="dxa"/>
            <w:shd w:val="clear" w:color="auto" w:fill="auto"/>
            <w:vAlign w:val="center"/>
          </w:tcPr>
          <w:p w14:paraId="6B5EAE8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7675887F" w14:textId="77777777" w:rsidTr="004C3C90">
        <w:trPr>
          <w:trHeight w:val="20"/>
        </w:trPr>
        <w:tc>
          <w:tcPr>
            <w:tcW w:w="550" w:type="dxa"/>
            <w:shd w:val="clear" w:color="auto" w:fill="auto"/>
            <w:vAlign w:val="center"/>
          </w:tcPr>
          <w:p w14:paraId="4EE1702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193</w:t>
            </w:r>
          </w:p>
        </w:tc>
        <w:tc>
          <w:tcPr>
            <w:tcW w:w="1071" w:type="dxa"/>
            <w:shd w:val="clear" w:color="auto" w:fill="auto"/>
            <w:vAlign w:val="center"/>
          </w:tcPr>
          <w:p w14:paraId="3998936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D5B032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Kusunoki S, Yoshikawa K, Morikawa M, Kuwahara, M</w:t>
            </w:r>
          </w:p>
        </w:tc>
        <w:tc>
          <w:tcPr>
            <w:tcW w:w="7010" w:type="dxa"/>
            <w:shd w:val="clear" w:color="auto" w:fill="auto"/>
            <w:vAlign w:val="center"/>
          </w:tcPr>
          <w:p w14:paraId="1795906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Features of Bickerstaff Brainstem Encephalitis with or without Igg Antibodies against Gq1b and Glycolipid Complexes Containing Gq1b</w:t>
            </w:r>
          </w:p>
        </w:tc>
        <w:tc>
          <w:tcPr>
            <w:tcW w:w="568" w:type="dxa"/>
            <w:shd w:val="clear" w:color="auto" w:fill="auto"/>
            <w:vAlign w:val="center"/>
          </w:tcPr>
          <w:p w14:paraId="5FD12B4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302A5A13" w14:textId="77777777" w:rsidTr="004C3C90">
        <w:trPr>
          <w:trHeight w:val="20"/>
        </w:trPr>
        <w:tc>
          <w:tcPr>
            <w:tcW w:w="550" w:type="dxa"/>
            <w:shd w:val="clear" w:color="auto" w:fill="auto"/>
            <w:vAlign w:val="center"/>
          </w:tcPr>
          <w:p w14:paraId="1602643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194</w:t>
            </w:r>
          </w:p>
        </w:tc>
        <w:tc>
          <w:tcPr>
            <w:tcW w:w="1071" w:type="dxa"/>
            <w:shd w:val="clear" w:color="auto" w:fill="auto"/>
            <w:vAlign w:val="center"/>
          </w:tcPr>
          <w:p w14:paraId="74CAE04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60BD9C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Kayikcioglu M, Kuman-Tunçel O, Pirildar S, Yilmaz M, Kaynar L, Aktan M, et al.</w:t>
            </w:r>
          </w:p>
        </w:tc>
        <w:tc>
          <w:tcPr>
            <w:tcW w:w="7010" w:type="dxa"/>
            <w:shd w:val="clear" w:color="auto" w:fill="auto"/>
            <w:vAlign w:val="center"/>
          </w:tcPr>
          <w:p w14:paraId="2FAE0E5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Management, Psychosocial Characteristics, and Quality of Life in Patients with Homozygous Familial Hypercholesterolemia Undergoing Ldl-Apheresis in Turkey: Results of a Nationwide Survey (a-Hit1 Registry)</w:t>
            </w:r>
          </w:p>
        </w:tc>
        <w:tc>
          <w:tcPr>
            <w:tcW w:w="568" w:type="dxa"/>
            <w:shd w:val="clear" w:color="auto" w:fill="auto"/>
            <w:vAlign w:val="center"/>
          </w:tcPr>
          <w:p w14:paraId="43690D2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3B2E4C51" w14:textId="77777777" w:rsidTr="004C3C90">
        <w:trPr>
          <w:trHeight w:val="20"/>
        </w:trPr>
        <w:tc>
          <w:tcPr>
            <w:tcW w:w="550" w:type="dxa"/>
            <w:shd w:val="clear" w:color="auto" w:fill="auto"/>
            <w:vAlign w:val="center"/>
          </w:tcPr>
          <w:p w14:paraId="63CE5AA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195</w:t>
            </w:r>
          </w:p>
        </w:tc>
        <w:tc>
          <w:tcPr>
            <w:tcW w:w="1071" w:type="dxa"/>
            <w:shd w:val="clear" w:color="auto" w:fill="auto"/>
            <w:vAlign w:val="center"/>
          </w:tcPr>
          <w:p w14:paraId="7E77902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BE214D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Matsumura T, Komakib H</w:t>
            </w:r>
          </w:p>
        </w:tc>
        <w:tc>
          <w:tcPr>
            <w:tcW w:w="7010" w:type="dxa"/>
            <w:shd w:val="clear" w:color="auto" w:fill="auto"/>
            <w:vAlign w:val="center"/>
          </w:tcPr>
          <w:p w14:paraId="3B45581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Effects of a Practical Guideline on Medical Management of Patients with Duchenne Muscular Dystrophy</w:t>
            </w:r>
          </w:p>
        </w:tc>
        <w:tc>
          <w:tcPr>
            <w:tcW w:w="568" w:type="dxa"/>
            <w:shd w:val="clear" w:color="auto" w:fill="auto"/>
            <w:vAlign w:val="center"/>
          </w:tcPr>
          <w:p w14:paraId="6E512CB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6287361" w14:textId="77777777" w:rsidTr="004C3C90">
        <w:trPr>
          <w:trHeight w:val="20"/>
        </w:trPr>
        <w:tc>
          <w:tcPr>
            <w:tcW w:w="550" w:type="dxa"/>
            <w:shd w:val="clear" w:color="auto" w:fill="auto"/>
            <w:vAlign w:val="center"/>
          </w:tcPr>
          <w:p w14:paraId="7A328A6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196</w:t>
            </w:r>
          </w:p>
        </w:tc>
        <w:tc>
          <w:tcPr>
            <w:tcW w:w="1071" w:type="dxa"/>
            <w:shd w:val="clear" w:color="auto" w:fill="auto"/>
            <w:vAlign w:val="center"/>
          </w:tcPr>
          <w:p w14:paraId="7FF570F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5FC30E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Parracciani M, Tona C, Gamba P, Dall’Oglio L, Conforti A, Cheli S</w:t>
            </w:r>
          </w:p>
        </w:tc>
        <w:tc>
          <w:tcPr>
            <w:tcW w:w="7010" w:type="dxa"/>
            <w:shd w:val="clear" w:color="auto" w:fill="auto"/>
            <w:vAlign w:val="center"/>
          </w:tcPr>
          <w:p w14:paraId="36ED51D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Esophageal Atresia and Long-Term Quality of Life in Italian Population: A Pilot Study</w:t>
            </w:r>
          </w:p>
        </w:tc>
        <w:tc>
          <w:tcPr>
            <w:tcW w:w="568" w:type="dxa"/>
            <w:shd w:val="clear" w:color="auto" w:fill="auto"/>
            <w:vAlign w:val="center"/>
          </w:tcPr>
          <w:p w14:paraId="496A180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B6CFAD0" w14:textId="77777777" w:rsidTr="004C3C90">
        <w:trPr>
          <w:trHeight w:val="20"/>
        </w:trPr>
        <w:tc>
          <w:tcPr>
            <w:tcW w:w="550" w:type="dxa"/>
            <w:shd w:val="clear" w:color="auto" w:fill="auto"/>
            <w:vAlign w:val="center"/>
          </w:tcPr>
          <w:p w14:paraId="58DEF18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197</w:t>
            </w:r>
          </w:p>
        </w:tc>
        <w:tc>
          <w:tcPr>
            <w:tcW w:w="1071" w:type="dxa"/>
            <w:shd w:val="clear" w:color="auto" w:fill="auto"/>
            <w:vAlign w:val="center"/>
          </w:tcPr>
          <w:p w14:paraId="7BE3D49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E5F0F2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Jesenk M, Kapustova L, Hrubiskova K, Dallos T, Banovcin P</w:t>
            </w:r>
          </w:p>
        </w:tc>
        <w:tc>
          <w:tcPr>
            <w:tcW w:w="7010" w:type="dxa"/>
            <w:shd w:val="clear" w:color="auto" w:fill="auto"/>
            <w:vAlign w:val="center"/>
          </w:tcPr>
          <w:p w14:paraId="4FD4250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Familial Mediterranean Fever in Slovakia-Clinical and Genetic Characteristics of Slovak Cohort</w:t>
            </w:r>
          </w:p>
        </w:tc>
        <w:tc>
          <w:tcPr>
            <w:tcW w:w="568" w:type="dxa"/>
            <w:shd w:val="clear" w:color="auto" w:fill="auto"/>
            <w:vAlign w:val="center"/>
          </w:tcPr>
          <w:p w14:paraId="189E494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37BE741D" w14:textId="77777777" w:rsidTr="004C3C90">
        <w:trPr>
          <w:trHeight w:val="20"/>
        </w:trPr>
        <w:tc>
          <w:tcPr>
            <w:tcW w:w="550" w:type="dxa"/>
            <w:shd w:val="clear" w:color="auto" w:fill="auto"/>
            <w:vAlign w:val="center"/>
          </w:tcPr>
          <w:p w14:paraId="6EDEB9E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198</w:t>
            </w:r>
          </w:p>
        </w:tc>
        <w:tc>
          <w:tcPr>
            <w:tcW w:w="1071" w:type="dxa"/>
            <w:shd w:val="clear" w:color="auto" w:fill="auto"/>
            <w:vAlign w:val="center"/>
          </w:tcPr>
          <w:p w14:paraId="718DCF0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84CBED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Nuzzi A, Naor S, Inbar N, Gurevich T, Manor Y</w:t>
            </w:r>
          </w:p>
        </w:tc>
        <w:tc>
          <w:tcPr>
            <w:tcW w:w="7010" w:type="dxa"/>
            <w:shd w:val="clear" w:color="auto" w:fill="auto"/>
            <w:vAlign w:val="center"/>
          </w:tcPr>
          <w:p w14:paraId="634178C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Global Survey on Speech Language Therapists' Awareness to Huntington's Disease</w:t>
            </w:r>
          </w:p>
        </w:tc>
        <w:tc>
          <w:tcPr>
            <w:tcW w:w="568" w:type="dxa"/>
            <w:shd w:val="clear" w:color="auto" w:fill="auto"/>
            <w:vAlign w:val="center"/>
          </w:tcPr>
          <w:p w14:paraId="61C4034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D2F6909" w14:textId="77777777" w:rsidTr="004C3C90">
        <w:trPr>
          <w:trHeight w:val="20"/>
        </w:trPr>
        <w:tc>
          <w:tcPr>
            <w:tcW w:w="550" w:type="dxa"/>
            <w:shd w:val="clear" w:color="auto" w:fill="auto"/>
            <w:vAlign w:val="center"/>
          </w:tcPr>
          <w:p w14:paraId="207954A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199</w:t>
            </w:r>
          </w:p>
        </w:tc>
        <w:tc>
          <w:tcPr>
            <w:tcW w:w="1071" w:type="dxa"/>
            <w:shd w:val="clear" w:color="auto" w:fill="auto"/>
            <w:vAlign w:val="center"/>
          </w:tcPr>
          <w:p w14:paraId="69B1558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32ABAC3" w14:textId="77777777" w:rsidR="004C3C90" w:rsidRPr="004C3C90" w:rsidRDefault="004C3C90" w:rsidP="004C3C90">
            <w:pPr>
              <w:pBdr>
                <w:top w:val="none" w:sz="0" w:space="7" w:color="000000"/>
                <w:left w:val="none" w:sz="0" w:space="0" w:color="000000"/>
                <w:bottom w:val="none" w:sz="0" w:space="3" w:color="000000"/>
                <w:right w:val="none" w:sz="0" w:space="0" w:color="000000"/>
              </w:pBdr>
              <w:shd w:val="clear" w:color="auto" w:fill="FFFFFF"/>
              <w:spacing w:line="240" w:lineRule="auto"/>
              <w:rPr>
                <w:rFonts w:ascii="Times New Roman" w:eastAsia="Times New Roman" w:hAnsi="Times New Roman" w:cs="Times New Roman"/>
                <w:sz w:val="20"/>
                <w:szCs w:val="20"/>
              </w:rPr>
            </w:pPr>
            <w:bookmarkStart w:id="2" w:name="_heading=h.l3uiidyucp9j" w:colFirst="0" w:colLast="0"/>
            <w:bookmarkEnd w:id="2"/>
            <w:r w:rsidRPr="004C3C90">
              <w:rPr>
                <w:rFonts w:ascii="Times New Roman" w:eastAsia="Times New Roman" w:hAnsi="Times New Roman" w:cs="Times New Roman"/>
                <w:sz w:val="20"/>
                <w:szCs w:val="20"/>
                <w:highlight w:val="white"/>
              </w:rPr>
              <w:t>Jensen E. Abonia J. Aceves S</w:t>
            </w:r>
          </w:p>
        </w:tc>
        <w:tc>
          <w:tcPr>
            <w:tcW w:w="7010" w:type="dxa"/>
            <w:shd w:val="clear" w:color="auto" w:fill="auto"/>
            <w:vAlign w:val="center"/>
          </w:tcPr>
          <w:p w14:paraId="294BB6D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High Patient-Reported Disease Burden for Eosinophilic Gastrointestinal Disorders</w:t>
            </w:r>
          </w:p>
        </w:tc>
        <w:tc>
          <w:tcPr>
            <w:tcW w:w="568" w:type="dxa"/>
            <w:shd w:val="clear" w:color="auto" w:fill="auto"/>
            <w:vAlign w:val="center"/>
          </w:tcPr>
          <w:p w14:paraId="58B1199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3DF60EE" w14:textId="77777777" w:rsidTr="004C3C90">
        <w:trPr>
          <w:trHeight w:val="20"/>
        </w:trPr>
        <w:tc>
          <w:tcPr>
            <w:tcW w:w="550" w:type="dxa"/>
            <w:shd w:val="clear" w:color="auto" w:fill="auto"/>
            <w:vAlign w:val="center"/>
          </w:tcPr>
          <w:p w14:paraId="3EDD341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200</w:t>
            </w:r>
          </w:p>
        </w:tc>
        <w:tc>
          <w:tcPr>
            <w:tcW w:w="1071" w:type="dxa"/>
            <w:shd w:val="clear" w:color="auto" w:fill="auto"/>
            <w:vAlign w:val="center"/>
          </w:tcPr>
          <w:p w14:paraId="47235A0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242717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Hamed N, Alimohammad M, Yasin KM, Saman N, Malek-hosseini, Ali S</w:t>
            </w:r>
          </w:p>
        </w:tc>
        <w:tc>
          <w:tcPr>
            <w:tcW w:w="7010" w:type="dxa"/>
            <w:shd w:val="clear" w:color="auto" w:fill="auto"/>
            <w:vAlign w:val="center"/>
          </w:tcPr>
          <w:p w14:paraId="3A07229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Intestinal Failure Management in the Middle-Income Countries without Home Parenteral Nutrition</w:t>
            </w:r>
          </w:p>
        </w:tc>
        <w:tc>
          <w:tcPr>
            <w:tcW w:w="568" w:type="dxa"/>
            <w:shd w:val="clear" w:color="auto" w:fill="auto"/>
            <w:vAlign w:val="center"/>
          </w:tcPr>
          <w:p w14:paraId="3EC7D91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FFCE9BD" w14:textId="77777777" w:rsidTr="004C3C90">
        <w:trPr>
          <w:trHeight w:val="20"/>
        </w:trPr>
        <w:tc>
          <w:tcPr>
            <w:tcW w:w="550" w:type="dxa"/>
            <w:shd w:val="clear" w:color="auto" w:fill="auto"/>
            <w:vAlign w:val="center"/>
          </w:tcPr>
          <w:p w14:paraId="7B9658A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201</w:t>
            </w:r>
          </w:p>
        </w:tc>
        <w:tc>
          <w:tcPr>
            <w:tcW w:w="1071" w:type="dxa"/>
            <w:shd w:val="clear" w:color="auto" w:fill="auto"/>
            <w:vAlign w:val="center"/>
          </w:tcPr>
          <w:p w14:paraId="51D523B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8C7095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Kruse A, Kruse C, Potthast N, Milligan K, Bussel JB</w:t>
            </w:r>
          </w:p>
        </w:tc>
        <w:tc>
          <w:tcPr>
            <w:tcW w:w="7010" w:type="dxa"/>
            <w:shd w:val="clear" w:color="auto" w:fill="auto"/>
            <w:vAlign w:val="center"/>
          </w:tcPr>
          <w:p w14:paraId="06BEA98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Mental Health and Treatment in Patients with Immune Thrombocytopenia (Itp); Data from the Platelet Disorder Support Association (Pdsa) Patient Registry</w:t>
            </w:r>
          </w:p>
        </w:tc>
        <w:tc>
          <w:tcPr>
            <w:tcW w:w="568" w:type="dxa"/>
            <w:shd w:val="clear" w:color="auto" w:fill="auto"/>
            <w:vAlign w:val="center"/>
          </w:tcPr>
          <w:p w14:paraId="5B7B306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AC263A1" w14:textId="77777777" w:rsidTr="004C3C90">
        <w:trPr>
          <w:trHeight w:val="20"/>
        </w:trPr>
        <w:tc>
          <w:tcPr>
            <w:tcW w:w="550" w:type="dxa"/>
            <w:shd w:val="clear" w:color="auto" w:fill="auto"/>
            <w:vAlign w:val="center"/>
          </w:tcPr>
          <w:p w14:paraId="449FB6F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202</w:t>
            </w:r>
          </w:p>
        </w:tc>
        <w:tc>
          <w:tcPr>
            <w:tcW w:w="1071" w:type="dxa"/>
            <w:shd w:val="clear" w:color="auto" w:fill="auto"/>
            <w:vAlign w:val="center"/>
          </w:tcPr>
          <w:p w14:paraId="3E3B5AF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61D1D1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Lazzarotto D, Candoni A, Melillo L, et al.</w:t>
            </w:r>
          </w:p>
        </w:tc>
        <w:tc>
          <w:tcPr>
            <w:tcW w:w="7010" w:type="dxa"/>
            <w:shd w:val="clear" w:color="auto" w:fill="auto"/>
            <w:vAlign w:val="center"/>
          </w:tcPr>
          <w:p w14:paraId="25F16B5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Multicenter Survey on Management and Outcome of Rare and Unpredictable Orphan Diseases: Adult Onset Histiocytoses</w:t>
            </w:r>
          </w:p>
        </w:tc>
        <w:tc>
          <w:tcPr>
            <w:tcW w:w="568" w:type="dxa"/>
            <w:shd w:val="clear" w:color="auto" w:fill="auto"/>
            <w:vAlign w:val="center"/>
          </w:tcPr>
          <w:p w14:paraId="39AF079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AA5A88B" w14:textId="77777777" w:rsidTr="004C3C90">
        <w:trPr>
          <w:trHeight w:val="20"/>
        </w:trPr>
        <w:tc>
          <w:tcPr>
            <w:tcW w:w="550" w:type="dxa"/>
            <w:shd w:val="clear" w:color="auto" w:fill="auto"/>
            <w:vAlign w:val="center"/>
          </w:tcPr>
          <w:p w14:paraId="5E74C71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203</w:t>
            </w:r>
          </w:p>
        </w:tc>
        <w:tc>
          <w:tcPr>
            <w:tcW w:w="1071" w:type="dxa"/>
            <w:shd w:val="clear" w:color="auto" w:fill="auto"/>
            <w:vAlign w:val="center"/>
          </w:tcPr>
          <w:p w14:paraId="4105BE2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45BC17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Jimenez-Moreno AC, Gorman G</w:t>
            </w:r>
          </w:p>
        </w:tc>
        <w:tc>
          <w:tcPr>
            <w:tcW w:w="7010" w:type="dxa"/>
            <w:shd w:val="clear" w:color="auto" w:fill="auto"/>
            <w:vAlign w:val="center"/>
          </w:tcPr>
          <w:p w14:paraId="1F1ADFE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Neuromuscular Disorders and Prefer Project: Understanding Patient Preferences and Their Importance in the Drug Development Process</w:t>
            </w:r>
          </w:p>
        </w:tc>
        <w:tc>
          <w:tcPr>
            <w:tcW w:w="568" w:type="dxa"/>
            <w:shd w:val="clear" w:color="auto" w:fill="auto"/>
            <w:vAlign w:val="center"/>
          </w:tcPr>
          <w:p w14:paraId="650BA42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FBFF372" w14:textId="77777777" w:rsidTr="004C3C90">
        <w:trPr>
          <w:trHeight w:val="20"/>
        </w:trPr>
        <w:tc>
          <w:tcPr>
            <w:tcW w:w="550" w:type="dxa"/>
            <w:shd w:val="clear" w:color="auto" w:fill="auto"/>
            <w:vAlign w:val="center"/>
          </w:tcPr>
          <w:p w14:paraId="103F825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204</w:t>
            </w:r>
          </w:p>
        </w:tc>
        <w:tc>
          <w:tcPr>
            <w:tcW w:w="1071" w:type="dxa"/>
            <w:shd w:val="clear" w:color="auto" w:fill="auto"/>
            <w:vAlign w:val="center"/>
          </w:tcPr>
          <w:p w14:paraId="6F77ECA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6BF244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Marchi E, Tobinai K, Maruyama D, Nagai H, O’Connor OA</w:t>
            </w:r>
          </w:p>
        </w:tc>
        <w:tc>
          <w:tcPr>
            <w:tcW w:w="7010" w:type="dxa"/>
            <w:shd w:val="clear" w:color="auto" w:fill="auto"/>
            <w:vAlign w:val="center"/>
          </w:tcPr>
          <w:p w14:paraId="4DDF8EA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An Objective Based Model of Published Treatment Options for Relapsed or Refractory (R/R) Peripheral T-Cell Lymphoma (Ptcl): An Evidence-Based Decisionmaking Approach </w:t>
            </w:r>
          </w:p>
        </w:tc>
        <w:tc>
          <w:tcPr>
            <w:tcW w:w="568" w:type="dxa"/>
            <w:shd w:val="clear" w:color="auto" w:fill="auto"/>
            <w:vAlign w:val="center"/>
          </w:tcPr>
          <w:p w14:paraId="146FCAB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7B570356" w14:textId="77777777" w:rsidTr="004C3C90">
        <w:trPr>
          <w:trHeight w:val="20"/>
        </w:trPr>
        <w:tc>
          <w:tcPr>
            <w:tcW w:w="550" w:type="dxa"/>
            <w:shd w:val="clear" w:color="auto" w:fill="auto"/>
            <w:vAlign w:val="center"/>
          </w:tcPr>
          <w:p w14:paraId="21EB1BA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205</w:t>
            </w:r>
          </w:p>
        </w:tc>
        <w:tc>
          <w:tcPr>
            <w:tcW w:w="1071" w:type="dxa"/>
            <w:shd w:val="clear" w:color="auto" w:fill="auto"/>
            <w:vAlign w:val="center"/>
          </w:tcPr>
          <w:p w14:paraId="5390BB3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26A4BB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Roberts S</w:t>
            </w:r>
          </w:p>
        </w:tc>
        <w:tc>
          <w:tcPr>
            <w:tcW w:w="7010" w:type="dxa"/>
            <w:shd w:val="clear" w:color="auto" w:fill="auto"/>
            <w:vAlign w:val="center"/>
          </w:tcPr>
          <w:p w14:paraId="72E7DAE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 Advocacy Leadership in Advancing Clinical Recommendations in Ultra-Rare Disease: The Cln1 Batten Disease Experience</w:t>
            </w:r>
          </w:p>
        </w:tc>
        <w:tc>
          <w:tcPr>
            <w:tcW w:w="568" w:type="dxa"/>
            <w:shd w:val="clear" w:color="auto" w:fill="auto"/>
            <w:vAlign w:val="center"/>
          </w:tcPr>
          <w:p w14:paraId="43C518D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46325731" w14:textId="77777777" w:rsidTr="004C3C90">
        <w:trPr>
          <w:trHeight w:val="20"/>
        </w:trPr>
        <w:tc>
          <w:tcPr>
            <w:tcW w:w="550" w:type="dxa"/>
            <w:shd w:val="clear" w:color="auto" w:fill="auto"/>
            <w:vAlign w:val="center"/>
          </w:tcPr>
          <w:p w14:paraId="5427F78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206</w:t>
            </w:r>
          </w:p>
        </w:tc>
        <w:tc>
          <w:tcPr>
            <w:tcW w:w="1071" w:type="dxa"/>
            <w:shd w:val="clear" w:color="auto" w:fill="auto"/>
            <w:vAlign w:val="center"/>
          </w:tcPr>
          <w:p w14:paraId="1C4F9E2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57238A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Petkova V</w:t>
            </w:r>
          </w:p>
        </w:tc>
        <w:tc>
          <w:tcPr>
            <w:tcW w:w="7010" w:type="dxa"/>
            <w:shd w:val="clear" w:color="auto" w:fill="auto"/>
            <w:vAlign w:val="center"/>
          </w:tcPr>
          <w:p w14:paraId="79F3F7E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Pilot Questionnaire-Based Survey About Bulgarian Pharmacists' Opinion for Implementation of Pharmaceutical Care for Patients with Rare Diseases</w:t>
            </w:r>
          </w:p>
        </w:tc>
        <w:tc>
          <w:tcPr>
            <w:tcW w:w="568" w:type="dxa"/>
            <w:shd w:val="clear" w:color="auto" w:fill="auto"/>
            <w:vAlign w:val="center"/>
          </w:tcPr>
          <w:p w14:paraId="1F7AD46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AB43875" w14:textId="77777777" w:rsidTr="004C3C90">
        <w:trPr>
          <w:trHeight w:val="20"/>
        </w:trPr>
        <w:tc>
          <w:tcPr>
            <w:tcW w:w="550" w:type="dxa"/>
            <w:shd w:val="clear" w:color="auto" w:fill="auto"/>
            <w:vAlign w:val="center"/>
          </w:tcPr>
          <w:p w14:paraId="1447D75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207</w:t>
            </w:r>
          </w:p>
        </w:tc>
        <w:tc>
          <w:tcPr>
            <w:tcW w:w="1071" w:type="dxa"/>
            <w:shd w:val="clear" w:color="auto" w:fill="auto"/>
            <w:vAlign w:val="center"/>
          </w:tcPr>
          <w:p w14:paraId="231D8EC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FFA740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Pullen L, Picone M, Tan L, Johnston C, Stark H</w:t>
            </w:r>
          </w:p>
        </w:tc>
        <w:tc>
          <w:tcPr>
            <w:tcW w:w="7010" w:type="dxa"/>
            <w:shd w:val="clear" w:color="auto" w:fill="auto"/>
            <w:vAlign w:val="center"/>
          </w:tcPr>
          <w:p w14:paraId="064127C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Pitolisant Treatment Improves Multiple Clinical Symptoms of Prader-Willi Syndrome (Pws) in Children</w:t>
            </w:r>
          </w:p>
        </w:tc>
        <w:tc>
          <w:tcPr>
            <w:tcW w:w="568" w:type="dxa"/>
            <w:shd w:val="clear" w:color="auto" w:fill="auto"/>
            <w:vAlign w:val="center"/>
          </w:tcPr>
          <w:p w14:paraId="0CA0AA5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470D7F6C" w14:textId="77777777" w:rsidTr="004C3C90">
        <w:trPr>
          <w:trHeight w:val="20"/>
        </w:trPr>
        <w:tc>
          <w:tcPr>
            <w:tcW w:w="550" w:type="dxa"/>
            <w:shd w:val="clear" w:color="auto" w:fill="auto"/>
            <w:vAlign w:val="center"/>
          </w:tcPr>
          <w:p w14:paraId="3EE69A5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208</w:t>
            </w:r>
          </w:p>
        </w:tc>
        <w:tc>
          <w:tcPr>
            <w:tcW w:w="1071" w:type="dxa"/>
            <w:shd w:val="clear" w:color="auto" w:fill="auto"/>
            <w:vAlign w:val="center"/>
          </w:tcPr>
          <w:p w14:paraId="2FBC2AD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0C534A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Jung G, Leinweber ME, Gray D, Derwich W, Grundmann RT, Schmitz-Rixen T</w:t>
            </w:r>
          </w:p>
        </w:tc>
        <w:tc>
          <w:tcPr>
            <w:tcW w:w="7010" w:type="dxa"/>
            <w:shd w:val="clear" w:color="auto" w:fill="auto"/>
            <w:vAlign w:val="center"/>
          </w:tcPr>
          <w:p w14:paraId="0881D8B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Popart—a Registry for Popliteal Artery Aneurysm Repair</w:t>
            </w:r>
          </w:p>
        </w:tc>
        <w:tc>
          <w:tcPr>
            <w:tcW w:w="568" w:type="dxa"/>
            <w:shd w:val="clear" w:color="auto" w:fill="auto"/>
            <w:vAlign w:val="center"/>
          </w:tcPr>
          <w:p w14:paraId="78649DF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55A04AFB" w14:textId="77777777" w:rsidTr="004C3C90">
        <w:trPr>
          <w:trHeight w:val="20"/>
        </w:trPr>
        <w:tc>
          <w:tcPr>
            <w:tcW w:w="550" w:type="dxa"/>
            <w:shd w:val="clear" w:color="auto" w:fill="auto"/>
            <w:vAlign w:val="center"/>
          </w:tcPr>
          <w:p w14:paraId="6BDE38F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209</w:t>
            </w:r>
          </w:p>
        </w:tc>
        <w:tc>
          <w:tcPr>
            <w:tcW w:w="1071" w:type="dxa"/>
            <w:shd w:val="clear" w:color="auto" w:fill="auto"/>
            <w:vAlign w:val="center"/>
          </w:tcPr>
          <w:p w14:paraId="473C105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64B542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Lloyd A, Granerod J, Marshall JD, Domínguez-González C, Schneider-Gold C, Farrugia M</w:t>
            </w:r>
          </w:p>
        </w:tc>
        <w:tc>
          <w:tcPr>
            <w:tcW w:w="7010" w:type="dxa"/>
            <w:shd w:val="clear" w:color="auto" w:fill="auto"/>
            <w:vAlign w:val="center"/>
          </w:tcPr>
          <w:p w14:paraId="72E7929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Pro119 a Novel Mapping Approach for Estimating Utilities in Non-Dystrophic Myotonia</w:t>
            </w:r>
          </w:p>
        </w:tc>
        <w:tc>
          <w:tcPr>
            <w:tcW w:w="568" w:type="dxa"/>
            <w:shd w:val="clear" w:color="auto" w:fill="auto"/>
            <w:vAlign w:val="center"/>
          </w:tcPr>
          <w:p w14:paraId="38EF767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7810B00A" w14:textId="77777777" w:rsidTr="004C3C90">
        <w:trPr>
          <w:trHeight w:val="20"/>
        </w:trPr>
        <w:tc>
          <w:tcPr>
            <w:tcW w:w="550" w:type="dxa"/>
            <w:shd w:val="clear" w:color="auto" w:fill="auto"/>
            <w:vAlign w:val="center"/>
          </w:tcPr>
          <w:p w14:paraId="01696F4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210</w:t>
            </w:r>
          </w:p>
        </w:tc>
        <w:tc>
          <w:tcPr>
            <w:tcW w:w="1071" w:type="dxa"/>
            <w:shd w:val="clear" w:color="auto" w:fill="auto"/>
            <w:vAlign w:val="center"/>
          </w:tcPr>
          <w:p w14:paraId="44DEC6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16FBA1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Lloyd AJ, Gallop K, Ali S, Myren KJ, Sierra JR, Anokhina K, Patriquin C, Hill A, Tomazos</w:t>
            </w:r>
          </w:p>
        </w:tc>
        <w:tc>
          <w:tcPr>
            <w:tcW w:w="7010" w:type="dxa"/>
            <w:shd w:val="clear" w:color="auto" w:fill="auto"/>
            <w:vAlign w:val="center"/>
          </w:tcPr>
          <w:p w14:paraId="2643C06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Psy9 Preference Weights for Quality-Adjusted Life-Years Estimation for Treatments of Paroxysmal Nocturnal Hemoglobinuria in the United Kingdom</w:t>
            </w:r>
          </w:p>
        </w:tc>
        <w:tc>
          <w:tcPr>
            <w:tcW w:w="568" w:type="dxa"/>
            <w:shd w:val="clear" w:color="auto" w:fill="auto"/>
            <w:vAlign w:val="center"/>
          </w:tcPr>
          <w:p w14:paraId="10390F6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9AC5CD0" w14:textId="77777777" w:rsidTr="004C3C90">
        <w:trPr>
          <w:trHeight w:val="20"/>
        </w:trPr>
        <w:tc>
          <w:tcPr>
            <w:tcW w:w="550" w:type="dxa"/>
            <w:shd w:val="clear" w:color="auto" w:fill="auto"/>
            <w:vAlign w:val="center"/>
          </w:tcPr>
          <w:p w14:paraId="333E76B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211</w:t>
            </w:r>
          </w:p>
        </w:tc>
        <w:tc>
          <w:tcPr>
            <w:tcW w:w="1071" w:type="dxa"/>
            <w:shd w:val="clear" w:color="auto" w:fill="auto"/>
            <w:vAlign w:val="center"/>
          </w:tcPr>
          <w:p w14:paraId="7E5DAA9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A6647B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Perry L, Visser J, Mitchell A, Bomken S, Enligh M, Glaser A, et al.</w:t>
            </w:r>
          </w:p>
        </w:tc>
        <w:tc>
          <w:tcPr>
            <w:tcW w:w="7010" w:type="dxa"/>
            <w:shd w:val="clear" w:color="auto" w:fill="auto"/>
            <w:vAlign w:val="center"/>
          </w:tcPr>
          <w:p w14:paraId="70D9D77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Rare Complication of a Rare Disease-Challenges in Studying Langerhans Cell Histiocytosis Neurodegeneration in the UK</w:t>
            </w:r>
          </w:p>
        </w:tc>
        <w:tc>
          <w:tcPr>
            <w:tcW w:w="568" w:type="dxa"/>
            <w:shd w:val="clear" w:color="auto" w:fill="auto"/>
            <w:vAlign w:val="center"/>
          </w:tcPr>
          <w:p w14:paraId="702C2C4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FB9A04A" w14:textId="77777777" w:rsidTr="004C3C90">
        <w:trPr>
          <w:trHeight w:val="20"/>
        </w:trPr>
        <w:tc>
          <w:tcPr>
            <w:tcW w:w="550" w:type="dxa"/>
            <w:shd w:val="clear" w:color="auto" w:fill="auto"/>
            <w:vAlign w:val="center"/>
          </w:tcPr>
          <w:p w14:paraId="1471857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212</w:t>
            </w:r>
          </w:p>
        </w:tc>
        <w:tc>
          <w:tcPr>
            <w:tcW w:w="1071" w:type="dxa"/>
            <w:shd w:val="clear" w:color="auto" w:fill="auto"/>
            <w:vAlign w:val="center"/>
          </w:tcPr>
          <w:p w14:paraId="621AAB6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42F7C7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Lei Q, Li C, Shi X</w:t>
            </w:r>
          </w:p>
        </w:tc>
        <w:tc>
          <w:tcPr>
            <w:tcW w:w="7010" w:type="dxa"/>
            <w:shd w:val="clear" w:color="auto" w:fill="auto"/>
            <w:vAlign w:val="center"/>
          </w:tcPr>
          <w:p w14:paraId="1CC5E0F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Remission of Paradoxical Skin Lesions by Tripterygium Wilfordii Hook F Treatment in Sapho Syndrome: A Case Report</w:t>
            </w:r>
          </w:p>
        </w:tc>
        <w:tc>
          <w:tcPr>
            <w:tcW w:w="568" w:type="dxa"/>
            <w:shd w:val="clear" w:color="auto" w:fill="auto"/>
            <w:vAlign w:val="center"/>
          </w:tcPr>
          <w:p w14:paraId="6E53CBA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74931326" w14:textId="77777777" w:rsidTr="004C3C90">
        <w:trPr>
          <w:trHeight w:val="20"/>
        </w:trPr>
        <w:tc>
          <w:tcPr>
            <w:tcW w:w="550" w:type="dxa"/>
            <w:shd w:val="clear" w:color="auto" w:fill="auto"/>
            <w:vAlign w:val="center"/>
          </w:tcPr>
          <w:p w14:paraId="2F46F4D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213</w:t>
            </w:r>
          </w:p>
        </w:tc>
        <w:tc>
          <w:tcPr>
            <w:tcW w:w="1071" w:type="dxa"/>
            <w:shd w:val="clear" w:color="auto" w:fill="auto"/>
            <w:vAlign w:val="center"/>
          </w:tcPr>
          <w:p w14:paraId="502C0AF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4AE63C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Mejias M, De Guevara ML, Soriano M, Seisdedos R</w:t>
            </w:r>
          </w:p>
        </w:tc>
        <w:tc>
          <w:tcPr>
            <w:tcW w:w="7010" w:type="dxa"/>
            <w:shd w:val="clear" w:color="auto" w:fill="auto"/>
            <w:vAlign w:val="center"/>
          </w:tcPr>
          <w:p w14:paraId="71378BC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Use of Sirólimus 0.4% Ointment in Vascular Malformations</w:t>
            </w:r>
          </w:p>
        </w:tc>
        <w:tc>
          <w:tcPr>
            <w:tcW w:w="568" w:type="dxa"/>
            <w:shd w:val="clear" w:color="auto" w:fill="auto"/>
            <w:vAlign w:val="center"/>
          </w:tcPr>
          <w:p w14:paraId="7AFA6F7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5C2B91CA" w14:textId="77777777" w:rsidTr="004C3C90">
        <w:trPr>
          <w:trHeight w:val="20"/>
        </w:trPr>
        <w:tc>
          <w:tcPr>
            <w:tcW w:w="550" w:type="dxa"/>
            <w:shd w:val="clear" w:color="auto" w:fill="auto"/>
            <w:vAlign w:val="center"/>
          </w:tcPr>
          <w:p w14:paraId="4952A0C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214</w:t>
            </w:r>
          </w:p>
        </w:tc>
        <w:tc>
          <w:tcPr>
            <w:tcW w:w="1071" w:type="dxa"/>
            <w:shd w:val="clear" w:color="auto" w:fill="auto"/>
            <w:vAlign w:val="center"/>
          </w:tcPr>
          <w:p w14:paraId="01EFA60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1C10DF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Hayes DM, Rampon G, Rawal R, Buckhold FR</w:t>
            </w:r>
          </w:p>
        </w:tc>
        <w:tc>
          <w:tcPr>
            <w:tcW w:w="7010" w:type="dxa"/>
            <w:shd w:val="clear" w:color="auto" w:fill="auto"/>
            <w:vAlign w:val="center"/>
          </w:tcPr>
          <w:p w14:paraId="4640C79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Addressing Resident-Identified Barriers to Attending Noon Conference</w:t>
            </w:r>
          </w:p>
        </w:tc>
        <w:tc>
          <w:tcPr>
            <w:tcW w:w="568" w:type="dxa"/>
            <w:shd w:val="clear" w:color="auto" w:fill="auto"/>
            <w:vAlign w:val="center"/>
          </w:tcPr>
          <w:p w14:paraId="3E36ECE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249CB809" w14:textId="77777777" w:rsidTr="004C3C90">
        <w:trPr>
          <w:trHeight w:val="20"/>
        </w:trPr>
        <w:tc>
          <w:tcPr>
            <w:tcW w:w="550" w:type="dxa"/>
            <w:shd w:val="clear" w:color="auto" w:fill="auto"/>
            <w:vAlign w:val="center"/>
          </w:tcPr>
          <w:p w14:paraId="0E84E8D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215</w:t>
            </w:r>
          </w:p>
        </w:tc>
        <w:tc>
          <w:tcPr>
            <w:tcW w:w="1071" w:type="dxa"/>
            <w:shd w:val="clear" w:color="auto" w:fill="auto"/>
            <w:vAlign w:val="center"/>
          </w:tcPr>
          <w:p w14:paraId="1BE586F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F77FCD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Ishii T, Nakano E , Watanabe T , Higashi T</w:t>
            </w:r>
          </w:p>
        </w:tc>
        <w:tc>
          <w:tcPr>
            <w:tcW w:w="7010" w:type="dxa"/>
            <w:shd w:val="clear" w:color="auto" w:fill="auto"/>
            <w:vAlign w:val="center"/>
          </w:tcPr>
          <w:p w14:paraId="492C6E2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Analysis of Epidemiological Characteristics and Treatment for Male Breast Cancer Patients in Japan</w:t>
            </w:r>
          </w:p>
        </w:tc>
        <w:tc>
          <w:tcPr>
            <w:tcW w:w="568" w:type="dxa"/>
            <w:shd w:val="clear" w:color="auto" w:fill="auto"/>
            <w:vAlign w:val="center"/>
          </w:tcPr>
          <w:p w14:paraId="488B573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F51D9C8" w14:textId="77777777" w:rsidTr="004C3C90">
        <w:trPr>
          <w:trHeight w:val="20"/>
        </w:trPr>
        <w:tc>
          <w:tcPr>
            <w:tcW w:w="550" w:type="dxa"/>
            <w:shd w:val="clear" w:color="auto" w:fill="auto"/>
            <w:vAlign w:val="center"/>
          </w:tcPr>
          <w:p w14:paraId="2B4D04D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216</w:t>
            </w:r>
          </w:p>
        </w:tc>
        <w:tc>
          <w:tcPr>
            <w:tcW w:w="1071" w:type="dxa"/>
            <w:shd w:val="clear" w:color="auto" w:fill="auto"/>
            <w:vAlign w:val="center"/>
          </w:tcPr>
          <w:p w14:paraId="44BE8DB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D4F330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Curry M, Cruz R, Jarecki J, Belter L</w:t>
            </w:r>
          </w:p>
        </w:tc>
        <w:tc>
          <w:tcPr>
            <w:tcW w:w="7010" w:type="dxa"/>
            <w:shd w:val="clear" w:color="auto" w:fill="auto"/>
            <w:vAlign w:val="center"/>
          </w:tcPr>
          <w:p w14:paraId="4266021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Assessment of Awareness of the Early Clinical Features of Spinal Muscular Atrophy (Sma) Amongst Pediatricians</w:t>
            </w:r>
          </w:p>
        </w:tc>
        <w:tc>
          <w:tcPr>
            <w:tcW w:w="568" w:type="dxa"/>
            <w:shd w:val="clear" w:color="auto" w:fill="auto"/>
            <w:vAlign w:val="center"/>
          </w:tcPr>
          <w:p w14:paraId="5E6BF98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826CAFD" w14:textId="77777777" w:rsidTr="004C3C90">
        <w:trPr>
          <w:trHeight w:val="20"/>
        </w:trPr>
        <w:tc>
          <w:tcPr>
            <w:tcW w:w="550" w:type="dxa"/>
            <w:shd w:val="clear" w:color="auto" w:fill="auto"/>
            <w:vAlign w:val="center"/>
          </w:tcPr>
          <w:p w14:paraId="321CD10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217</w:t>
            </w:r>
          </w:p>
        </w:tc>
        <w:tc>
          <w:tcPr>
            <w:tcW w:w="1071" w:type="dxa"/>
            <w:shd w:val="clear" w:color="auto" w:fill="auto"/>
            <w:vAlign w:val="center"/>
          </w:tcPr>
          <w:p w14:paraId="168AFD3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D21D9E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Castro R, Dan D, Tschank J, Sparring V, Vana I, Glinsner B</w:t>
            </w:r>
          </w:p>
        </w:tc>
        <w:tc>
          <w:tcPr>
            <w:tcW w:w="7010" w:type="dxa"/>
            <w:shd w:val="clear" w:color="auto" w:fill="auto"/>
            <w:vAlign w:val="center"/>
          </w:tcPr>
          <w:p w14:paraId="46B0B34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Bridging the Gaps between Health, Social and Local Services, to Improve Care for People Living with Rare and Complex Conditions: Key Findings of the Eu-Funded Innovcare Project and Its Case Management Pilot</w:t>
            </w:r>
          </w:p>
        </w:tc>
        <w:tc>
          <w:tcPr>
            <w:tcW w:w="568" w:type="dxa"/>
            <w:shd w:val="clear" w:color="auto" w:fill="auto"/>
            <w:vAlign w:val="center"/>
          </w:tcPr>
          <w:p w14:paraId="03DB891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DA30568" w14:textId="77777777" w:rsidTr="004C3C90">
        <w:trPr>
          <w:trHeight w:val="20"/>
        </w:trPr>
        <w:tc>
          <w:tcPr>
            <w:tcW w:w="550" w:type="dxa"/>
            <w:shd w:val="clear" w:color="auto" w:fill="auto"/>
            <w:vAlign w:val="center"/>
          </w:tcPr>
          <w:p w14:paraId="2346160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218</w:t>
            </w:r>
          </w:p>
        </w:tc>
        <w:tc>
          <w:tcPr>
            <w:tcW w:w="1071" w:type="dxa"/>
            <w:shd w:val="clear" w:color="auto" w:fill="auto"/>
            <w:vAlign w:val="center"/>
          </w:tcPr>
          <w:p w14:paraId="52C7639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644139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Castaldo AJ, Jervelund C, Kirk AR, et al.</w:t>
            </w:r>
          </w:p>
        </w:tc>
        <w:tc>
          <w:tcPr>
            <w:tcW w:w="7010" w:type="dxa"/>
            <w:shd w:val="clear" w:color="auto" w:fill="auto"/>
            <w:vAlign w:val="center"/>
          </w:tcPr>
          <w:p w14:paraId="3CB02DC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Comprehensive Approach to Assessing the Value of Prophylactic Therapy for the Ultra Rare Disease Hereditary Angioedema Using Real World Patient Data</w:t>
            </w:r>
          </w:p>
        </w:tc>
        <w:tc>
          <w:tcPr>
            <w:tcW w:w="568" w:type="dxa"/>
            <w:shd w:val="clear" w:color="auto" w:fill="auto"/>
            <w:vAlign w:val="center"/>
          </w:tcPr>
          <w:p w14:paraId="4DD8B4F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B14BD5D" w14:textId="77777777" w:rsidTr="004C3C90">
        <w:trPr>
          <w:trHeight w:val="20"/>
        </w:trPr>
        <w:tc>
          <w:tcPr>
            <w:tcW w:w="550" w:type="dxa"/>
            <w:shd w:val="clear" w:color="auto" w:fill="auto"/>
            <w:vAlign w:val="center"/>
          </w:tcPr>
          <w:p w14:paraId="4213178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219</w:t>
            </w:r>
          </w:p>
        </w:tc>
        <w:tc>
          <w:tcPr>
            <w:tcW w:w="1071" w:type="dxa"/>
            <w:shd w:val="clear" w:color="auto" w:fill="auto"/>
            <w:vAlign w:val="center"/>
          </w:tcPr>
          <w:p w14:paraId="717BAC4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08E00A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Garg G, Hanna B, Tan NB, Gear R, Gabbett M</w:t>
            </w:r>
          </w:p>
        </w:tc>
        <w:tc>
          <w:tcPr>
            <w:tcW w:w="7010" w:type="dxa"/>
            <w:shd w:val="clear" w:color="auto" w:fill="auto"/>
            <w:vAlign w:val="center"/>
          </w:tcPr>
          <w:p w14:paraId="52BB07A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Creating a Bi-National Clinical Genetics Lecture Series: Its Successes and Challenges</w:t>
            </w:r>
          </w:p>
        </w:tc>
        <w:tc>
          <w:tcPr>
            <w:tcW w:w="568" w:type="dxa"/>
            <w:shd w:val="clear" w:color="auto" w:fill="auto"/>
            <w:vAlign w:val="center"/>
          </w:tcPr>
          <w:p w14:paraId="6C21E32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2BAC0C8C" w14:textId="77777777" w:rsidTr="004C3C90">
        <w:trPr>
          <w:trHeight w:val="20"/>
        </w:trPr>
        <w:tc>
          <w:tcPr>
            <w:tcW w:w="550" w:type="dxa"/>
            <w:shd w:val="clear" w:color="auto" w:fill="auto"/>
            <w:vAlign w:val="center"/>
          </w:tcPr>
          <w:p w14:paraId="15B1836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220</w:t>
            </w:r>
          </w:p>
        </w:tc>
        <w:tc>
          <w:tcPr>
            <w:tcW w:w="1071" w:type="dxa"/>
            <w:shd w:val="clear" w:color="auto" w:fill="auto"/>
            <w:vAlign w:val="center"/>
          </w:tcPr>
          <w:p w14:paraId="560B18E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2C733E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Duncan A, Kellum A, Peltier S, Cooper DL, Saad H</w:t>
            </w:r>
          </w:p>
        </w:tc>
        <w:tc>
          <w:tcPr>
            <w:tcW w:w="7010" w:type="dxa"/>
            <w:shd w:val="clear" w:color="auto" w:fill="auto"/>
            <w:vAlign w:val="center"/>
          </w:tcPr>
          <w:p w14:paraId="2F1E100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Disease Burden in Patients with Glanzmann Thrombasthenia: Perspectives from the Glanzmann Thrombasthenia Patient/Caregiver Questionnaire</w:t>
            </w:r>
          </w:p>
        </w:tc>
        <w:tc>
          <w:tcPr>
            <w:tcW w:w="568" w:type="dxa"/>
            <w:shd w:val="clear" w:color="auto" w:fill="auto"/>
            <w:vAlign w:val="center"/>
          </w:tcPr>
          <w:p w14:paraId="2F5A062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B1E3066" w14:textId="77777777" w:rsidTr="004C3C90">
        <w:trPr>
          <w:trHeight w:val="20"/>
        </w:trPr>
        <w:tc>
          <w:tcPr>
            <w:tcW w:w="550" w:type="dxa"/>
            <w:shd w:val="clear" w:color="auto" w:fill="auto"/>
            <w:vAlign w:val="center"/>
          </w:tcPr>
          <w:p w14:paraId="026A17A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221</w:t>
            </w:r>
          </w:p>
        </w:tc>
        <w:tc>
          <w:tcPr>
            <w:tcW w:w="1071" w:type="dxa"/>
            <w:shd w:val="clear" w:color="auto" w:fill="auto"/>
            <w:vAlign w:val="center"/>
          </w:tcPr>
          <w:p w14:paraId="3B1AFFE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5D7C8F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Yamaguchi I, Furusawa Y, Kawaguchi T, Yagishita N, Tanzawa K, Yamano Y, et al. </w:t>
            </w:r>
          </w:p>
        </w:tc>
        <w:tc>
          <w:tcPr>
            <w:tcW w:w="7010" w:type="dxa"/>
            <w:shd w:val="clear" w:color="auto" w:fill="auto"/>
            <w:vAlign w:val="center"/>
          </w:tcPr>
          <w:p w14:paraId="12447A6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Establishment of a Comprehensive Information Infrastructure and a Support Organization for Rare Disease Research in Japan (Raddar-J)...The 17th World Congress of Medical and Health Informatics, 25-30 August 2019, Lyon, France</w:t>
            </w:r>
          </w:p>
        </w:tc>
        <w:tc>
          <w:tcPr>
            <w:tcW w:w="568" w:type="dxa"/>
            <w:shd w:val="clear" w:color="auto" w:fill="auto"/>
            <w:vAlign w:val="center"/>
          </w:tcPr>
          <w:p w14:paraId="681790E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6410BF0" w14:textId="77777777" w:rsidTr="004C3C90">
        <w:trPr>
          <w:trHeight w:val="20"/>
        </w:trPr>
        <w:tc>
          <w:tcPr>
            <w:tcW w:w="550" w:type="dxa"/>
            <w:shd w:val="clear" w:color="auto" w:fill="auto"/>
            <w:vAlign w:val="center"/>
          </w:tcPr>
          <w:p w14:paraId="0033B46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222</w:t>
            </w:r>
          </w:p>
        </w:tc>
        <w:tc>
          <w:tcPr>
            <w:tcW w:w="1071" w:type="dxa"/>
            <w:shd w:val="clear" w:color="auto" w:fill="auto"/>
            <w:vAlign w:val="center"/>
          </w:tcPr>
          <w:p w14:paraId="5A9C133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099988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Giannuzzi V, Felisi M, Devlieger H, et al.</w:t>
            </w:r>
          </w:p>
        </w:tc>
        <w:tc>
          <w:tcPr>
            <w:tcW w:w="7010" w:type="dxa"/>
            <w:shd w:val="clear" w:color="auto" w:fill="auto"/>
            <w:vAlign w:val="center"/>
          </w:tcPr>
          <w:p w14:paraId="0F7DEEE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Ethical Issues and Barriers for Multi-National Paediatric Clinical Trials: The Challenging Experience of the Deep Project</w:t>
            </w:r>
          </w:p>
        </w:tc>
        <w:tc>
          <w:tcPr>
            <w:tcW w:w="568" w:type="dxa"/>
            <w:shd w:val="clear" w:color="auto" w:fill="auto"/>
            <w:vAlign w:val="center"/>
          </w:tcPr>
          <w:p w14:paraId="6D41F42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63BC873" w14:textId="77777777" w:rsidTr="004C3C90">
        <w:trPr>
          <w:trHeight w:val="20"/>
        </w:trPr>
        <w:tc>
          <w:tcPr>
            <w:tcW w:w="550" w:type="dxa"/>
            <w:shd w:val="clear" w:color="auto" w:fill="auto"/>
            <w:vAlign w:val="center"/>
          </w:tcPr>
          <w:p w14:paraId="5873A27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223</w:t>
            </w:r>
          </w:p>
        </w:tc>
        <w:tc>
          <w:tcPr>
            <w:tcW w:w="1071" w:type="dxa"/>
            <w:shd w:val="clear" w:color="auto" w:fill="auto"/>
            <w:vAlign w:val="center"/>
          </w:tcPr>
          <w:p w14:paraId="672CBCD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A558FD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Alsaffar H, Elawwa AS, Aljaser F, Chaturvedi D</w:t>
            </w:r>
          </w:p>
        </w:tc>
        <w:tc>
          <w:tcPr>
            <w:tcW w:w="7010" w:type="dxa"/>
            <w:shd w:val="clear" w:color="auto" w:fill="auto"/>
            <w:vAlign w:val="center"/>
          </w:tcPr>
          <w:p w14:paraId="7F7C487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High Demand for Collaborative Work between Paediatric Endocrinologists in Arab Countries</w:t>
            </w:r>
          </w:p>
        </w:tc>
        <w:tc>
          <w:tcPr>
            <w:tcW w:w="568" w:type="dxa"/>
            <w:shd w:val="clear" w:color="auto" w:fill="auto"/>
            <w:vAlign w:val="center"/>
          </w:tcPr>
          <w:p w14:paraId="5DF4751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7F61989D" w14:textId="77777777" w:rsidTr="004C3C90">
        <w:trPr>
          <w:trHeight w:val="20"/>
        </w:trPr>
        <w:tc>
          <w:tcPr>
            <w:tcW w:w="550" w:type="dxa"/>
            <w:shd w:val="clear" w:color="auto" w:fill="auto"/>
            <w:vAlign w:val="center"/>
          </w:tcPr>
          <w:p w14:paraId="3E858AE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224</w:t>
            </w:r>
          </w:p>
        </w:tc>
        <w:tc>
          <w:tcPr>
            <w:tcW w:w="1071" w:type="dxa"/>
            <w:shd w:val="clear" w:color="auto" w:fill="auto"/>
            <w:vAlign w:val="center"/>
          </w:tcPr>
          <w:p w14:paraId="242E1FA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8800BF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Marchi E, Tobinai K, Maruyama D, Nagai H, O'Connor OA</w:t>
            </w:r>
          </w:p>
        </w:tc>
        <w:tc>
          <w:tcPr>
            <w:tcW w:w="7010" w:type="dxa"/>
            <w:shd w:val="clear" w:color="auto" w:fill="auto"/>
            <w:vAlign w:val="center"/>
          </w:tcPr>
          <w:p w14:paraId="0357466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Hui, Wpai, and Neuromuscular Pedsql Scores in Patients with Spinal Muscular Atrophy: Findings from the 2019 Cure Sma Community Update Survey</w:t>
            </w:r>
          </w:p>
        </w:tc>
        <w:tc>
          <w:tcPr>
            <w:tcW w:w="568" w:type="dxa"/>
            <w:shd w:val="clear" w:color="auto" w:fill="auto"/>
            <w:vAlign w:val="center"/>
          </w:tcPr>
          <w:p w14:paraId="463521E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4FF2C965" w14:textId="77777777" w:rsidTr="004C3C90">
        <w:trPr>
          <w:trHeight w:val="20"/>
        </w:trPr>
        <w:tc>
          <w:tcPr>
            <w:tcW w:w="550" w:type="dxa"/>
            <w:shd w:val="clear" w:color="auto" w:fill="auto"/>
            <w:vAlign w:val="center"/>
          </w:tcPr>
          <w:p w14:paraId="5E28C41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225</w:t>
            </w:r>
          </w:p>
        </w:tc>
        <w:tc>
          <w:tcPr>
            <w:tcW w:w="1071" w:type="dxa"/>
            <w:shd w:val="clear" w:color="auto" w:fill="auto"/>
            <w:vAlign w:val="center"/>
          </w:tcPr>
          <w:p w14:paraId="5CF8306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8669FA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Izquierdo MCP, Rio-Garma JD, Rubia JDL,  et al. </w:t>
            </w:r>
          </w:p>
        </w:tc>
        <w:tc>
          <w:tcPr>
            <w:tcW w:w="7010" w:type="dxa"/>
            <w:shd w:val="clear" w:color="auto" w:fill="auto"/>
            <w:vAlign w:val="center"/>
          </w:tcPr>
          <w:p w14:paraId="5407FCF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Incidence, Diagnosis, and Outcome of Acquired Thrombotic Thrombocytopenic Purpura (Attp): A Nationwide Survey by the Spanish Apheresis Group</w:t>
            </w:r>
          </w:p>
        </w:tc>
        <w:tc>
          <w:tcPr>
            <w:tcW w:w="568" w:type="dxa"/>
            <w:shd w:val="clear" w:color="auto" w:fill="auto"/>
            <w:vAlign w:val="center"/>
          </w:tcPr>
          <w:p w14:paraId="5180A97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704813C9" w14:textId="77777777" w:rsidTr="004C3C90">
        <w:trPr>
          <w:trHeight w:val="20"/>
        </w:trPr>
        <w:tc>
          <w:tcPr>
            <w:tcW w:w="550" w:type="dxa"/>
            <w:shd w:val="clear" w:color="auto" w:fill="auto"/>
            <w:vAlign w:val="center"/>
          </w:tcPr>
          <w:p w14:paraId="30250F3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226</w:t>
            </w:r>
          </w:p>
        </w:tc>
        <w:tc>
          <w:tcPr>
            <w:tcW w:w="1071" w:type="dxa"/>
            <w:shd w:val="clear" w:color="auto" w:fill="auto"/>
            <w:vAlign w:val="center"/>
          </w:tcPr>
          <w:p w14:paraId="18C6986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5D1DAA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Ishihara T, Soejima T, Maebayashi K, Yamamoto T, Kohzuki H, Okada K, Hara J, Nishikawa R</w:t>
            </w:r>
          </w:p>
        </w:tc>
        <w:tc>
          <w:tcPr>
            <w:tcW w:w="7010" w:type="dxa"/>
            <w:shd w:val="clear" w:color="auto" w:fill="auto"/>
            <w:vAlign w:val="center"/>
          </w:tcPr>
          <w:p w14:paraId="2EBDD85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Investigation of Recurrence Factors in Patients Who Received Radiotherapy for Ependymoma: A Retrospective Multicenter Analysis Conducted by the Japan Children's Cancer Group</w:t>
            </w:r>
          </w:p>
        </w:tc>
        <w:tc>
          <w:tcPr>
            <w:tcW w:w="568" w:type="dxa"/>
            <w:shd w:val="clear" w:color="auto" w:fill="auto"/>
            <w:vAlign w:val="center"/>
          </w:tcPr>
          <w:p w14:paraId="44223B4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35858D9" w14:textId="77777777" w:rsidTr="004C3C90">
        <w:trPr>
          <w:trHeight w:val="20"/>
        </w:trPr>
        <w:tc>
          <w:tcPr>
            <w:tcW w:w="550" w:type="dxa"/>
            <w:shd w:val="clear" w:color="auto" w:fill="auto"/>
            <w:vAlign w:val="center"/>
          </w:tcPr>
          <w:p w14:paraId="182C0AC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227</w:t>
            </w:r>
          </w:p>
        </w:tc>
        <w:tc>
          <w:tcPr>
            <w:tcW w:w="1071" w:type="dxa"/>
            <w:shd w:val="clear" w:color="auto" w:fill="auto"/>
            <w:vAlign w:val="center"/>
          </w:tcPr>
          <w:p w14:paraId="6CA6E27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94BBFF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Bajbaj A, Vitali C. Cuchel M, Rader D</w:t>
            </w:r>
          </w:p>
        </w:tc>
        <w:tc>
          <w:tcPr>
            <w:tcW w:w="7010" w:type="dxa"/>
            <w:shd w:val="clear" w:color="auto" w:fill="auto"/>
            <w:vAlign w:val="center"/>
          </w:tcPr>
          <w:p w14:paraId="4A0FFF3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Literature Survey of Lcat Deficiency: Natural History and Biomarker Identification</w:t>
            </w:r>
          </w:p>
        </w:tc>
        <w:tc>
          <w:tcPr>
            <w:tcW w:w="568" w:type="dxa"/>
            <w:shd w:val="clear" w:color="auto" w:fill="auto"/>
            <w:vAlign w:val="center"/>
          </w:tcPr>
          <w:p w14:paraId="62BF637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5D11D089" w14:textId="77777777" w:rsidTr="004C3C90">
        <w:trPr>
          <w:trHeight w:val="20"/>
        </w:trPr>
        <w:tc>
          <w:tcPr>
            <w:tcW w:w="550" w:type="dxa"/>
            <w:shd w:val="clear" w:color="auto" w:fill="auto"/>
            <w:vAlign w:val="center"/>
          </w:tcPr>
          <w:p w14:paraId="4F555DA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228</w:t>
            </w:r>
          </w:p>
        </w:tc>
        <w:tc>
          <w:tcPr>
            <w:tcW w:w="1071" w:type="dxa"/>
            <w:shd w:val="clear" w:color="auto" w:fill="auto"/>
            <w:vAlign w:val="center"/>
          </w:tcPr>
          <w:p w14:paraId="18F62A2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6BB0DC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Celano A, Mingolla S, Santopietro M</w:t>
            </w:r>
          </w:p>
        </w:tc>
        <w:tc>
          <w:tcPr>
            <w:tcW w:w="7010" w:type="dxa"/>
            <w:shd w:val="clear" w:color="auto" w:fill="auto"/>
            <w:vAlign w:val="center"/>
          </w:tcPr>
          <w:p w14:paraId="410B6FD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Living with a Rheumatic Disease: A Research About Quality of Life and Work Conditions</w:t>
            </w:r>
          </w:p>
        </w:tc>
        <w:tc>
          <w:tcPr>
            <w:tcW w:w="568" w:type="dxa"/>
            <w:shd w:val="clear" w:color="auto" w:fill="auto"/>
            <w:vAlign w:val="center"/>
          </w:tcPr>
          <w:p w14:paraId="6ECD826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47506B9F" w14:textId="77777777" w:rsidTr="004C3C90">
        <w:trPr>
          <w:trHeight w:val="20"/>
        </w:trPr>
        <w:tc>
          <w:tcPr>
            <w:tcW w:w="550" w:type="dxa"/>
            <w:shd w:val="clear" w:color="auto" w:fill="auto"/>
            <w:vAlign w:val="center"/>
          </w:tcPr>
          <w:p w14:paraId="0F7A0D7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229</w:t>
            </w:r>
          </w:p>
        </w:tc>
        <w:tc>
          <w:tcPr>
            <w:tcW w:w="1071" w:type="dxa"/>
            <w:shd w:val="clear" w:color="auto" w:fill="auto"/>
            <w:vAlign w:val="center"/>
          </w:tcPr>
          <w:p w14:paraId="58640F3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1A94BB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Henriques BJ, Lucas TG, Martins E,  Gaspar A, Banderia A, Nogueria C, et al. </w:t>
            </w:r>
          </w:p>
        </w:tc>
        <w:tc>
          <w:tcPr>
            <w:tcW w:w="7010" w:type="dxa"/>
            <w:shd w:val="clear" w:color="auto" w:fill="auto"/>
            <w:vAlign w:val="center"/>
          </w:tcPr>
          <w:p w14:paraId="26C95F1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Molecular and Clinical Investigations on Portuguese Patients with Multiple Acyl-Coa Dehydrogenase Deficiency</w:t>
            </w:r>
          </w:p>
        </w:tc>
        <w:tc>
          <w:tcPr>
            <w:tcW w:w="568" w:type="dxa"/>
            <w:shd w:val="clear" w:color="auto" w:fill="auto"/>
            <w:vAlign w:val="center"/>
          </w:tcPr>
          <w:p w14:paraId="1651485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425EBCEC" w14:textId="77777777" w:rsidTr="004C3C90">
        <w:trPr>
          <w:trHeight w:val="20"/>
        </w:trPr>
        <w:tc>
          <w:tcPr>
            <w:tcW w:w="550" w:type="dxa"/>
            <w:shd w:val="clear" w:color="auto" w:fill="auto"/>
            <w:vAlign w:val="center"/>
          </w:tcPr>
          <w:p w14:paraId="733D99E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230</w:t>
            </w:r>
          </w:p>
        </w:tc>
        <w:tc>
          <w:tcPr>
            <w:tcW w:w="1071" w:type="dxa"/>
            <w:shd w:val="clear" w:color="auto" w:fill="auto"/>
            <w:vAlign w:val="center"/>
          </w:tcPr>
          <w:p w14:paraId="1D476A9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7D1445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Brook R, Sax MJ, Carlisle JA, Smeeding JE</w:t>
            </w:r>
          </w:p>
        </w:tc>
        <w:tc>
          <w:tcPr>
            <w:tcW w:w="7010" w:type="dxa"/>
            <w:shd w:val="clear" w:color="auto" w:fill="auto"/>
            <w:vAlign w:val="center"/>
          </w:tcPr>
          <w:p w14:paraId="12370EB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Pns113 the 2019 United States Payor Landscape: Trends and Results from Surveys on Formulary Management</w:t>
            </w:r>
          </w:p>
        </w:tc>
        <w:tc>
          <w:tcPr>
            <w:tcW w:w="568" w:type="dxa"/>
            <w:shd w:val="clear" w:color="auto" w:fill="auto"/>
            <w:vAlign w:val="center"/>
          </w:tcPr>
          <w:p w14:paraId="653BCE1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7F6F67F8" w14:textId="77777777" w:rsidTr="004C3C90">
        <w:trPr>
          <w:trHeight w:val="20"/>
        </w:trPr>
        <w:tc>
          <w:tcPr>
            <w:tcW w:w="550" w:type="dxa"/>
            <w:shd w:val="clear" w:color="auto" w:fill="auto"/>
            <w:vAlign w:val="center"/>
          </w:tcPr>
          <w:p w14:paraId="47827EC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231</w:t>
            </w:r>
          </w:p>
        </w:tc>
        <w:tc>
          <w:tcPr>
            <w:tcW w:w="1071" w:type="dxa"/>
            <w:shd w:val="clear" w:color="auto" w:fill="auto"/>
            <w:vAlign w:val="center"/>
          </w:tcPr>
          <w:p w14:paraId="7446785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E83E94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Dheensa S, Sterckx S, Cockbain J, Fenwick A, Lucassen A</w:t>
            </w:r>
          </w:p>
        </w:tc>
        <w:tc>
          <w:tcPr>
            <w:tcW w:w="7010" w:type="dxa"/>
            <w:shd w:val="clear" w:color="auto" w:fill="auto"/>
            <w:vAlign w:val="center"/>
          </w:tcPr>
          <w:p w14:paraId="3599989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Pooling Genomic Data into a "National Data Lake": The First Steps Towards Establishing a Uk Learning Healthcare System</w:t>
            </w:r>
          </w:p>
        </w:tc>
        <w:tc>
          <w:tcPr>
            <w:tcW w:w="568" w:type="dxa"/>
            <w:shd w:val="clear" w:color="auto" w:fill="auto"/>
            <w:vAlign w:val="center"/>
          </w:tcPr>
          <w:p w14:paraId="607EE6F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5C9F2107" w14:textId="77777777" w:rsidTr="004C3C90">
        <w:trPr>
          <w:trHeight w:val="20"/>
        </w:trPr>
        <w:tc>
          <w:tcPr>
            <w:tcW w:w="550" w:type="dxa"/>
            <w:shd w:val="clear" w:color="auto" w:fill="auto"/>
            <w:vAlign w:val="center"/>
          </w:tcPr>
          <w:p w14:paraId="6FF497E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232</w:t>
            </w:r>
          </w:p>
        </w:tc>
        <w:tc>
          <w:tcPr>
            <w:tcW w:w="1071" w:type="dxa"/>
            <w:shd w:val="clear" w:color="auto" w:fill="auto"/>
            <w:vAlign w:val="center"/>
          </w:tcPr>
          <w:p w14:paraId="1574F1E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2711B8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Boussahoua M, Godard C, Tehard B</w:t>
            </w:r>
          </w:p>
        </w:tc>
        <w:tc>
          <w:tcPr>
            <w:tcW w:w="7010" w:type="dxa"/>
            <w:shd w:val="clear" w:color="auto" w:fill="auto"/>
            <w:vAlign w:val="center"/>
          </w:tcPr>
          <w:p w14:paraId="083A30D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Pro122 Economic Evaluation of Nusinersen in Spinal Muscular Atrophy: A Comparison of Nice and Has Opinions</w:t>
            </w:r>
          </w:p>
        </w:tc>
        <w:tc>
          <w:tcPr>
            <w:tcW w:w="568" w:type="dxa"/>
            <w:shd w:val="clear" w:color="auto" w:fill="auto"/>
            <w:vAlign w:val="center"/>
          </w:tcPr>
          <w:p w14:paraId="3B7041F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46F9A7ED" w14:textId="77777777" w:rsidTr="004C3C90">
        <w:trPr>
          <w:trHeight w:val="20"/>
        </w:trPr>
        <w:tc>
          <w:tcPr>
            <w:tcW w:w="550" w:type="dxa"/>
            <w:shd w:val="clear" w:color="auto" w:fill="auto"/>
            <w:vAlign w:val="center"/>
          </w:tcPr>
          <w:p w14:paraId="5FC2FF4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233</w:t>
            </w:r>
          </w:p>
        </w:tc>
        <w:tc>
          <w:tcPr>
            <w:tcW w:w="1071" w:type="dxa"/>
            <w:shd w:val="clear" w:color="auto" w:fill="auto"/>
            <w:vAlign w:val="center"/>
          </w:tcPr>
          <w:p w14:paraId="56C7482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6284E2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Dolezalova P, Little M, Wulffraat N</w:t>
            </w:r>
          </w:p>
        </w:tc>
        <w:tc>
          <w:tcPr>
            <w:tcW w:w="7010" w:type="dxa"/>
            <w:shd w:val="clear" w:color="auto" w:fill="auto"/>
            <w:vAlign w:val="center"/>
          </w:tcPr>
          <w:p w14:paraId="434AC7F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Rare Is What Matters: Childhood Vasculitis in Eu Projects</w:t>
            </w:r>
          </w:p>
        </w:tc>
        <w:tc>
          <w:tcPr>
            <w:tcW w:w="568" w:type="dxa"/>
            <w:shd w:val="clear" w:color="auto" w:fill="auto"/>
            <w:vAlign w:val="center"/>
          </w:tcPr>
          <w:p w14:paraId="26E554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376B008A" w14:textId="77777777" w:rsidTr="004C3C90">
        <w:trPr>
          <w:trHeight w:val="20"/>
        </w:trPr>
        <w:tc>
          <w:tcPr>
            <w:tcW w:w="550" w:type="dxa"/>
            <w:shd w:val="clear" w:color="auto" w:fill="auto"/>
            <w:vAlign w:val="center"/>
          </w:tcPr>
          <w:p w14:paraId="72AC164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234</w:t>
            </w:r>
          </w:p>
        </w:tc>
        <w:tc>
          <w:tcPr>
            <w:tcW w:w="1071" w:type="dxa"/>
            <w:shd w:val="clear" w:color="auto" w:fill="auto"/>
            <w:vAlign w:val="center"/>
          </w:tcPr>
          <w:p w14:paraId="4EDF59D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98661D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Goutaki M, Eich MO, Halbeisen FS, Barben J, Casaulta C, Clarenbach C, et al.</w:t>
            </w:r>
          </w:p>
        </w:tc>
        <w:tc>
          <w:tcPr>
            <w:tcW w:w="7010" w:type="dxa"/>
            <w:shd w:val="clear" w:color="auto" w:fill="auto"/>
            <w:vAlign w:val="center"/>
          </w:tcPr>
          <w:p w14:paraId="6364AC6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Swiss Primary Ciliary Dyskinesia Registry: An Update</w:t>
            </w:r>
          </w:p>
        </w:tc>
        <w:tc>
          <w:tcPr>
            <w:tcW w:w="568" w:type="dxa"/>
            <w:shd w:val="clear" w:color="auto" w:fill="auto"/>
            <w:vAlign w:val="center"/>
          </w:tcPr>
          <w:p w14:paraId="2835EA5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DA86266" w14:textId="77777777" w:rsidTr="004C3C90">
        <w:trPr>
          <w:trHeight w:val="20"/>
        </w:trPr>
        <w:tc>
          <w:tcPr>
            <w:tcW w:w="550" w:type="dxa"/>
            <w:shd w:val="clear" w:color="auto" w:fill="auto"/>
            <w:vAlign w:val="center"/>
          </w:tcPr>
          <w:p w14:paraId="1F00832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235</w:t>
            </w:r>
          </w:p>
        </w:tc>
        <w:tc>
          <w:tcPr>
            <w:tcW w:w="1071" w:type="dxa"/>
            <w:shd w:val="clear" w:color="auto" w:fill="auto"/>
            <w:vAlign w:val="center"/>
          </w:tcPr>
          <w:p w14:paraId="71B5356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FCEAB6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Hsairi M, Gargouri L, Rgaieg C</w:t>
            </w:r>
          </w:p>
        </w:tc>
        <w:tc>
          <w:tcPr>
            <w:tcW w:w="7010" w:type="dxa"/>
            <w:shd w:val="clear" w:color="auto" w:fill="auto"/>
            <w:vAlign w:val="center"/>
          </w:tcPr>
          <w:p w14:paraId="46915E9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Wilson's Disease in Children: About 8 Cases</w:t>
            </w:r>
          </w:p>
        </w:tc>
        <w:tc>
          <w:tcPr>
            <w:tcW w:w="568" w:type="dxa"/>
            <w:shd w:val="clear" w:color="auto" w:fill="auto"/>
            <w:vAlign w:val="center"/>
          </w:tcPr>
          <w:p w14:paraId="51E5883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2ED4B584" w14:textId="77777777" w:rsidTr="004C3C90">
        <w:trPr>
          <w:trHeight w:val="20"/>
        </w:trPr>
        <w:tc>
          <w:tcPr>
            <w:tcW w:w="550" w:type="dxa"/>
            <w:shd w:val="clear" w:color="auto" w:fill="auto"/>
            <w:vAlign w:val="center"/>
          </w:tcPr>
          <w:p w14:paraId="6FD3E5E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236</w:t>
            </w:r>
          </w:p>
        </w:tc>
        <w:tc>
          <w:tcPr>
            <w:tcW w:w="1071" w:type="dxa"/>
            <w:shd w:val="clear" w:color="auto" w:fill="auto"/>
            <w:vAlign w:val="center"/>
          </w:tcPr>
          <w:p w14:paraId="2F26C84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DDDEFA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Yarlas A, Guthrie S, Pollock M, Lovley A, White MK</w:t>
            </w:r>
          </w:p>
        </w:tc>
        <w:tc>
          <w:tcPr>
            <w:tcW w:w="7010" w:type="dxa"/>
            <w:shd w:val="clear" w:color="auto" w:fill="auto"/>
            <w:vAlign w:val="center"/>
          </w:tcPr>
          <w:p w14:paraId="4640E6A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Pro59 Association between Clinical Outcomes and Quality of Life in Patients with Hereditary Transthyretin Amyloidosis</w:t>
            </w:r>
          </w:p>
        </w:tc>
        <w:tc>
          <w:tcPr>
            <w:tcW w:w="568" w:type="dxa"/>
            <w:shd w:val="clear" w:color="auto" w:fill="auto"/>
            <w:vAlign w:val="center"/>
          </w:tcPr>
          <w:p w14:paraId="42DCE1F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2F5AE825" w14:textId="77777777" w:rsidTr="004C3C90">
        <w:trPr>
          <w:trHeight w:val="20"/>
        </w:trPr>
        <w:tc>
          <w:tcPr>
            <w:tcW w:w="550" w:type="dxa"/>
            <w:shd w:val="clear" w:color="auto" w:fill="auto"/>
            <w:vAlign w:val="center"/>
          </w:tcPr>
          <w:p w14:paraId="3144501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237</w:t>
            </w:r>
          </w:p>
        </w:tc>
        <w:tc>
          <w:tcPr>
            <w:tcW w:w="1071" w:type="dxa"/>
            <w:shd w:val="clear" w:color="auto" w:fill="auto"/>
            <w:vAlign w:val="center"/>
          </w:tcPr>
          <w:p w14:paraId="24C037C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D27949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Yooo J, Campwala I, Gupta S</w:t>
            </w:r>
          </w:p>
        </w:tc>
        <w:tc>
          <w:tcPr>
            <w:tcW w:w="7010" w:type="dxa"/>
            <w:shd w:val="clear" w:color="auto" w:fill="auto"/>
            <w:vAlign w:val="center"/>
          </w:tcPr>
          <w:p w14:paraId="727C6ED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Comparing What Clinicians Believe with Actual Patient Experiences: A Crowd Sourcing Study on Hidradenitis Suppurativa</w:t>
            </w:r>
          </w:p>
        </w:tc>
        <w:tc>
          <w:tcPr>
            <w:tcW w:w="568" w:type="dxa"/>
            <w:shd w:val="clear" w:color="auto" w:fill="auto"/>
            <w:vAlign w:val="center"/>
          </w:tcPr>
          <w:p w14:paraId="2AB6515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F7FAC86" w14:textId="77777777" w:rsidTr="004C3C90">
        <w:trPr>
          <w:trHeight w:val="20"/>
        </w:trPr>
        <w:tc>
          <w:tcPr>
            <w:tcW w:w="550" w:type="dxa"/>
            <w:shd w:val="clear" w:color="auto" w:fill="auto"/>
            <w:vAlign w:val="center"/>
          </w:tcPr>
          <w:p w14:paraId="4D88AB1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238</w:t>
            </w:r>
          </w:p>
        </w:tc>
        <w:tc>
          <w:tcPr>
            <w:tcW w:w="1071" w:type="dxa"/>
            <w:shd w:val="clear" w:color="auto" w:fill="auto"/>
            <w:vAlign w:val="center"/>
          </w:tcPr>
          <w:p w14:paraId="0F19189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0D0C39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Sherber RM, Whyte LJ, Woehrle M, Duekck AC</w:t>
            </w:r>
          </w:p>
        </w:tc>
        <w:tc>
          <w:tcPr>
            <w:tcW w:w="7010" w:type="dxa"/>
            <w:shd w:val="clear" w:color="auto" w:fill="auto"/>
            <w:vAlign w:val="center"/>
          </w:tcPr>
          <w:p w14:paraId="73EBC82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Creation and Validation of the “Mympn” Prospective Patient Registry of Myeloproliferative Neoplasm Patients</w:t>
            </w:r>
          </w:p>
        </w:tc>
        <w:tc>
          <w:tcPr>
            <w:tcW w:w="568" w:type="dxa"/>
            <w:shd w:val="clear" w:color="auto" w:fill="auto"/>
            <w:vAlign w:val="center"/>
          </w:tcPr>
          <w:p w14:paraId="376958C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6B63C0DD" w14:textId="77777777" w:rsidTr="004C3C90">
        <w:trPr>
          <w:trHeight w:val="20"/>
        </w:trPr>
        <w:tc>
          <w:tcPr>
            <w:tcW w:w="550" w:type="dxa"/>
            <w:shd w:val="clear" w:color="auto" w:fill="auto"/>
            <w:vAlign w:val="center"/>
          </w:tcPr>
          <w:p w14:paraId="400A6F8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239</w:t>
            </w:r>
          </w:p>
        </w:tc>
        <w:tc>
          <w:tcPr>
            <w:tcW w:w="1071" w:type="dxa"/>
            <w:shd w:val="clear" w:color="auto" w:fill="auto"/>
            <w:vAlign w:val="center"/>
          </w:tcPr>
          <w:p w14:paraId="6B65D95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D4F16F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Yarlas A, Lovley A, Guthrie S, Pollock M, Sikora Kessler A, White M</w:t>
            </w:r>
          </w:p>
        </w:tc>
        <w:tc>
          <w:tcPr>
            <w:tcW w:w="7010" w:type="dxa"/>
            <w:shd w:val="clear" w:color="auto" w:fill="auto"/>
            <w:vAlign w:val="center"/>
          </w:tcPr>
          <w:p w14:paraId="1E3135C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Disease Burden as Assessed by the Norfolk Quality of Life Scale in Hereditary Transthyretin Amyloidosis Relative to Diabetic Neuropathy</w:t>
            </w:r>
          </w:p>
        </w:tc>
        <w:tc>
          <w:tcPr>
            <w:tcW w:w="568" w:type="dxa"/>
            <w:shd w:val="clear" w:color="auto" w:fill="auto"/>
            <w:vAlign w:val="center"/>
          </w:tcPr>
          <w:p w14:paraId="60E9260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3FFF3709" w14:textId="77777777" w:rsidTr="004C3C90">
        <w:trPr>
          <w:trHeight w:val="20"/>
        </w:trPr>
        <w:tc>
          <w:tcPr>
            <w:tcW w:w="550" w:type="dxa"/>
            <w:shd w:val="clear" w:color="auto" w:fill="auto"/>
            <w:vAlign w:val="center"/>
          </w:tcPr>
          <w:p w14:paraId="6CEAC99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240</w:t>
            </w:r>
          </w:p>
        </w:tc>
        <w:tc>
          <w:tcPr>
            <w:tcW w:w="1071" w:type="dxa"/>
            <w:shd w:val="clear" w:color="auto" w:fill="auto"/>
            <w:vAlign w:val="center"/>
          </w:tcPr>
          <w:p w14:paraId="0644372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2051E9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Sangiorgi L, De La Calle M</w:t>
            </w:r>
          </w:p>
        </w:tc>
        <w:tc>
          <w:tcPr>
            <w:tcW w:w="7010" w:type="dxa"/>
            <w:shd w:val="clear" w:color="auto" w:fill="auto"/>
            <w:vAlign w:val="center"/>
          </w:tcPr>
          <w:p w14:paraId="1973B35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European Reference Network on Bone Rare Diseases (Bond Ern)</w:t>
            </w:r>
          </w:p>
        </w:tc>
        <w:tc>
          <w:tcPr>
            <w:tcW w:w="568" w:type="dxa"/>
            <w:shd w:val="clear" w:color="auto" w:fill="auto"/>
            <w:vAlign w:val="center"/>
          </w:tcPr>
          <w:p w14:paraId="06B3EFB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073A2EAB" w14:textId="77777777" w:rsidTr="004C3C90">
        <w:trPr>
          <w:trHeight w:val="20"/>
        </w:trPr>
        <w:tc>
          <w:tcPr>
            <w:tcW w:w="550" w:type="dxa"/>
            <w:shd w:val="clear" w:color="auto" w:fill="auto"/>
            <w:vAlign w:val="center"/>
          </w:tcPr>
          <w:p w14:paraId="3CEF370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241</w:t>
            </w:r>
          </w:p>
        </w:tc>
        <w:tc>
          <w:tcPr>
            <w:tcW w:w="1071" w:type="dxa"/>
            <w:shd w:val="clear" w:color="auto" w:fill="auto"/>
            <w:vAlign w:val="center"/>
          </w:tcPr>
          <w:p w14:paraId="401ECA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849A5D8" w14:textId="77777777" w:rsidR="004C3C90" w:rsidRPr="004C3C90" w:rsidRDefault="004C3C90" w:rsidP="004C3C90">
            <w:pPr>
              <w:pBdr>
                <w:top w:val="none" w:sz="0" w:space="0" w:color="000000"/>
                <w:bottom w:val="none" w:sz="0" w:space="0" w:color="000000"/>
                <w:right w:val="none" w:sz="0" w:space="0" w:color="000000"/>
                <w:between w:val="none" w:sz="0" w:space="0" w:color="000000"/>
              </w:pBdr>
              <w:shd w:val="clear" w:color="auto" w:fill="FFFFFF"/>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Valerie Salvatore V, Alan Gilstrap A, Karren R Williams KR, et al. </w:t>
            </w:r>
          </w:p>
        </w:tc>
        <w:tc>
          <w:tcPr>
            <w:tcW w:w="7010" w:type="dxa"/>
            <w:shd w:val="clear" w:color="auto" w:fill="auto"/>
            <w:vAlign w:val="center"/>
          </w:tcPr>
          <w:p w14:paraId="3C6C4A4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Evaluating the Impact of Peer Support and Connection on the Quality of Life of Patients with Familial Chylomicronemia Syndrome</w:t>
            </w:r>
          </w:p>
        </w:tc>
        <w:tc>
          <w:tcPr>
            <w:tcW w:w="568" w:type="dxa"/>
            <w:shd w:val="clear" w:color="auto" w:fill="auto"/>
            <w:vAlign w:val="center"/>
          </w:tcPr>
          <w:p w14:paraId="216A548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91D0B13" w14:textId="77777777" w:rsidTr="004C3C90">
        <w:trPr>
          <w:trHeight w:val="20"/>
        </w:trPr>
        <w:tc>
          <w:tcPr>
            <w:tcW w:w="550" w:type="dxa"/>
            <w:shd w:val="clear" w:color="auto" w:fill="auto"/>
            <w:vAlign w:val="center"/>
          </w:tcPr>
          <w:p w14:paraId="5E1D054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242</w:t>
            </w:r>
          </w:p>
        </w:tc>
        <w:tc>
          <w:tcPr>
            <w:tcW w:w="1071" w:type="dxa"/>
            <w:shd w:val="clear" w:color="auto" w:fill="auto"/>
            <w:vAlign w:val="center"/>
          </w:tcPr>
          <w:p w14:paraId="1A5F4BC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4EA0D5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Yadav D, Kumar R, Bal C</w:t>
            </w:r>
          </w:p>
        </w:tc>
        <w:tc>
          <w:tcPr>
            <w:tcW w:w="7010" w:type="dxa"/>
            <w:shd w:val="clear" w:color="auto" w:fill="auto"/>
            <w:vAlign w:val="center"/>
          </w:tcPr>
          <w:p w14:paraId="320EC7D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F-18 Fdg Pet/Ct Imaging in Staging and Response Assessment in Children with Langerhans Cell Histiocytosis</w:t>
            </w:r>
          </w:p>
        </w:tc>
        <w:tc>
          <w:tcPr>
            <w:tcW w:w="568" w:type="dxa"/>
            <w:shd w:val="clear" w:color="auto" w:fill="auto"/>
            <w:vAlign w:val="center"/>
          </w:tcPr>
          <w:p w14:paraId="7C14E83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0F97754A" w14:textId="77777777" w:rsidTr="004C3C90">
        <w:trPr>
          <w:trHeight w:val="20"/>
        </w:trPr>
        <w:tc>
          <w:tcPr>
            <w:tcW w:w="550" w:type="dxa"/>
            <w:shd w:val="clear" w:color="auto" w:fill="auto"/>
            <w:vAlign w:val="center"/>
          </w:tcPr>
          <w:p w14:paraId="7A3EBF3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243</w:t>
            </w:r>
          </w:p>
        </w:tc>
        <w:tc>
          <w:tcPr>
            <w:tcW w:w="1071" w:type="dxa"/>
            <w:shd w:val="clear" w:color="auto" w:fill="auto"/>
            <w:vAlign w:val="center"/>
          </w:tcPr>
          <w:p w14:paraId="543B006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68BD58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Serra M, Morgunovsky-Michell I, Barrientos S</w:t>
            </w:r>
          </w:p>
        </w:tc>
        <w:tc>
          <w:tcPr>
            <w:tcW w:w="7010" w:type="dxa"/>
            <w:shd w:val="clear" w:color="auto" w:fill="auto"/>
            <w:vAlign w:val="center"/>
          </w:tcPr>
          <w:p w14:paraId="6D8B488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How Much Do Physicians Know About Hht? A Survey-Based Cross Sectional Study</w:t>
            </w:r>
          </w:p>
        </w:tc>
        <w:tc>
          <w:tcPr>
            <w:tcW w:w="568" w:type="dxa"/>
            <w:shd w:val="clear" w:color="auto" w:fill="auto"/>
            <w:vAlign w:val="center"/>
          </w:tcPr>
          <w:p w14:paraId="136B1F2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5719DDF" w14:textId="77777777" w:rsidTr="004C3C90">
        <w:trPr>
          <w:trHeight w:val="20"/>
        </w:trPr>
        <w:tc>
          <w:tcPr>
            <w:tcW w:w="550" w:type="dxa"/>
            <w:shd w:val="clear" w:color="auto" w:fill="auto"/>
            <w:vAlign w:val="center"/>
          </w:tcPr>
          <w:p w14:paraId="407B41F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244</w:t>
            </w:r>
          </w:p>
        </w:tc>
        <w:tc>
          <w:tcPr>
            <w:tcW w:w="1071" w:type="dxa"/>
            <w:shd w:val="clear" w:color="auto" w:fill="auto"/>
            <w:vAlign w:val="center"/>
          </w:tcPr>
          <w:p w14:paraId="539F8A4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A87EFC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Yarlas A, Sikora Kessler A, Lovley A, Guthrie S, Pollock M, White MK</w:t>
            </w:r>
          </w:p>
        </w:tc>
        <w:tc>
          <w:tcPr>
            <w:tcW w:w="7010" w:type="dxa"/>
            <w:shd w:val="clear" w:color="auto" w:fill="auto"/>
            <w:vAlign w:val="center"/>
          </w:tcPr>
          <w:p w14:paraId="3C066B0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Impact of Inotersen on Generic Health-Related Quality of Life for Patients with Hattr Amyloidosis: Results from a Double-Blind Placebo-Controlled Trial</w:t>
            </w:r>
          </w:p>
        </w:tc>
        <w:tc>
          <w:tcPr>
            <w:tcW w:w="568" w:type="dxa"/>
            <w:shd w:val="clear" w:color="auto" w:fill="auto"/>
            <w:vAlign w:val="center"/>
          </w:tcPr>
          <w:p w14:paraId="5D45AFA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25B11D30" w14:textId="77777777" w:rsidTr="004C3C90">
        <w:trPr>
          <w:trHeight w:val="20"/>
        </w:trPr>
        <w:tc>
          <w:tcPr>
            <w:tcW w:w="550" w:type="dxa"/>
            <w:shd w:val="clear" w:color="auto" w:fill="auto"/>
            <w:vAlign w:val="center"/>
          </w:tcPr>
          <w:p w14:paraId="02C250E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245</w:t>
            </w:r>
          </w:p>
        </w:tc>
        <w:tc>
          <w:tcPr>
            <w:tcW w:w="1071" w:type="dxa"/>
            <w:shd w:val="clear" w:color="auto" w:fill="auto"/>
            <w:vAlign w:val="center"/>
          </w:tcPr>
          <w:p w14:paraId="73A7509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4CA948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Wirrell EC, Vanderwiel AJ, Nickels L, Vanderwiel SL, Nickels KC</w:t>
            </w:r>
          </w:p>
        </w:tc>
        <w:tc>
          <w:tcPr>
            <w:tcW w:w="7010" w:type="dxa"/>
            <w:shd w:val="clear" w:color="auto" w:fill="auto"/>
            <w:vAlign w:val="center"/>
          </w:tcPr>
          <w:p w14:paraId="1AB2004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Impact of Prior Authorization of Aeds on Children with Epilepsy</w:t>
            </w:r>
          </w:p>
        </w:tc>
        <w:tc>
          <w:tcPr>
            <w:tcW w:w="568" w:type="dxa"/>
            <w:shd w:val="clear" w:color="auto" w:fill="auto"/>
            <w:vAlign w:val="center"/>
          </w:tcPr>
          <w:p w14:paraId="39C06A0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245E0E86" w14:textId="77777777" w:rsidTr="004C3C90">
        <w:trPr>
          <w:trHeight w:val="20"/>
        </w:trPr>
        <w:tc>
          <w:tcPr>
            <w:tcW w:w="550" w:type="dxa"/>
            <w:shd w:val="clear" w:color="auto" w:fill="auto"/>
            <w:vAlign w:val="center"/>
          </w:tcPr>
          <w:p w14:paraId="16B9713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246</w:t>
            </w:r>
          </w:p>
        </w:tc>
        <w:tc>
          <w:tcPr>
            <w:tcW w:w="1071" w:type="dxa"/>
            <w:shd w:val="clear" w:color="auto" w:fill="auto"/>
            <w:vAlign w:val="center"/>
          </w:tcPr>
          <w:p w14:paraId="6338F5F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B41CEC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Polydefis M, Cruz MW, Dyck P</w:t>
            </w:r>
          </w:p>
        </w:tc>
        <w:tc>
          <w:tcPr>
            <w:tcW w:w="7010" w:type="dxa"/>
            <w:shd w:val="clear" w:color="auto" w:fill="auto"/>
            <w:vAlign w:val="center"/>
          </w:tcPr>
          <w:p w14:paraId="46A6FA1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Inotersen Improved Norfolk Quality of Life-Diabetic Neuropathy (Norfolk Qol-Dn) Measures in Patients with Hereditary Transthyretin (Hattr) Amyloidosis Treated in the Phase-3 Study Neuro-Ttr</w:t>
            </w:r>
          </w:p>
        </w:tc>
        <w:tc>
          <w:tcPr>
            <w:tcW w:w="568" w:type="dxa"/>
            <w:shd w:val="clear" w:color="auto" w:fill="auto"/>
            <w:vAlign w:val="center"/>
          </w:tcPr>
          <w:p w14:paraId="0ED534F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135A6E22" w14:textId="77777777" w:rsidTr="004C3C90">
        <w:trPr>
          <w:trHeight w:val="20"/>
        </w:trPr>
        <w:tc>
          <w:tcPr>
            <w:tcW w:w="550" w:type="dxa"/>
            <w:shd w:val="clear" w:color="auto" w:fill="auto"/>
            <w:vAlign w:val="center"/>
          </w:tcPr>
          <w:p w14:paraId="475FEAE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247</w:t>
            </w:r>
          </w:p>
        </w:tc>
        <w:tc>
          <w:tcPr>
            <w:tcW w:w="1071" w:type="dxa"/>
            <w:shd w:val="clear" w:color="auto" w:fill="auto"/>
            <w:vAlign w:val="center"/>
          </w:tcPr>
          <w:p w14:paraId="45C3203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9B7D3B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Zurynski YA, Deverell M, Christodoulou J, Leonard H, Dalkeith T, Johnson S, Elliott EJ</w:t>
            </w:r>
          </w:p>
        </w:tc>
        <w:tc>
          <w:tcPr>
            <w:tcW w:w="7010" w:type="dxa"/>
            <w:shd w:val="clear" w:color="auto" w:fill="auto"/>
            <w:vAlign w:val="center"/>
          </w:tcPr>
          <w:p w14:paraId="4C4114D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It's Worse When You're Sick in the Country: Access Barriers and High out-of-Pocket Health Costs for Children with Rare Chronic and Complex Diseases</w:t>
            </w:r>
          </w:p>
        </w:tc>
        <w:tc>
          <w:tcPr>
            <w:tcW w:w="568" w:type="dxa"/>
            <w:shd w:val="clear" w:color="auto" w:fill="auto"/>
            <w:vAlign w:val="center"/>
          </w:tcPr>
          <w:p w14:paraId="77C9CA1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02E2E712" w14:textId="77777777" w:rsidTr="004C3C90">
        <w:trPr>
          <w:trHeight w:val="20"/>
        </w:trPr>
        <w:tc>
          <w:tcPr>
            <w:tcW w:w="550" w:type="dxa"/>
            <w:shd w:val="clear" w:color="auto" w:fill="auto"/>
            <w:vAlign w:val="center"/>
          </w:tcPr>
          <w:p w14:paraId="0F3FD46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248</w:t>
            </w:r>
          </w:p>
        </w:tc>
        <w:tc>
          <w:tcPr>
            <w:tcW w:w="1071" w:type="dxa"/>
            <w:shd w:val="clear" w:color="auto" w:fill="auto"/>
            <w:vAlign w:val="center"/>
          </w:tcPr>
          <w:p w14:paraId="1EC4939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65FD53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Yamamoto N, Ohashi N, Kato K</w:t>
            </w:r>
          </w:p>
        </w:tc>
        <w:tc>
          <w:tcPr>
            <w:tcW w:w="7010" w:type="dxa"/>
            <w:shd w:val="clear" w:color="auto" w:fill="auto"/>
            <w:vAlign w:val="center"/>
          </w:tcPr>
          <w:p w14:paraId="5583570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Making Supportive Guidance for Gathering and Sharing Clinical and -Omics Data to Develop Next-Generation Medicine under the Recent Legislative Efforts to Protect Personal Information</w:t>
            </w:r>
          </w:p>
        </w:tc>
        <w:tc>
          <w:tcPr>
            <w:tcW w:w="568" w:type="dxa"/>
            <w:shd w:val="clear" w:color="auto" w:fill="auto"/>
            <w:vAlign w:val="center"/>
          </w:tcPr>
          <w:p w14:paraId="2AAE7C4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1B8B27CC" w14:textId="77777777" w:rsidTr="004C3C90">
        <w:trPr>
          <w:trHeight w:val="20"/>
        </w:trPr>
        <w:tc>
          <w:tcPr>
            <w:tcW w:w="550" w:type="dxa"/>
            <w:shd w:val="clear" w:color="auto" w:fill="auto"/>
            <w:vAlign w:val="center"/>
          </w:tcPr>
          <w:p w14:paraId="55C75C4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249</w:t>
            </w:r>
          </w:p>
        </w:tc>
        <w:tc>
          <w:tcPr>
            <w:tcW w:w="1071" w:type="dxa"/>
            <w:shd w:val="clear" w:color="auto" w:fill="auto"/>
            <w:vAlign w:val="center"/>
          </w:tcPr>
          <w:p w14:paraId="5C2B04B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9613F9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Spencer-Tansley R, Hunter A</w:t>
            </w:r>
          </w:p>
        </w:tc>
        <w:tc>
          <w:tcPr>
            <w:tcW w:w="7010" w:type="dxa"/>
            <w:shd w:val="clear" w:color="auto" w:fill="auto"/>
            <w:vAlign w:val="center"/>
          </w:tcPr>
          <w:p w14:paraId="22D2676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Mental Health and Rare Diseases: Mixed Methods Study and Policy Recommendations</w:t>
            </w:r>
          </w:p>
        </w:tc>
        <w:tc>
          <w:tcPr>
            <w:tcW w:w="568" w:type="dxa"/>
            <w:shd w:val="clear" w:color="auto" w:fill="auto"/>
            <w:vAlign w:val="center"/>
          </w:tcPr>
          <w:p w14:paraId="7CD53CD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D7D9D64" w14:textId="77777777" w:rsidTr="004C3C90">
        <w:trPr>
          <w:trHeight w:val="20"/>
        </w:trPr>
        <w:tc>
          <w:tcPr>
            <w:tcW w:w="550" w:type="dxa"/>
            <w:shd w:val="clear" w:color="auto" w:fill="auto"/>
            <w:vAlign w:val="center"/>
          </w:tcPr>
          <w:p w14:paraId="448278F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250</w:t>
            </w:r>
          </w:p>
        </w:tc>
        <w:tc>
          <w:tcPr>
            <w:tcW w:w="1071" w:type="dxa"/>
            <w:shd w:val="clear" w:color="auto" w:fill="auto"/>
            <w:vAlign w:val="center"/>
          </w:tcPr>
          <w:p w14:paraId="5C67EDA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A16046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González GM, Casillas-Vega N, Garza-González E, et al. </w:t>
            </w:r>
          </w:p>
        </w:tc>
        <w:tc>
          <w:tcPr>
            <w:tcW w:w="7010" w:type="dxa"/>
            <w:shd w:val="clear" w:color="auto" w:fill="auto"/>
            <w:vAlign w:val="center"/>
          </w:tcPr>
          <w:p w14:paraId="59B3B53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Molecular Typing of Clinical Cryptococcus Neoformans and C. Gattii Species Complexes and Cryptococcal Antigen Screening Program in Iran-What Can We Do?...5th Iranian Congress in Medical Mycology, Tehran, Iran, Dec 4-6, 2018</w:t>
            </w:r>
          </w:p>
        </w:tc>
        <w:tc>
          <w:tcPr>
            <w:tcW w:w="568" w:type="dxa"/>
            <w:shd w:val="clear" w:color="auto" w:fill="auto"/>
            <w:vAlign w:val="center"/>
          </w:tcPr>
          <w:p w14:paraId="5E3CCC7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1AE26EA4" w14:textId="77777777" w:rsidTr="004C3C90">
        <w:trPr>
          <w:trHeight w:val="20"/>
        </w:trPr>
        <w:tc>
          <w:tcPr>
            <w:tcW w:w="550" w:type="dxa"/>
            <w:shd w:val="clear" w:color="auto" w:fill="auto"/>
            <w:vAlign w:val="center"/>
          </w:tcPr>
          <w:p w14:paraId="370BF83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251</w:t>
            </w:r>
          </w:p>
        </w:tc>
        <w:tc>
          <w:tcPr>
            <w:tcW w:w="1071" w:type="dxa"/>
            <w:shd w:val="clear" w:color="auto" w:fill="auto"/>
            <w:vAlign w:val="center"/>
          </w:tcPr>
          <w:p w14:paraId="613D5B1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9DCAC1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Schroder C, Cardoso F, Dijkstra N</w:t>
            </w:r>
          </w:p>
        </w:tc>
        <w:tc>
          <w:tcPr>
            <w:tcW w:w="7010" w:type="dxa"/>
            <w:shd w:val="clear" w:color="auto" w:fill="auto"/>
            <w:vAlign w:val="center"/>
          </w:tcPr>
          <w:p w14:paraId="71C3D32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Quality of Life (Qol) in Male Breast Cancer (Bc): Prospective Study of the Eortc10085/Tbcrc029/Big2-07/Nabcg International Male Bc Program</w:t>
            </w:r>
          </w:p>
        </w:tc>
        <w:tc>
          <w:tcPr>
            <w:tcW w:w="568" w:type="dxa"/>
            <w:shd w:val="clear" w:color="auto" w:fill="auto"/>
            <w:vAlign w:val="center"/>
          </w:tcPr>
          <w:p w14:paraId="0088CB0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8418922" w14:textId="77777777" w:rsidTr="004C3C90">
        <w:trPr>
          <w:trHeight w:val="20"/>
        </w:trPr>
        <w:tc>
          <w:tcPr>
            <w:tcW w:w="550" w:type="dxa"/>
            <w:shd w:val="clear" w:color="auto" w:fill="auto"/>
            <w:vAlign w:val="center"/>
          </w:tcPr>
          <w:p w14:paraId="7BBB56E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252</w:t>
            </w:r>
          </w:p>
        </w:tc>
        <w:tc>
          <w:tcPr>
            <w:tcW w:w="1071" w:type="dxa"/>
            <w:shd w:val="clear" w:color="auto" w:fill="auto"/>
            <w:vAlign w:val="center"/>
          </w:tcPr>
          <w:p w14:paraId="5D01D2A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9FAC36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Sparring V, Tschank J, Handler K, Mansoory E</w:t>
            </w:r>
          </w:p>
        </w:tc>
        <w:tc>
          <w:tcPr>
            <w:tcW w:w="7010" w:type="dxa"/>
            <w:shd w:val="clear" w:color="auto" w:fill="auto"/>
            <w:vAlign w:val="center"/>
          </w:tcPr>
          <w:p w14:paraId="142740D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Social and Economic Impact of a Case Management Approach for People with Rare and Complex Conditions in Salaj, Romania</w:t>
            </w:r>
          </w:p>
        </w:tc>
        <w:tc>
          <w:tcPr>
            <w:tcW w:w="568" w:type="dxa"/>
            <w:shd w:val="clear" w:color="auto" w:fill="auto"/>
            <w:vAlign w:val="center"/>
          </w:tcPr>
          <w:p w14:paraId="40EFBD6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26F381D3" w14:textId="77777777" w:rsidTr="004C3C90">
        <w:trPr>
          <w:trHeight w:val="20"/>
        </w:trPr>
        <w:tc>
          <w:tcPr>
            <w:tcW w:w="550" w:type="dxa"/>
            <w:shd w:val="clear" w:color="auto" w:fill="auto"/>
            <w:vAlign w:val="center"/>
          </w:tcPr>
          <w:p w14:paraId="1536B51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253</w:t>
            </w:r>
          </w:p>
        </w:tc>
        <w:tc>
          <w:tcPr>
            <w:tcW w:w="1071" w:type="dxa"/>
            <w:shd w:val="clear" w:color="auto" w:fill="auto"/>
            <w:vAlign w:val="center"/>
          </w:tcPr>
          <w:p w14:paraId="6ECE281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5E4FA6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Suzuki H, Matsuzaki J, SHimoda M, Mori H, Fukuhara S, Kanai Y, Kanai T</w:t>
            </w:r>
          </w:p>
        </w:tc>
        <w:tc>
          <w:tcPr>
            <w:tcW w:w="7010" w:type="dxa"/>
            <w:shd w:val="clear" w:color="auto" w:fill="auto"/>
            <w:vAlign w:val="center"/>
          </w:tcPr>
          <w:p w14:paraId="6C6751F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Specific Prediction of Duodenal Tumor Using Demographic and Endoscopic Characteristics: An Age-and Sex-Matched Case-Control Study</w:t>
            </w:r>
          </w:p>
        </w:tc>
        <w:tc>
          <w:tcPr>
            <w:tcW w:w="568" w:type="dxa"/>
            <w:shd w:val="clear" w:color="auto" w:fill="auto"/>
            <w:vAlign w:val="center"/>
          </w:tcPr>
          <w:p w14:paraId="52BFE65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0E04E6D" w14:textId="77777777" w:rsidTr="004C3C90">
        <w:trPr>
          <w:trHeight w:val="20"/>
        </w:trPr>
        <w:tc>
          <w:tcPr>
            <w:tcW w:w="550" w:type="dxa"/>
            <w:shd w:val="clear" w:color="auto" w:fill="auto"/>
            <w:vAlign w:val="center"/>
          </w:tcPr>
          <w:p w14:paraId="66C851A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254</w:t>
            </w:r>
          </w:p>
        </w:tc>
        <w:tc>
          <w:tcPr>
            <w:tcW w:w="1071" w:type="dxa"/>
            <w:shd w:val="clear" w:color="auto" w:fill="auto"/>
            <w:vAlign w:val="center"/>
          </w:tcPr>
          <w:p w14:paraId="2DF1FB0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7389A6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Vassoler H, Spoors J</w:t>
            </w:r>
          </w:p>
        </w:tc>
        <w:tc>
          <w:tcPr>
            <w:tcW w:w="7010" w:type="dxa"/>
            <w:shd w:val="clear" w:color="auto" w:fill="auto"/>
            <w:vAlign w:val="center"/>
          </w:tcPr>
          <w:p w14:paraId="11875CB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Tools of the Trade: Payer Approaches to High Patient Volume, Premium Priced Therapies</w:t>
            </w:r>
          </w:p>
        </w:tc>
        <w:tc>
          <w:tcPr>
            <w:tcW w:w="568" w:type="dxa"/>
            <w:shd w:val="clear" w:color="auto" w:fill="auto"/>
            <w:vAlign w:val="center"/>
          </w:tcPr>
          <w:p w14:paraId="10FCE4C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8E7B561" w14:textId="77777777" w:rsidTr="004C3C90">
        <w:trPr>
          <w:trHeight w:val="20"/>
        </w:trPr>
        <w:tc>
          <w:tcPr>
            <w:tcW w:w="550" w:type="dxa"/>
            <w:shd w:val="clear" w:color="auto" w:fill="auto"/>
            <w:vAlign w:val="center"/>
          </w:tcPr>
          <w:p w14:paraId="482D79A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255</w:t>
            </w:r>
          </w:p>
        </w:tc>
        <w:tc>
          <w:tcPr>
            <w:tcW w:w="1071" w:type="dxa"/>
            <w:shd w:val="clear" w:color="auto" w:fill="auto"/>
            <w:vAlign w:val="center"/>
          </w:tcPr>
          <w:p w14:paraId="13A19FA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A7710F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Zhang X, Zhang L, Gijsen M, Cong Z</w:t>
            </w:r>
          </w:p>
        </w:tc>
        <w:tc>
          <w:tcPr>
            <w:tcW w:w="7010" w:type="dxa"/>
            <w:shd w:val="clear" w:color="auto" w:fill="auto"/>
            <w:vAlign w:val="center"/>
          </w:tcPr>
          <w:p w14:paraId="04D326F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Treatment Pattern and Unmet Need in Adults with Philadelphia Positive (Ph+) Relapsed or Refractory (R/R) B-Cell Precursor (Bcp) Acute Lymphoblastic Leukemia (All) in Eu-5 Countries</w:t>
            </w:r>
          </w:p>
        </w:tc>
        <w:tc>
          <w:tcPr>
            <w:tcW w:w="568" w:type="dxa"/>
            <w:shd w:val="clear" w:color="auto" w:fill="auto"/>
            <w:vAlign w:val="center"/>
          </w:tcPr>
          <w:p w14:paraId="338A3A3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72A2182" w14:textId="77777777" w:rsidTr="004C3C90">
        <w:trPr>
          <w:trHeight w:val="20"/>
        </w:trPr>
        <w:tc>
          <w:tcPr>
            <w:tcW w:w="550" w:type="dxa"/>
            <w:shd w:val="clear" w:color="auto" w:fill="auto"/>
            <w:vAlign w:val="center"/>
          </w:tcPr>
          <w:p w14:paraId="4C2637E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256</w:t>
            </w:r>
          </w:p>
        </w:tc>
        <w:tc>
          <w:tcPr>
            <w:tcW w:w="1071" w:type="dxa"/>
            <w:shd w:val="clear" w:color="auto" w:fill="auto"/>
            <w:vAlign w:val="center"/>
          </w:tcPr>
          <w:p w14:paraId="713CA2A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E39419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Schiffmann I, Freund M, Engels K, Weierstall R</w:t>
            </w:r>
          </w:p>
        </w:tc>
        <w:tc>
          <w:tcPr>
            <w:tcW w:w="7010" w:type="dxa"/>
            <w:shd w:val="clear" w:color="auto" w:fill="auto"/>
            <w:vAlign w:val="center"/>
          </w:tcPr>
          <w:p w14:paraId="359695E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Understanding Magnetic Resonance Imaging in Multiple Sclerosis (Umims): Effect of an Interactive Online Education Tool on Emotions, Attitude and Knowledge in People with Multiple Sclerosis</w:t>
            </w:r>
          </w:p>
        </w:tc>
        <w:tc>
          <w:tcPr>
            <w:tcW w:w="568" w:type="dxa"/>
            <w:shd w:val="clear" w:color="auto" w:fill="auto"/>
            <w:vAlign w:val="center"/>
          </w:tcPr>
          <w:p w14:paraId="6D007F8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1BCDC1D2" w14:textId="77777777" w:rsidTr="004C3C90">
        <w:trPr>
          <w:trHeight w:val="20"/>
        </w:trPr>
        <w:tc>
          <w:tcPr>
            <w:tcW w:w="550" w:type="dxa"/>
            <w:shd w:val="clear" w:color="auto" w:fill="auto"/>
            <w:vAlign w:val="center"/>
          </w:tcPr>
          <w:p w14:paraId="3654579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257</w:t>
            </w:r>
          </w:p>
        </w:tc>
        <w:tc>
          <w:tcPr>
            <w:tcW w:w="1071" w:type="dxa"/>
            <w:shd w:val="clear" w:color="auto" w:fill="auto"/>
            <w:vAlign w:val="center"/>
          </w:tcPr>
          <w:p w14:paraId="5CB1DE4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EA9252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Upadhyay Z, Vani H, Raghupathy P</w:t>
            </w:r>
          </w:p>
        </w:tc>
        <w:tc>
          <w:tcPr>
            <w:tcW w:w="7010" w:type="dxa"/>
            <w:shd w:val="clear" w:color="auto" w:fill="auto"/>
            <w:vAlign w:val="center"/>
          </w:tcPr>
          <w:p w14:paraId="2A024CF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Unusual and Rare Association of Type I Diabetes Mellitus with Epiphyseal Dysplasia</w:t>
            </w:r>
          </w:p>
        </w:tc>
        <w:tc>
          <w:tcPr>
            <w:tcW w:w="568" w:type="dxa"/>
            <w:shd w:val="clear" w:color="auto" w:fill="auto"/>
            <w:vAlign w:val="center"/>
          </w:tcPr>
          <w:p w14:paraId="354E66E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047EE44A" w14:textId="77777777" w:rsidTr="004C3C90">
        <w:trPr>
          <w:trHeight w:val="20"/>
        </w:trPr>
        <w:tc>
          <w:tcPr>
            <w:tcW w:w="550" w:type="dxa"/>
            <w:shd w:val="clear" w:color="auto" w:fill="auto"/>
            <w:vAlign w:val="center"/>
          </w:tcPr>
          <w:p w14:paraId="3F91675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258</w:t>
            </w:r>
          </w:p>
        </w:tc>
        <w:tc>
          <w:tcPr>
            <w:tcW w:w="1071" w:type="dxa"/>
            <w:shd w:val="clear" w:color="auto" w:fill="auto"/>
            <w:vAlign w:val="center"/>
          </w:tcPr>
          <w:p w14:paraId="4836241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014262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Shovlin CL, Botella L, Geisthoff, UW</w:t>
            </w:r>
          </w:p>
        </w:tc>
        <w:tc>
          <w:tcPr>
            <w:tcW w:w="7010" w:type="dxa"/>
            <w:shd w:val="clear" w:color="auto" w:fill="auto"/>
            <w:vAlign w:val="center"/>
          </w:tcPr>
          <w:p w14:paraId="00089A2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Vascern Hht Priority Evaluations 2016-2017</w:t>
            </w:r>
          </w:p>
        </w:tc>
        <w:tc>
          <w:tcPr>
            <w:tcW w:w="568" w:type="dxa"/>
            <w:shd w:val="clear" w:color="auto" w:fill="auto"/>
            <w:vAlign w:val="center"/>
          </w:tcPr>
          <w:p w14:paraId="650ED14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0D6FCE1A" w14:textId="77777777" w:rsidTr="004C3C90">
        <w:trPr>
          <w:trHeight w:val="20"/>
        </w:trPr>
        <w:tc>
          <w:tcPr>
            <w:tcW w:w="550" w:type="dxa"/>
            <w:shd w:val="clear" w:color="auto" w:fill="auto"/>
            <w:vAlign w:val="center"/>
          </w:tcPr>
          <w:p w14:paraId="1308B00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259</w:t>
            </w:r>
          </w:p>
        </w:tc>
        <w:tc>
          <w:tcPr>
            <w:tcW w:w="1071" w:type="dxa"/>
            <w:shd w:val="clear" w:color="auto" w:fill="auto"/>
            <w:vAlign w:val="center"/>
          </w:tcPr>
          <w:p w14:paraId="4F5662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0106D4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Sahu M, Wells A, Wolfe L, Game D, Thomas K, Bultitude M</w:t>
            </w:r>
          </w:p>
        </w:tc>
        <w:tc>
          <w:tcPr>
            <w:tcW w:w="7010" w:type="dxa"/>
            <w:shd w:val="clear" w:color="auto" w:fill="auto"/>
            <w:vAlign w:val="center"/>
          </w:tcPr>
          <w:p w14:paraId="513E234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Are Patient Information Days Useful for Patients with Cystinuria?: A Patients' Perspective</w:t>
            </w:r>
          </w:p>
        </w:tc>
        <w:tc>
          <w:tcPr>
            <w:tcW w:w="568" w:type="dxa"/>
            <w:shd w:val="clear" w:color="auto" w:fill="auto"/>
            <w:vAlign w:val="center"/>
          </w:tcPr>
          <w:p w14:paraId="57DB26E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39CEC186" w14:textId="77777777" w:rsidTr="004C3C90">
        <w:trPr>
          <w:trHeight w:val="20"/>
        </w:trPr>
        <w:tc>
          <w:tcPr>
            <w:tcW w:w="550" w:type="dxa"/>
            <w:shd w:val="clear" w:color="auto" w:fill="auto"/>
            <w:vAlign w:val="center"/>
          </w:tcPr>
          <w:p w14:paraId="154263A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260</w:t>
            </w:r>
          </w:p>
        </w:tc>
        <w:tc>
          <w:tcPr>
            <w:tcW w:w="1071" w:type="dxa"/>
            <w:shd w:val="clear" w:color="auto" w:fill="auto"/>
            <w:vAlign w:val="center"/>
          </w:tcPr>
          <w:p w14:paraId="2EF6F8C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3B3D49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Robinson L, Ellison E, Rooney R, Brown C, Arnold S</w:t>
            </w:r>
          </w:p>
        </w:tc>
        <w:tc>
          <w:tcPr>
            <w:tcW w:w="7010" w:type="dxa"/>
            <w:shd w:val="clear" w:color="auto" w:fill="auto"/>
            <w:vAlign w:val="center"/>
          </w:tcPr>
          <w:p w14:paraId="34EEC7C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Assessing Consenters Attitudes and Opinions of Genetic Biorepository Research in Children</w:t>
            </w:r>
          </w:p>
        </w:tc>
        <w:tc>
          <w:tcPr>
            <w:tcW w:w="568" w:type="dxa"/>
            <w:shd w:val="clear" w:color="auto" w:fill="auto"/>
            <w:vAlign w:val="center"/>
          </w:tcPr>
          <w:p w14:paraId="4773A00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17A679F3" w14:textId="77777777" w:rsidTr="004C3C90">
        <w:trPr>
          <w:trHeight w:val="20"/>
        </w:trPr>
        <w:tc>
          <w:tcPr>
            <w:tcW w:w="550" w:type="dxa"/>
            <w:shd w:val="clear" w:color="auto" w:fill="auto"/>
            <w:vAlign w:val="center"/>
          </w:tcPr>
          <w:p w14:paraId="4BE3062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261</w:t>
            </w:r>
          </w:p>
        </w:tc>
        <w:tc>
          <w:tcPr>
            <w:tcW w:w="1071" w:type="dxa"/>
            <w:shd w:val="clear" w:color="auto" w:fill="auto"/>
            <w:vAlign w:val="center"/>
          </w:tcPr>
          <w:p w14:paraId="5F6EC84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807012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Li J</w:t>
            </w:r>
          </w:p>
        </w:tc>
        <w:tc>
          <w:tcPr>
            <w:tcW w:w="7010" w:type="dxa"/>
            <w:shd w:val="clear" w:color="auto" w:fill="auto"/>
            <w:vAlign w:val="center"/>
          </w:tcPr>
          <w:p w14:paraId="7FC4CE9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Characteristics and Treatment of 25 Children with Systemic Lupus Erythematosus Complicated with Thrombotic Microangiopathy in China</w:t>
            </w:r>
          </w:p>
        </w:tc>
        <w:tc>
          <w:tcPr>
            <w:tcW w:w="568" w:type="dxa"/>
            <w:shd w:val="clear" w:color="auto" w:fill="auto"/>
            <w:vAlign w:val="center"/>
          </w:tcPr>
          <w:p w14:paraId="3C36A6B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DAECDC0" w14:textId="77777777" w:rsidTr="004C3C90">
        <w:trPr>
          <w:trHeight w:val="20"/>
        </w:trPr>
        <w:tc>
          <w:tcPr>
            <w:tcW w:w="550" w:type="dxa"/>
            <w:shd w:val="clear" w:color="auto" w:fill="auto"/>
            <w:vAlign w:val="center"/>
          </w:tcPr>
          <w:p w14:paraId="68A10CF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262</w:t>
            </w:r>
          </w:p>
        </w:tc>
        <w:tc>
          <w:tcPr>
            <w:tcW w:w="1071" w:type="dxa"/>
            <w:shd w:val="clear" w:color="auto" w:fill="auto"/>
            <w:vAlign w:val="center"/>
          </w:tcPr>
          <w:p w14:paraId="057BF1B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EF5E9D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Calais JM, Debza Y, Leroy C, Maurey H, Wassmer E, Deiva K</w:t>
            </w:r>
          </w:p>
        </w:tc>
        <w:tc>
          <w:tcPr>
            <w:tcW w:w="7010" w:type="dxa"/>
            <w:shd w:val="clear" w:color="auto" w:fill="auto"/>
            <w:vAlign w:val="center"/>
          </w:tcPr>
          <w:p w14:paraId="3B1841C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Trials in Pediatric Multiple Sclerosis : A British-French Patient and Parent Perspective</w:t>
            </w:r>
          </w:p>
        </w:tc>
        <w:tc>
          <w:tcPr>
            <w:tcW w:w="568" w:type="dxa"/>
            <w:shd w:val="clear" w:color="auto" w:fill="auto"/>
            <w:vAlign w:val="center"/>
          </w:tcPr>
          <w:p w14:paraId="2C9F7DE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5389B1B" w14:textId="77777777" w:rsidTr="004C3C90">
        <w:trPr>
          <w:trHeight w:val="20"/>
        </w:trPr>
        <w:tc>
          <w:tcPr>
            <w:tcW w:w="550" w:type="dxa"/>
            <w:shd w:val="clear" w:color="auto" w:fill="auto"/>
            <w:vAlign w:val="center"/>
          </w:tcPr>
          <w:p w14:paraId="36184B1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263</w:t>
            </w:r>
          </w:p>
        </w:tc>
        <w:tc>
          <w:tcPr>
            <w:tcW w:w="1071" w:type="dxa"/>
            <w:shd w:val="clear" w:color="auto" w:fill="auto"/>
            <w:vAlign w:val="center"/>
          </w:tcPr>
          <w:p w14:paraId="5D05936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9F6009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Narayanan S, Olesen D</w:t>
            </w:r>
          </w:p>
        </w:tc>
        <w:tc>
          <w:tcPr>
            <w:tcW w:w="7010" w:type="dxa"/>
            <w:shd w:val="clear" w:color="auto" w:fill="auto"/>
            <w:vAlign w:val="center"/>
          </w:tcPr>
          <w:p w14:paraId="2D82411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Diagnosis of Patients with Duchenne Muscular Dystrophy (Dmd): Results from a Global Survey of Healthcare Providers from Nine Countries</w:t>
            </w:r>
          </w:p>
        </w:tc>
        <w:tc>
          <w:tcPr>
            <w:tcW w:w="568" w:type="dxa"/>
            <w:shd w:val="clear" w:color="auto" w:fill="auto"/>
            <w:vAlign w:val="center"/>
          </w:tcPr>
          <w:p w14:paraId="790879E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B3619AB" w14:textId="77777777" w:rsidTr="004C3C90">
        <w:trPr>
          <w:trHeight w:val="20"/>
        </w:trPr>
        <w:tc>
          <w:tcPr>
            <w:tcW w:w="550" w:type="dxa"/>
            <w:shd w:val="clear" w:color="auto" w:fill="auto"/>
            <w:vAlign w:val="center"/>
          </w:tcPr>
          <w:p w14:paraId="77A34A1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264</w:t>
            </w:r>
          </w:p>
        </w:tc>
        <w:tc>
          <w:tcPr>
            <w:tcW w:w="1071" w:type="dxa"/>
            <w:shd w:val="clear" w:color="auto" w:fill="auto"/>
            <w:vAlign w:val="center"/>
          </w:tcPr>
          <w:p w14:paraId="4E5DB0F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B5BBDF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Lovley A, Guthrie S, Pollokc M, White M, Sikora Kessler A, Yarlas A</w:t>
            </w:r>
          </w:p>
        </w:tc>
        <w:tc>
          <w:tcPr>
            <w:tcW w:w="7010" w:type="dxa"/>
            <w:shd w:val="clear" w:color="auto" w:fill="auto"/>
            <w:vAlign w:val="center"/>
          </w:tcPr>
          <w:p w14:paraId="09928CD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Disease Burden in Patient Subgroups of Hereditary Transthyretin Amyloidosis</w:t>
            </w:r>
          </w:p>
        </w:tc>
        <w:tc>
          <w:tcPr>
            <w:tcW w:w="568" w:type="dxa"/>
            <w:shd w:val="clear" w:color="auto" w:fill="auto"/>
            <w:vAlign w:val="center"/>
          </w:tcPr>
          <w:p w14:paraId="5631AFE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8C313ED" w14:textId="77777777" w:rsidTr="004C3C90">
        <w:trPr>
          <w:trHeight w:val="20"/>
        </w:trPr>
        <w:tc>
          <w:tcPr>
            <w:tcW w:w="550" w:type="dxa"/>
            <w:shd w:val="clear" w:color="auto" w:fill="auto"/>
            <w:vAlign w:val="center"/>
          </w:tcPr>
          <w:p w14:paraId="75838C6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265</w:t>
            </w:r>
          </w:p>
        </w:tc>
        <w:tc>
          <w:tcPr>
            <w:tcW w:w="1071" w:type="dxa"/>
            <w:shd w:val="clear" w:color="auto" w:fill="auto"/>
            <w:vAlign w:val="center"/>
          </w:tcPr>
          <w:p w14:paraId="52AE896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CDB59B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Ramchandren S, Tirella C</w:t>
            </w:r>
          </w:p>
        </w:tc>
        <w:tc>
          <w:tcPr>
            <w:tcW w:w="7010" w:type="dxa"/>
            <w:shd w:val="clear" w:color="auto" w:fill="auto"/>
            <w:vAlign w:val="center"/>
          </w:tcPr>
          <w:p w14:paraId="560E8F8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Dysautonomia in Charcot-Marie-Tooth Disease and Correlations with Patient-Reported Disability</w:t>
            </w:r>
          </w:p>
        </w:tc>
        <w:tc>
          <w:tcPr>
            <w:tcW w:w="568" w:type="dxa"/>
            <w:shd w:val="clear" w:color="auto" w:fill="auto"/>
            <w:vAlign w:val="center"/>
          </w:tcPr>
          <w:p w14:paraId="07A464F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10A91C6B" w14:textId="77777777" w:rsidTr="004C3C90">
        <w:trPr>
          <w:trHeight w:val="20"/>
        </w:trPr>
        <w:tc>
          <w:tcPr>
            <w:tcW w:w="550" w:type="dxa"/>
            <w:shd w:val="clear" w:color="auto" w:fill="auto"/>
            <w:vAlign w:val="center"/>
          </w:tcPr>
          <w:p w14:paraId="7EE0590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266</w:t>
            </w:r>
          </w:p>
        </w:tc>
        <w:tc>
          <w:tcPr>
            <w:tcW w:w="1071" w:type="dxa"/>
            <w:shd w:val="clear" w:color="auto" w:fill="auto"/>
            <w:vAlign w:val="center"/>
          </w:tcPr>
          <w:p w14:paraId="7FC3DA3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796B82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Pierre-Louis MS, Malidor JJ, Pierre-Louis L</w:t>
            </w:r>
          </w:p>
        </w:tc>
        <w:tc>
          <w:tcPr>
            <w:tcW w:w="7010" w:type="dxa"/>
            <w:shd w:val="clear" w:color="auto" w:fill="auto"/>
            <w:vAlign w:val="center"/>
          </w:tcPr>
          <w:p w14:paraId="0C23CA7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Establishment of Oral Care for Caribbean Patients with Congenital Blood Coagulation Deficiency</w:t>
            </w:r>
          </w:p>
        </w:tc>
        <w:tc>
          <w:tcPr>
            <w:tcW w:w="568" w:type="dxa"/>
            <w:shd w:val="clear" w:color="auto" w:fill="auto"/>
            <w:vAlign w:val="center"/>
          </w:tcPr>
          <w:p w14:paraId="541A512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1D9C39D2" w14:textId="77777777" w:rsidTr="004C3C90">
        <w:trPr>
          <w:trHeight w:val="20"/>
        </w:trPr>
        <w:tc>
          <w:tcPr>
            <w:tcW w:w="550" w:type="dxa"/>
            <w:shd w:val="clear" w:color="auto" w:fill="auto"/>
            <w:vAlign w:val="center"/>
          </w:tcPr>
          <w:p w14:paraId="42B3EC0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267</w:t>
            </w:r>
          </w:p>
        </w:tc>
        <w:tc>
          <w:tcPr>
            <w:tcW w:w="1071" w:type="dxa"/>
            <w:shd w:val="clear" w:color="auto" w:fill="auto"/>
            <w:vAlign w:val="center"/>
          </w:tcPr>
          <w:p w14:paraId="0B7249A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A80F46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Rahman A, Choe M, Bhatt Wilson R</w:t>
            </w:r>
          </w:p>
        </w:tc>
        <w:tc>
          <w:tcPr>
            <w:tcW w:w="7010" w:type="dxa"/>
            <w:shd w:val="clear" w:color="auto" w:fill="auto"/>
            <w:vAlign w:val="center"/>
          </w:tcPr>
          <w:p w14:paraId="002CA74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Identifying Gaps in Education in Child Neurology for Pediatric Residents at a Quaternary Care Academic Hospital</w:t>
            </w:r>
          </w:p>
        </w:tc>
        <w:tc>
          <w:tcPr>
            <w:tcW w:w="568" w:type="dxa"/>
            <w:shd w:val="clear" w:color="auto" w:fill="auto"/>
            <w:vAlign w:val="center"/>
          </w:tcPr>
          <w:p w14:paraId="4C1A077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63171F2" w14:textId="77777777" w:rsidTr="004C3C90">
        <w:trPr>
          <w:trHeight w:val="20"/>
        </w:trPr>
        <w:tc>
          <w:tcPr>
            <w:tcW w:w="550" w:type="dxa"/>
            <w:shd w:val="clear" w:color="auto" w:fill="auto"/>
            <w:vAlign w:val="center"/>
          </w:tcPr>
          <w:p w14:paraId="0D62DEE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268</w:t>
            </w:r>
          </w:p>
        </w:tc>
        <w:tc>
          <w:tcPr>
            <w:tcW w:w="1071" w:type="dxa"/>
            <w:shd w:val="clear" w:color="auto" w:fill="auto"/>
            <w:vAlign w:val="center"/>
          </w:tcPr>
          <w:p w14:paraId="250DB41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9C3638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Maza G</w:t>
            </w:r>
            <w:r w:rsidRPr="004C3C90">
              <w:rPr>
                <w:rFonts w:ascii="Times New Roman" w:eastAsia="Times New Roman" w:hAnsi="Times New Roman" w:cs="Times New Roman"/>
                <w:i/>
                <w:sz w:val="20"/>
                <w:szCs w:val="20"/>
              </w:rPr>
              <w:t xml:space="preserve">, </w:t>
            </w:r>
            <w:r w:rsidRPr="004C3C90">
              <w:rPr>
                <w:rFonts w:ascii="Times New Roman" w:eastAsia="Times New Roman" w:hAnsi="Times New Roman" w:cs="Times New Roman"/>
                <w:sz w:val="20"/>
                <w:szCs w:val="20"/>
              </w:rPr>
              <w:t>Yanez-Siller JC</w:t>
            </w:r>
            <w:r w:rsidRPr="004C3C90">
              <w:rPr>
                <w:rFonts w:ascii="Times New Roman" w:eastAsia="Times New Roman" w:hAnsi="Times New Roman" w:cs="Times New Roman"/>
                <w:i/>
                <w:sz w:val="20"/>
                <w:szCs w:val="20"/>
              </w:rPr>
              <w:t xml:space="preserve">, </w:t>
            </w:r>
            <w:r w:rsidRPr="004C3C90">
              <w:rPr>
                <w:rFonts w:ascii="Times New Roman" w:eastAsia="Times New Roman" w:hAnsi="Times New Roman" w:cs="Times New Roman"/>
                <w:sz w:val="20"/>
                <w:szCs w:val="20"/>
              </w:rPr>
              <w:t>Subramaniam S</w:t>
            </w:r>
            <w:r w:rsidRPr="004C3C90">
              <w:rPr>
                <w:rFonts w:ascii="Times New Roman" w:eastAsia="Times New Roman" w:hAnsi="Times New Roman" w:cs="Times New Roman"/>
                <w:i/>
                <w:sz w:val="20"/>
                <w:szCs w:val="20"/>
              </w:rPr>
              <w:t xml:space="preserve">, </w:t>
            </w:r>
            <w:r w:rsidRPr="004C3C90">
              <w:rPr>
                <w:rFonts w:ascii="Times New Roman" w:eastAsia="Times New Roman" w:hAnsi="Times New Roman" w:cs="Times New Roman"/>
                <w:sz w:val="20"/>
                <w:szCs w:val="20"/>
              </w:rPr>
              <w:t>Otto BA</w:t>
            </w:r>
            <w:r w:rsidRPr="004C3C90">
              <w:rPr>
                <w:rFonts w:ascii="Times New Roman" w:eastAsia="Times New Roman" w:hAnsi="Times New Roman" w:cs="Times New Roman"/>
                <w:i/>
                <w:sz w:val="20"/>
                <w:szCs w:val="20"/>
              </w:rPr>
              <w:t xml:space="preserve">, </w:t>
            </w:r>
            <w:r w:rsidRPr="004C3C90">
              <w:rPr>
                <w:rFonts w:ascii="Times New Roman" w:eastAsia="Times New Roman" w:hAnsi="Times New Roman" w:cs="Times New Roman"/>
                <w:sz w:val="20"/>
                <w:szCs w:val="20"/>
              </w:rPr>
              <w:t>Daniel PM</w:t>
            </w:r>
            <w:r w:rsidRPr="004C3C90">
              <w:rPr>
                <w:rFonts w:ascii="Times New Roman" w:eastAsia="Times New Roman" w:hAnsi="Times New Roman" w:cs="Times New Roman"/>
                <w:i/>
                <w:sz w:val="20"/>
                <w:szCs w:val="20"/>
              </w:rPr>
              <w:t xml:space="preserve">, </w:t>
            </w:r>
            <w:r w:rsidRPr="004C3C90">
              <w:rPr>
                <w:rFonts w:ascii="Times New Roman" w:eastAsia="Times New Roman" w:hAnsi="Times New Roman" w:cs="Times New Roman"/>
                <w:sz w:val="20"/>
                <w:szCs w:val="20"/>
              </w:rPr>
              <w:t>Carrau RL</w:t>
            </w:r>
          </w:p>
        </w:tc>
        <w:tc>
          <w:tcPr>
            <w:tcW w:w="7010" w:type="dxa"/>
            <w:shd w:val="clear" w:color="auto" w:fill="auto"/>
            <w:vAlign w:val="center"/>
          </w:tcPr>
          <w:p w14:paraId="77CCEA5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Incidence of Empty Nose Syndrome Following Endoscopic Endonasal Skull Base Surgery: A Preliminary Trial</w:t>
            </w:r>
          </w:p>
        </w:tc>
        <w:tc>
          <w:tcPr>
            <w:tcW w:w="568" w:type="dxa"/>
            <w:shd w:val="clear" w:color="auto" w:fill="auto"/>
            <w:vAlign w:val="center"/>
          </w:tcPr>
          <w:p w14:paraId="0B47A27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C35EB0E" w14:textId="77777777" w:rsidTr="004C3C90">
        <w:trPr>
          <w:trHeight w:val="20"/>
        </w:trPr>
        <w:tc>
          <w:tcPr>
            <w:tcW w:w="550" w:type="dxa"/>
            <w:shd w:val="clear" w:color="auto" w:fill="auto"/>
            <w:vAlign w:val="center"/>
          </w:tcPr>
          <w:p w14:paraId="41ED374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269</w:t>
            </w:r>
          </w:p>
        </w:tc>
        <w:tc>
          <w:tcPr>
            <w:tcW w:w="1071" w:type="dxa"/>
            <w:shd w:val="clear" w:color="auto" w:fill="auto"/>
            <w:vAlign w:val="center"/>
          </w:tcPr>
          <w:p w14:paraId="446E0A3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C89AF2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Moore-Hepburn C</w:t>
            </w:r>
          </w:p>
        </w:tc>
        <w:tc>
          <w:tcPr>
            <w:tcW w:w="7010" w:type="dxa"/>
            <w:shd w:val="clear" w:color="auto" w:fill="auto"/>
            <w:vAlign w:val="center"/>
          </w:tcPr>
          <w:p w14:paraId="59112B3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Influencing the National Debate on Medical Assistance in Dying (Maid): Leveraging the Canadian Paediatric Surveillance System (Cpsp) to Inform the Position of the Canadian Paediatric Society (Cps)</w:t>
            </w:r>
          </w:p>
        </w:tc>
        <w:tc>
          <w:tcPr>
            <w:tcW w:w="568" w:type="dxa"/>
            <w:shd w:val="clear" w:color="auto" w:fill="auto"/>
            <w:vAlign w:val="center"/>
          </w:tcPr>
          <w:p w14:paraId="02B45BE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5E05682" w14:textId="77777777" w:rsidTr="004C3C90">
        <w:trPr>
          <w:trHeight w:val="20"/>
        </w:trPr>
        <w:tc>
          <w:tcPr>
            <w:tcW w:w="550" w:type="dxa"/>
            <w:shd w:val="clear" w:color="auto" w:fill="auto"/>
            <w:vAlign w:val="center"/>
          </w:tcPr>
          <w:p w14:paraId="1B875EE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270</w:t>
            </w:r>
          </w:p>
        </w:tc>
        <w:tc>
          <w:tcPr>
            <w:tcW w:w="1071" w:type="dxa"/>
            <w:shd w:val="clear" w:color="auto" w:fill="auto"/>
            <w:vAlign w:val="center"/>
          </w:tcPr>
          <w:p w14:paraId="3350236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46AE05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Lommelé A, De Schoolmeester M</w:t>
            </w:r>
          </w:p>
        </w:tc>
        <w:tc>
          <w:tcPr>
            <w:tcW w:w="7010" w:type="dxa"/>
            <w:shd w:val="clear" w:color="auto" w:fill="auto"/>
            <w:vAlign w:val="center"/>
          </w:tcPr>
          <w:p w14:paraId="332D2CB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Involving Patients in Research from an Industry-Sponsored Registry</w:t>
            </w:r>
          </w:p>
        </w:tc>
        <w:tc>
          <w:tcPr>
            <w:tcW w:w="568" w:type="dxa"/>
            <w:shd w:val="clear" w:color="auto" w:fill="auto"/>
            <w:vAlign w:val="center"/>
          </w:tcPr>
          <w:p w14:paraId="671A454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3FB939BF" w14:textId="77777777" w:rsidTr="004C3C90">
        <w:trPr>
          <w:trHeight w:val="20"/>
        </w:trPr>
        <w:tc>
          <w:tcPr>
            <w:tcW w:w="550" w:type="dxa"/>
            <w:shd w:val="clear" w:color="auto" w:fill="auto"/>
            <w:vAlign w:val="center"/>
          </w:tcPr>
          <w:p w14:paraId="3A63AF6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271</w:t>
            </w:r>
          </w:p>
        </w:tc>
        <w:tc>
          <w:tcPr>
            <w:tcW w:w="1071" w:type="dxa"/>
            <w:shd w:val="clear" w:color="auto" w:fill="auto"/>
            <w:vAlign w:val="center"/>
          </w:tcPr>
          <w:p w14:paraId="1D4C540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440CCC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Quock T</w:t>
            </w:r>
          </w:p>
        </w:tc>
        <w:tc>
          <w:tcPr>
            <w:tcW w:w="7010" w:type="dxa"/>
            <w:shd w:val="clear" w:color="auto" w:fill="auto"/>
            <w:vAlign w:val="center"/>
          </w:tcPr>
          <w:p w14:paraId="14FC397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Overcoming Research Challenges in Observational Studies of Rare Diseases: Lessons Learned from Amyloid Light Chain Amyloidosis</w:t>
            </w:r>
          </w:p>
        </w:tc>
        <w:tc>
          <w:tcPr>
            <w:tcW w:w="568" w:type="dxa"/>
            <w:shd w:val="clear" w:color="auto" w:fill="auto"/>
            <w:vAlign w:val="center"/>
          </w:tcPr>
          <w:p w14:paraId="2B35884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5530686" w14:textId="77777777" w:rsidTr="004C3C90">
        <w:trPr>
          <w:trHeight w:val="20"/>
        </w:trPr>
        <w:tc>
          <w:tcPr>
            <w:tcW w:w="550" w:type="dxa"/>
            <w:shd w:val="clear" w:color="auto" w:fill="auto"/>
            <w:vAlign w:val="center"/>
          </w:tcPr>
          <w:p w14:paraId="3FE9323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272</w:t>
            </w:r>
          </w:p>
        </w:tc>
        <w:tc>
          <w:tcPr>
            <w:tcW w:w="1071" w:type="dxa"/>
            <w:shd w:val="clear" w:color="auto" w:fill="auto"/>
            <w:vAlign w:val="center"/>
          </w:tcPr>
          <w:p w14:paraId="703791E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EE4969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Nestler-Parr S, Upadhyaya S</w:t>
            </w:r>
          </w:p>
        </w:tc>
        <w:tc>
          <w:tcPr>
            <w:tcW w:w="7010" w:type="dxa"/>
            <w:shd w:val="clear" w:color="auto" w:fill="auto"/>
            <w:vAlign w:val="center"/>
          </w:tcPr>
          <w:p w14:paraId="42730DA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 Goup Experiences of Engagement in Health Technology Appraisals for Rare Disease Treatments-a Pilot Study in the Uk</w:t>
            </w:r>
          </w:p>
        </w:tc>
        <w:tc>
          <w:tcPr>
            <w:tcW w:w="568" w:type="dxa"/>
            <w:shd w:val="clear" w:color="auto" w:fill="auto"/>
            <w:vAlign w:val="center"/>
          </w:tcPr>
          <w:p w14:paraId="52DEB85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22A61126" w14:textId="77777777" w:rsidTr="004C3C90">
        <w:trPr>
          <w:trHeight w:val="20"/>
        </w:trPr>
        <w:tc>
          <w:tcPr>
            <w:tcW w:w="550" w:type="dxa"/>
            <w:shd w:val="clear" w:color="auto" w:fill="auto"/>
            <w:vAlign w:val="center"/>
          </w:tcPr>
          <w:p w14:paraId="1D2E148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273</w:t>
            </w:r>
          </w:p>
        </w:tc>
        <w:tc>
          <w:tcPr>
            <w:tcW w:w="1071" w:type="dxa"/>
            <w:shd w:val="clear" w:color="auto" w:fill="auto"/>
            <w:vAlign w:val="center"/>
          </w:tcPr>
          <w:p w14:paraId="0BD559D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2E3E00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Morrison A, Weigl M, Prӓhofer A</w:t>
            </w:r>
          </w:p>
        </w:tc>
        <w:tc>
          <w:tcPr>
            <w:tcW w:w="7010" w:type="dxa"/>
            <w:shd w:val="clear" w:color="auto" w:fill="auto"/>
            <w:vAlign w:val="center"/>
          </w:tcPr>
          <w:p w14:paraId="4B152C8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 Organisations Working in Partnership to Research the Patient Experience of Rare Diseases: The Mps Iii Survey</w:t>
            </w:r>
          </w:p>
        </w:tc>
        <w:tc>
          <w:tcPr>
            <w:tcW w:w="568" w:type="dxa"/>
            <w:shd w:val="clear" w:color="auto" w:fill="auto"/>
            <w:vAlign w:val="center"/>
          </w:tcPr>
          <w:p w14:paraId="065915C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358C4A0" w14:textId="77777777" w:rsidTr="004C3C90">
        <w:trPr>
          <w:trHeight w:val="20"/>
        </w:trPr>
        <w:tc>
          <w:tcPr>
            <w:tcW w:w="550" w:type="dxa"/>
            <w:shd w:val="clear" w:color="auto" w:fill="auto"/>
            <w:vAlign w:val="center"/>
          </w:tcPr>
          <w:p w14:paraId="57EC90B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274</w:t>
            </w:r>
          </w:p>
        </w:tc>
        <w:tc>
          <w:tcPr>
            <w:tcW w:w="1071" w:type="dxa"/>
            <w:shd w:val="clear" w:color="auto" w:fill="auto"/>
            <w:vAlign w:val="center"/>
          </w:tcPr>
          <w:p w14:paraId="2978488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683DFB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Müller von der Grün J, Bon D, Rödel C, Balermpas P</w:t>
            </w:r>
          </w:p>
        </w:tc>
        <w:tc>
          <w:tcPr>
            <w:tcW w:w="7010" w:type="dxa"/>
            <w:shd w:val="clear" w:color="auto" w:fill="auto"/>
            <w:vAlign w:val="center"/>
          </w:tcPr>
          <w:p w14:paraId="0C29C2C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Patterns of Care Analysis for Head &amp; Neck Cancer of Unknown Primary Site: A Survey inside the German Society of Radiation Oncology (Degro)</w:t>
            </w:r>
          </w:p>
        </w:tc>
        <w:tc>
          <w:tcPr>
            <w:tcW w:w="568" w:type="dxa"/>
            <w:shd w:val="clear" w:color="auto" w:fill="auto"/>
            <w:vAlign w:val="center"/>
          </w:tcPr>
          <w:p w14:paraId="392108B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245E418" w14:textId="77777777" w:rsidTr="004C3C90">
        <w:trPr>
          <w:trHeight w:val="20"/>
        </w:trPr>
        <w:tc>
          <w:tcPr>
            <w:tcW w:w="550" w:type="dxa"/>
            <w:shd w:val="clear" w:color="auto" w:fill="auto"/>
            <w:vAlign w:val="center"/>
          </w:tcPr>
          <w:p w14:paraId="3F7C0E0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275</w:t>
            </w:r>
          </w:p>
        </w:tc>
        <w:tc>
          <w:tcPr>
            <w:tcW w:w="1071" w:type="dxa"/>
            <w:shd w:val="clear" w:color="auto" w:fill="auto"/>
            <w:vAlign w:val="center"/>
          </w:tcPr>
          <w:p w14:paraId="153335E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8A8A9F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Palma JA, Krismer F, Meissner W, Kaufmann H, Norcliffe-Kaufmann L</w:t>
            </w:r>
          </w:p>
        </w:tc>
        <w:tc>
          <w:tcPr>
            <w:tcW w:w="7010" w:type="dxa"/>
            <w:shd w:val="clear" w:color="auto" w:fill="auto"/>
            <w:vAlign w:val="center"/>
          </w:tcPr>
          <w:p w14:paraId="298CBBD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Preliminary Results of the Global Multiple System Atrophy Registry: An Internet-Based Patient-Reported Registry</w:t>
            </w:r>
          </w:p>
        </w:tc>
        <w:tc>
          <w:tcPr>
            <w:tcW w:w="568" w:type="dxa"/>
            <w:shd w:val="clear" w:color="auto" w:fill="auto"/>
            <w:vAlign w:val="center"/>
          </w:tcPr>
          <w:p w14:paraId="170F553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658D9E5" w14:textId="77777777" w:rsidTr="004C3C90">
        <w:trPr>
          <w:trHeight w:val="20"/>
        </w:trPr>
        <w:tc>
          <w:tcPr>
            <w:tcW w:w="550" w:type="dxa"/>
            <w:shd w:val="clear" w:color="auto" w:fill="auto"/>
            <w:vAlign w:val="center"/>
          </w:tcPr>
          <w:p w14:paraId="0E4C4BE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276</w:t>
            </w:r>
          </w:p>
        </w:tc>
        <w:tc>
          <w:tcPr>
            <w:tcW w:w="1071" w:type="dxa"/>
            <w:shd w:val="clear" w:color="auto" w:fill="auto"/>
            <w:vAlign w:val="center"/>
          </w:tcPr>
          <w:p w14:paraId="2007C4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507E46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Regier DS, Ottolini M, Summar M</w:t>
            </w:r>
          </w:p>
        </w:tc>
        <w:tc>
          <w:tcPr>
            <w:tcW w:w="7010" w:type="dxa"/>
            <w:shd w:val="clear" w:color="auto" w:fill="auto"/>
            <w:vAlign w:val="center"/>
          </w:tcPr>
          <w:p w14:paraId="7AD192C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Rare Diseases Research Certificate Program: Equipping the Next Generation in Rare Disease Research</w:t>
            </w:r>
          </w:p>
        </w:tc>
        <w:tc>
          <w:tcPr>
            <w:tcW w:w="568" w:type="dxa"/>
            <w:shd w:val="clear" w:color="auto" w:fill="auto"/>
            <w:vAlign w:val="center"/>
          </w:tcPr>
          <w:p w14:paraId="54F92DA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202E0360" w14:textId="77777777" w:rsidTr="004C3C90">
        <w:trPr>
          <w:trHeight w:val="20"/>
        </w:trPr>
        <w:tc>
          <w:tcPr>
            <w:tcW w:w="550" w:type="dxa"/>
            <w:shd w:val="clear" w:color="auto" w:fill="auto"/>
            <w:vAlign w:val="center"/>
          </w:tcPr>
          <w:p w14:paraId="49AC26E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277</w:t>
            </w:r>
          </w:p>
        </w:tc>
        <w:tc>
          <w:tcPr>
            <w:tcW w:w="1071" w:type="dxa"/>
            <w:shd w:val="clear" w:color="auto" w:fill="auto"/>
            <w:vAlign w:val="center"/>
          </w:tcPr>
          <w:p w14:paraId="6C5DE19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8A4E82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Glenn TL, Pereira N, Madeira J, et al.</w:t>
            </w:r>
          </w:p>
        </w:tc>
        <w:tc>
          <w:tcPr>
            <w:tcW w:w="7010" w:type="dxa"/>
            <w:shd w:val="clear" w:color="auto" w:fill="auto"/>
            <w:vAlign w:val="center"/>
          </w:tcPr>
          <w:p w14:paraId="196AE8E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Reproductive Endocrinology Infertility (Rei) Specialists' Utilization and Attitudes Towards Expanded Carrier Screening for Oocyte Donors</w:t>
            </w:r>
          </w:p>
        </w:tc>
        <w:tc>
          <w:tcPr>
            <w:tcW w:w="568" w:type="dxa"/>
            <w:shd w:val="clear" w:color="auto" w:fill="auto"/>
            <w:vAlign w:val="center"/>
          </w:tcPr>
          <w:p w14:paraId="35768DE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FC5D9B4" w14:textId="77777777" w:rsidTr="004C3C90">
        <w:trPr>
          <w:trHeight w:val="20"/>
        </w:trPr>
        <w:tc>
          <w:tcPr>
            <w:tcW w:w="550" w:type="dxa"/>
            <w:shd w:val="clear" w:color="auto" w:fill="auto"/>
            <w:vAlign w:val="center"/>
          </w:tcPr>
          <w:p w14:paraId="20443F6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278</w:t>
            </w:r>
          </w:p>
        </w:tc>
        <w:tc>
          <w:tcPr>
            <w:tcW w:w="1071" w:type="dxa"/>
            <w:shd w:val="clear" w:color="auto" w:fill="auto"/>
            <w:vAlign w:val="center"/>
          </w:tcPr>
          <w:p w14:paraId="7541683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9474A2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Sasaki A, Ogawa M, Tono C, Obara S, Hosoi N, Wakabayashi G</w:t>
            </w:r>
          </w:p>
        </w:tc>
        <w:tc>
          <w:tcPr>
            <w:tcW w:w="7010" w:type="dxa"/>
            <w:shd w:val="clear" w:color="auto" w:fill="auto"/>
            <w:vAlign w:val="center"/>
          </w:tcPr>
          <w:p w14:paraId="6EF5EF5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Single-Port Versus Multiport Laparoscopic Cholecystectomy - a Randomized Controlled Trial with Long-Term Follow-Up</w:t>
            </w:r>
          </w:p>
        </w:tc>
        <w:tc>
          <w:tcPr>
            <w:tcW w:w="568" w:type="dxa"/>
            <w:shd w:val="clear" w:color="auto" w:fill="auto"/>
            <w:vAlign w:val="center"/>
          </w:tcPr>
          <w:p w14:paraId="6BED0AD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3CF1A300" w14:textId="77777777" w:rsidTr="004C3C90">
        <w:trPr>
          <w:trHeight w:val="20"/>
        </w:trPr>
        <w:tc>
          <w:tcPr>
            <w:tcW w:w="550" w:type="dxa"/>
            <w:shd w:val="clear" w:color="auto" w:fill="auto"/>
            <w:vAlign w:val="center"/>
          </w:tcPr>
          <w:p w14:paraId="643DDB7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279</w:t>
            </w:r>
          </w:p>
        </w:tc>
        <w:tc>
          <w:tcPr>
            <w:tcW w:w="1071" w:type="dxa"/>
            <w:shd w:val="clear" w:color="auto" w:fill="auto"/>
            <w:vAlign w:val="center"/>
          </w:tcPr>
          <w:p w14:paraId="3419D8B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E9BFF4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Mason N, Parviainen L, Withe M, Porter J</w:t>
            </w:r>
          </w:p>
        </w:tc>
        <w:tc>
          <w:tcPr>
            <w:tcW w:w="7010" w:type="dxa"/>
            <w:shd w:val="clear" w:color="auto" w:fill="auto"/>
            <w:vAlign w:val="center"/>
          </w:tcPr>
          <w:p w14:paraId="219D515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Treatment Effects in Paediatric Adrenal Insuficiency and Associated Resource Use: A Delphi Study</w:t>
            </w:r>
          </w:p>
        </w:tc>
        <w:tc>
          <w:tcPr>
            <w:tcW w:w="568" w:type="dxa"/>
            <w:shd w:val="clear" w:color="auto" w:fill="auto"/>
            <w:vAlign w:val="center"/>
          </w:tcPr>
          <w:p w14:paraId="2B46247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79672E5" w14:textId="77777777" w:rsidTr="004C3C90">
        <w:trPr>
          <w:trHeight w:val="20"/>
        </w:trPr>
        <w:tc>
          <w:tcPr>
            <w:tcW w:w="550" w:type="dxa"/>
            <w:shd w:val="clear" w:color="auto" w:fill="auto"/>
            <w:vAlign w:val="center"/>
          </w:tcPr>
          <w:p w14:paraId="1D07129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280</w:t>
            </w:r>
          </w:p>
        </w:tc>
        <w:tc>
          <w:tcPr>
            <w:tcW w:w="1071" w:type="dxa"/>
            <w:shd w:val="clear" w:color="auto" w:fill="auto"/>
            <w:vAlign w:val="center"/>
          </w:tcPr>
          <w:p w14:paraId="335FF6C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38C042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Pelentsov L</w:t>
            </w:r>
          </w:p>
        </w:tc>
        <w:tc>
          <w:tcPr>
            <w:tcW w:w="7010" w:type="dxa"/>
            <w:shd w:val="clear" w:color="auto" w:fill="auto"/>
            <w:vAlign w:val="center"/>
          </w:tcPr>
          <w:p w14:paraId="2D88BC7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Uk Haemophilia Parental Support Study - Are Families with Children with Bleeding Disorders Being Supported Appropriately? A Single Site Pilot Study Using the Parental Needs Scale for Rare Diseases (Pns-Rd)</w:t>
            </w:r>
          </w:p>
        </w:tc>
        <w:tc>
          <w:tcPr>
            <w:tcW w:w="568" w:type="dxa"/>
            <w:shd w:val="clear" w:color="auto" w:fill="auto"/>
            <w:vAlign w:val="center"/>
          </w:tcPr>
          <w:p w14:paraId="71B2E8B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092685E" w14:textId="77777777" w:rsidTr="004C3C90">
        <w:trPr>
          <w:trHeight w:val="20"/>
        </w:trPr>
        <w:tc>
          <w:tcPr>
            <w:tcW w:w="550" w:type="dxa"/>
            <w:shd w:val="clear" w:color="auto" w:fill="auto"/>
            <w:vAlign w:val="center"/>
          </w:tcPr>
          <w:p w14:paraId="61C2A0D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281</w:t>
            </w:r>
          </w:p>
        </w:tc>
        <w:tc>
          <w:tcPr>
            <w:tcW w:w="1071" w:type="dxa"/>
            <w:shd w:val="clear" w:color="auto" w:fill="auto"/>
            <w:vAlign w:val="center"/>
          </w:tcPr>
          <w:p w14:paraId="02A2513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812B2C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Matsushima M, Sakushima K, Yabe I, et al.</w:t>
            </w:r>
          </w:p>
        </w:tc>
        <w:tc>
          <w:tcPr>
            <w:tcW w:w="7010" w:type="dxa"/>
            <w:shd w:val="clear" w:color="auto" w:fill="auto"/>
            <w:vAlign w:val="center"/>
          </w:tcPr>
          <w:p w14:paraId="70604EA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Usefulness of a Simple Symptom Assessment Scale for Multiple System Atrophy: Data from Horc-Msa Project</w:t>
            </w:r>
          </w:p>
        </w:tc>
        <w:tc>
          <w:tcPr>
            <w:tcW w:w="568" w:type="dxa"/>
            <w:shd w:val="clear" w:color="auto" w:fill="auto"/>
            <w:vAlign w:val="center"/>
          </w:tcPr>
          <w:p w14:paraId="39B785B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2EBD9E31" w14:textId="77777777" w:rsidTr="004C3C90">
        <w:trPr>
          <w:trHeight w:val="20"/>
        </w:trPr>
        <w:tc>
          <w:tcPr>
            <w:tcW w:w="550" w:type="dxa"/>
            <w:shd w:val="clear" w:color="auto" w:fill="auto"/>
            <w:vAlign w:val="center"/>
          </w:tcPr>
          <w:p w14:paraId="1BBACDA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282</w:t>
            </w:r>
          </w:p>
        </w:tc>
        <w:tc>
          <w:tcPr>
            <w:tcW w:w="1071" w:type="dxa"/>
            <w:shd w:val="clear" w:color="auto" w:fill="auto"/>
            <w:vAlign w:val="center"/>
          </w:tcPr>
          <w:p w14:paraId="686FF13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98555E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Creekmore J, Hayes H, Bromberg M, Gibson S, Leatham J</w:t>
            </w:r>
          </w:p>
        </w:tc>
        <w:tc>
          <w:tcPr>
            <w:tcW w:w="7010" w:type="dxa"/>
            <w:shd w:val="clear" w:color="auto" w:fill="auto"/>
            <w:vAlign w:val="center"/>
          </w:tcPr>
          <w:p w14:paraId="7B3E062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Awareness and Understanding of Amyotrophic Lateral Sclerosis in Newly Diagnosed Patients, Family, and Friends</w:t>
            </w:r>
          </w:p>
        </w:tc>
        <w:tc>
          <w:tcPr>
            <w:tcW w:w="568" w:type="dxa"/>
            <w:shd w:val="clear" w:color="auto" w:fill="auto"/>
            <w:vAlign w:val="center"/>
          </w:tcPr>
          <w:p w14:paraId="157E70E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3AA6E9C" w14:textId="77777777" w:rsidTr="004C3C90">
        <w:trPr>
          <w:trHeight w:val="20"/>
        </w:trPr>
        <w:tc>
          <w:tcPr>
            <w:tcW w:w="550" w:type="dxa"/>
            <w:shd w:val="clear" w:color="auto" w:fill="auto"/>
            <w:vAlign w:val="center"/>
          </w:tcPr>
          <w:p w14:paraId="3B6A7C9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283</w:t>
            </w:r>
          </w:p>
        </w:tc>
        <w:tc>
          <w:tcPr>
            <w:tcW w:w="1071" w:type="dxa"/>
            <w:shd w:val="clear" w:color="auto" w:fill="auto"/>
            <w:vAlign w:val="center"/>
          </w:tcPr>
          <w:p w14:paraId="7F3A8E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48A5E1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Conceicao I, Berk J, Wang A</w:t>
            </w:r>
          </w:p>
        </w:tc>
        <w:tc>
          <w:tcPr>
            <w:tcW w:w="7010" w:type="dxa"/>
            <w:shd w:val="clear" w:color="auto" w:fill="auto"/>
            <w:vAlign w:val="center"/>
          </w:tcPr>
          <w:p w14:paraId="4B49389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Baseline Characteristics of Patients with Hereditary Transthyretin (Hattr) Amyloidosis with Polyneuropathy Enrolled in the Phase 3 Study Neuro-Ttr Demonstrate Significant Disease Burden</w:t>
            </w:r>
          </w:p>
        </w:tc>
        <w:tc>
          <w:tcPr>
            <w:tcW w:w="568" w:type="dxa"/>
            <w:shd w:val="clear" w:color="auto" w:fill="auto"/>
            <w:vAlign w:val="center"/>
          </w:tcPr>
          <w:p w14:paraId="530D636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2C91CE77" w14:textId="77777777" w:rsidTr="004C3C90">
        <w:trPr>
          <w:trHeight w:val="20"/>
        </w:trPr>
        <w:tc>
          <w:tcPr>
            <w:tcW w:w="550" w:type="dxa"/>
            <w:shd w:val="clear" w:color="auto" w:fill="auto"/>
            <w:vAlign w:val="center"/>
          </w:tcPr>
          <w:p w14:paraId="7C621F8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284</w:t>
            </w:r>
          </w:p>
        </w:tc>
        <w:tc>
          <w:tcPr>
            <w:tcW w:w="1071" w:type="dxa"/>
            <w:shd w:val="clear" w:color="auto" w:fill="auto"/>
            <w:vAlign w:val="center"/>
          </w:tcPr>
          <w:p w14:paraId="5B5F609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50A759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Boyd J, Cunningham S, Schwerk N, Gilbert C, Powell P, Schamberger M</w:t>
            </w:r>
          </w:p>
        </w:tc>
        <w:tc>
          <w:tcPr>
            <w:tcW w:w="7010" w:type="dxa"/>
            <w:shd w:val="clear" w:color="auto" w:fill="auto"/>
            <w:vAlign w:val="center"/>
          </w:tcPr>
          <w:p w14:paraId="2D4F480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Challenges Facing Parents/Caregivers of Children with Interstitial Lung Disease (Child): International Survey</w:t>
            </w:r>
          </w:p>
        </w:tc>
        <w:tc>
          <w:tcPr>
            <w:tcW w:w="568" w:type="dxa"/>
            <w:shd w:val="clear" w:color="auto" w:fill="auto"/>
            <w:vAlign w:val="center"/>
          </w:tcPr>
          <w:p w14:paraId="558A0FE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6ED6AA95" w14:textId="77777777" w:rsidTr="004C3C90">
        <w:trPr>
          <w:trHeight w:val="20"/>
        </w:trPr>
        <w:tc>
          <w:tcPr>
            <w:tcW w:w="550" w:type="dxa"/>
            <w:shd w:val="clear" w:color="auto" w:fill="auto"/>
            <w:vAlign w:val="center"/>
          </w:tcPr>
          <w:p w14:paraId="70AA7D2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285</w:t>
            </w:r>
          </w:p>
        </w:tc>
        <w:tc>
          <w:tcPr>
            <w:tcW w:w="1071" w:type="dxa"/>
            <w:shd w:val="clear" w:color="auto" w:fill="auto"/>
            <w:vAlign w:val="center"/>
          </w:tcPr>
          <w:p w14:paraId="578F22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93B799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Kim E, Bae S, Jeong D, Argyropoulos A, Chen S, Tan B, Kim B</w:t>
            </w:r>
          </w:p>
        </w:tc>
        <w:tc>
          <w:tcPr>
            <w:tcW w:w="7010" w:type="dxa"/>
            <w:shd w:val="clear" w:color="auto" w:fill="auto"/>
            <w:vAlign w:val="center"/>
          </w:tcPr>
          <w:p w14:paraId="69B4AF7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Comparative Analysis of Risk-Sharing Agreements in Korea, Australia, Taiwan Focusing on Operation</w:t>
            </w:r>
          </w:p>
        </w:tc>
        <w:tc>
          <w:tcPr>
            <w:tcW w:w="568" w:type="dxa"/>
            <w:shd w:val="clear" w:color="auto" w:fill="auto"/>
            <w:vAlign w:val="center"/>
          </w:tcPr>
          <w:p w14:paraId="53BC034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0D15F0B2" w14:textId="77777777" w:rsidTr="004C3C90">
        <w:trPr>
          <w:trHeight w:val="20"/>
        </w:trPr>
        <w:tc>
          <w:tcPr>
            <w:tcW w:w="550" w:type="dxa"/>
            <w:shd w:val="clear" w:color="auto" w:fill="auto"/>
            <w:vAlign w:val="center"/>
          </w:tcPr>
          <w:p w14:paraId="3C5B16A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286</w:t>
            </w:r>
          </w:p>
        </w:tc>
        <w:tc>
          <w:tcPr>
            <w:tcW w:w="1071" w:type="dxa"/>
            <w:shd w:val="clear" w:color="auto" w:fill="auto"/>
            <w:vAlign w:val="center"/>
          </w:tcPr>
          <w:p w14:paraId="0D800C1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45D5E0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Fingerhutova S, Franova J, Hlavackova E, Jancova E, Prochazkova L, Tesarova M,  et al. </w:t>
            </w:r>
          </w:p>
        </w:tc>
        <w:tc>
          <w:tcPr>
            <w:tcW w:w="7010" w:type="dxa"/>
            <w:shd w:val="clear" w:color="auto" w:fill="auto"/>
            <w:vAlign w:val="center"/>
          </w:tcPr>
          <w:p w14:paraId="0CEDBDF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Cryopyrinopathy across Generations: Longterm Disease Outcome</w:t>
            </w:r>
          </w:p>
        </w:tc>
        <w:tc>
          <w:tcPr>
            <w:tcW w:w="568" w:type="dxa"/>
            <w:shd w:val="clear" w:color="auto" w:fill="auto"/>
            <w:vAlign w:val="center"/>
          </w:tcPr>
          <w:p w14:paraId="179D6AC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9AE8AC8" w14:textId="77777777" w:rsidTr="004C3C90">
        <w:trPr>
          <w:trHeight w:val="20"/>
        </w:trPr>
        <w:tc>
          <w:tcPr>
            <w:tcW w:w="550" w:type="dxa"/>
            <w:shd w:val="clear" w:color="auto" w:fill="auto"/>
            <w:vAlign w:val="center"/>
          </w:tcPr>
          <w:p w14:paraId="1DBF8A1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287</w:t>
            </w:r>
          </w:p>
        </w:tc>
        <w:tc>
          <w:tcPr>
            <w:tcW w:w="1071" w:type="dxa"/>
            <w:shd w:val="clear" w:color="auto" w:fill="auto"/>
            <w:vAlign w:val="center"/>
          </w:tcPr>
          <w:p w14:paraId="5820B13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93BCBF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Hittinger A, Boiu S, Bader-Meunier B, Carine W, Quartier-Dit-Martire P</w:t>
            </w:r>
          </w:p>
        </w:tc>
        <w:tc>
          <w:tcPr>
            <w:tcW w:w="7010" w:type="dxa"/>
            <w:shd w:val="clear" w:color="auto" w:fill="auto"/>
            <w:vAlign w:val="center"/>
          </w:tcPr>
          <w:p w14:paraId="060DCBE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Diversity in Presentation and Evolution of Autoinflammatory Diseases in a French Pediatric Cohort of Referral Center of Rheumatology</w:t>
            </w:r>
          </w:p>
        </w:tc>
        <w:tc>
          <w:tcPr>
            <w:tcW w:w="568" w:type="dxa"/>
            <w:shd w:val="clear" w:color="auto" w:fill="auto"/>
            <w:vAlign w:val="center"/>
          </w:tcPr>
          <w:p w14:paraId="5A53534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069102EE" w14:textId="77777777" w:rsidTr="004C3C90">
        <w:trPr>
          <w:trHeight w:val="20"/>
        </w:trPr>
        <w:tc>
          <w:tcPr>
            <w:tcW w:w="550" w:type="dxa"/>
            <w:shd w:val="clear" w:color="auto" w:fill="auto"/>
            <w:vAlign w:val="center"/>
          </w:tcPr>
          <w:p w14:paraId="480EF92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288</w:t>
            </w:r>
          </w:p>
        </w:tc>
        <w:tc>
          <w:tcPr>
            <w:tcW w:w="1071" w:type="dxa"/>
            <w:shd w:val="clear" w:color="auto" w:fill="auto"/>
            <w:vAlign w:val="center"/>
          </w:tcPr>
          <w:p w14:paraId="0178B5C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EE2ECD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Doyle S, Moss E, Hartley L, Knigth C, Bell J, Ahdesmaki O, et al. </w:t>
            </w:r>
          </w:p>
        </w:tc>
        <w:tc>
          <w:tcPr>
            <w:tcW w:w="7010" w:type="dxa"/>
            <w:shd w:val="clear" w:color="auto" w:fill="auto"/>
            <w:vAlign w:val="center"/>
          </w:tcPr>
          <w:p w14:paraId="32A3A6A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 Economic Systematic Literature Review of Eosinophilic Granulomatosis with Polyangiitis</w:t>
            </w:r>
          </w:p>
        </w:tc>
        <w:tc>
          <w:tcPr>
            <w:tcW w:w="568" w:type="dxa"/>
            <w:shd w:val="clear" w:color="auto" w:fill="auto"/>
            <w:vAlign w:val="center"/>
          </w:tcPr>
          <w:p w14:paraId="4B3D37C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C2BE69F" w14:textId="77777777" w:rsidTr="004C3C90">
        <w:trPr>
          <w:trHeight w:val="20"/>
        </w:trPr>
        <w:tc>
          <w:tcPr>
            <w:tcW w:w="550" w:type="dxa"/>
            <w:shd w:val="clear" w:color="auto" w:fill="auto"/>
            <w:vAlign w:val="center"/>
          </w:tcPr>
          <w:p w14:paraId="042A206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289</w:t>
            </w:r>
          </w:p>
        </w:tc>
        <w:tc>
          <w:tcPr>
            <w:tcW w:w="1071" w:type="dxa"/>
            <w:shd w:val="clear" w:color="auto" w:fill="auto"/>
            <w:vAlign w:val="center"/>
          </w:tcPr>
          <w:p w14:paraId="5F29F53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7B245F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Daghbashyan S, Melkikyan N, Sahakyan L, Tovmasyan A</w:t>
            </w:r>
          </w:p>
        </w:tc>
        <w:tc>
          <w:tcPr>
            <w:tcW w:w="7010" w:type="dxa"/>
            <w:shd w:val="clear" w:color="auto" w:fill="auto"/>
            <w:vAlign w:val="center"/>
          </w:tcPr>
          <w:p w14:paraId="3D329A3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Few Words About Aplastic Anemia in Armenia</w:t>
            </w:r>
          </w:p>
        </w:tc>
        <w:tc>
          <w:tcPr>
            <w:tcW w:w="568" w:type="dxa"/>
            <w:shd w:val="clear" w:color="auto" w:fill="auto"/>
            <w:vAlign w:val="center"/>
          </w:tcPr>
          <w:p w14:paraId="59527A5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A853E0A" w14:textId="77777777" w:rsidTr="004C3C90">
        <w:trPr>
          <w:trHeight w:val="20"/>
        </w:trPr>
        <w:tc>
          <w:tcPr>
            <w:tcW w:w="550" w:type="dxa"/>
            <w:shd w:val="clear" w:color="auto" w:fill="auto"/>
            <w:vAlign w:val="center"/>
          </w:tcPr>
          <w:p w14:paraId="4B3B302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290</w:t>
            </w:r>
          </w:p>
        </w:tc>
        <w:tc>
          <w:tcPr>
            <w:tcW w:w="1071" w:type="dxa"/>
            <w:shd w:val="clear" w:color="auto" w:fill="auto"/>
            <w:vAlign w:val="center"/>
          </w:tcPr>
          <w:p w14:paraId="38B2886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427C18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Desyatik EA, Shadrivova OV, Borzova JV, et al.</w:t>
            </w:r>
          </w:p>
        </w:tc>
        <w:tc>
          <w:tcPr>
            <w:tcW w:w="7010" w:type="dxa"/>
            <w:shd w:val="clear" w:color="auto" w:fill="auto"/>
            <w:vAlign w:val="center"/>
          </w:tcPr>
          <w:p w14:paraId="7437C69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First Case of Non-Imported Pulmonary Coccidioidomycosis in Russia</w:t>
            </w:r>
          </w:p>
        </w:tc>
        <w:tc>
          <w:tcPr>
            <w:tcW w:w="568" w:type="dxa"/>
            <w:shd w:val="clear" w:color="auto" w:fill="auto"/>
            <w:vAlign w:val="center"/>
          </w:tcPr>
          <w:p w14:paraId="1ACA35F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38EE560" w14:textId="77777777" w:rsidTr="004C3C90">
        <w:trPr>
          <w:trHeight w:val="20"/>
        </w:trPr>
        <w:tc>
          <w:tcPr>
            <w:tcW w:w="550" w:type="dxa"/>
            <w:shd w:val="clear" w:color="auto" w:fill="auto"/>
            <w:vAlign w:val="center"/>
          </w:tcPr>
          <w:p w14:paraId="44A9E26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291</w:t>
            </w:r>
          </w:p>
        </w:tc>
        <w:tc>
          <w:tcPr>
            <w:tcW w:w="1071" w:type="dxa"/>
            <w:shd w:val="clear" w:color="auto" w:fill="auto"/>
            <w:vAlign w:val="center"/>
          </w:tcPr>
          <w:p w14:paraId="445F119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E32799E" w14:textId="77777777" w:rsidR="004C3C90" w:rsidRPr="004C3C90" w:rsidRDefault="004C3C90" w:rsidP="004C3C90">
            <w:pPr>
              <w:shd w:val="clear" w:color="auto" w:fill="FFFFFF"/>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Kruse A, Kruse C, Lambert MP</w:t>
            </w:r>
          </w:p>
        </w:tc>
        <w:tc>
          <w:tcPr>
            <w:tcW w:w="7010" w:type="dxa"/>
            <w:shd w:val="clear" w:color="auto" w:fill="auto"/>
            <w:vAlign w:val="center"/>
          </w:tcPr>
          <w:p w14:paraId="417058D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Itp Natural History Study Registry: Preliminary Findings on the Immune Thrombocytopenia Patient Experience</w:t>
            </w:r>
          </w:p>
        </w:tc>
        <w:tc>
          <w:tcPr>
            <w:tcW w:w="568" w:type="dxa"/>
            <w:shd w:val="clear" w:color="auto" w:fill="auto"/>
            <w:vAlign w:val="center"/>
          </w:tcPr>
          <w:p w14:paraId="0E0E3EE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041961DE" w14:textId="77777777" w:rsidTr="004C3C90">
        <w:trPr>
          <w:trHeight w:val="20"/>
        </w:trPr>
        <w:tc>
          <w:tcPr>
            <w:tcW w:w="550" w:type="dxa"/>
            <w:shd w:val="clear" w:color="auto" w:fill="auto"/>
            <w:vAlign w:val="center"/>
          </w:tcPr>
          <w:p w14:paraId="2C02711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292</w:t>
            </w:r>
          </w:p>
        </w:tc>
        <w:tc>
          <w:tcPr>
            <w:tcW w:w="1071" w:type="dxa"/>
            <w:shd w:val="clear" w:color="auto" w:fill="auto"/>
            <w:vAlign w:val="center"/>
          </w:tcPr>
          <w:p w14:paraId="74B9315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FA669A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Hua L</w:t>
            </w:r>
          </w:p>
        </w:tc>
        <w:tc>
          <w:tcPr>
            <w:tcW w:w="7010" w:type="dxa"/>
            <w:shd w:val="clear" w:color="auto" w:fill="auto"/>
            <w:vAlign w:val="center"/>
          </w:tcPr>
          <w:p w14:paraId="2E2F717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Level of Serum 25(Oh)D with Disease Activity of a Cohort Study</w:t>
            </w:r>
          </w:p>
        </w:tc>
        <w:tc>
          <w:tcPr>
            <w:tcW w:w="568" w:type="dxa"/>
            <w:shd w:val="clear" w:color="auto" w:fill="auto"/>
            <w:vAlign w:val="center"/>
          </w:tcPr>
          <w:p w14:paraId="6D201D8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5E45D7B" w14:textId="77777777" w:rsidTr="004C3C90">
        <w:trPr>
          <w:trHeight w:val="20"/>
        </w:trPr>
        <w:tc>
          <w:tcPr>
            <w:tcW w:w="550" w:type="dxa"/>
            <w:shd w:val="clear" w:color="auto" w:fill="auto"/>
            <w:vAlign w:val="center"/>
          </w:tcPr>
          <w:p w14:paraId="5CCC408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293</w:t>
            </w:r>
          </w:p>
        </w:tc>
        <w:tc>
          <w:tcPr>
            <w:tcW w:w="1071" w:type="dxa"/>
            <w:shd w:val="clear" w:color="auto" w:fill="auto"/>
            <w:vAlign w:val="center"/>
          </w:tcPr>
          <w:p w14:paraId="22D3CAA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211C26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Iberahim Shah MF, Wahid AMA, Baharin SS, Jonathan R</w:t>
            </w:r>
          </w:p>
        </w:tc>
        <w:tc>
          <w:tcPr>
            <w:tcW w:w="7010" w:type="dxa"/>
            <w:shd w:val="clear" w:color="auto" w:fill="auto"/>
            <w:vAlign w:val="center"/>
          </w:tcPr>
          <w:p w14:paraId="6E5AE40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Osteopoikilosis: A Benign Bone Spots</w:t>
            </w:r>
          </w:p>
        </w:tc>
        <w:tc>
          <w:tcPr>
            <w:tcW w:w="568" w:type="dxa"/>
            <w:shd w:val="clear" w:color="auto" w:fill="auto"/>
            <w:vAlign w:val="center"/>
          </w:tcPr>
          <w:p w14:paraId="2FEB6DE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29C29818" w14:textId="77777777" w:rsidTr="004C3C90">
        <w:trPr>
          <w:trHeight w:val="20"/>
        </w:trPr>
        <w:tc>
          <w:tcPr>
            <w:tcW w:w="550" w:type="dxa"/>
            <w:shd w:val="clear" w:color="auto" w:fill="auto"/>
            <w:vAlign w:val="center"/>
          </w:tcPr>
          <w:p w14:paraId="54E32FB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294</w:t>
            </w:r>
          </w:p>
        </w:tc>
        <w:tc>
          <w:tcPr>
            <w:tcW w:w="1071" w:type="dxa"/>
            <w:shd w:val="clear" w:color="auto" w:fill="auto"/>
            <w:vAlign w:val="center"/>
          </w:tcPr>
          <w:p w14:paraId="2AAA7F6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9E5AEC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D'Souza A</w:t>
            </w:r>
          </w:p>
        </w:tc>
        <w:tc>
          <w:tcPr>
            <w:tcW w:w="7010" w:type="dxa"/>
            <w:shd w:val="clear" w:color="auto" w:fill="auto"/>
            <w:vAlign w:val="center"/>
          </w:tcPr>
          <w:p w14:paraId="2B6E58B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Patient-Reported Outcomes in Clinical Care and Clinical Trial Settings: A Clinician's Experience in Amyloid Light Chain (Al) Amyloidosis</w:t>
            </w:r>
          </w:p>
        </w:tc>
        <w:tc>
          <w:tcPr>
            <w:tcW w:w="568" w:type="dxa"/>
            <w:shd w:val="clear" w:color="auto" w:fill="auto"/>
            <w:vAlign w:val="center"/>
          </w:tcPr>
          <w:p w14:paraId="434E313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FDF6296" w14:textId="77777777" w:rsidTr="004C3C90">
        <w:trPr>
          <w:trHeight w:val="20"/>
        </w:trPr>
        <w:tc>
          <w:tcPr>
            <w:tcW w:w="550" w:type="dxa"/>
            <w:shd w:val="clear" w:color="auto" w:fill="auto"/>
            <w:vAlign w:val="center"/>
          </w:tcPr>
          <w:p w14:paraId="2951A26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295</w:t>
            </w:r>
          </w:p>
        </w:tc>
        <w:tc>
          <w:tcPr>
            <w:tcW w:w="1071" w:type="dxa"/>
            <w:shd w:val="clear" w:color="auto" w:fill="auto"/>
            <w:vAlign w:val="center"/>
          </w:tcPr>
          <w:p w14:paraId="3BCFAFB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994F41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Dekker HK, Effing-Boele MC, Hammann MJA</w:t>
            </w:r>
          </w:p>
        </w:tc>
        <w:tc>
          <w:tcPr>
            <w:tcW w:w="7010" w:type="dxa"/>
            <w:shd w:val="clear" w:color="auto" w:fill="auto"/>
            <w:vAlign w:val="center"/>
          </w:tcPr>
          <w:p w14:paraId="5264224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Patients Experiences Are Essential for Improving the Quality of Health Care</w:t>
            </w:r>
          </w:p>
        </w:tc>
        <w:tc>
          <w:tcPr>
            <w:tcW w:w="568" w:type="dxa"/>
            <w:shd w:val="clear" w:color="auto" w:fill="auto"/>
            <w:vAlign w:val="center"/>
          </w:tcPr>
          <w:p w14:paraId="6684633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45F476F" w14:textId="77777777" w:rsidTr="004C3C90">
        <w:trPr>
          <w:trHeight w:val="20"/>
        </w:trPr>
        <w:tc>
          <w:tcPr>
            <w:tcW w:w="550" w:type="dxa"/>
            <w:shd w:val="clear" w:color="auto" w:fill="auto"/>
            <w:vAlign w:val="center"/>
          </w:tcPr>
          <w:p w14:paraId="37D60F6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296</w:t>
            </w:r>
          </w:p>
        </w:tc>
        <w:tc>
          <w:tcPr>
            <w:tcW w:w="1071" w:type="dxa"/>
            <w:shd w:val="clear" w:color="auto" w:fill="auto"/>
            <w:vAlign w:val="center"/>
          </w:tcPr>
          <w:p w14:paraId="2A18AB8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F78D86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Finnegan T, Maeglin J</w:t>
            </w:r>
          </w:p>
        </w:tc>
        <w:tc>
          <w:tcPr>
            <w:tcW w:w="7010" w:type="dxa"/>
            <w:shd w:val="clear" w:color="auto" w:fill="auto"/>
            <w:vAlign w:val="center"/>
          </w:tcPr>
          <w:p w14:paraId="2A1274A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Practice Patterns and Knowledge of Spinal Muscular Atrophy Care among Pediatricians and Neurologists</w:t>
            </w:r>
          </w:p>
        </w:tc>
        <w:tc>
          <w:tcPr>
            <w:tcW w:w="568" w:type="dxa"/>
            <w:shd w:val="clear" w:color="auto" w:fill="auto"/>
            <w:vAlign w:val="center"/>
          </w:tcPr>
          <w:p w14:paraId="211316D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2F3C484A" w14:textId="77777777" w:rsidTr="004C3C90">
        <w:trPr>
          <w:trHeight w:val="20"/>
        </w:trPr>
        <w:tc>
          <w:tcPr>
            <w:tcW w:w="550" w:type="dxa"/>
            <w:shd w:val="clear" w:color="auto" w:fill="auto"/>
            <w:vAlign w:val="center"/>
          </w:tcPr>
          <w:p w14:paraId="064462A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297</w:t>
            </w:r>
          </w:p>
        </w:tc>
        <w:tc>
          <w:tcPr>
            <w:tcW w:w="1071" w:type="dxa"/>
            <w:shd w:val="clear" w:color="auto" w:fill="auto"/>
            <w:vAlign w:val="center"/>
          </w:tcPr>
          <w:p w14:paraId="0889D89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B47FC7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Guth A, Cheikh N, Vieux R, Thierry L, Leverger G, Bertrand Y, et al.</w:t>
            </w:r>
          </w:p>
        </w:tc>
        <w:tc>
          <w:tcPr>
            <w:tcW w:w="7010" w:type="dxa"/>
            <w:shd w:val="clear" w:color="auto" w:fill="auto"/>
            <w:vAlign w:val="center"/>
          </w:tcPr>
          <w:p w14:paraId="03AD3D9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Predictive Factors for Developing Systemic Lupus Erythematosus after Childhood Autoimmune Cytopenia</w:t>
            </w:r>
          </w:p>
        </w:tc>
        <w:tc>
          <w:tcPr>
            <w:tcW w:w="568" w:type="dxa"/>
            <w:shd w:val="clear" w:color="auto" w:fill="auto"/>
            <w:vAlign w:val="center"/>
          </w:tcPr>
          <w:p w14:paraId="2821AED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B6C9FDF" w14:textId="77777777" w:rsidTr="004C3C90">
        <w:trPr>
          <w:trHeight w:val="20"/>
        </w:trPr>
        <w:tc>
          <w:tcPr>
            <w:tcW w:w="550" w:type="dxa"/>
            <w:shd w:val="clear" w:color="auto" w:fill="auto"/>
            <w:vAlign w:val="center"/>
          </w:tcPr>
          <w:p w14:paraId="36AE19D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298</w:t>
            </w:r>
          </w:p>
        </w:tc>
        <w:tc>
          <w:tcPr>
            <w:tcW w:w="1071" w:type="dxa"/>
            <w:shd w:val="clear" w:color="auto" w:fill="auto"/>
            <w:vAlign w:val="center"/>
          </w:tcPr>
          <w:p w14:paraId="502260F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1EDBF7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Kay D,  Urbine DR</w:t>
            </w:r>
          </w:p>
        </w:tc>
        <w:tc>
          <w:tcPr>
            <w:tcW w:w="7010" w:type="dxa"/>
            <w:shd w:val="clear" w:color="auto" w:fill="auto"/>
            <w:vAlign w:val="center"/>
          </w:tcPr>
          <w:p w14:paraId="28D7F24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Pulmonary Nodular Lymphoid Hyperplasia Associated with Multiple Sclerosis</w:t>
            </w:r>
          </w:p>
        </w:tc>
        <w:tc>
          <w:tcPr>
            <w:tcW w:w="568" w:type="dxa"/>
            <w:shd w:val="clear" w:color="auto" w:fill="auto"/>
            <w:vAlign w:val="center"/>
          </w:tcPr>
          <w:p w14:paraId="7F758B4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F38C1A4" w14:textId="77777777" w:rsidTr="004C3C90">
        <w:trPr>
          <w:trHeight w:val="20"/>
        </w:trPr>
        <w:tc>
          <w:tcPr>
            <w:tcW w:w="550" w:type="dxa"/>
            <w:shd w:val="clear" w:color="auto" w:fill="auto"/>
            <w:vAlign w:val="center"/>
          </w:tcPr>
          <w:p w14:paraId="713E04B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299</w:t>
            </w:r>
          </w:p>
        </w:tc>
        <w:tc>
          <w:tcPr>
            <w:tcW w:w="1071" w:type="dxa"/>
            <w:shd w:val="clear" w:color="auto" w:fill="auto"/>
            <w:vAlign w:val="center"/>
          </w:tcPr>
          <w:p w14:paraId="73474D4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16D49A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Evers P, Jansen A</w:t>
            </w:r>
          </w:p>
        </w:tc>
        <w:tc>
          <w:tcPr>
            <w:tcW w:w="7010" w:type="dxa"/>
            <w:shd w:val="clear" w:color="auto" w:fill="auto"/>
            <w:vAlign w:val="center"/>
          </w:tcPr>
          <w:p w14:paraId="28AE8A6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Quality of Life in Health Technology Assessment: The Dutch Experience</w:t>
            </w:r>
          </w:p>
        </w:tc>
        <w:tc>
          <w:tcPr>
            <w:tcW w:w="568" w:type="dxa"/>
            <w:shd w:val="clear" w:color="auto" w:fill="auto"/>
            <w:vAlign w:val="center"/>
          </w:tcPr>
          <w:p w14:paraId="4B00F80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5209255" w14:textId="77777777" w:rsidTr="004C3C90">
        <w:trPr>
          <w:trHeight w:val="20"/>
        </w:trPr>
        <w:tc>
          <w:tcPr>
            <w:tcW w:w="550" w:type="dxa"/>
            <w:shd w:val="clear" w:color="auto" w:fill="auto"/>
            <w:vAlign w:val="center"/>
          </w:tcPr>
          <w:p w14:paraId="3F69B64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300</w:t>
            </w:r>
          </w:p>
        </w:tc>
        <w:tc>
          <w:tcPr>
            <w:tcW w:w="1071" w:type="dxa"/>
            <w:shd w:val="clear" w:color="auto" w:fill="auto"/>
            <w:vAlign w:val="center"/>
          </w:tcPr>
          <w:p w14:paraId="558190E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6A033E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Dubey S, Gelder C, Wong R, Shakespeare J, Hart N, D'Cruz D</w:t>
            </w:r>
          </w:p>
        </w:tc>
        <w:tc>
          <w:tcPr>
            <w:tcW w:w="7010" w:type="dxa"/>
            <w:shd w:val="clear" w:color="auto" w:fill="auto"/>
            <w:vAlign w:val="center"/>
          </w:tcPr>
          <w:p w14:paraId="2AF4CE4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Six Cases of Relapsing Polychondritis Presenting as Severe Airways Disease to a Secondary Care Centre in One Year</w:t>
            </w:r>
          </w:p>
        </w:tc>
        <w:tc>
          <w:tcPr>
            <w:tcW w:w="568" w:type="dxa"/>
            <w:shd w:val="clear" w:color="auto" w:fill="auto"/>
            <w:vAlign w:val="center"/>
          </w:tcPr>
          <w:p w14:paraId="0C9B83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D12286A" w14:textId="77777777" w:rsidTr="004C3C90">
        <w:trPr>
          <w:trHeight w:val="20"/>
        </w:trPr>
        <w:tc>
          <w:tcPr>
            <w:tcW w:w="550" w:type="dxa"/>
            <w:shd w:val="clear" w:color="auto" w:fill="auto"/>
            <w:vAlign w:val="center"/>
          </w:tcPr>
          <w:p w14:paraId="0D9A970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301</w:t>
            </w:r>
          </w:p>
        </w:tc>
        <w:tc>
          <w:tcPr>
            <w:tcW w:w="1071" w:type="dxa"/>
            <w:shd w:val="clear" w:color="auto" w:fill="auto"/>
            <w:vAlign w:val="center"/>
          </w:tcPr>
          <w:p w14:paraId="7EA1B53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CB1397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Feinmann JC, Rivett A, Souto M,et al. </w:t>
            </w:r>
          </w:p>
        </w:tc>
        <w:tc>
          <w:tcPr>
            <w:tcW w:w="7010" w:type="dxa"/>
            <w:shd w:val="clear" w:color="auto" w:fill="auto"/>
            <w:vAlign w:val="center"/>
          </w:tcPr>
          <w:p w14:paraId="55F5B50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Survey of the Nhs Care Experience of People Living with Rare Autoimmune Rheumatic Diseases</w:t>
            </w:r>
          </w:p>
        </w:tc>
        <w:tc>
          <w:tcPr>
            <w:tcW w:w="568" w:type="dxa"/>
            <w:shd w:val="clear" w:color="auto" w:fill="auto"/>
            <w:vAlign w:val="center"/>
          </w:tcPr>
          <w:p w14:paraId="4E2F065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0AFFFC05" w14:textId="77777777" w:rsidTr="004C3C90">
        <w:trPr>
          <w:trHeight w:val="20"/>
        </w:trPr>
        <w:tc>
          <w:tcPr>
            <w:tcW w:w="550" w:type="dxa"/>
            <w:shd w:val="clear" w:color="auto" w:fill="auto"/>
            <w:vAlign w:val="center"/>
          </w:tcPr>
          <w:p w14:paraId="3CA5664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302</w:t>
            </w:r>
          </w:p>
        </w:tc>
        <w:tc>
          <w:tcPr>
            <w:tcW w:w="1071" w:type="dxa"/>
            <w:shd w:val="clear" w:color="auto" w:fill="auto"/>
            <w:vAlign w:val="center"/>
          </w:tcPr>
          <w:p w14:paraId="3052016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50D4C3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Chen K, Hadker N, Abibova I, Hanbury-Brown L, Vera-Llonch M, Clarke B</w:t>
            </w:r>
          </w:p>
        </w:tc>
        <w:tc>
          <w:tcPr>
            <w:tcW w:w="7010" w:type="dxa"/>
            <w:shd w:val="clear" w:color="auto" w:fill="auto"/>
            <w:vAlign w:val="center"/>
          </w:tcPr>
          <w:p w14:paraId="7A32053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Symptom Burden and Hrqol Reported among Patients with Chronic Hypoparathyroidism: Impact of Treatment with Rhpth (1-84) and with Standard Therapy</w:t>
            </w:r>
          </w:p>
        </w:tc>
        <w:tc>
          <w:tcPr>
            <w:tcW w:w="568" w:type="dxa"/>
            <w:shd w:val="clear" w:color="auto" w:fill="auto"/>
            <w:vAlign w:val="center"/>
          </w:tcPr>
          <w:p w14:paraId="6BFE048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B8526D8" w14:textId="77777777" w:rsidTr="004C3C90">
        <w:trPr>
          <w:trHeight w:val="20"/>
        </w:trPr>
        <w:tc>
          <w:tcPr>
            <w:tcW w:w="550" w:type="dxa"/>
            <w:shd w:val="clear" w:color="auto" w:fill="auto"/>
            <w:vAlign w:val="center"/>
          </w:tcPr>
          <w:p w14:paraId="19740AF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303</w:t>
            </w:r>
          </w:p>
        </w:tc>
        <w:tc>
          <w:tcPr>
            <w:tcW w:w="1071" w:type="dxa"/>
            <w:shd w:val="clear" w:color="auto" w:fill="auto"/>
            <w:vAlign w:val="center"/>
          </w:tcPr>
          <w:p w14:paraId="13D61DB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83FE4B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Diling D, Nair A, Gries CJ, Leard LE, et al. </w:t>
            </w:r>
          </w:p>
        </w:tc>
        <w:tc>
          <w:tcPr>
            <w:tcW w:w="7010" w:type="dxa"/>
            <w:shd w:val="clear" w:color="auto" w:fill="auto"/>
            <w:vAlign w:val="center"/>
          </w:tcPr>
          <w:p w14:paraId="6635AFB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Use of Sirolimus in Patients with Lymphangioleiomyomatosis (Lam) on Waiting Lists for Lung Transplant (Ltx)</w:t>
            </w:r>
          </w:p>
        </w:tc>
        <w:tc>
          <w:tcPr>
            <w:tcW w:w="568" w:type="dxa"/>
            <w:shd w:val="clear" w:color="auto" w:fill="auto"/>
            <w:vAlign w:val="center"/>
          </w:tcPr>
          <w:p w14:paraId="34A2257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046CE781" w14:textId="77777777" w:rsidTr="004C3C90">
        <w:trPr>
          <w:trHeight w:val="20"/>
        </w:trPr>
        <w:tc>
          <w:tcPr>
            <w:tcW w:w="550" w:type="dxa"/>
            <w:shd w:val="clear" w:color="auto" w:fill="auto"/>
            <w:vAlign w:val="center"/>
          </w:tcPr>
          <w:p w14:paraId="4E2FFEA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304</w:t>
            </w:r>
          </w:p>
        </w:tc>
        <w:tc>
          <w:tcPr>
            <w:tcW w:w="1071" w:type="dxa"/>
            <w:shd w:val="clear" w:color="auto" w:fill="auto"/>
            <w:vAlign w:val="center"/>
          </w:tcPr>
          <w:p w14:paraId="2249A39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E14A30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 Buscarini E, Botella LM, Geisthoff UW</w:t>
            </w:r>
          </w:p>
        </w:tc>
        <w:tc>
          <w:tcPr>
            <w:tcW w:w="7010" w:type="dxa"/>
            <w:shd w:val="clear" w:color="auto" w:fill="auto"/>
            <w:vAlign w:val="center"/>
          </w:tcPr>
          <w:p w14:paraId="78C01E7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Vascern Hht Survey 2: Drug Registry-Part 1</w:t>
            </w:r>
          </w:p>
        </w:tc>
        <w:tc>
          <w:tcPr>
            <w:tcW w:w="568" w:type="dxa"/>
            <w:shd w:val="clear" w:color="auto" w:fill="auto"/>
            <w:vAlign w:val="center"/>
          </w:tcPr>
          <w:p w14:paraId="7D5D6EB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01058A36" w14:textId="77777777" w:rsidTr="004C3C90">
        <w:trPr>
          <w:trHeight w:val="20"/>
        </w:trPr>
        <w:tc>
          <w:tcPr>
            <w:tcW w:w="550" w:type="dxa"/>
            <w:shd w:val="clear" w:color="auto" w:fill="auto"/>
            <w:vAlign w:val="center"/>
          </w:tcPr>
          <w:p w14:paraId="60F9F9E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305</w:t>
            </w:r>
          </w:p>
        </w:tc>
        <w:tc>
          <w:tcPr>
            <w:tcW w:w="1071" w:type="dxa"/>
            <w:shd w:val="clear" w:color="auto" w:fill="auto"/>
            <w:vAlign w:val="center"/>
          </w:tcPr>
          <w:p w14:paraId="70F616E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BD93D90" w14:textId="77777777" w:rsidR="004C3C90" w:rsidRPr="004C3C90" w:rsidRDefault="004C3C90" w:rsidP="004C3C90">
            <w:pPr>
              <w:spacing w:line="240" w:lineRule="auto"/>
              <w:rPr>
                <w:rFonts w:ascii="Times New Roman" w:eastAsia="Times New Roman" w:hAnsi="Times New Roman" w:cs="Times New Roman"/>
                <w:sz w:val="20"/>
                <w:szCs w:val="20"/>
                <w:shd w:val="clear" w:color="auto" w:fill="7F2713"/>
              </w:rPr>
            </w:pPr>
            <w:r w:rsidRPr="004C3C90">
              <w:rPr>
                <w:rFonts w:ascii="Times New Roman" w:eastAsia="Times New Roman" w:hAnsi="Times New Roman" w:cs="Times New Roman"/>
                <w:sz w:val="20"/>
                <w:szCs w:val="20"/>
              </w:rPr>
              <w:t>Ozcan MA, Davulcu EA, Ulusoy Y</w:t>
            </w:r>
          </w:p>
        </w:tc>
        <w:tc>
          <w:tcPr>
            <w:tcW w:w="7010" w:type="dxa"/>
            <w:shd w:val="clear" w:color="auto" w:fill="auto"/>
            <w:vAlign w:val="center"/>
          </w:tcPr>
          <w:p w14:paraId="481B863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Adult Onset Langerhans Cell Histiyocytosis: A Single Center Experience</w:t>
            </w:r>
          </w:p>
        </w:tc>
        <w:tc>
          <w:tcPr>
            <w:tcW w:w="568" w:type="dxa"/>
            <w:shd w:val="clear" w:color="auto" w:fill="auto"/>
            <w:vAlign w:val="center"/>
          </w:tcPr>
          <w:p w14:paraId="62F8E21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B15CCAA" w14:textId="77777777" w:rsidTr="004C3C90">
        <w:trPr>
          <w:trHeight w:val="20"/>
        </w:trPr>
        <w:tc>
          <w:tcPr>
            <w:tcW w:w="550" w:type="dxa"/>
            <w:shd w:val="clear" w:color="auto" w:fill="auto"/>
            <w:vAlign w:val="center"/>
          </w:tcPr>
          <w:p w14:paraId="4C93D98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306</w:t>
            </w:r>
          </w:p>
        </w:tc>
        <w:tc>
          <w:tcPr>
            <w:tcW w:w="1071" w:type="dxa"/>
            <w:shd w:val="clear" w:color="auto" w:fill="auto"/>
            <w:vAlign w:val="center"/>
          </w:tcPr>
          <w:p w14:paraId="5F0D452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B2282B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Yarlas A, Sikora Kessler A, Lovley A , Guthrie S , Pollock  , White MK</w:t>
            </w:r>
          </w:p>
        </w:tc>
        <w:tc>
          <w:tcPr>
            <w:tcW w:w="7010" w:type="dxa"/>
            <w:shd w:val="clear" w:color="auto" w:fill="auto"/>
            <w:vAlign w:val="center"/>
          </w:tcPr>
          <w:p w14:paraId="15FDA45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Analysis of Responses to Sf-36v2 Items for Patients with Hattr Amyloidosis: Results from a Double-Blind Placebo-Controlled Trial</w:t>
            </w:r>
          </w:p>
        </w:tc>
        <w:tc>
          <w:tcPr>
            <w:tcW w:w="568" w:type="dxa"/>
            <w:shd w:val="clear" w:color="auto" w:fill="auto"/>
            <w:vAlign w:val="center"/>
          </w:tcPr>
          <w:p w14:paraId="3E973D4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7D12C7D" w14:textId="77777777" w:rsidTr="004C3C90">
        <w:trPr>
          <w:trHeight w:val="20"/>
        </w:trPr>
        <w:tc>
          <w:tcPr>
            <w:tcW w:w="550" w:type="dxa"/>
            <w:shd w:val="clear" w:color="auto" w:fill="auto"/>
            <w:vAlign w:val="center"/>
          </w:tcPr>
          <w:p w14:paraId="1E597EB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307</w:t>
            </w:r>
          </w:p>
        </w:tc>
        <w:tc>
          <w:tcPr>
            <w:tcW w:w="1071" w:type="dxa"/>
            <w:shd w:val="clear" w:color="auto" w:fill="auto"/>
            <w:vAlign w:val="center"/>
          </w:tcPr>
          <w:p w14:paraId="6A5FB82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527AEE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Boulanger V, Seebald A, Rossov S</w:t>
            </w:r>
          </w:p>
        </w:tc>
        <w:tc>
          <w:tcPr>
            <w:tcW w:w="7010" w:type="dxa"/>
            <w:shd w:val="clear" w:color="auto" w:fill="auto"/>
            <w:vAlign w:val="center"/>
          </w:tcPr>
          <w:p w14:paraId="0E6E3A8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Building a Rare Disease Research Consortium with Harmonized, Patient-Powered Natural History Registries</w:t>
            </w:r>
          </w:p>
        </w:tc>
        <w:tc>
          <w:tcPr>
            <w:tcW w:w="568" w:type="dxa"/>
            <w:shd w:val="clear" w:color="auto" w:fill="auto"/>
            <w:vAlign w:val="center"/>
          </w:tcPr>
          <w:p w14:paraId="35C8EA4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60AD9AEA" w14:textId="77777777" w:rsidTr="004C3C90">
        <w:trPr>
          <w:trHeight w:val="20"/>
        </w:trPr>
        <w:tc>
          <w:tcPr>
            <w:tcW w:w="550" w:type="dxa"/>
            <w:shd w:val="clear" w:color="auto" w:fill="auto"/>
            <w:vAlign w:val="center"/>
          </w:tcPr>
          <w:p w14:paraId="2EA4B12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308</w:t>
            </w:r>
          </w:p>
        </w:tc>
        <w:tc>
          <w:tcPr>
            <w:tcW w:w="1071" w:type="dxa"/>
            <w:shd w:val="clear" w:color="auto" w:fill="auto"/>
            <w:vAlign w:val="center"/>
          </w:tcPr>
          <w:p w14:paraId="7F2D9EE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435ED6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Boother EJ, Shovlin CL</w:t>
            </w:r>
          </w:p>
        </w:tc>
        <w:tc>
          <w:tcPr>
            <w:tcW w:w="7010" w:type="dxa"/>
            <w:shd w:val="clear" w:color="auto" w:fill="auto"/>
            <w:vAlign w:val="center"/>
          </w:tcPr>
          <w:p w14:paraId="73E1F21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Characterisation and Investigation of Pulmonary Arteriovenous Malformations and Cerebral Abscess Risk Factors within a Rare Vascular Disease: Results from a Targeted 125-Question, International Patient Survey</w:t>
            </w:r>
          </w:p>
        </w:tc>
        <w:tc>
          <w:tcPr>
            <w:tcW w:w="568" w:type="dxa"/>
            <w:shd w:val="clear" w:color="auto" w:fill="auto"/>
            <w:vAlign w:val="center"/>
          </w:tcPr>
          <w:p w14:paraId="3E12575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2D48C46" w14:textId="77777777" w:rsidTr="004C3C90">
        <w:trPr>
          <w:trHeight w:val="20"/>
        </w:trPr>
        <w:tc>
          <w:tcPr>
            <w:tcW w:w="550" w:type="dxa"/>
            <w:shd w:val="clear" w:color="auto" w:fill="auto"/>
            <w:vAlign w:val="center"/>
          </w:tcPr>
          <w:p w14:paraId="7F1CFBF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309</w:t>
            </w:r>
          </w:p>
        </w:tc>
        <w:tc>
          <w:tcPr>
            <w:tcW w:w="1071" w:type="dxa"/>
            <w:shd w:val="clear" w:color="auto" w:fill="auto"/>
            <w:vAlign w:val="center"/>
          </w:tcPr>
          <w:p w14:paraId="15FA2CD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996D0F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Boxell E, Bernarde J, Rzepa E, Baldock L, Rylands AJ</w:t>
            </w:r>
          </w:p>
        </w:tc>
        <w:tc>
          <w:tcPr>
            <w:tcW w:w="7010" w:type="dxa"/>
            <w:shd w:val="clear" w:color="auto" w:fill="auto"/>
            <w:vAlign w:val="center"/>
          </w:tcPr>
          <w:p w14:paraId="69DAF7D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Early Engagement of the “Patient Voice” to Inform Patient Reported Outcome (Pro) Measurement in Global Pivotal Treatment Trial of Cholangiocarcinoma (Cca)</w:t>
            </w:r>
          </w:p>
        </w:tc>
        <w:tc>
          <w:tcPr>
            <w:tcW w:w="568" w:type="dxa"/>
            <w:shd w:val="clear" w:color="auto" w:fill="auto"/>
            <w:vAlign w:val="center"/>
          </w:tcPr>
          <w:p w14:paraId="106376E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6929A8DB" w14:textId="77777777" w:rsidTr="004C3C90">
        <w:trPr>
          <w:trHeight w:val="20"/>
        </w:trPr>
        <w:tc>
          <w:tcPr>
            <w:tcW w:w="550" w:type="dxa"/>
            <w:shd w:val="clear" w:color="auto" w:fill="auto"/>
            <w:vAlign w:val="center"/>
          </w:tcPr>
          <w:p w14:paraId="3F1640E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310</w:t>
            </w:r>
          </w:p>
        </w:tc>
        <w:tc>
          <w:tcPr>
            <w:tcW w:w="1071" w:type="dxa"/>
            <w:shd w:val="clear" w:color="auto" w:fill="auto"/>
            <w:vAlign w:val="center"/>
          </w:tcPr>
          <w:p w14:paraId="53C4D83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1A7072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Yarlas A, Merlini G, White MK, et al. </w:t>
            </w:r>
          </w:p>
        </w:tc>
        <w:tc>
          <w:tcPr>
            <w:tcW w:w="7010" w:type="dxa"/>
            <w:shd w:val="clear" w:color="auto" w:fill="auto"/>
            <w:vAlign w:val="center"/>
          </w:tcPr>
          <w:p w14:paraId="3FCA28D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Impact of Inotersen on Subgroups of Patients with Hereditary Ttr Amyloidosis: Results from a Double-Blind Placebo-Controlled Trial</w:t>
            </w:r>
          </w:p>
        </w:tc>
        <w:tc>
          <w:tcPr>
            <w:tcW w:w="568" w:type="dxa"/>
            <w:shd w:val="clear" w:color="auto" w:fill="auto"/>
            <w:vAlign w:val="center"/>
          </w:tcPr>
          <w:p w14:paraId="498E0A3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EA8655C" w14:textId="77777777" w:rsidTr="004C3C90">
        <w:trPr>
          <w:trHeight w:val="20"/>
        </w:trPr>
        <w:tc>
          <w:tcPr>
            <w:tcW w:w="550" w:type="dxa"/>
            <w:shd w:val="clear" w:color="auto" w:fill="auto"/>
            <w:vAlign w:val="center"/>
          </w:tcPr>
          <w:p w14:paraId="7E3FB61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311</w:t>
            </w:r>
          </w:p>
        </w:tc>
        <w:tc>
          <w:tcPr>
            <w:tcW w:w="1071" w:type="dxa"/>
            <w:shd w:val="clear" w:color="auto" w:fill="auto"/>
            <w:vAlign w:val="center"/>
          </w:tcPr>
          <w:p w14:paraId="6D399D1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64B9A2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Adachi T, Kawamura K, Furusawa Y</w:t>
            </w:r>
          </w:p>
        </w:tc>
        <w:tc>
          <w:tcPr>
            <w:tcW w:w="7010" w:type="dxa"/>
            <w:shd w:val="clear" w:color="auto" w:fill="auto"/>
            <w:vAlign w:val="center"/>
          </w:tcPr>
          <w:p w14:paraId="2D6673B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Japans Initiative on Rare and Undiagnosed Diseases Patients: To Bring Their Diagnostic Odyssey to an End, and Beyond</w:t>
            </w:r>
          </w:p>
        </w:tc>
        <w:tc>
          <w:tcPr>
            <w:tcW w:w="568" w:type="dxa"/>
            <w:shd w:val="clear" w:color="auto" w:fill="auto"/>
            <w:vAlign w:val="center"/>
          </w:tcPr>
          <w:p w14:paraId="4E71CBE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DF5C122" w14:textId="77777777" w:rsidTr="004C3C90">
        <w:trPr>
          <w:trHeight w:val="20"/>
        </w:trPr>
        <w:tc>
          <w:tcPr>
            <w:tcW w:w="550" w:type="dxa"/>
            <w:shd w:val="clear" w:color="auto" w:fill="auto"/>
            <w:vAlign w:val="center"/>
          </w:tcPr>
          <w:p w14:paraId="1D4571B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312</w:t>
            </w:r>
          </w:p>
        </w:tc>
        <w:tc>
          <w:tcPr>
            <w:tcW w:w="1071" w:type="dxa"/>
            <w:shd w:val="clear" w:color="auto" w:fill="auto"/>
            <w:vAlign w:val="center"/>
          </w:tcPr>
          <w:p w14:paraId="0C280D3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78EBB8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Agbo-Kpati KP, Quartier P, Breton S, Bader-Meunier B</w:t>
            </w:r>
          </w:p>
        </w:tc>
        <w:tc>
          <w:tcPr>
            <w:tcW w:w="7010" w:type="dxa"/>
            <w:shd w:val="clear" w:color="auto" w:fill="auto"/>
            <w:vAlign w:val="center"/>
          </w:tcPr>
          <w:p w14:paraId="39BC589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Muscle Aseptic Abscesses in Pediatric Patients Diagnosed with Systemic Onset Juvenile Idiopathic Arthritis or Polyarthritis: Is It a New Auto-Inflammatory Disease?</w:t>
            </w:r>
          </w:p>
        </w:tc>
        <w:tc>
          <w:tcPr>
            <w:tcW w:w="568" w:type="dxa"/>
            <w:shd w:val="clear" w:color="auto" w:fill="auto"/>
            <w:vAlign w:val="center"/>
          </w:tcPr>
          <w:p w14:paraId="099FAE7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2E468CA5" w14:textId="77777777" w:rsidTr="004C3C90">
        <w:trPr>
          <w:trHeight w:val="20"/>
        </w:trPr>
        <w:tc>
          <w:tcPr>
            <w:tcW w:w="550" w:type="dxa"/>
            <w:shd w:val="clear" w:color="auto" w:fill="auto"/>
            <w:vAlign w:val="center"/>
          </w:tcPr>
          <w:p w14:paraId="67FF196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313</w:t>
            </w:r>
          </w:p>
        </w:tc>
        <w:tc>
          <w:tcPr>
            <w:tcW w:w="1071" w:type="dxa"/>
            <w:shd w:val="clear" w:color="auto" w:fill="auto"/>
            <w:vAlign w:val="center"/>
          </w:tcPr>
          <w:p w14:paraId="407D8AE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B45E87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Ballinger R, Eliasson L</w:t>
            </w:r>
          </w:p>
        </w:tc>
        <w:tc>
          <w:tcPr>
            <w:tcW w:w="7010" w:type="dxa"/>
            <w:shd w:val="clear" w:color="auto" w:fill="auto"/>
            <w:vAlign w:val="center"/>
          </w:tcPr>
          <w:p w14:paraId="33F46B2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Pilot Study to Assess Impacts on Researchers of Conducting Emotionally Challenging Research from Consultancy or Pharmaceutical Settings</w:t>
            </w:r>
          </w:p>
        </w:tc>
        <w:tc>
          <w:tcPr>
            <w:tcW w:w="568" w:type="dxa"/>
            <w:shd w:val="clear" w:color="auto" w:fill="auto"/>
            <w:vAlign w:val="center"/>
          </w:tcPr>
          <w:p w14:paraId="42BED6E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04CCB94" w14:textId="77777777" w:rsidTr="004C3C90">
        <w:trPr>
          <w:trHeight w:val="20"/>
        </w:trPr>
        <w:tc>
          <w:tcPr>
            <w:tcW w:w="550" w:type="dxa"/>
            <w:shd w:val="clear" w:color="auto" w:fill="auto"/>
            <w:vAlign w:val="center"/>
          </w:tcPr>
          <w:p w14:paraId="638E690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314</w:t>
            </w:r>
          </w:p>
        </w:tc>
        <w:tc>
          <w:tcPr>
            <w:tcW w:w="1071" w:type="dxa"/>
            <w:shd w:val="clear" w:color="auto" w:fill="auto"/>
            <w:vAlign w:val="center"/>
          </w:tcPr>
          <w:p w14:paraId="696068F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2A7BEB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Sharda AV, Bauer KA</w:t>
            </w:r>
          </w:p>
        </w:tc>
        <w:tc>
          <w:tcPr>
            <w:tcW w:w="7010" w:type="dxa"/>
            <w:shd w:val="clear" w:color="auto" w:fill="auto"/>
            <w:vAlign w:val="center"/>
          </w:tcPr>
          <w:p w14:paraId="684D784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Aspirin Thromboprophylaxis in Joint Replacement Surgery</w:t>
            </w:r>
          </w:p>
        </w:tc>
        <w:tc>
          <w:tcPr>
            <w:tcW w:w="568" w:type="dxa"/>
            <w:shd w:val="clear" w:color="auto" w:fill="auto"/>
            <w:vAlign w:val="center"/>
          </w:tcPr>
          <w:p w14:paraId="7F0B51C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9E3E049" w14:textId="77777777" w:rsidTr="004C3C90">
        <w:trPr>
          <w:trHeight w:val="20"/>
        </w:trPr>
        <w:tc>
          <w:tcPr>
            <w:tcW w:w="550" w:type="dxa"/>
            <w:shd w:val="clear" w:color="auto" w:fill="auto"/>
            <w:vAlign w:val="center"/>
          </w:tcPr>
          <w:p w14:paraId="4D2AE4E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315</w:t>
            </w:r>
          </w:p>
        </w:tc>
        <w:tc>
          <w:tcPr>
            <w:tcW w:w="1071" w:type="dxa"/>
            <w:shd w:val="clear" w:color="auto" w:fill="auto"/>
            <w:vAlign w:val="center"/>
          </w:tcPr>
          <w:p w14:paraId="019B45D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CD1E74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Shah R, Bentley JP, Banahan B, Patel A, Holmes E, Barnard M, Khanna R</w:t>
            </w:r>
          </w:p>
        </w:tc>
        <w:tc>
          <w:tcPr>
            <w:tcW w:w="7010" w:type="dxa"/>
            <w:shd w:val="clear" w:color="auto" w:fill="auto"/>
            <w:vAlign w:val="center"/>
          </w:tcPr>
          <w:p w14:paraId="5BA2307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 Assessment of Psychosocial Determinants of Healthrelated Quality of Life (Hrqol) among Adults with Hemophilia in the United States</w:t>
            </w:r>
          </w:p>
        </w:tc>
        <w:tc>
          <w:tcPr>
            <w:tcW w:w="568" w:type="dxa"/>
            <w:shd w:val="clear" w:color="auto" w:fill="auto"/>
            <w:vAlign w:val="center"/>
          </w:tcPr>
          <w:p w14:paraId="78290CF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11FE5F2C" w14:textId="77777777" w:rsidTr="004C3C90">
        <w:trPr>
          <w:trHeight w:val="20"/>
        </w:trPr>
        <w:tc>
          <w:tcPr>
            <w:tcW w:w="550" w:type="dxa"/>
            <w:shd w:val="clear" w:color="auto" w:fill="auto"/>
            <w:vAlign w:val="center"/>
          </w:tcPr>
          <w:p w14:paraId="162027F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316</w:t>
            </w:r>
          </w:p>
        </w:tc>
        <w:tc>
          <w:tcPr>
            <w:tcW w:w="1071" w:type="dxa"/>
            <w:shd w:val="clear" w:color="auto" w:fill="auto"/>
            <w:vAlign w:val="center"/>
          </w:tcPr>
          <w:p w14:paraId="6AA9E13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2327E9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Upton CM, Wordsworth J, Cork D,  Ralston S</w:t>
            </w:r>
          </w:p>
        </w:tc>
        <w:tc>
          <w:tcPr>
            <w:tcW w:w="7010" w:type="dxa"/>
            <w:shd w:val="clear" w:color="auto" w:fill="auto"/>
            <w:vAlign w:val="center"/>
          </w:tcPr>
          <w:p w14:paraId="362FE8E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Assessment of Public Opinion Regarding the Ethics of Nice Cdf, Hst, and End-of-Life Criteria for Drug Reimbursement</w:t>
            </w:r>
          </w:p>
        </w:tc>
        <w:tc>
          <w:tcPr>
            <w:tcW w:w="568" w:type="dxa"/>
            <w:shd w:val="clear" w:color="auto" w:fill="auto"/>
            <w:vAlign w:val="center"/>
          </w:tcPr>
          <w:p w14:paraId="6706FBF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12E5DC80" w14:textId="77777777" w:rsidTr="004C3C90">
        <w:trPr>
          <w:trHeight w:val="20"/>
        </w:trPr>
        <w:tc>
          <w:tcPr>
            <w:tcW w:w="550" w:type="dxa"/>
            <w:shd w:val="clear" w:color="auto" w:fill="auto"/>
            <w:vAlign w:val="center"/>
          </w:tcPr>
          <w:p w14:paraId="6695E64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317</w:t>
            </w:r>
          </w:p>
        </w:tc>
        <w:tc>
          <w:tcPr>
            <w:tcW w:w="1071" w:type="dxa"/>
            <w:shd w:val="clear" w:color="auto" w:fill="auto"/>
            <w:vAlign w:val="center"/>
          </w:tcPr>
          <w:p w14:paraId="1FB06D6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E624EC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Stewart M, Mundayat R, Alvir J, Grima D, Tran D, Ong M, et al. </w:t>
            </w:r>
          </w:p>
        </w:tc>
        <w:tc>
          <w:tcPr>
            <w:tcW w:w="7010" w:type="dxa"/>
            <w:shd w:val="clear" w:color="auto" w:fill="auto"/>
            <w:vAlign w:val="center"/>
          </w:tcPr>
          <w:p w14:paraId="2C74146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Characteristics and Health State Utilities in Patients with Transthyretin Familial Amyloid Polyneuropathy in Brazil</w:t>
            </w:r>
          </w:p>
        </w:tc>
        <w:tc>
          <w:tcPr>
            <w:tcW w:w="568" w:type="dxa"/>
            <w:shd w:val="clear" w:color="auto" w:fill="auto"/>
            <w:vAlign w:val="center"/>
          </w:tcPr>
          <w:p w14:paraId="7C3EDE5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01D38F4D" w14:textId="77777777" w:rsidTr="004C3C90">
        <w:trPr>
          <w:trHeight w:val="20"/>
        </w:trPr>
        <w:tc>
          <w:tcPr>
            <w:tcW w:w="550" w:type="dxa"/>
            <w:shd w:val="clear" w:color="auto" w:fill="auto"/>
            <w:vAlign w:val="center"/>
          </w:tcPr>
          <w:p w14:paraId="1748C2E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318</w:t>
            </w:r>
          </w:p>
        </w:tc>
        <w:tc>
          <w:tcPr>
            <w:tcW w:w="1071" w:type="dxa"/>
            <w:shd w:val="clear" w:color="auto" w:fill="auto"/>
            <w:vAlign w:val="center"/>
          </w:tcPr>
          <w:p w14:paraId="5D6954A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CE0A05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Wu CCC, Econs MJ, NDi Meglio LA,  Insogna K, Levine MA, Orchard P, et al.</w:t>
            </w:r>
          </w:p>
        </w:tc>
        <w:tc>
          <w:tcPr>
            <w:tcW w:w="7010" w:type="dxa"/>
            <w:shd w:val="clear" w:color="auto" w:fill="auto"/>
            <w:vAlign w:val="center"/>
          </w:tcPr>
          <w:p w14:paraId="4074337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Consensus Guidelines on the Medical Management of Osteopetrosis</w:t>
            </w:r>
          </w:p>
        </w:tc>
        <w:tc>
          <w:tcPr>
            <w:tcW w:w="568" w:type="dxa"/>
            <w:shd w:val="clear" w:color="auto" w:fill="auto"/>
            <w:vAlign w:val="center"/>
          </w:tcPr>
          <w:p w14:paraId="44E78B3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4FAAB1C7" w14:textId="77777777" w:rsidTr="004C3C90">
        <w:trPr>
          <w:trHeight w:val="20"/>
        </w:trPr>
        <w:tc>
          <w:tcPr>
            <w:tcW w:w="550" w:type="dxa"/>
            <w:shd w:val="clear" w:color="auto" w:fill="auto"/>
            <w:vAlign w:val="center"/>
          </w:tcPr>
          <w:p w14:paraId="2C2D2EC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319</w:t>
            </w:r>
          </w:p>
        </w:tc>
        <w:tc>
          <w:tcPr>
            <w:tcW w:w="1071" w:type="dxa"/>
            <w:shd w:val="clear" w:color="auto" w:fill="auto"/>
            <w:vAlign w:val="center"/>
          </w:tcPr>
          <w:p w14:paraId="5C69404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CD47B9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Zulian F</w:t>
            </w:r>
          </w:p>
        </w:tc>
        <w:tc>
          <w:tcPr>
            <w:tcW w:w="7010" w:type="dxa"/>
            <w:shd w:val="clear" w:color="auto" w:fill="auto"/>
            <w:vAlign w:val="center"/>
          </w:tcPr>
          <w:p w14:paraId="0E9599B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Consensus-Based Recommendations (Share) for the Management of Juvenile Scleroderma</w:t>
            </w:r>
          </w:p>
        </w:tc>
        <w:tc>
          <w:tcPr>
            <w:tcW w:w="568" w:type="dxa"/>
            <w:shd w:val="clear" w:color="auto" w:fill="auto"/>
            <w:vAlign w:val="center"/>
          </w:tcPr>
          <w:p w14:paraId="1C359BE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7115E5F1" w14:textId="77777777" w:rsidTr="004C3C90">
        <w:trPr>
          <w:trHeight w:val="20"/>
        </w:trPr>
        <w:tc>
          <w:tcPr>
            <w:tcW w:w="550" w:type="dxa"/>
            <w:shd w:val="clear" w:color="auto" w:fill="auto"/>
            <w:vAlign w:val="center"/>
          </w:tcPr>
          <w:p w14:paraId="6272F65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320</w:t>
            </w:r>
          </w:p>
        </w:tc>
        <w:tc>
          <w:tcPr>
            <w:tcW w:w="1071" w:type="dxa"/>
            <w:shd w:val="clear" w:color="auto" w:fill="auto"/>
            <w:vAlign w:val="center"/>
          </w:tcPr>
          <w:p w14:paraId="6F6203C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E38F49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Yeh S</w:t>
            </w:r>
          </w:p>
        </w:tc>
        <w:tc>
          <w:tcPr>
            <w:tcW w:w="7010" w:type="dxa"/>
            <w:shd w:val="clear" w:color="auto" w:fill="auto"/>
            <w:vAlign w:val="center"/>
          </w:tcPr>
          <w:p w14:paraId="0A0D11C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Ebola Virus Disease: What Do Physicians Know and Are They Willing to Provide Care?</w:t>
            </w:r>
          </w:p>
        </w:tc>
        <w:tc>
          <w:tcPr>
            <w:tcW w:w="568" w:type="dxa"/>
            <w:shd w:val="clear" w:color="auto" w:fill="auto"/>
            <w:vAlign w:val="center"/>
          </w:tcPr>
          <w:p w14:paraId="326F40C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FEE8ACD" w14:textId="77777777" w:rsidTr="004C3C90">
        <w:trPr>
          <w:trHeight w:val="20"/>
        </w:trPr>
        <w:tc>
          <w:tcPr>
            <w:tcW w:w="550" w:type="dxa"/>
            <w:shd w:val="clear" w:color="auto" w:fill="auto"/>
            <w:vAlign w:val="center"/>
          </w:tcPr>
          <w:p w14:paraId="702336D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321</w:t>
            </w:r>
          </w:p>
        </w:tc>
        <w:tc>
          <w:tcPr>
            <w:tcW w:w="1071" w:type="dxa"/>
            <w:shd w:val="clear" w:color="auto" w:fill="auto"/>
            <w:vAlign w:val="center"/>
          </w:tcPr>
          <w:p w14:paraId="11FC1D0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FF2EC5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Vu H, Gaitonde P,Shaya F, Rodriguez De Bittner M</w:t>
            </w:r>
          </w:p>
        </w:tc>
        <w:tc>
          <w:tcPr>
            <w:tcW w:w="7010" w:type="dxa"/>
            <w:shd w:val="clear" w:color="auto" w:fill="auto"/>
            <w:vAlign w:val="center"/>
          </w:tcPr>
          <w:p w14:paraId="75627C8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Evaluation of Outcomes among Hiv Patients Taking Antiretroviral Regimens Using the National Ambulatory Health Care Survey (Namcs) Data</w:t>
            </w:r>
          </w:p>
        </w:tc>
        <w:tc>
          <w:tcPr>
            <w:tcW w:w="568" w:type="dxa"/>
            <w:shd w:val="clear" w:color="auto" w:fill="auto"/>
            <w:vAlign w:val="center"/>
          </w:tcPr>
          <w:p w14:paraId="5E514C7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2D8BF0AB" w14:textId="77777777" w:rsidTr="004C3C90">
        <w:trPr>
          <w:trHeight w:val="20"/>
        </w:trPr>
        <w:tc>
          <w:tcPr>
            <w:tcW w:w="550" w:type="dxa"/>
            <w:shd w:val="clear" w:color="auto" w:fill="auto"/>
            <w:vAlign w:val="center"/>
          </w:tcPr>
          <w:p w14:paraId="2D4FCF1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322</w:t>
            </w:r>
          </w:p>
        </w:tc>
        <w:tc>
          <w:tcPr>
            <w:tcW w:w="1071" w:type="dxa"/>
            <w:shd w:val="clear" w:color="auto" w:fill="auto"/>
            <w:vAlign w:val="center"/>
          </w:tcPr>
          <w:p w14:paraId="69C7649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169DAA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​Zabrodska L</w:t>
            </w:r>
          </w:p>
        </w:tc>
        <w:tc>
          <w:tcPr>
            <w:tcW w:w="7010" w:type="dxa"/>
            <w:shd w:val="clear" w:color="auto" w:fill="auto"/>
            <w:vAlign w:val="center"/>
          </w:tcPr>
          <w:p w14:paraId="74F6198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Hereditary Angioedema in Ukraine: A National Survey</w:t>
            </w:r>
          </w:p>
        </w:tc>
        <w:tc>
          <w:tcPr>
            <w:tcW w:w="568" w:type="dxa"/>
            <w:shd w:val="clear" w:color="auto" w:fill="auto"/>
            <w:vAlign w:val="center"/>
          </w:tcPr>
          <w:p w14:paraId="203F0AB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3F04C975" w14:textId="77777777" w:rsidTr="004C3C90">
        <w:trPr>
          <w:trHeight w:val="20"/>
        </w:trPr>
        <w:tc>
          <w:tcPr>
            <w:tcW w:w="550" w:type="dxa"/>
            <w:shd w:val="clear" w:color="auto" w:fill="auto"/>
            <w:vAlign w:val="center"/>
          </w:tcPr>
          <w:p w14:paraId="6C9C9B3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323</w:t>
            </w:r>
          </w:p>
        </w:tc>
        <w:tc>
          <w:tcPr>
            <w:tcW w:w="1071" w:type="dxa"/>
            <w:shd w:val="clear" w:color="auto" w:fill="auto"/>
            <w:vAlign w:val="center"/>
          </w:tcPr>
          <w:p w14:paraId="4EFACD8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6AB20A4" w14:textId="77777777" w:rsidR="004C3C90" w:rsidRPr="004C3C90" w:rsidRDefault="004C3C90" w:rsidP="004C3C90">
            <w:pPr>
              <w:shd w:val="clear" w:color="auto" w:fill="FFFFFF"/>
              <w:spacing w:line="240" w:lineRule="auto"/>
              <w:ind w:right="8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Subramanian L, Wei Y,Nguyen C,Hicks R, P Chitra P, Campbe</w:t>
            </w:r>
            <w:hyperlink r:id="rId10">
              <w:r w:rsidRPr="004C3C90">
                <w:rPr>
                  <w:rFonts w:ascii="Times New Roman" w:eastAsia="Times New Roman" w:hAnsi="Times New Roman" w:cs="Times New Roman"/>
                  <w:sz w:val="20"/>
                  <w:szCs w:val="20"/>
                  <w:u w:val="single"/>
                </w:rPr>
                <w:t>l</w:t>
              </w:r>
            </w:hyperlink>
            <w:r w:rsidRPr="004C3C90">
              <w:rPr>
                <w:rFonts w:ascii="Times New Roman" w:eastAsia="Times New Roman" w:hAnsi="Times New Roman" w:cs="Times New Roman"/>
                <w:sz w:val="20"/>
                <w:szCs w:val="20"/>
              </w:rPr>
              <w:t xml:space="preserve"> C</w:t>
            </w:r>
          </w:p>
        </w:tc>
        <w:tc>
          <w:tcPr>
            <w:tcW w:w="7010" w:type="dxa"/>
            <w:shd w:val="clear" w:color="auto" w:fill="auto"/>
            <w:vAlign w:val="center"/>
          </w:tcPr>
          <w:p w14:paraId="6E0FE55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Myopathic Aspects of Mowat-Wilson Syndrome</w:t>
            </w:r>
          </w:p>
        </w:tc>
        <w:tc>
          <w:tcPr>
            <w:tcW w:w="568" w:type="dxa"/>
            <w:shd w:val="clear" w:color="auto" w:fill="auto"/>
            <w:vAlign w:val="center"/>
          </w:tcPr>
          <w:p w14:paraId="72DDB8B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18488BB4" w14:textId="77777777" w:rsidTr="004C3C90">
        <w:trPr>
          <w:trHeight w:val="20"/>
        </w:trPr>
        <w:tc>
          <w:tcPr>
            <w:tcW w:w="550" w:type="dxa"/>
            <w:shd w:val="clear" w:color="auto" w:fill="auto"/>
            <w:vAlign w:val="center"/>
          </w:tcPr>
          <w:p w14:paraId="35B15A2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324</w:t>
            </w:r>
          </w:p>
        </w:tc>
        <w:tc>
          <w:tcPr>
            <w:tcW w:w="1071" w:type="dxa"/>
            <w:shd w:val="clear" w:color="auto" w:fill="auto"/>
            <w:vAlign w:val="center"/>
          </w:tcPr>
          <w:p w14:paraId="6FDC836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9A9DC3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Schmoeller M, Ernst F, Gee A, Hooten J</w:t>
            </w:r>
          </w:p>
        </w:tc>
        <w:tc>
          <w:tcPr>
            <w:tcW w:w="7010" w:type="dxa"/>
            <w:shd w:val="clear" w:color="auto" w:fill="auto"/>
            <w:vAlign w:val="center"/>
          </w:tcPr>
          <w:p w14:paraId="0471DCB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Quantitative Assessment of Ophthalmologist Prescribing Patterns for Severe Vernal Keratoconjunctivitis (Vkc) to Inform Payer Decision Making in the Eu</w:t>
            </w:r>
          </w:p>
        </w:tc>
        <w:tc>
          <w:tcPr>
            <w:tcW w:w="568" w:type="dxa"/>
            <w:shd w:val="clear" w:color="auto" w:fill="auto"/>
            <w:vAlign w:val="center"/>
          </w:tcPr>
          <w:p w14:paraId="1F2CE48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4C9D75F3" w14:textId="77777777" w:rsidTr="004C3C90">
        <w:trPr>
          <w:trHeight w:val="20"/>
        </w:trPr>
        <w:tc>
          <w:tcPr>
            <w:tcW w:w="550" w:type="dxa"/>
            <w:shd w:val="clear" w:color="auto" w:fill="auto"/>
            <w:vAlign w:val="center"/>
          </w:tcPr>
          <w:p w14:paraId="32243EC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325</w:t>
            </w:r>
          </w:p>
        </w:tc>
        <w:tc>
          <w:tcPr>
            <w:tcW w:w="1071" w:type="dxa"/>
            <w:shd w:val="clear" w:color="auto" w:fill="auto"/>
            <w:vAlign w:val="center"/>
          </w:tcPr>
          <w:p w14:paraId="338814B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69020A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Yu J, Paranagama D, Parasuraman S</w:t>
            </w:r>
          </w:p>
        </w:tc>
        <w:tc>
          <w:tcPr>
            <w:tcW w:w="7010" w:type="dxa"/>
            <w:shd w:val="clear" w:color="auto" w:fill="auto"/>
            <w:vAlign w:val="center"/>
          </w:tcPr>
          <w:p w14:paraId="62407A0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Recruitment Strategies and Geographic Representativeness for Patient Surveys in Rare Diseases</w:t>
            </w:r>
          </w:p>
        </w:tc>
        <w:tc>
          <w:tcPr>
            <w:tcW w:w="568" w:type="dxa"/>
            <w:shd w:val="clear" w:color="auto" w:fill="auto"/>
            <w:vAlign w:val="center"/>
          </w:tcPr>
          <w:p w14:paraId="5E9671E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0B690C8A" w14:textId="77777777" w:rsidTr="004C3C90">
        <w:trPr>
          <w:trHeight w:val="20"/>
        </w:trPr>
        <w:tc>
          <w:tcPr>
            <w:tcW w:w="550" w:type="dxa"/>
            <w:shd w:val="clear" w:color="auto" w:fill="auto"/>
            <w:vAlign w:val="center"/>
          </w:tcPr>
          <w:p w14:paraId="4FC2D7D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326</w:t>
            </w:r>
          </w:p>
        </w:tc>
        <w:tc>
          <w:tcPr>
            <w:tcW w:w="1071" w:type="dxa"/>
            <w:shd w:val="clear" w:color="auto" w:fill="auto"/>
            <w:vAlign w:val="center"/>
          </w:tcPr>
          <w:p w14:paraId="00DF813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96DE01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Stringer KA, Schumacher, KR, Caruthers RL, Nasr SZ, Myers JL</w:t>
            </w:r>
          </w:p>
        </w:tc>
        <w:tc>
          <w:tcPr>
            <w:tcW w:w="7010" w:type="dxa"/>
            <w:shd w:val="clear" w:color="auto" w:fill="auto"/>
            <w:vAlign w:val="center"/>
          </w:tcPr>
          <w:p w14:paraId="273AD7E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Study Design: Phase Ii Safety and Efficacy of Inhaled Tissue Plasminogen Activator (Activase) for the Treatment of Acute Pediatric Plastic Bronchitis</w:t>
            </w:r>
          </w:p>
        </w:tc>
        <w:tc>
          <w:tcPr>
            <w:tcW w:w="568" w:type="dxa"/>
            <w:shd w:val="clear" w:color="auto" w:fill="auto"/>
            <w:vAlign w:val="center"/>
          </w:tcPr>
          <w:p w14:paraId="1778ABF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026C9B9A" w14:textId="77777777" w:rsidTr="004C3C90">
        <w:trPr>
          <w:trHeight w:val="20"/>
        </w:trPr>
        <w:tc>
          <w:tcPr>
            <w:tcW w:w="550" w:type="dxa"/>
            <w:shd w:val="clear" w:color="auto" w:fill="auto"/>
            <w:vAlign w:val="center"/>
          </w:tcPr>
          <w:p w14:paraId="5812CD0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327</w:t>
            </w:r>
          </w:p>
        </w:tc>
        <w:tc>
          <w:tcPr>
            <w:tcW w:w="1071" w:type="dxa"/>
            <w:shd w:val="clear" w:color="auto" w:fill="auto"/>
            <w:vAlign w:val="center"/>
          </w:tcPr>
          <w:p w14:paraId="644F90C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B7198D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Quock TP, McCausland KL, Yokota M, Bayliss M, Guthrie S, White MK</w:t>
            </w:r>
          </w:p>
        </w:tc>
        <w:tc>
          <w:tcPr>
            <w:tcW w:w="7010" w:type="dxa"/>
            <w:shd w:val="clear" w:color="auto" w:fill="auto"/>
            <w:vAlign w:val="center"/>
          </w:tcPr>
          <w:p w14:paraId="3001C16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Work Productivity and Impairment among Patients with Light Chain Amyloidosis</w:t>
            </w:r>
          </w:p>
        </w:tc>
        <w:tc>
          <w:tcPr>
            <w:tcW w:w="568" w:type="dxa"/>
            <w:shd w:val="clear" w:color="auto" w:fill="auto"/>
            <w:vAlign w:val="center"/>
          </w:tcPr>
          <w:p w14:paraId="4E648C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2C5F5E7" w14:textId="77777777" w:rsidTr="004C3C90">
        <w:trPr>
          <w:trHeight w:val="20"/>
        </w:trPr>
        <w:tc>
          <w:tcPr>
            <w:tcW w:w="550" w:type="dxa"/>
            <w:shd w:val="clear" w:color="auto" w:fill="auto"/>
            <w:vAlign w:val="center"/>
          </w:tcPr>
          <w:p w14:paraId="1B9A208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328</w:t>
            </w:r>
          </w:p>
        </w:tc>
        <w:tc>
          <w:tcPr>
            <w:tcW w:w="1071" w:type="dxa"/>
            <w:shd w:val="clear" w:color="auto" w:fill="auto"/>
            <w:vAlign w:val="center"/>
          </w:tcPr>
          <w:p w14:paraId="02DF0D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213D1E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Kragl B, Wassenberg C, Steinmetz HT, Springer G, Jentisch-Ullrich K, Gaumann A, et al.</w:t>
            </w:r>
          </w:p>
        </w:tc>
        <w:tc>
          <w:tcPr>
            <w:tcW w:w="7010" w:type="dxa"/>
            <w:shd w:val="clear" w:color="auto" w:fill="auto"/>
            <w:vAlign w:val="center"/>
          </w:tcPr>
          <w:p w14:paraId="0D68CF6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Analyses of 845 Patients with Pmf, Pet-Mf and Ppv-Mf Treated in 35 German Hematology Centers - a Retrospective Field Study</w:t>
            </w:r>
          </w:p>
        </w:tc>
        <w:tc>
          <w:tcPr>
            <w:tcW w:w="568" w:type="dxa"/>
            <w:shd w:val="clear" w:color="auto" w:fill="auto"/>
            <w:vAlign w:val="center"/>
          </w:tcPr>
          <w:p w14:paraId="08E8B72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7558C22" w14:textId="77777777" w:rsidTr="004C3C90">
        <w:trPr>
          <w:trHeight w:val="20"/>
        </w:trPr>
        <w:tc>
          <w:tcPr>
            <w:tcW w:w="550" w:type="dxa"/>
            <w:shd w:val="clear" w:color="auto" w:fill="auto"/>
            <w:vAlign w:val="center"/>
          </w:tcPr>
          <w:p w14:paraId="5F77905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329</w:t>
            </w:r>
          </w:p>
        </w:tc>
        <w:tc>
          <w:tcPr>
            <w:tcW w:w="1071" w:type="dxa"/>
            <w:shd w:val="clear" w:color="auto" w:fill="auto"/>
            <w:vAlign w:val="center"/>
          </w:tcPr>
          <w:p w14:paraId="08E9F36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22BE2C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Ing SW, Clarke BL, Khan AA, Mannstadt M, McDermott MT, Piccolo R, et al. </w:t>
            </w:r>
          </w:p>
        </w:tc>
        <w:tc>
          <w:tcPr>
            <w:tcW w:w="7010" w:type="dxa"/>
            <w:shd w:val="clear" w:color="auto" w:fill="auto"/>
            <w:vAlign w:val="center"/>
          </w:tcPr>
          <w:p w14:paraId="38A6D74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Chronic Hypoparathyroidism Disease Profile: Initial Analysis from the Paradighm™ Natural History Global Registry</w:t>
            </w:r>
          </w:p>
        </w:tc>
        <w:tc>
          <w:tcPr>
            <w:tcW w:w="568" w:type="dxa"/>
            <w:shd w:val="clear" w:color="auto" w:fill="auto"/>
            <w:vAlign w:val="center"/>
          </w:tcPr>
          <w:p w14:paraId="739CF45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02159F3D" w14:textId="77777777" w:rsidTr="004C3C90">
        <w:trPr>
          <w:trHeight w:val="20"/>
        </w:trPr>
        <w:tc>
          <w:tcPr>
            <w:tcW w:w="550" w:type="dxa"/>
            <w:shd w:val="clear" w:color="auto" w:fill="auto"/>
            <w:vAlign w:val="center"/>
          </w:tcPr>
          <w:p w14:paraId="57EDE3E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330</w:t>
            </w:r>
          </w:p>
        </w:tc>
        <w:tc>
          <w:tcPr>
            <w:tcW w:w="1071" w:type="dxa"/>
            <w:shd w:val="clear" w:color="auto" w:fill="auto"/>
            <w:vAlign w:val="center"/>
          </w:tcPr>
          <w:p w14:paraId="5C4D99F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81892A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Muenzer J, Giugliani R, Scarpa M, et al. </w:t>
            </w:r>
          </w:p>
        </w:tc>
        <w:tc>
          <w:tcPr>
            <w:tcW w:w="7010" w:type="dxa"/>
            <w:shd w:val="clear" w:color="auto" w:fill="auto"/>
            <w:vAlign w:val="center"/>
          </w:tcPr>
          <w:p w14:paraId="51BE655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Outcomes after 3 Years of Idursulfase Treatment in Patients with Mps Ii: Data from the Hunter Outcome Survey (Hos)</w:t>
            </w:r>
          </w:p>
        </w:tc>
        <w:tc>
          <w:tcPr>
            <w:tcW w:w="568" w:type="dxa"/>
            <w:shd w:val="clear" w:color="auto" w:fill="auto"/>
            <w:vAlign w:val="center"/>
          </w:tcPr>
          <w:p w14:paraId="104354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09D8FFB2" w14:textId="77777777" w:rsidTr="004C3C90">
        <w:trPr>
          <w:trHeight w:val="20"/>
        </w:trPr>
        <w:tc>
          <w:tcPr>
            <w:tcW w:w="550" w:type="dxa"/>
            <w:shd w:val="clear" w:color="auto" w:fill="auto"/>
            <w:vAlign w:val="center"/>
          </w:tcPr>
          <w:p w14:paraId="128AA7D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331</w:t>
            </w:r>
          </w:p>
        </w:tc>
        <w:tc>
          <w:tcPr>
            <w:tcW w:w="1071" w:type="dxa"/>
            <w:shd w:val="clear" w:color="auto" w:fill="auto"/>
            <w:vAlign w:val="center"/>
          </w:tcPr>
          <w:p w14:paraId="6C551A2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7D8319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Kohalmi KV, Andrási N, Szilágyi T, Veszeli N, Varga L, Farkas H</w:t>
            </w:r>
          </w:p>
        </w:tc>
        <w:tc>
          <w:tcPr>
            <w:tcW w:w="7010" w:type="dxa"/>
            <w:shd w:val="clear" w:color="auto" w:fill="auto"/>
            <w:vAlign w:val="center"/>
          </w:tcPr>
          <w:p w14:paraId="5BF434C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Comorbidities of Patients with Hereditary Angioedema Due to C1-Inhibitor Deficiency in Hungary</w:t>
            </w:r>
          </w:p>
        </w:tc>
        <w:tc>
          <w:tcPr>
            <w:tcW w:w="568" w:type="dxa"/>
            <w:shd w:val="clear" w:color="auto" w:fill="auto"/>
            <w:vAlign w:val="center"/>
          </w:tcPr>
          <w:p w14:paraId="4299302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7A20077A" w14:textId="77777777" w:rsidTr="004C3C90">
        <w:trPr>
          <w:trHeight w:val="20"/>
        </w:trPr>
        <w:tc>
          <w:tcPr>
            <w:tcW w:w="550" w:type="dxa"/>
            <w:shd w:val="clear" w:color="auto" w:fill="auto"/>
            <w:vAlign w:val="center"/>
          </w:tcPr>
          <w:p w14:paraId="64D5F3A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332</w:t>
            </w:r>
          </w:p>
        </w:tc>
        <w:tc>
          <w:tcPr>
            <w:tcW w:w="1071" w:type="dxa"/>
            <w:shd w:val="clear" w:color="auto" w:fill="auto"/>
            <w:vAlign w:val="center"/>
          </w:tcPr>
          <w:p w14:paraId="7EF0488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31AF8C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Pathirana L, Sekhar M, Patch D</w:t>
            </w:r>
          </w:p>
        </w:tc>
        <w:tc>
          <w:tcPr>
            <w:tcW w:w="7010" w:type="dxa"/>
            <w:shd w:val="clear" w:color="auto" w:fill="auto"/>
            <w:vAlign w:val="center"/>
          </w:tcPr>
          <w:p w14:paraId="1CC6917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Development of a Mobile Phone App to Empower and Support Self-Monitoring in Patients with Myeloproliferative Neoplasm and Splanchnic Vein Thrombosis (Mpn-Svt)</w:t>
            </w:r>
          </w:p>
        </w:tc>
        <w:tc>
          <w:tcPr>
            <w:tcW w:w="568" w:type="dxa"/>
            <w:shd w:val="clear" w:color="auto" w:fill="auto"/>
            <w:vAlign w:val="center"/>
          </w:tcPr>
          <w:p w14:paraId="08C7F5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350BFE7A" w14:textId="77777777" w:rsidTr="004C3C90">
        <w:trPr>
          <w:trHeight w:val="20"/>
        </w:trPr>
        <w:tc>
          <w:tcPr>
            <w:tcW w:w="550" w:type="dxa"/>
            <w:shd w:val="clear" w:color="auto" w:fill="auto"/>
            <w:vAlign w:val="center"/>
          </w:tcPr>
          <w:p w14:paraId="39CBD73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333</w:t>
            </w:r>
          </w:p>
        </w:tc>
        <w:tc>
          <w:tcPr>
            <w:tcW w:w="1071" w:type="dxa"/>
            <w:shd w:val="clear" w:color="auto" w:fill="auto"/>
            <w:vAlign w:val="center"/>
          </w:tcPr>
          <w:p w14:paraId="5C0B67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C7BD3B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Hu G, Koganov M, Shinozaki R, Harigaya K</w:t>
            </w:r>
          </w:p>
        </w:tc>
        <w:tc>
          <w:tcPr>
            <w:tcW w:w="7010" w:type="dxa"/>
            <w:shd w:val="clear" w:color="auto" w:fill="auto"/>
            <w:vAlign w:val="center"/>
          </w:tcPr>
          <w:p w14:paraId="7576672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Differences in Timing of Memantine Initiation in Mild-Moderate and Moderate-Severe Alzheimer's Patients in USA Vs. Japan</w:t>
            </w:r>
          </w:p>
        </w:tc>
        <w:tc>
          <w:tcPr>
            <w:tcW w:w="568" w:type="dxa"/>
            <w:shd w:val="clear" w:color="auto" w:fill="auto"/>
            <w:vAlign w:val="center"/>
          </w:tcPr>
          <w:p w14:paraId="5A60222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7AFFC843" w14:textId="77777777" w:rsidTr="004C3C90">
        <w:trPr>
          <w:trHeight w:val="20"/>
        </w:trPr>
        <w:tc>
          <w:tcPr>
            <w:tcW w:w="550" w:type="dxa"/>
            <w:shd w:val="clear" w:color="auto" w:fill="auto"/>
            <w:vAlign w:val="center"/>
          </w:tcPr>
          <w:p w14:paraId="282E57E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334</w:t>
            </w:r>
          </w:p>
        </w:tc>
        <w:tc>
          <w:tcPr>
            <w:tcW w:w="1071" w:type="dxa"/>
            <w:shd w:val="clear" w:color="auto" w:fill="auto"/>
            <w:vAlign w:val="center"/>
          </w:tcPr>
          <w:p w14:paraId="14EEFAA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F11D7C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Khan M, Chaudary N</w:t>
            </w:r>
          </w:p>
        </w:tc>
        <w:tc>
          <w:tcPr>
            <w:tcW w:w="7010" w:type="dxa"/>
            <w:shd w:val="clear" w:color="auto" w:fill="auto"/>
            <w:vAlign w:val="center"/>
          </w:tcPr>
          <w:p w14:paraId="5A90506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Effect of Early Family Meetings and Patient Education in Adults with Cystic Fibrosis: A Quality Improvement Initiative</w:t>
            </w:r>
          </w:p>
        </w:tc>
        <w:tc>
          <w:tcPr>
            <w:tcW w:w="568" w:type="dxa"/>
            <w:shd w:val="clear" w:color="auto" w:fill="auto"/>
            <w:vAlign w:val="center"/>
          </w:tcPr>
          <w:p w14:paraId="6D69481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332148B5" w14:textId="77777777" w:rsidTr="004C3C90">
        <w:trPr>
          <w:trHeight w:val="20"/>
        </w:trPr>
        <w:tc>
          <w:tcPr>
            <w:tcW w:w="550" w:type="dxa"/>
            <w:shd w:val="clear" w:color="auto" w:fill="auto"/>
            <w:vAlign w:val="center"/>
          </w:tcPr>
          <w:p w14:paraId="41B2A2C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335</w:t>
            </w:r>
          </w:p>
        </w:tc>
        <w:tc>
          <w:tcPr>
            <w:tcW w:w="1071" w:type="dxa"/>
            <w:shd w:val="clear" w:color="auto" w:fill="auto"/>
            <w:vAlign w:val="center"/>
          </w:tcPr>
          <w:p w14:paraId="7D1CAB6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FE85DD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Kim JH, Chu SH, Chang HJ</w:t>
            </w:r>
          </w:p>
        </w:tc>
        <w:tc>
          <w:tcPr>
            <w:tcW w:w="7010" w:type="dxa"/>
            <w:shd w:val="clear" w:color="auto" w:fill="auto"/>
            <w:vAlign w:val="center"/>
          </w:tcPr>
          <w:p w14:paraId="2064EFA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Factors Affecting the Quality of Life among the Patients with Pulmonary Artery Hypertension</w:t>
            </w:r>
          </w:p>
        </w:tc>
        <w:tc>
          <w:tcPr>
            <w:tcW w:w="568" w:type="dxa"/>
            <w:shd w:val="clear" w:color="auto" w:fill="auto"/>
            <w:vAlign w:val="center"/>
          </w:tcPr>
          <w:p w14:paraId="5B49A3E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167E66D3" w14:textId="77777777" w:rsidTr="004C3C90">
        <w:trPr>
          <w:trHeight w:val="20"/>
        </w:trPr>
        <w:tc>
          <w:tcPr>
            <w:tcW w:w="550" w:type="dxa"/>
            <w:shd w:val="clear" w:color="auto" w:fill="auto"/>
            <w:vAlign w:val="center"/>
          </w:tcPr>
          <w:p w14:paraId="1EEF0A4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336</w:t>
            </w:r>
          </w:p>
        </w:tc>
        <w:tc>
          <w:tcPr>
            <w:tcW w:w="1071" w:type="dxa"/>
            <w:shd w:val="clear" w:color="auto" w:fill="auto"/>
            <w:vAlign w:val="center"/>
          </w:tcPr>
          <w:p w14:paraId="536A9E1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C40813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Maurer M, Caballero T, Bouillet L</w:t>
            </w:r>
          </w:p>
        </w:tc>
        <w:tc>
          <w:tcPr>
            <w:tcW w:w="7010" w:type="dxa"/>
            <w:shd w:val="clear" w:color="auto" w:fill="auto"/>
            <w:vAlign w:val="center"/>
          </w:tcPr>
          <w:p w14:paraId="11AA348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Gender Analysis of Baseline Characteristics and Treatment Outcomes in Patients (Pts) with Hereditary Angioedema Type I/Ii: Findings from the Icatibant Outcomes Survey</w:t>
            </w:r>
          </w:p>
        </w:tc>
        <w:tc>
          <w:tcPr>
            <w:tcW w:w="568" w:type="dxa"/>
            <w:shd w:val="clear" w:color="auto" w:fill="auto"/>
            <w:vAlign w:val="center"/>
          </w:tcPr>
          <w:p w14:paraId="49AD400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FF3ECA6" w14:textId="77777777" w:rsidTr="004C3C90">
        <w:trPr>
          <w:trHeight w:val="20"/>
        </w:trPr>
        <w:tc>
          <w:tcPr>
            <w:tcW w:w="550" w:type="dxa"/>
            <w:shd w:val="clear" w:color="auto" w:fill="auto"/>
            <w:vAlign w:val="center"/>
          </w:tcPr>
          <w:p w14:paraId="0A3B600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337</w:t>
            </w:r>
          </w:p>
        </w:tc>
        <w:tc>
          <w:tcPr>
            <w:tcW w:w="1071" w:type="dxa"/>
            <w:shd w:val="clear" w:color="auto" w:fill="auto"/>
            <w:vAlign w:val="center"/>
          </w:tcPr>
          <w:p w14:paraId="22E0C3C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3C3F9E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Jesenak M, Hrubiskova K, Hrubisko M, Vavrova L, Banovcin P</w:t>
            </w:r>
          </w:p>
        </w:tc>
        <w:tc>
          <w:tcPr>
            <w:tcW w:w="7010" w:type="dxa"/>
            <w:shd w:val="clear" w:color="auto" w:fill="auto"/>
            <w:vAlign w:val="center"/>
          </w:tcPr>
          <w:p w14:paraId="3056940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Hereditary Angioedema in Slovakia-Results from National Pilot Study</w:t>
            </w:r>
          </w:p>
        </w:tc>
        <w:tc>
          <w:tcPr>
            <w:tcW w:w="568" w:type="dxa"/>
            <w:shd w:val="clear" w:color="auto" w:fill="auto"/>
            <w:vAlign w:val="center"/>
          </w:tcPr>
          <w:p w14:paraId="047A394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7C676C97" w14:textId="77777777" w:rsidTr="004C3C90">
        <w:trPr>
          <w:trHeight w:val="20"/>
        </w:trPr>
        <w:tc>
          <w:tcPr>
            <w:tcW w:w="550" w:type="dxa"/>
            <w:shd w:val="clear" w:color="auto" w:fill="auto"/>
            <w:vAlign w:val="center"/>
          </w:tcPr>
          <w:p w14:paraId="2BCA7B5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338</w:t>
            </w:r>
          </w:p>
        </w:tc>
        <w:tc>
          <w:tcPr>
            <w:tcW w:w="1071" w:type="dxa"/>
            <w:shd w:val="clear" w:color="auto" w:fill="auto"/>
            <w:vAlign w:val="center"/>
          </w:tcPr>
          <w:p w14:paraId="11E9923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89A2B6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Mechin H, Albrecht C, Siraeva AD, Vernet S,</w:t>
            </w:r>
          </w:p>
          <w:p w14:paraId="5D7F105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Tissier JC, Thevenon J</w:t>
            </w:r>
          </w:p>
        </w:tc>
        <w:tc>
          <w:tcPr>
            <w:tcW w:w="7010" w:type="dxa"/>
            <w:shd w:val="clear" w:color="auto" w:fill="auto"/>
            <w:vAlign w:val="center"/>
          </w:tcPr>
          <w:p w14:paraId="6EA1B25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Impact of Using an Electronic Platform for an Early-Access Program for Daratumumab in France: A System Utilisation and Satisfaction Study</w:t>
            </w:r>
          </w:p>
        </w:tc>
        <w:tc>
          <w:tcPr>
            <w:tcW w:w="568" w:type="dxa"/>
            <w:shd w:val="clear" w:color="auto" w:fill="auto"/>
            <w:vAlign w:val="center"/>
          </w:tcPr>
          <w:p w14:paraId="4C4489C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7DB269A9" w14:textId="77777777" w:rsidTr="004C3C90">
        <w:trPr>
          <w:trHeight w:val="20"/>
        </w:trPr>
        <w:tc>
          <w:tcPr>
            <w:tcW w:w="550" w:type="dxa"/>
            <w:shd w:val="clear" w:color="auto" w:fill="auto"/>
            <w:vAlign w:val="center"/>
          </w:tcPr>
          <w:p w14:paraId="26BDC50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339</w:t>
            </w:r>
          </w:p>
        </w:tc>
        <w:tc>
          <w:tcPr>
            <w:tcW w:w="1071" w:type="dxa"/>
            <w:shd w:val="clear" w:color="auto" w:fill="auto"/>
            <w:vAlign w:val="center"/>
          </w:tcPr>
          <w:p w14:paraId="593BA3C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007297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Hare H, Gagnon B, Kinel S, et al.</w:t>
            </w:r>
          </w:p>
        </w:tc>
        <w:tc>
          <w:tcPr>
            <w:tcW w:w="7010" w:type="dxa"/>
            <w:shd w:val="clear" w:color="auto" w:fill="auto"/>
            <w:vAlign w:val="center"/>
          </w:tcPr>
          <w:p w14:paraId="0DCF879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Industry Collaborations in Clinical Trial Development: Leveraging in-Person Patient and Caregiver Input in Huntington Disease</w:t>
            </w:r>
          </w:p>
        </w:tc>
        <w:tc>
          <w:tcPr>
            <w:tcW w:w="568" w:type="dxa"/>
            <w:shd w:val="clear" w:color="auto" w:fill="auto"/>
            <w:vAlign w:val="center"/>
          </w:tcPr>
          <w:p w14:paraId="6D9163E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2C8B88F7" w14:textId="77777777" w:rsidTr="004C3C90">
        <w:trPr>
          <w:trHeight w:val="20"/>
        </w:trPr>
        <w:tc>
          <w:tcPr>
            <w:tcW w:w="550" w:type="dxa"/>
            <w:shd w:val="clear" w:color="auto" w:fill="auto"/>
            <w:vAlign w:val="center"/>
          </w:tcPr>
          <w:p w14:paraId="408C630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340</w:t>
            </w:r>
          </w:p>
        </w:tc>
        <w:tc>
          <w:tcPr>
            <w:tcW w:w="1071" w:type="dxa"/>
            <w:shd w:val="clear" w:color="auto" w:fill="auto"/>
            <w:vAlign w:val="center"/>
          </w:tcPr>
          <w:p w14:paraId="64BF7C9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11AF15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Pina-Rivera Y, Godfrey RM, Sesay SO</w:t>
            </w:r>
          </w:p>
        </w:tc>
        <w:tc>
          <w:tcPr>
            <w:tcW w:w="7010" w:type="dxa"/>
            <w:shd w:val="clear" w:color="auto" w:fill="auto"/>
            <w:vAlign w:val="center"/>
          </w:tcPr>
          <w:p w14:paraId="21AA4E1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Mccune-Albright Syndrome with Growth Hormone Deficiency-Case Report</w:t>
            </w:r>
          </w:p>
        </w:tc>
        <w:tc>
          <w:tcPr>
            <w:tcW w:w="568" w:type="dxa"/>
            <w:shd w:val="clear" w:color="auto" w:fill="auto"/>
            <w:vAlign w:val="center"/>
          </w:tcPr>
          <w:p w14:paraId="1D82588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D933232" w14:textId="77777777" w:rsidTr="004C3C90">
        <w:trPr>
          <w:trHeight w:val="20"/>
        </w:trPr>
        <w:tc>
          <w:tcPr>
            <w:tcW w:w="550" w:type="dxa"/>
            <w:shd w:val="clear" w:color="auto" w:fill="auto"/>
            <w:vAlign w:val="center"/>
          </w:tcPr>
          <w:p w14:paraId="0012359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341</w:t>
            </w:r>
          </w:p>
        </w:tc>
        <w:tc>
          <w:tcPr>
            <w:tcW w:w="1071" w:type="dxa"/>
            <w:shd w:val="clear" w:color="auto" w:fill="auto"/>
            <w:vAlign w:val="center"/>
          </w:tcPr>
          <w:p w14:paraId="559F7F4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2E1DBC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Krysanova V, Krysanov I, Ermakova V</w:t>
            </w:r>
          </w:p>
        </w:tc>
        <w:tc>
          <w:tcPr>
            <w:tcW w:w="7010" w:type="dxa"/>
            <w:shd w:val="clear" w:color="auto" w:fill="auto"/>
            <w:vAlign w:val="center"/>
          </w:tcPr>
          <w:p w14:paraId="0DB9F9E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Multicriteria Decision Analysis of Using Tetrabenazine for Patients with Hungtington's Disease in Russia</w:t>
            </w:r>
          </w:p>
        </w:tc>
        <w:tc>
          <w:tcPr>
            <w:tcW w:w="568" w:type="dxa"/>
            <w:shd w:val="clear" w:color="auto" w:fill="auto"/>
            <w:vAlign w:val="center"/>
          </w:tcPr>
          <w:p w14:paraId="32B4CFC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43BAA80B" w14:textId="77777777" w:rsidTr="004C3C90">
        <w:trPr>
          <w:trHeight w:val="20"/>
        </w:trPr>
        <w:tc>
          <w:tcPr>
            <w:tcW w:w="550" w:type="dxa"/>
            <w:shd w:val="clear" w:color="auto" w:fill="auto"/>
            <w:vAlign w:val="center"/>
          </w:tcPr>
          <w:p w14:paraId="72F9978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342</w:t>
            </w:r>
          </w:p>
        </w:tc>
        <w:tc>
          <w:tcPr>
            <w:tcW w:w="1071" w:type="dxa"/>
            <w:shd w:val="clear" w:color="auto" w:fill="auto"/>
            <w:vAlign w:val="center"/>
          </w:tcPr>
          <w:p w14:paraId="6C362C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566135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Kaussen T, Zellmer A,  Käditzz H, Seidemann K, von Kries R, Sasse M, Beerbaum P</w:t>
            </w:r>
          </w:p>
        </w:tc>
        <w:tc>
          <w:tcPr>
            <w:tcW w:w="7010" w:type="dxa"/>
            <w:shd w:val="clear" w:color="auto" w:fill="auto"/>
            <w:vAlign w:val="center"/>
          </w:tcPr>
          <w:p w14:paraId="680157C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P065. Espedacs-Surveillance Study on Epidemiology, Diagnostics and Therapy of Abdominal Compartment Syndrom in Critical Ill Children in Germany: Preliminary Data</w:t>
            </w:r>
          </w:p>
        </w:tc>
        <w:tc>
          <w:tcPr>
            <w:tcW w:w="568" w:type="dxa"/>
            <w:shd w:val="clear" w:color="auto" w:fill="auto"/>
            <w:vAlign w:val="center"/>
          </w:tcPr>
          <w:p w14:paraId="1690954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7F098A26" w14:textId="77777777" w:rsidTr="004C3C90">
        <w:trPr>
          <w:trHeight w:val="20"/>
        </w:trPr>
        <w:tc>
          <w:tcPr>
            <w:tcW w:w="550" w:type="dxa"/>
            <w:shd w:val="clear" w:color="auto" w:fill="auto"/>
            <w:vAlign w:val="center"/>
          </w:tcPr>
          <w:p w14:paraId="6ACD882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343</w:t>
            </w:r>
          </w:p>
        </w:tc>
        <w:tc>
          <w:tcPr>
            <w:tcW w:w="1071" w:type="dxa"/>
            <w:shd w:val="clear" w:color="auto" w:fill="auto"/>
            <w:vAlign w:val="center"/>
          </w:tcPr>
          <w:p w14:paraId="69EC6DE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E40D99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Kamiya C</w:t>
            </w:r>
          </w:p>
        </w:tc>
        <w:tc>
          <w:tcPr>
            <w:tcW w:w="7010" w:type="dxa"/>
            <w:shd w:val="clear" w:color="auto" w:fill="auto"/>
            <w:vAlign w:val="center"/>
          </w:tcPr>
          <w:p w14:paraId="08E9135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Peripartum Cardiomyopathy: How Can We Approach Such a Heterogeneous Disease?</w:t>
            </w:r>
          </w:p>
        </w:tc>
        <w:tc>
          <w:tcPr>
            <w:tcW w:w="568" w:type="dxa"/>
            <w:shd w:val="clear" w:color="auto" w:fill="auto"/>
            <w:vAlign w:val="center"/>
          </w:tcPr>
          <w:p w14:paraId="70977FA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2CF16086" w14:textId="77777777" w:rsidTr="004C3C90">
        <w:trPr>
          <w:trHeight w:val="20"/>
        </w:trPr>
        <w:tc>
          <w:tcPr>
            <w:tcW w:w="550" w:type="dxa"/>
            <w:shd w:val="clear" w:color="auto" w:fill="auto"/>
            <w:vAlign w:val="center"/>
          </w:tcPr>
          <w:p w14:paraId="2C05DB8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344</w:t>
            </w:r>
          </w:p>
        </w:tc>
        <w:tc>
          <w:tcPr>
            <w:tcW w:w="1071" w:type="dxa"/>
            <w:shd w:val="clear" w:color="auto" w:fill="auto"/>
            <w:vAlign w:val="center"/>
          </w:tcPr>
          <w:p w14:paraId="77C2958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EEFB96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Pin A, Yuen C, Wong C</w:t>
            </w:r>
          </w:p>
        </w:tc>
        <w:tc>
          <w:tcPr>
            <w:tcW w:w="7010" w:type="dxa"/>
            <w:shd w:val="clear" w:color="auto" w:fill="auto"/>
            <w:vAlign w:val="center"/>
          </w:tcPr>
          <w:p w14:paraId="4DA7ADF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Poems Syndrome: Rare Disease That Is Usually Overlooked</w:t>
            </w:r>
          </w:p>
        </w:tc>
        <w:tc>
          <w:tcPr>
            <w:tcW w:w="568" w:type="dxa"/>
            <w:shd w:val="clear" w:color="auto" w:fill="auto"/>
            <w:vAlign w:val="center"/>
          </w:tcPr>
          <w:p w14:paraId="34C9634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7B027CC7" w14:textId="77777777" w:rsidTr="004C3C90">
        <w:trPr>
          <w:trHeight w:val="20"/>
        </w:trPr>
        <w:tc>
          <w:tcPr>
            <w:tcW w:w="550" w:type="dxa"/>
            <w:shd w:val="clear" w:color="auto" w:fill="auto"/>
            <w:vAlign w:val="center"/>
          </w:tcPr>
          <w:p w14:paraId="4310B91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345</w:t>
            </w:r>
          </w:p>
        </w:tc>
        <w:tc>
          <w:tcPr>
            <w:tcW w:w="1071" w:type="dxa"/>
            <w:shd w:val="clear" w:color="auto" w:fill="auto"/>
            <w:vAlign w:val="center"/>
          </w:tcPr>
          <w:p w14:paraId="73997A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20F979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Palma JA, Porciuncula A, Krismer F, Meissner W, Kaufmann H, Norcliffe-Kaufmann L</w:t>
            </w:r>
          </w:p>
        </w:tc>
        <w:tc>
          <w:tcPr>
            <w:tcW w:w="7010" w:type="dxa"/>
            <w:shd w:val="clear" w:color="auto" w:fill="auto"/>
            <w:vAlign w:val="center"/>
          </w:tcPr>
          <w:p w14:paraId="0B36924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Preliminary Results of the Global Multiple System Atrophy Registry (Glomsar): An Internet-Based Patient-Reported Registry</w:t>
            </w:r>
          </w:p>
        </w:tc>
        <w:tc>
          <w:tcPr>
            <w:tcW w:w="568" w:type="dxa"/>
            <w:shd w:val="clear" w:color="auto" w:fill="auto"/>
            <w:vAlign w:val="center"/>
          </w:tcPr>
          <w:p w14:paraId="4796B09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2A2C8A2" w14:textId="77777777" w:rsidTr="004C3C90">
        <w:trPr>
          <w:trHeight w:val="20"/>
        </w:trPr>
        <w:tc>
          <w:tcPr>
            <w:tcW w:w="550" w:type="dxa"/>
            <w:shd w:val="clear" w:color="auto" w:fill="auto"/>
            <w:vAlign w:val="center"/>
          </w:tcPr>
          <w:p w14:paraId="2979E74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346</w:t>
            </w:r>
          </w:p>
        </w:tc>
        <w:tc>
          <w:tcPr>
            <w:tcW w:w="1071" w:type="dxa"/>
            <w:shd w:val="clear" w:color="auto" w:fill="auto"/>
            <w:vAlign w:val="center"/>
          </w:tcPr>
          <w:p w14:paraId="44A9D0A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1B766C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Matsushima M, Sakushima K, Yabe I</w:t>
            </w:r>
          </w:p>
        </w:tc>
        <w:tc>
          <w:tcPr>
            <w:tcW w:w="7010" w:type="dxa"/>
            <w:shd w:val="clear" w:color="auto" w:fill="auto"/>
            <w:vAlign w:val="center"/>
          </w:tcPr>
          <w:p w14:paraId="33EF73C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Progress Report of the Registry Study for Multiple System Atrophy in Hokkaido, Japan: Horc-Msa Project 2014-17</w:t>
            </w:r>
          </w:p>
        </w:tc>
        <w:tc>
          <w:tcPr>
            <w:tcW w:w="568" w:type="dxa"/>
            <w:shd w:val="clear" w:color="auto" w:fill="auto"/>
            <w:vAlign w:val="center"/>
          </w:tcPr>
          <w:p w14:paraId="043A7B8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2B44E2D4" w14:textId="77777777" w:rsidTr="004C3C90">
        <w:trPr>
          <w:trHeight w:val="20"/>
        </w:trPr>
        <w:tc>
          <w:tcPr>
            <w:tcW w:w="550" w:type="dxa"/>
            <w:shd w:val="clear" w:color="auto" w:fill="auto"/>
            <w:vAlign w:val="center"/>
          </w:tcPr>
          <w:p w14:paraId="49F7C4B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347</w:t>
            </w:r>
          </w:p>
        </w:tc>
        <w:tc>
          <w:tcPr>
            <w:tcW w:w="1071" w:type="dxa"/>
            <w:shd w:val="clear" w:color="auto" w:fill="auto"/>
            <w:vAlign w:val="center"/>
          </w:tcPr>
          <w:p w14:paraId="4142A6D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506E0A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Parthenaki L, Balvanyos J, Crowley G, Tomazos LC</w:t>
            </w:r>
          </w:p>
        </w:tc>
        <w:tc>
          <w:tcPr>
            <w:tcW w:w="7010" w:type="dxa"/>
            <w:shd w:val="clear" w:color="auto" w:fill="auto"/>
            <w:vAlign w:val="center"/>
          </w:tcPr>
          <w:p w14:paraId="63E4D44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Quality of Life in Adults with Hypophosphatasia: Results from a Multicountry Survey</w:t>
            </w:r>
          </w:p>
        </w:tc>
        <w:tc>
          <w:tcPr>
            <w:tcW w:w="568" w:type="dxa"/>
            <w:shd w:val="clear" w:color="auto" w:fill="auto"/>
            <w:vAlign w:val="center"/>
          </w:tcPr>
          <w:p w14:paraId="5CB1C7A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ED7D21D" w14:textId="77777777" w:rsidTr="004C3C90">
        <w:trPr>
          <w:trHeight w:val="20"/>
        </w:trPr>
        <w:tc>
          <w:tcPr>
            <w:tcW w:w="550" w:type="dxa"/>
            <w:shd w:val="clear" w:color="auto" w:fill="auto"/>
            <w:vAlign w:val="center"/>
          </w:tcPr>
          <w:p w14:paraId="0CBEA95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348</w:t>
            </w:r>
          </w:p>
        </w:tc>
        <w:tc>
          <w:tcPr>
            <w:tcW w:w="1071" w:type="dxa"/>
            <w:shd w:val="clear" w:color="auto" w:fill="auto"/>
            <w:vAlign w:val="center"/>
          </w:tcPr>
          <w:p w14:paraId="0973760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D82C07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Matsushima M, Sakushima K, Yabe I</w:t>
            </w:r>
          </w:p>
        </w:tc>
        <w:tc>
          <w:tcPr>
            <w:tcW w:w="7010" w:type="dxa"/>
            <w:shd w:val="clear" w:color="auto" w:fill="auto"/>
            <w:vAlign w:val="center"/>
          </w:tcPr>
          <w:p w14:paraId="0C1E15E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Registry Study of Multiple System Atrophy in Hokkaido, Japan: Horc-Msa Project 2014-16</w:t>
            </w:r>
          </w:p>
        </w:tc>
        <w:tc>
          <w:tcPr>
            <w:tcW w:w="568" w:type="dxa"/>
            <w:shd w:val="clear" w:color="auto" w:fill="auto"/>
            <w:vAlign w:val="center"/>
          </w:tcPr>
          <w:p w14:paraId="793B311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155AB59B" w14:textId="77777777" w:rsidTr="004C3C90">
        <w:trPr>
          <w:trHeight w:val="20"/>
        </w:trPr>
        <w:tc>
          <w:tcPr>
            <w:tcW w:w="550" w:type="dxa"/>
            <w:shd w:val="clear" w:color="auto" w:fill="auto"/>
            <w:vAlign w:val="center"/>
          </w:tcPr>
          <w:p w14:paraId="68A4A5B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349</w:t>
            </w:r>
          </w:p>
        </w:tc>
        <w:tc>
          <w:tcPr>
            <w:tcW w:w="1071" w:type="dxa"/>
            <w:shd w:val="clear" w:color="auto" w:fill="auto"/>
            <w:vAlign w:val="center"/>
          </w:tcPr>
          <w:p w14:paraId="0F76F93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24447C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 Gonano C, Pasquier J, Daccord C, Lazor R</w:t>
            </w:r>
          </w:p>
        </w:tc>
        <w:tc>
          <w:tcPr>
            <w:tcW w:w="7010" w:type="dxa"/>
            <w:shd w:val="clear" w:color="auto" w:fill="auto"/>
            <w:vAlign w:val="center"/>
          </w:tcPr>
          <w:p w14:paraId="7082034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Risk of Pneumothorax Due to Air Travel in Pulmonary Lymphangioleiomyomatosis</w:t>
            </w:r>
          </w:p>
        </w:tc>
        <w:tc>
          <w:tcPr>
            <w:tcW w:w="568" w:type="dxa"/>
            <w:shd w:val="clear" w:color="auto" w:fill="auto"/>
            <w:vAlign w:val="center"/>
          </w:tcPr>
          <w:p w14:paraId="46C52CF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2C6A9D5E" w14:textId="77777777" w:rsidTr="004C3C90">
        <w:trPr>
          <w:trHeight w:val="20"/>
        </w:trPr>
        <w:tc>
          <w:tcPr>
            <w:tcW w:w="550" w:type="dxa"/>
            <w:shd w:val="clear" w:color="auto" w:fill="auto"/>
            <w:vAlign w:val="center"/>
          </w:tcPr>
          <w:p w14:paraId="53F5C5C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350</w:t>
            </w:r>
          </w:p>
        </w:tc>
        <w:tc>
          <w:tcPr>
            <w:tcW w:w="1071" w:type="dxa"/>
            <w:shd w:val="clear" w:color="auto" w:fill="auto"/>
            <w:vAlign w:val="center"/>
          </w:tcPr>
          <w:p w14:paraId="16B19EF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72D2A2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Mol P, Vries S</w:t>
            </w:r>
          </w:p>
        </w:tc>
        <w:tc>
          <w:tcPr>
            <w:tcW w:w="7010" w:type="dxa"/>
            <w:shd w:val="clear" w:color="auto" w:fill="auto"/>
            <w:vAlign w:val="center"/>
          </w:tcPr>
          <w:p w14:paraId="5AB5DBC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Which Patients Are Interested in an App for Reporting Adverse Drug Reactions and Receiving Drug Safety Information?</w:t>
            </w:r>
          </w:p>
        </w:tc>
        <w:tc>
          <w:tcPr>
            <w:tcW w:w="568" w:type="dxa"/>
            <w:shd w:val="clear" w:color="auto" w:fill="auto"/>
            <w:vAlign w:val="center"/>
          </w:tcPr>
          <w:p w14:paraId="0DBD261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7E80B5CD" w14:textId="77777777" w:rsidTr="004C3C90">
        <w:trPr>
          <w:trHeight w:val="20"/>
        </w:trPr>
        <w:tc>
          <w:tcPr>
            <w:tcW w:w="550" w:type="dxa"/>
            <w:shd w:val="clear" w:color="auto" w:fill="auto"/>
            <w:vAlign w:val="center"/>
          </w:tcPr>
          <w:p w14:paraId="1123D94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351</w:t>
            </w:r>
          </w:p>
        </w:tc>
        <w:tc>
          <w:tcPr>
            <w:tcW w:w="1071" w:type="dxa"/>
            <w:shd w:val="clear" w:color="auto" w:fill="auto"/>
            <w:vAlign w:val="center"/>
          </w:tcPr>
          <w:p w14:paraId="2753EA4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94FDCC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Dabaj I, Coqué N, Chemaly N, Nabbout R</w:t>
            </w:r>
          </w:p>
        </w:tc>
        <w:tc>
          <w:tcPr>
            <w:tcW w:w="7010" w:type="dxa"/>
            <w:shd w:val="clear" w:color="auto" w:fill="auto"/>
            <w:vAlign w:val="center"/>
          </w:tcPr>
          <w:p w14:paraId="67D53AC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Antiepileptic Treatment in Dravet Syndrome: An Additional Complexity for the Families</w:t>
            </w:r>
          </w:p>
        </w:tc>
        <w:tc>
          <w:tcPr>
            <w:tcW w:w="568" w:type="dxa"/>
            <w:shd w:val="clear" w:color="auto" w:fill="auto"/>
            <w:vAlign w:val="center"/>
          </w:tcPr>
          <w:p w14:paraId="7A3C832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3071A3DC" w14:textId="77777777" w:rsidTr="004C3C90">
        <w:trPr>
          <w:trHeight w:val="20"/>
        </w:trPr>
        <w:tc>
          <w:tcPr>
            <w:tcW w:w="550" w:type="dxa"/>
            <w:shd w:val="clear" w:color="auto" w:fill="auto"/>
            <w:vAlign w:val="center"/>
          </w:tcPr>
          <w:p w14:paraId="2ACB67B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352</w:t>
            </w:r>
          </w:p>
        </w:tc>
        <w:tc>
          <w:tcPr>
            <w:tcW w:w="1071" w:type="dxa"/>
            <w:shd w:val="clear" w:color="auto" w:fill="auto"/>
            <w:vAlign w:val="center"/>
          </w:tcPr>
          <w:p w14:paraId="5855D2A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F7E68D1" w14:textId="77777777" w:rsidR="004C3C90" w:rsidRPr="004C3C90" w:rsidRDefault="004C3C90" w:rsidP="004C3C90">
            <w:pPr>
              <w:spacing w:line="240" w:lineRule="auto"/>
              <w:rPr>
                <w:rFonts w:ascii="Times New Roman" w:eastAsia="Times New Roman" w:hAnsi="Times New Roman" w:cs="Times New Roman"/>
                <w:sz w:val="20"/>
                <w:szCs w:val="20"/>
                <w:highlight w:val="white"/>
              </w:rPr>
            </w:pPr>
            <w:r w:rsidRPr="004C3C90">
              <w:rPr>
                <w:rFonts w:ascii="Times New Roman" w:eastAsia="Times New Roman" w:hAnsi="Times New Roman" w:cs="Times New Roman"/>
                <w:sz w:val="20"/>
                <w:szCs w:val="20"/>
                <w:highlight w:val="white"/>
              </w:rPr>
              <w:t>Ferrada M, Sinaii N, Sikora KA</w:t>
            </w:r>
          </w:p>
        </w:tc>
        <w:tc>
          <w:tcPr>
            <w:tcW w:w="7010" w:type="dxa"/>
            <w:shd w:val="clear" w:color="auto" w:fill="auto"/>
            <w:vAlign w:val="center"/>
          </w:tcPr>
          <w:p w14:paraId="5F87FD3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Children with Relapsing Polychondritis Are Likely to Be Seen in the Emergency Room Prior to Establishing the Diagnosis</w:t>
            </w:r>
          </w:p>
        </w:tc>
        <w:tc>
          <w:tcPr>
            <w:tcW w:w="568" w:type="dxa"/>
            <w:shd w:val="clear" w:color="auto" w:fill="auto"/>
            <w:vAlign w:val="center"/>
          </w:tcPr>
          <w:p w14:paraId="7F09A7A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7C253A23" w14:textId="77777777" w:rsidTr="004C3C90">
        <w:trPr>
          <w:trHeight w:val="20"/>
        </w:trPr>
        <w:tc>
          <w:tcPr>
            <w:tcW w:w="550" w:type="dxa"/>
            <w:shd w:val="clear" w:color="auto" w:fill="auto"/>
            <w:vAlign w:val="center"/>
          </w:tcPr>
          <w:p w14:paraId="12A801D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353</w:t>
            </w:r>
          </w:p>
        </w:tc>
        <w:tc>
          <w:tcPr>
            <w:tcW w:w="1071" w:type="dxa"/>
            <w:shd w:val="clear" w:color="auto" w:fill="auto"/>
            <w:vAlign w:val="center"/>
          </w:tcPr>
          <w:p w14:paraId="525C7E6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16A570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Kim C, Delaney K, McNamara M, Chia V, Romanov V</w:t>
            </w:r>
          </w:p>
        </w:tc>
        <w:tc>
          <w:tcPr>
            <w:tcW w:w="7010" w:type="dxa"/>
            <w:shd w:val="clear" w:color="auto" w:fill="auto"/>
            <w:vAlign w:val="center"/>
          </w:tcPr>
          <w:p w14:paraId="2799ECC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Cross-Sectional Physician Survey on the Use of Minimal Residual Disease (Mrd) Testing in the Management of Pediatric and Adult Patients with Acute Lymphoblastic Leukemia (All)</w:t>
            </w:r>
          </w:p>
        </w:tc>
        <w:tc>
          <w:tcPr>
            <w:tcW w:w="568" w:type="dxa"/>
            <w:shd w:val="clear" w:color="auto" w:fill="auto"/>
            <w:vAlign w:val="center"/>
          </w:tcPr>
          <w:p w14:paraId="571C84F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1A74FEDE" w14:textId="77777777" w:rsidTr="004C3C90">
        <w:trPr>
          <w:trHeight w:val="20"/>
        </w:trPr>
        <w:tc>
          <w:tcPr>
            <w:tcW w:w="550" w:type="dxa"/>
            <w:shd w:val="clear" w:color="auto" w:fill="auto"/>
            <w:vAlign w:val="center"/>
          </w:tcPr>
          <w:p w14:paraId="3B34451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354</w:t>
            </w:r>
          </w:p>
        </w:tc>
        <w:tc>
          <w:tcPr>
            <w:tcW w:w="1071" w:type="dxa"/>
            <w:shd w:val="clear" w:color="auto" w:fill="auto"/>
            <w:vAlign w:val="center"/>
          </w:tcPr>
          <w:p w14:paraId="5F4AED8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888198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Allen G, Hall A, Hanman K, Le Fevre R, Griffiths A</w:t>
            </w:r>
          </w:p>
        </w:tc>
        <w:tc>
          <w:tcPr>
            <w:tcW w:w="7010" w:type="dxa"/>
            <w:shd w:val="clear" w:color="auto" w:fill="auto"/>
            <w:vAlign w:val="center"/>
          </w:tcPr>
          <w:p w14:paraId="7848520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Do Eu5 Countries with Favourable Healthcare Expenditure and Reimbursement Indicators Have Better Patient-Reported Access to Treatments for Rare Diseases?</w:t>
            </w:r>
          </w:p>
        </w:tc>
        <w:tc>
          <w:tcPr>
            <w:tcW w:w="568" w:type="dxa"/>
            <w:shd w:val="clear" w:color="auto" w:fill="auto"/>
            <w:vAlign w:val="center"/>
          </w:tcPr>
          <w:p w14:paraId="09804F7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D006F80" w14:textId="77777777" w:rsidTr="004C3C90">
        <w:trPr>
          <w:trHeight w:val="20"/>
        </w:trPr>
        <w:tc>
          <w:tcPr>
            <w:tcW w:w="550" w:type="dxa"/>
            <w:shd w:val="clear" w:color="auto" w:fill="auto"/>
            <w:vAlign w:val="center"/>
          </w:tcPr>
          <w:p w14:paraId="1562497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355</w:t>
            </w:r>
          </w:p>
        </w:tc>
        <w:tc>
          <w:tcPr>
            <w:tcW w:w="1071" w:type="dxa"/>
            <w:shd w:val="clear" w:color="auto" w:fill="auto"/>
            <w:vAlign w:val="center"/>
          </w:tcPr>
          <w:p w14:paraId="76A82FC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D3D697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Bertolin C, Querin G, Martinelli I, Meo G, Pegoraro E, Sorarù G</w:t>
            </w:r>
          </w:p>
        </w:tc>
        <w:tc>
          <w:tcPr>
            <w:tcW w:w="7010" w:type="dxa"/>
            <w:shd w:val="clear" w:color="auto" w:fill="auto"/>
            <w:vAlign w:val="center"/>
          </w:tcPr>
          <w:p w14:paraId="2804C0D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Epidemiological Survey of Sbma in Italian North-East Regions</w:t>
            </w:r>
          </w:p>
        </w:tc>
        <w:tc>
          <w:tcPr>
            <w:tcW w:w="568" w:type="dxa"/>
            <w:shd w:val="clear" w:color="auto" w:fill="auto"/>
            <w:vAlign w:val="center"/>
          </w:tcPr>
          <w:p w14:paraId="5966EF8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1F54700" w14:textId="77777777" w:rsidTr="004C3C90">
        <w:trPr>
          <w:trHeight w:val="20"/>
        </w:trPr>
        <w:tc>
          <w:tcPr>
            <w:tcW w:w="550" w:type="dxa"/>
            <w:shd w:val="clear" w:color="auto" w:fill="auto"/>
            <w:vAlign w:val="center"/>
          </w:tcPr>
          <w:p w14:paraId="74C270B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356</w:t>
            </w:r>
          </w:p>
        </w:tc>
        <w:tc>
          <w:tcPr>
            <w:tcW w:w="1071" w:type="dxa"/>
            <w:shd w:val="clear" w:color="auto" w:fill="auto"/>
            <w:vAlign w:val="center"/>
          </w:tcPr>
          <w:p w14:paraId="626A256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D2A621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Dong D, Batista J, Belk K</w:t>
            </w:r>
          </w:p>
          <w:p w14:paraId="7E0225F4" w14:textId="77777777" w:rsidR="004C3C90" w:rsidRPr="004C3C90" w:rsidRDefault="004C3C90" w:rsidP="004C3C90">
            <w:pPr>
              <w:spacing w:line="240" w:lineRule="auto"/>
              <w:rPr>
                <w:rFonts w:ascii="Times New Roman" w:eastAsia="Times New Roman" w:hAnsi="Times New Roman" w:cs="Times New Roman"/>
                <w:sz w:val="20"/>
                <w:szCs w:val="20"/>
              </w:rPr>
            </w:pPr>
          </w:p>
        </w:tc>
        <w:tc>
          <w:tcPr>
            <w:tcW w:w="7010" w:type="dxa"/>
            <w:shd w:val="clear" w:color="auto" w:fill="auto"/>
            <w:vAlign w:val="center"/>
          </w:tcPr>
          <w:p w14:paraId="33770FC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Evolving Observational Registries: An Evidence Based Approach to Understanding Data Availability in the "Sanofi Genzyme Rare Disease Registries"</w:t>
            </w:r>
          </w:p>
        </w:tc>
        <w:tc>
          <w:tcPr>
            <w:tcW w:w="568" w:type="dxa"/>
            <w:shd w:val="clear" w:color="auto" w:fill="auto"/>
            <w:vAlign w:val="center"/>
          </w:tcPr>
          <w:p w14:paraId="79A5352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0017D097" w14:textId="77777777" w:rsidTr="004C3C90">
        <w:trPr>
          <w:trHeight w:val="20"/>
        </w:trPr>
        <w:tc>
          <w:tcPr>
            <w:tcW w:w="550" w:type="dxa"/>
            <w:shd w:val="clear" w:color="auto" w:fill="auto"/>
            <w:vAlign w:val="center"/>
          </w:tcPr>
          <w:p w14:paraId="49B1B46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357</w:t>
            </w:r>
          </w:p>
        </w:tc>
        <w:tc>
          <w:tcPr>
            <w:tcW w:w="1071" w:type="dxa"/>
            <w:shd w:val="clear" w:color="auto" w:fill="auto"/>
            <w:vAlign w:val="center"/>
          </w:tcPr>
          <w:p w14:paraId="416382E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1A0BDF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Cozmuta R, Fraenkel L</w:t>
            </w:r>
          </w:p>
        </w:tc>
        <w:tc>
          <w:tcPr>
            <w:tcW w:w="7010" w:type="dxa"/>
            <w:shd w:val="clear" w:color="auto" w:fill="auto"/>
            <w:vAlign w:val="center"/>
          </w:tcPr>
          <w:p w14:paraId="2EA395F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Factors Impacting Patients' Decision to Start Treatment Vary by Race</w:t>
            </w:r>
          </w:p>
        </w:tc>
        <w:tc>
          <w:tcPr>
            <w:tcW w:w="568" w:type="dxa"/>
            <w:shd w:val="clear" w:color="auto" w:fill="auto"/>
            <w:vAlign w:val="center"/>
          </w:tcPr>
          <w:p w14:paraId="54BD5FF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4EDB4252" w14:textId="77777777" w:rsidTr="004C3C90">
        <w:trPr>
          <w:trHeight w:val="20"/>
        </w:trPr>
        <w:tc>
          <w:tcPr>
            <w:tcW w:w="550" w:type="dxa"/>
            <w:shd w:val="clear" w:color="auto" w:fill="auto"/>
            <w:vAlign w:val="center"/>
          </w:tcPr>
          <w:p w14:paraId="2CA9F15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358</w:t>
            </w:r>
          </w:p>
        </w:tc>
        <w:tc>
          <w:tcPr>
            <w:tcW w:w="1071" w:type="dxa"/>
            <w:shd w:val="clear" w:color="auto" w:fill="auto"/>
            <w:vAlign w:val="center"/>
          </w:tcPr>
          <w:p w14:paraId="0E9D8C0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D129B3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Gaudet D, Blom D, Bruckert E, Stroes E, Kastelein J, Kane J, et al. </w:t>
            </w:r>
          </w:p>
        </w:tc>
        <w:tc>
          <w:tcPr>
            <w:tcW w:w="7010" w:type="dxa"/>
            <w:shd w:val="clear" w:color="auto" w:fill="auto"/>
            <w:vAlign w:val="center"/>
          </w:tcPr>
          <w:p w14:paraId="5DD9C50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Familial Chylomicronemia Syndrome (Fcs) Patients Recruited to the Approach Trial of Volanesorsen Therapy Are Representative of Subjects with Fcs</w:t>
            </w:r>
          </w:p>
        </w:tc>
        <w:tc>
          <w:tcPr>
            <w:tcW w:w="568" w:type="dxa"/>
            <w:shd w:val="clear" w:color="auto" w:fill="auto"/>
            <w:vAlign w:val="center"/>
          </w:tcPr>
          <w:p w14:paraId="0667956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2FABF65E" w14:textId="77777777" w:rsidTr="004C3C90">
        <w:trPr>
          <w:trHeight w:val="20"/>
        </w:trPr>
        <w:tc>
          <w:tcPr>
            <w:tcW w:w="550" w:type="dxa"/>
            <w:shd w:val="clear" w:color="auto" w:fill="auto"/>
            <w:vAlign w:val="center"/>
          </w:tcPr>
          <w:p w14:paraId="4C8C1C9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359</w:t>
            </w:r>
          </w:p>
        </w:tc>
        <w:tc>
          <w:tcPr>
            <w:tcW w:w="1071" w:type="dxa"/>
            <w:shd w:val="clear" w:color="auto" w:fill="auto"/>
            <w:vAlign w:val="center"/>
          </w:tcPr>
          <w:p w14:paraId="36313C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9FCE2D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Desyatik EA, Shadrivova OV, Borzova JV,  Bogomolva TS, Mitrofanov Vs, Vasileva NV, et al. </w:t>
            </w:r>
          </w:p>
        </w:tc>
        <w:tc>
          <w:tcPr>
            <w:tcW w:w="7010" w:type="dxa"/>
            <w:shd w:val="clear" w:color="auto" w:fill="auto"/>
            <w:vAlign w:val="center"/>
          </w:tcPr>
          <w:p w14:paraId="159634E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First Case of Imported Pulmonary Coccidioidomycosis in Russia</w:t>
            </w:r>
          </w:p>
        </w:tc>
        <w:tc>
          <w:tcPr>
            <w:tcW w:w="568" w:type="dxa"/>
            <w:shd w:val="clear" w:color="auto" w:fill="auto"/>
            <w:vAlign w:val="center"/>
          </w:tcPr>
          <w:p w14:paraId="3E787E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680AC95" w14:textId="77777777" w:rsidTr="004C3C90">
        <w:trPr>
          <w:trHeight w:val="20"/>
        </w:trPr>
        <w:tc>
          <w:tcPr>
            <w:tcW w:w="550" w:type="dxa"/>
            <w:shd w:val="clear" w:color="auto" w:fill="auto"/>
            <w:vAlign w:val="center"/>
          </w:tcPr>
          <w:p w14:paraId="73173AC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360</w:t>
            </w:r>
          </w:p>
        </w:tc>
        <w:tc>
          <w:tcPr>
            <w:tcW w:w="1071" w:type="dxa"/>
            <w:shd w:val="clear" w:color="auto" w:fill="auto"/>
            <w:vAlign w:val="center"/>
          </w:tcPr>
          <w:p w14:paraId="5D37D5B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20DADA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Fu L, Kanani A, Lacuesta G, Waserman S, Betschel S</w:t>
            </w:r>
          </w:p>
        </w:tc>
        <w:tc>
          <w:tcPr>
            <w:tcW w:w="7010" w:type="dxa"/>
            <w:shd w:val="clear" w:color="auto" w:fill="auto"/>
            <w:vAlign w:val="center"/>
          </w:tcPr>
          <w:p w14:paraId="21CBF56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 in Depth Look at the Medical Management of Hereditary Angioedema through a Canadian</w:t>
            </w:r>
          </w:p>
        </w:tc>
        <w:tc>
          <w:tcPr>
            <w:tcW w:w="568" w:type="dxa"/>
            <w:shd w:val="clear" w:color="auto" w:fill="auto"/>
            <w:vAlign w:val="center"/>
          </w:tcPr>
          <w:p w14:paraId="28913A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223C444" w14:textId="77777777" w:rsidTr="004C3C90">
        <w:trPr>
          <w:trHeight w:val="20"/>
        </w:trPr>
        <w:tc>
          <w:tcPr>
            <w:tcW w:w="550" w:type="dxa"/>
            <w:shd w:val="clear" w:color="auto" w:fill="auto"/>
            <w:vAlign w:val="center"/>
          </w:tcPr>
          <w:p w14:paraId="7169BD2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361</w:t>
            </w:r>
          </w:p>
        </w:tc>
        <w:tc>
          <w:tcPr>
            <w:tcW w:w="1071" w:type="dxa"/>
            <w:shd w:val="clear" w:color="auto" w:fill="auto"/>
            <w:vAlign w:val="center"/>
          </w:tcPr>
          <w:p w14:paraId="008A3FA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2B8FCC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Brown C, Bodamer O, Levy H, Waisbren S</w:t>
            </w:r>
          </w:p>
        </w:tc>
        <w:tc>
          <w:tcPr>
            <w:tcW w:w="7010" w:type="dxa"/>
            <w:shd w:val="clear" w:color="auto" w:fill="auto"/>
            <w:vAlign w:val="center"/>
          </w:tcPr>
          <w:p w14:paraId="1DC5411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International Pku Patient Registry</w:t>
            </w:r>
          </w:p>
        </w:tc>
        <w:tc>
          <w:tcPr>
            <w:tcW w:w="568" w:type="dxa"/>
            <w:shd w:val="clear" w:color="auto" w:fill="auto"/>
            <w:vAlign w:val="center"/>
          </w:tcPr>
          <w:p w14:paraId="335F17E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20D58F9B" w14:textId="77777777" w:rsidTr="004C3C90">
        <w:trPr>
          <w:trHeight w:val="20"/>
        </w:trPr>
        <w:tc>
          <w:tcPr>
            <w:tcW w:w="550" w:type="dxa"/>
            <w:shd w:val="clear" w:color="auto" w:fill="auto"/>
            <w:vAlign w:val="center"/>
          </w:tcPr>
          <w:p w14:paraId="112D410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362</w:t>
            </w:r>
          </w:p>
        </w:tc>
        <w:tc>
          <w:tcPr>
            <w:tcW w:w="1071" w:type="dxa"/>
            <w:shd w:val="clear" w:color="auto" w:fill="auto"/>
            <w:vAlign w:val="center"/>
          </w:tcPr>
          <w:p w14:paraId="102407E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14FED6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Craig M, Wiehn J, Descours A </w:t>
            </w:r>
          </w:p>
        </w:tc>
        <w:tc>
          <w:tcPr>
            <w:tcW w:w="7010" w:type="dxa"/>
            <w:shd w:val="clear" w:color="auto" w:fill="auto"/>
            <w:vAlign w:val="center"/>
          </w:tcPr>
          <w:p w14:paraId="0253630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 and Disease Registry Publications: An Online Survey of Medical Publication Professionals</w:t>
            </w:r>
          </w:p>
        </w:tc>
        <w:tc>
          <w:tcPr>
            <w:tcW w:w="568" w:type="dxa"/>
            <w:shd w:val="clear" w:color="auto" w:fill="auto"/>
            <w:vAlign w:val="center"/>
          </w:tcPr>
          <w:p w14:paraId="540A0E5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1ADEE015" w14:textId="77777777" w:rsidTr="004C3C90">
        <w:trPr>
          <w:trHeight w:val="20"/>
        </w:trPr>
        <w:tc>
          <w:tcPr>
            <w:tcW w:w="550" w:type="dxa"/>
            <w:shd w:val="clear" w:color="auto" w:fill="auto"/>
            <w:vAlign w:val="center"/>
          </w:tcPr>
          <w:p w14:paraId="3BF2EFE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363</w:t>
            </w:r>
          </w:p>
        </w:tc>
        <w:tc>
          <w:tcPr>
            <w:tcW w:w="1071" w:type="dxa"/>
            <w:shd w:val="clear" w:color="auto" w:fill="auto"/>
            <w:vAlign w:val="center"/>
          </w:tcPr>
          <w:p w14:paraId="71EAF69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E01FD9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Durães J, Tábuas-Pereira M, Lacerda L, Alonso I, Do Carmo Macário M</w:t>
            </w:r>
          </w:p>
        </w:tc>
        <w:tc>
          <w:tcPr>
            <w:tcW w:w="7010" w:type="dxa"/>
            <w:shd w:val="clear" w:color="auto" w:fill="auto"/>
            <w:vAlign w:val="center"/>
          </w:tcPr>
          <w:p w14:paraId="0D6AF09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Quality of Life in Adult Patients with Leukodystrophies: The Impact of Perceived Fatigue</w:t>
            </w:r>
          </w:p>
        </w:tc>
        <w:tc>
          <w:tcPr>
            <w:tcW w:w="568" w:type="dxa"/>
            <w:shd w:val="clear" w:color="auto" w:fill="auto"/>
            <w:vAlign w:val="center"/>
          </w:tcPr>
          <w:p w14:paraId="5A9B823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46778B91" w14:textId="77777777" w:rsidTr="004C3C90">
        <w:trPr>
          <w:trHeight w:val="20"/>
        </w:trPr>
        <w:tc>
          <w:tcPr>
            <w:tcW w:w="550" w:type="dxa"/>
            <w:shd w:val="clear" w:color="auto" w:fill="auto"/>
            <w:vAlign w:val="center"/>
          </w:tcPr>
          <w:p w14:paraId="73473B4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364</w:t>
            </w:r>
          </w:p>
        </w:tc>
        <w:tc>
          <w:tcPr>
            <w:tcW w:w="1071" w:type="dxa"/>
            <w:shd w:val="clear" w:color="auto" w:fill="auto"/>
            <w:vAlign w:val="center"/>
          </w:tcPr>
          <w:p w14:paraId="0EB9EEB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E0850F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Bogart KR, Frandrup E, Locke T, Thompson H, Weber N, Yates J, et al.</w:t>
            </w:r>
          </w:p>
        </w:tc>
        <w:tc>
          <w:tcPr>
            <w:tcW w:w="7010" w:type="dxa"/>
            <w:shd w:val="clear" w:color="auto" w:fill="auto"/>
            <w:vAlign w:val="center"/>
          </w:tcPr>
          <w:p w14:paraId="701766E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“Rare Place Where I Feel Normal”: Perceptions of a Social Support Conference among Parents of and People with Moebius Syndrome</w:t>
            </w:r>
          </w:p>
        </w:tc>
        <w:tc>
          <w:tcPr>
            <w:tcW w:w="568" w:type="dxa"/>
            <w:shd w:val="clear" w:color="auto" w:fill="auto"/>
            <w:vAlign w:val="center"/>
          </w:tcPr>
          <w:p w14:paraId="4CD29A5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1C8DB85D" w14:textId="77777777" w:rsidTr="004C3C90">
        <w:trPr>
          <w:trHeight w:val="20"/>
        </w:trPr>
        <w:tc>
          <w:tcPr>
            <w:tcW w:w="550" w:type="dxa"/>
            <w:shd w:val="clear" w:color="auto" w:fill="auto"/>
            <w:vAlign w:val="center"/>
          </w:tcPr>
          <w:p w14:paraId="7332079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365</w:t>
            </w:r>
          </w:p>
        </w:tc>
        <w:tc>
          <w:tcPr>
            <w:tcW w:w="1071" w:type="dxa"/>
            <w:shd w:val="clear" w:color="auto" w:fill="auto"/>
            <w:vAlign w:val="center"/>
          </w:tcPr>
          <w:p w14:paraId="615A753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64E8EF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Bodemer C, Paller A, Wisk J, Giuliano J, Cantor E, Lagast H</w:t>
            </w:r>
          </w:p>
        </w:tc>
        <w:tc>
          <w:tcPr>
            <w:tcW w:w="7010" w:type="dxa"/>
            <w:shd w:val="clear" w:color="auto" w:fill="auto"/>
            <w:vAlign w:val="center"/>
          </w:tcPr>
          <w:p w14:paraId="6ECFCCC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Survey of Patient Registries in Epidermolysis Bullosa: A Call for Standardized Methodology and Increased Collaboration</w:t>
            </w:r>
          </w:p>
        </w:tc>
        <w:tc>
          <w:tcPr>
            <w:tcW w:w="568" w:type="dxa"/>
            <w:shd w:val="clear" w:color="auto" w:fill="auto"/>
            <w:vAlign w:val="center"/>
          </w:tcPr>
          <w:p w14:paraId="34F0FFA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70D7C9D" w14:textId="77777777" w:rsidTr="004C3C90">
        <w:trPr>
          <w:trHeight w:val="20"/>
        </w:trPr>
        <w:tc>
          <w:tcPr>
            <w:tcW w:w="550" w:type="dxa"/>
            <w:shd w:val="clear" w:color="auto" w:fill="auto"/>
            <w:vAlign w:val="center"/>
          </w:tcPr>
          <w:p w14:paraId="03E68ED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366</w:t>
            </w:r>
          </w:p>
        </w:tc>
        <w:tc>
          <w:tcPr>
            <w:tcW w:w="1071" w:type="dxa"/>
            <w:shd w:val="clear" w:color="auto" w:fill="auto"/>
            <w:vAlign w:val="center"/>
          </w:tcPr>
          <w:p w14:paraId="3F01C94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292C0F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Ferrara L,</w:t>
            </w: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Morando V,</w:t>
            </w: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Tozzi V</w:t>
            </w:r>
          </w:p>
        </w:tc>
        <w:tc>
          <w:tcPr>
            <w:tcW w:w="7010" w:type="dxa"/>
            <w:shd w:val="clear" w:color="auto" w:fill="auto"/>
            <w:vAlign w:val="center"/>
          </w:tcPr>
          <w:p w14:paraId="1300C0D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Transition of Patients with Rare Diseases between Providers: The Patient Journey from the Patient Perspective</w:t>
            </w:r>
          </w:p>
        </w:tc>
        <w:tc>
          <w:tcPr>
            <w:tcW w:w="568" w:type="dxa"/>
            <w:shd w:val="clear" w:color="auto" w:fill="auto"/>
            <w:vAlign w:val="center"/>
          </w:tcPr>
          <w:p w14:paraId="1EF278B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7B794D7" w14:textId="77777777" w:rsidTr="004C3C90">
        <w:trPr>
          <w:trHeight w:val="20"/>
        </w:trPr>
        <w:tc>
          <w:tcPr>
            <w:tcW w:w="550" w:type="dxa"/>
            <w:shd w:val="clear" w:color="auto" w:fill="auto"/>
            <w:vAlign w:val="center"/>
          </w:tcPr>
          <w:p w14:paraId="3B726A1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367</w:t>
            </w:r>
          </w:p>
        </w:tc>
        <w:tc>
          <w:tcPr>
            <w:tcW w:w="1071" w:type="dxa"/>
            <w:shd w:val="clear" w:color="auto" w:fill="auto"/>
            <w:vAlign w:val="center"/>
          </w:tcPr>
          <w:p w14:paraId="2F5D43D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8001AC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Dakhoul L, Fogel R, Vuppalanchi R, Lammert C</w:t>
            </w:r>
          </w:p>
        </w:tc>
        <w:tc>
          <w:tcPr>
            <w:tcW w:w="7010" w:type="dxa"/>
            <w:shd w:val="clear" w:color="auto" w:fill="auto"/>
            <w:vAlign w:val="center"/>
          </w:tcPr>
          <w:p w14:paraId="2710C47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Unconventional Immunosuppressive Therapies for Treatment of Autoimmune Hepatitis and Finding the Current Trends and Patterns Using Social Media Approach</w:t>
            </w:r>
          </w:p>
        </w:tc>
        <w:tc>
          <w:tcPr>
            <w:tcW w:w="568" w:type="dxa"/>
            <w:shd w:val="clear" w:color="auto" w:fill="auto"/>
            <w:vAlign w:val="center"/>
          </w:tcPr>
          <w:p w14:paraId="494E30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77BCFB32" w14:textId="77777777" w:rsidTr="004C3C90">
        <w:trPr>
          <w:trHeight w:val="20"/>
        </w:trPr>
        <w:tc>
          <w:tcPr>
            <w:tcW w:w="550" w:type="dxa"/>
            <w:shd w:val="clear" w:color="auto" w:fill="auto"/>
            <w:vAlign w:val="center"/>
          </w:tcPr>
          <w:p w14:paraId="38D5E46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368</w:t>
            </w:r>
          </w:p>
        </w:tc>
        <w:tc>
          <w:tcPr>
            <w:tcW w:w="1071" w:type="dxa"/>
            <w:shd w:val="clear" w:color="auto" w:fill="auto"/>
            <w:vAlign w:val="center"/>
          </w:tcPr>
          <w:p w14:paraId="00A83DA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15106C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White MK, Bayliss M,</w:t>
            </w: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McCausland K,</w:t>
            </w: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Oliver C, Guthrie SD</w:t>
            </w:r>
          </w:p>
        </w:tc>
        <w:tc>
          <w:tcPr>
            <w:tcW w:w="7010" w:type="dxa"/>
            <w:shd w:val="clear" w:color="auto" w:fill="auto"/>
            <w:vAlign w:val="center"/>
          </w:tcPr>
          <w:p w14:paraId="2C7DF07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Changes in Health-Related Quality of Life (Hrqol) between an Initial and Six-Month Follow-up Survey in an Observational Community-Based Study of Patients with Al Amyloidosis</w:t>
            </w:r>
          </w:p>
        </w:tc>
        <w:tc>
          <w:tcPr>
            <w:tcW w:w="568" w:type="dxa"/>
            <w:shd w:val="clear" w:color="auto" w:fill="auto"/>
            <w:vAlign w:val="center"/>
          </w:tcPr>
          <w:p w14:paraId="767EC0F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4C32542A" w14:textId="77777777" w:rsidTr="004C3C90">
        <w:trPr>
          <w:trHeight w:val="20"/>
        </w:trPr>
        <w:tc>
          <w:tcPr>
            <w:tcW w:w="550" w:type="dxa"/>
            <w:shd w:val="clear" w:color="auto" w:fill="auto"/>
            <w:vAlign w:val="center"/>
          </w:tcPr>
          <w:p w14:paraId="27FDB3F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369</w:t>
            </w:r>
          </w:p>
        </w:tc>
        <w:tc>
          <w:tcPr>
            <w:tcW w:w="1071" w:type="dxa"/>
            <w:shd w:val="clear" w:color="auto" w:fill="auto"/>
            <w:vAlign w:val="center"/>
          </w:tcPr>
          <w:p w14:paraId="4AEDB58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C5957E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Szentes B, Witt S, Bush A, Cunningham S, Emiraliouglu N, Goldbeck L, et al. </w:t>
            </w:r>
          </w:p>
        </w:tc>
        <w:tc>
          <w:tcPr>
            <w:tcW w:w="7010" w:type="dxa"/>
            <w:shd w:val="clear" w:color="auto" w:fill="auto"/>
            <w:vAlign w:val="center"/>
          </w:tcPr>
          <w:p w14:paraId="2A8F0A2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Current Practice of Drug Treatment in Children with Ild: First Insights from the Child-Eu Registry</w:t>
            </w:r>
          </w:p>
        </w:tc>
        <w:tc>
          <w:tcPr>
            <w:tcW w:w="568" w:type="dxa"/>
            <w:shd w:val="clear" w:color="auto" w:fill="auto"/>
            <w:vAlign w:val="center"/>
          </w:tcPr>
          <w:p w14:paraId="4C86031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52E928BB" w14:textId="77777777" w:rsidTr="004C3C90">
        <w:trPr>
          <w:trHeight w:val="20"/>
        </w:trPr>
        <w:tc>
          <w:tcPr>
            <w:tcW w:w="550" w:type="dxa"/>
            <w:shd w:val="clear" w:color="auto" w:fill="auto"/>
            <w:vAlign w:val="center"/>
          </w:tcPr>
          <w:p w14:paraId="41D3A6E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370</w:t>
            </w:r>
          </w:p>
        </w:tc>
        <w:tc>
          <w:tcPr>
            <w:tcW w:w="1071" w:type="dxa"/>
            <w:shd w:val="clear" w:color="auto" w:fill="auto"/>
            <w:vAlign w:val="center"/>
          </w:tcPr>
          <w:p w14:paraId="6FB7998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188C7A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Wu X, Long E, Lin H, Liu Y</w:t>
            </w:r>
          </w:p>
        </w:tc>
        <w:tc>
          <w:tcPr>
            <w:tcW w:w="7010" w:type="dxa"/>
            <w:shd w:val="clear" w:color="auto" w:fill="auto"/>
            <w:vAlign w:val="center"/>
          </w:tcPr>
          <w:p w14:paraId="2760FB3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Global Prevalence and Epidemiological Characteristics of Congenital Cataract: A Systematic Review and Meta-Analysis</w:t>
            </w:r>
          </w:p>
        </w:tc>
        <w:tc>
          <w:tcPr>
            <w:tcW w:w="568" w:type="dxa"/>
            <w:shd w:val="clear" w:color="auto" w:fill="auto"/>
            <w:vAlign w:val="center"/>
          </w:tcPr>
          <w:p w14:paraId="4E92057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4D6B856D" w14:textId="77777777" w:rsidTr="004C3C90">
        <w:trPr>
          <w:trHeight w:val="20"/>
        </w:trPr>
        <w:tc>
          <w:tcPr>
            <w:tcW w:w="550" w:type="dxa"/>
            <w:shd w:val="clear" w:color="auto" w:fill="auto"/>
            <w:vAlign w:val="center"/>
          </w:tcPr>
          <w:p w14:paraId="55CC811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371</w:t>
            </w:r>
          </w:p>
        </w:tc>
        <w:tc>
          <w:tcPr>
            <w:tcW w:w="1071" w:type="dxa"/>
            <w:shd w:val="clear" w:color="auto" w:fill="auto"/>
            <w:vAlign w:val="center"/>
          </w:tcPr>
          <w:p w14:paraId="21817CE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FA1046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Zanichelli A, Magerl M, Longhurst H, Aberer W</w:t>
            </w:r>
          </w:p>
        </w:tc>
        <w:tc>
          <w:tcPr>
            <w:tcW w:w="7010" w:type="dxa"/>
            <w:shd w:val="clear" w:color="auto" w:fill="auto"/>
            <w:vAlign w:val="center"/>
          </w:tcPr>
          <w:p w14:paraId="5F31D70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Improvement in Hereditary Angioedema Diagnosis: Findings from the Icatibant Outcome Survey</w:t>
            </w:r>
          </w:p>
        </w:tc>
        <w:tc>
          <w:tcPr>
            <w:tcW w:w="568" w:type="dxa"/>
            <w:shd w:val="clear" w:color="auto" w:fill="auto"/>
            <w:vAlign w:val="center"/>
          </w:tcPr>
          <w:p w14:paraId="16120C3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09925C0E" w14:textId="77777777" w:rsidTr="004C3C90">
        <w:trPr>
          <w:trHeight w:val="20"/>
        </w:trPr>
        <w:tc>
          <w:tcPr>
            <w:tcW w:w="550" w:type="dxa"/>
            <w:shd w:val="clear" w:color="auto" w:fill="auto"/>
            <w:vAlign w:val="center"/>
          </w:tcPr>
          <w:p w14:paraId="30EA929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372</w:t>
            </w:r>
          </w:p>
        </w:tc>
        <w:tc>
          <w:tcPr>
            <w:tcW w:w="1071" w:type="dxa"/>
            <w:shd w:val="clear" w:color="auto" w:fill="auto"/>
            <w:vAlign w:val="center"/>
          </w:tcPr>
          <w:p w14:paraId="3205BB1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0E62E5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Tulloh R, Ramanan A, Brogan P, Tizard J, Conolly GM, Harnden A, et al</w:t>
            </w:r>
          </w:p>
        </w:tc>
        <w:tc>
          <w:tcPr>
            <w:tcW w:w="7010" w:type="dxa"/>
            <w:shd w:val="clear" w:color="auto" w:fill="auto"/>
            <w:vAlign w:val="center"/>
          </w:tcPr>
          <w:p w14:paraId="398D0ED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Kawasaki Disease. Results of the Bpsu Survey in Uk and Ireland</w:t>
            </w:r>
          </w:p>
        </w:tc>
        <w:tc>
          <w:tcPr>
            <w:tcW w:w="568" w:type="dxa"/>
            <w:shd w:val="clear" w:color="auto" w:fill="auto"/>
            <w:vAlign w:val="center"/>
          </w:tcPr>
          <w:p w14:paraId="737FD16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08341265" w14:textId="77777777" w:rsidTr="004C3C90">
        <w:trPr>
          <w:trHeight w:val="20"/>
        </w:trPr>
        <w:tc>
          <w:tcPr>
            <w:tcW w:w="550" w:type="dxa"/>
            <w:shd w:val="clear" w:color="auto" w:fill="auto"/>
            <w:vAlign w:val="center"/>
          </w:tcPr>
          <w:p w14:paraId="4EE2389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373</w:t>
            </w:r>
          </w:p>
        </w:tc>
        <w:tc>
          <w:tcPr>
            <w:tcW w:w="1071" w:type="dxa"/>
            <w:shd w:val="clear" w:color="auto" w:fill="auto"/>
            <w:vAlign w:val="center"/>
          </w:tcPr>
          <w:p w14:paraId="57A0BDF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CA545F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Sucipto, Estiasari R, Imran D</w:t>
            </w:r>
          </w:p>
        </w:tc>
        <w:tc>
          <w:tcPr>
            <w:tcW w:w="7010" w:type="dxa"/>
            <w:shd w:val="clear" w:color="auto" w:fill="auto"/>
            <w:vAlign w:val="center"/>
          </w:tcPr>
          <w:p w14:paraId="7B78D66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Survey of Multiple Sclerosis in Indonesia: Diagnostic Approach and Treatment Selection</w:t>
            </w:r>
          </w:p>
        </w:tc>
        <w:tc>
          <w:tcPr>
            <w:tcW w:w="568" w:type="dxa"/>
            <w:shd w:val="clear" w:color="auto" w:fill="auto"/>
            <w:vAlign w:val="center"/>
          </w:tcPr>
          <w:p w14:paraId="65C66C4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3C0B7078" w14:textId="77777777" w:rsidTr="004C3C90">
        <w:trPr>
          <w:trHeight w:val="20"/>
        </w:trPr>
        <w:tc>
          <w:tcPr>
            <w:tcW w:w="550" w:type="dxa"/>
            <w:shd w:val="clear" w:color="auto" w:fill="auto"/>
            <w:vAlign w:val="center"/>
          </w:tcPr>
          <w:p w14:paraId="50B26E2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374</w:t>
            </w:r>
          </w:p>
        </w:tc>
        <w:tc>
          <w:tcPr>
            <w:tcW w:w="1071" w:type="dxa"/>
            <w:shd w:val="clear" w:color="auto" w:fill="auto"/>
            <w:vAlign w:val="center"/>
          </w:tcPr>
          <w:p w14:paraId="6839AB1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766273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McCausland K, Bayliss M, White, MK Guthrie S</w:t>
            </w:r>
          </w:p>
        </w:tc>
        <w:tc>
          <w:tcPr>
            <w:tcW w:w="7010" w:type="dxa"/>
            <w:shd w:val="clear" w:color="auto" w:fill="auto"/>
            <w:vAlign w:val="center"/>
          </w:tcPr>
          <w:p w14:paraId="74FA4A5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Burden of Disease and Clinical Characteristics of an Al Amyloidosis Disease Population with and without Cardiac Involvement</w:t>
            </w:r>
          </w:p>
        </w:tc>
        <w:tc>
          <w:tcPr>
            <w:tcW w:w="568" w:type="dxa"/>
            <w:shd w:val="clear" w:color="auto" w:fill="auto"/>
            <w:vAlign w:val="center"/>
          </w:tcPr>
          <w:p w14:paraId="410370C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0C4BE135" w14:textId="77777777" w:rsidTr="004C3C90">
        <w:trPr>
          <w:trHeight w:val="20"/>
        </w:trPr>
        <w:tc>
          <w:tcPr>
            <w:tcW w:w="550" w:type="dxa"/>
            <w:shd w:val="clear" w:color="auto" w:fill="auto"/>
            <w:vAlign w:val="center"/>
          </w:tcPr>
          <w:p w14:paraId="1DE6791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375</w:t>
            </w:r>
          </w:p>
        </w:tc>
        <w:tc>
          <w:tcPr>
            <w:tcW w:w="1071" w:type="dxa"/>
            <w:shd w:val="clear" w:color="auto" w:fill="auto"/>
            <w:vAlign w:val="center"/>
          </w:tcPr>
          <w:p w14:paraId="2DBF7A5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5C5041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Reed DA, Liao J, Stauffer C, Kornreich R, Yang AC</w:t>
            </w:r>
          </w:p>
        </w:tc>
        <w:tc>
          <w:tcPr>
            <w:tcW w:w="7010" w:type="dxa"/>
            <w:shd w:val="clear" w:color="auto" w:fill="auto"/>
            <w:vAlign w:val="center"/>
          </w:tcPr>
          <w:p w14:paraId="1239DD5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Diagnosis of Gaucher Disease Type 3 with a Rare Genotype</w:t>
            </w:r>
          </w:p>
        </w:tc>
        <w:tc>
          <w:tcPr>
            <w:tcW w:w="568" w:type="dxa"/>
            <w:shd w:val="clear" w:color="auto" w:fill="auto"/>
            <w:vAlign w:val="center"/>
          </w:tcPr>
          <w:p w14:paraId="50EC176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2BBBC00C" w14:textId="77777777" w:rsidTr="004C3C90">
        <w:trPr>
          <w:trHeight w:val="20"/>
        </w:trPr>
        <w:tc>
          <w:tcPr>
            <w:tcW w:w="550" w:type="dxa"/>
            <w:shd w:val="clear" w:color="auto" w:fill="auto"/>
            <w:vAlign w:val="center"/>
          </w:tcPr>
          <w:p w14:paraId="560B669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376</w:t>
            </w:r>
          </w:p>
        </w:tc>
        <w:tc>
          <w:tcPr>
            <w:tcW w:w="1071" w:type="dxa"/>
            <w:shd w:val="clear" w:color="auto" w:fill="auto"/>
            <w:vAlign w:val="center"/>
          </w:tcPr>
          <w:p w14:paraId="0E6BEC3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D513A9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Lazzarotto D, Candoni A, Fili C,  Forghieri F, Pagano L, Busca A, et al. </w:t>
            </w:r>
          </w:p>
        </w:tc>
        <w:tc>
          <w:tcPr>
            <w:tcW w:w="7010" w:type="dxa"/>
            <w:shd w:val="clear" w:color="auto" w:fill="auto"/>
            <w:vAlign w:val="center"/>
          </w:tcPr>
          <w:p w14:paraId="1041996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Outcome and Effect of Allo-Sct in Adult Patients with De Novo or Aml-Related Myeloid Sarcoma. Results from an Italian Multicenter Survey</w:t>
            </w:r>
          </w:p>
        </w:tc>
        <w:tc>
          <w:tcPr>
            <w:tcW w:w="568" w:type="dxa"/>
            <w:shd w:val="clear" w:color="auto" w:fill="auto"/>
            <w:vAlign w:val="center"/>
          </w:tcPr>
          <w:p w14:paraId="3FA8045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1B8FE9E0" w14:textId="77777777" w:rsidTr="004C3C90">
        <w:trPr>
          <w:trHeight w:val="20"/>
        </w:trPr>
        <w:tc>
          <w:tcPr>
            <w:tcW w:w="550" w:type="dxa"/>
            <w:shd w:val="clear" w:color="auto" w:fill="auto"/>
            <w:vAlign w:val="center"/>
          </w:tcPr>
          <w:p w14:paraId="5CC34D8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377</w:t>
            </w:r>
          </w:p>
        </w:tc>
        <w:tc>
          <w:tcPr>
            <w:tcW w:w="1071" w:type="dxa"/>
            <w:shd w:val="clear" w:color="auto" w:fill="auto"/>
            <w:vAlign w:val="center"/>
          </w:tcPr>
          <w:p w14:paraId="4B82CEB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4425BE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Nagel s, Geisbuesch C, Busse O, Harmann G, Ringleb P</w:t>
            </w:r>
          </w:p>
        </w:tc>
        <w:tc>
          <w:tcPr>
            <w:tcW w:w="7010" w:type="dxa"/>
            <w:shd w:val="clear" w:color="auto" w:fill="auto"/>
            <w:vAlign w:val="center"/>
          </w:tcPr>
          <w:p w14:paraId="30CBFFE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Diagnostic and Therapeutic Workup for Cerebralvenous Thrombosis-Results from a Survey on German Stroke Units</w:t>
            </w:r>
          </w:p>
        </w:tc>
        <w:tc>
          <w:tcPr>
            <w:tcW w:w="568" w:type="dxa"/>
            <w:shd w:val="clear" w:color="auto" w:fill="auto"/>
            <w:vAlign w:val="center"/>
          </w:tcPr>
          <w:p w14:paraId="1D247B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05B11D44" w14:textId="77777777" w:rsidTr="004C3C90">
        <w:trPr>
          <w:trHeight w:val="20"/>
        </w:trPr>
        <w:tc>
          <w:tcPr>
            <w:tcW w:w="550" w:type="dxa"/>
            <w:shd w:val="clear" w:color="auto" w:fill="auto"/>
            <w:vAlign w:val="center"/>
          </w:tcPr>
          <w:p w14:paraId="7B0BEA4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378</w:t>
            </w:r>
          </w:p>
        </w:tc>
        <w:tc>
          <w:tcPr>
            <w:tcW w:w="1071" w:type="dxa"/>
            <w:shd w:val="clear" w:color="auto" w:fill="auto"/>
            <w:vAlign w:val="center"/>
          </w:tcPr>
          <w:p w14:paraId="1328611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F21966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Rahaghi F, Alnuaimat H, Awdish R, Balasubramanian V, Bourge R, Burger C, et al. </w:t>
            </w:r>
          </w:p>
        </w:tc>
        <w:tc>
          <w:tcPr>
            <w:tcW w:w="7010" w:type="dxa"/>
            <w:shd w:val="clear" w:color="auto" w:fill="auto"/>
            <w:vAlign w:val="center"/>
          </w:tcPr>
          <w:p w14:paraId="1692FE1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Expert Consensus on the Prescribing Practice and Management of Adverse Events Associated with the Treatment of Patients Taking Macitentan for Pah: A Delphi Consensus Study</w:t>
            </w:r>
          </w:p>
        </w:tc>
        <w:tc>
          <w:tcPr>
            <w:tcW w:w="568" w:type="dxa"/>
            <w:shd w:val="clear" w:color="auto" w:fill="auto"/>
            <w:vAlign w:val="center"/>
          </w:tcPr>
          <w:p w14:paraId="2029FBE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154F362C" w14:textId="77777777" w:rsidTr="004C3C90">
        <w:trPr>
          <w:trHeight w:val="20"/>
        </w:trPr>
        <w:tc>
          <w:tcPr>
            <w:tcW w:w="550" w:type="dxa"/>
            <w:shd w:val="clear" w:color="auto" w:fill="auto"/>
            <w:vAlign w:val="center"/>
          </w:tcPr>
          <w:p w14:paraId="76BC7F7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379</w:t>
            </w:r>
          </w:p>
        </w:tc>
        <w:tc>
          <w:tcPr>
            <w:tcW w:w="1071" w:type="dxa"/>
            <w:shd w:val="clear" w:color="auto" w:fill="auto"/>
            <w:vAlign w:val="center"/>
          </w:tcPr>
          <w:p w14:paraId="3872AFD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2D0297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Liu G, Needleman K, Lewis D, Rao G.</w:t>
            </w:r>
          </w:p>
        </w:tc>
        <w:tc>
          <w:tcPr>
            <w:tcW w:w="7010" w:type="dxa"/>
            <w:shd w:val="clear" w:color="auto" w:fill="auto"/>
            <w:vAlign w:val="center"/>
          </w:tcPr>
          <w:p w14:paraId="26D37EB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Fda's New Natural History Grant Program: Support to Build a Solid Foundation for Development of Products for Rare Diseases</w:t>
            </w:r>
          </w:p>
        </w:tc>
        <w:tc>
          <w:tcPr>
            <w:tcW w:w="568" w:type="dxa"/>
            <w:shd w:val="clear" w:color="auto" w:fill="auto"/>
            <w:vAlign w:val="center"/>
          </w:tcPr>
          <w:p w14:paraId="1AB10D1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66E03F5D" w14:textId="77777777" w:rsidTr="004C3C90">
        <w:trPr>
          <w:trHeight w:val="20"/>
        </w:trPr>
        <w:tc>
          <w:tcPr>
            <w:tcW w:w="550" w:type="dxa"/>
            <w:shd w:val="clear" w:color="auto" w:fill="auto"/>
            <w:vAlign w:val="center"/>
          </w:tcPr>
          <w:p w14:paraId="1ADDE62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380</w:t>
            </w:r>
          </w:p>
        </w:tc>
        <w:tc>
          <w:tcPr>
            <w:tcW w:w="1071" w:type="dxa"/>
            <w:shd w:val="clear" w:color="auto" w:fill="auto"/>
            <w:vAlign w:val="center"/>
          </w:tcPr>
          <w:p w14:paraId="4DD3AB3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C5CC55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McCormick N, Reimer K, Marra C, Sidi S, Smith SP, Avina-Zubieta A</w:t>
            </w:r>
          </w:p>
        </w:tc>
        <w:tc>
          <w:tcPr>
            <w:tcW w:w="7010" w:type="dxa"/>
            <w:shd w:val="clear" w:color="auto" w:fill="auto"/>
            <w:vAlign w:val="center"/>
          </w:tcPr>
          <w:p w14:paraId="1E0B31F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Feasibility of an Approach to Contact Individuals from Administrative Health Data to Estimate the Economic Burden of Systemic Autoimmune Rheumatic Diseases at the General Population Level</w:t>
            </w:r>
          </w:p>
        </w:tc>
        <w:tc>
          <w:tcPr>
            <w:tcW w:w="568" w:type="dxa"/>
            <w:shd w:val="clear" w:color="auto" w:fill="auto"/>
            <w:vAlign w:val="center"/>
          </w:tcPr>
          <w:p w14:paraId="2E895DC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5D40F972" w14:textId="77777777" w:rsidTr="004C3C90">
        <w:trPr>
          <w:trHeight w:val="20"/>
        </w:trPr>
        <w:tc>
          <w:tcPr>
            <w:tcW w:w="550" w:type="dxa"/>
            <w:shd w:val="clear" w:color="auto" w:fill="auto"/>
            <w:vAlign w:val="center"/>
          </w:tcPr>
          <w:p w14:paraId="43EBADF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381</w:t>
            </w:r>
          </w:p>
        </w:tc>
        <w:tc>
          <w:tcPr>
            <w:tcW w:w="1071" w:type="dxa"/>
            <w:shd w:val="clear" w:color="auto" w:fill="auto"/>
            <w:vAlign w:val="center"/>
          </w:tcPr>
          <w:p w14:paraId="437E057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4A4A88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Silva-Paredes G, Cornejo-Olivas M, Inca-Martinez M, Espinoza-Huertas K, Vishnevetsky A, Mazzetti P, et al. </w:t>
            </w:r>
          </w:p>
        </w:tc>
        <w:tc>
          <w:tcPr>
            <w:tcW w:w="7010" w:type="dxa"/>
            <w:shd w:val="clear" w:color="auto" w:fill="auto"/>
            <w:vAlign w:val="center"/>
          </w:tcPr>
          <w:p w14:paraId="4BE23E6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Health Cost Analysis for Huntington Disease in Peru</w:t>
            </w:r>
          </w:p>
        </w:tc>
        <w:tc>
          <w:tcPr>
            <w:tcW w:w="568" w:type="dxa"/>
            <w:shd w:val="clear" w:color="auto" w:fill="auto"/>
            <w:vAlign w:val="center"/>
          </w:tcPr>
          <w:p w14:paraId="417FC1F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6264DE2F" w14:textId="77777777" w:rsidTr="004C3C90">
        <w:trPr>
          <w:trHeight w:val="20"/>
        </w:trPr>
        <w:tc>
          <w:tcPr>
            <w:tcW w:w="550" w:type="dxa"/>
            <w:shd w:val="clear" w:color="auto" w:fill="auto"/>
            <w:vAlign w:val="center"/>
          </w:tcPr>
          <w:p w14:paraId="20AE66A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382</w:t>
            </w:r>
          </w:p>
        </w:tc>
        <w:tc>
          <w:tcPr>
            <w:tcW w:w="1071" w:type="dxa"/>
            <w:shd w:val="clear" w:color="auto" w:fill="auto"/>
            <w:vAlign w:val="center"/>
          </w:tcPr>
          <w:p w14:paraId="5DA4DF2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9117D6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Longhurst H, Aberer W, Bouillet L, Cabllero T, Bygum A, Grumach AS, et al.</w:t>
            </w:r>
          </w:p>
        </w:tc>
        <w:tc>
          <w:tcPr>
            <w:tcW w:w="7010" w:type="dxa"/>
            <w:shd w:val="clear" w:color="auto" w:fill="auto"/>
            <w:vAlign w:val="center"/>
          </w:tcPr>
          <w:p w14:paraId="4F04FF5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Hereditary Angioedema Presents in Childhood but Is Diagnosed in Adulthood - Findings from the Icatibant Outcome Survey</w:t>
            </w:r>
          </w:p>
        </w:tc>
        <w:tc>
          <w:tcPr>
            <w:tcW w:w="568" w:type="dxa"/>
            <w:shd w:val="clear" w:color="auto" w:fill="auto"/>
            <w:vAlign w:val="center"/>
          </w:tcPr>
          <w:p w14:paraId="0DC53A9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7AC03DE5" w14:textId="77777777" w:rsidTr="004C3C90">
        <w:trPr>
          <w:trHeight w:val="20"/>
        </w:trPr>
        <w:tc>
          <w:tcPr>
            <w:tcW w:w="550" w:type="dxa"/>
            <w:shd w:val="clear" w:color="auto" w:fill="auto"/>
            <w:vAlign w:val="center"/>
          </w:tcPr>
          <w:p w14:paraId="52ACA78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383</w:t>
            </w:r>
          </w:p>
        </w:tc>
        <w:tc>
          <w:tcPr>
            <w:tcW w:w="1071" w:type="dxa"/>
            <w:shd w:val="clear" w:color="auto" w:fill="auto"/>
            <w:vAlign w:val="center"/>
          </w:tcPr>
          <w:p w14:paraId="44A4134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58462D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Stumpo M, Guttmann S, Volpini M, Volpinin M, Monaldini C, Manzaroli D, et al</w:t>
            </w:r>
          </w:p>
        </w:tc>
        <w:tc>
          <w:tcPr>
            <w:tcW w:w="7010" w:type="dxa"/>
            <w:shd w:val="clear" w:color="auto" w:fill="auto"/>
            <w:vAlign w:val="center"/>
          </w:tcPr>
          <w:p w14:paraId="22D06FA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High Prevalence of Huntington's Disease in San Marino Republic: An Epidemiological Survey</w:t>
            </w:r>
          </w:p>
        </w:tc>
        <w:tc>
          <w:tcPr>
            <w:tcW w:w="568" w:type="dxa"/>
            <w:shd w:val="clear" w:color="auto" w:fill="auto"/>
            <w:vAlign w:val="center"/>
          </w:tcPr>
          <w:p w14:paraId="31573CB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6402339B" w14:textId="77777777" w:rsidTr="004C3C90">
        <w:trPr>
          <w:trHeight w:val="20"/>
        </w:trPr>
        <w:tc>
          <w:tcPr>
            <w:tcW w:w="550" w:type="dxa"/>
            <w:shd w:val="clear" w:color="auto" w:fill="auto"/>
            <w:vAlign w:val="center"/>
          </w:tcPr>
          <w:p w14:paraId="3C13741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384</w:t>
            </w:r>
          </w:p>
        </w:tc>
        <w:tc>
          <w:tcPr>
            <w:tcW w:w="1071" w:type="dxa"/>
            <w:shd w:val="clear" w:color="auto" w:fill="auto"/>
            <w:vAlign w:val="center"/>
          </w:tcPr>
          <w:p w14:paraId="5159D14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DBF583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Maurer M, Caballero T, Aberer W, Zanichelli A, Bouillet L, Fabien V, et al.</w:t>
            </w:r>
          </w:p>
        </w:tc>
        <w:tc>
          <w:tcPr>
            <w:tcW w:w="7010" w:type="dxa"/>
            <w:shd w:val="clear" w:color="auto" w:fill="auto"/>
            <w:vAlign w:val="center"/>
          </w:tcPr>
          <w:p w14:paraId="30A8A06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Icatibant Outcome Survey: More Than 2900 Icatibant-Treated Attacks in Patients with Type I or Ii Hereditary Angioedema</w:t>
            </w:r>
          </w:p>
        </w:tc>
        <w:tc>
          <w:tcPr>
            <w:tcW w:w="568" w:type="dxa"/>
            <w:shd w:val="clear" w:color="auto" w:fill="auto"/>
            <w:vAlign w:val="center"/>
          </w:tcPr>
          <w:p w14:paraId="501F837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3A840A3A" w14:textId="77777777" w:rsidTr="004C3C90">
        <w:trPr>
          <w:trHeight w:val="20"/>
        </w:trPr>
        <w:tc>
          <w:tcPr>
            <w:tcW w:w="550" w:type="dxa"/>
            <w:shd w:val="clear" w:color="auto" w:fill="auto"/>
            <w:vAlign w:val="center"/>
          </w:tcPr>
          <w:p w14:paraId="4382ABE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385</w:t>
            </w:r>
          </w:p>
        </w:tc>
        <w:tc>
          <w:tcPr>
            <w:tcW w:w="1071" w:type="dxa"/>
            <w:shd w:val="clear" w:color="auto" w:fill="auto"/>
            <w:vAlign w:val="center"/>
          </w:tcPr>
          <w:p w14:paraId="070AB58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0E2133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Low R, Kay-Jones C, Dutt T.</w:t>
            </w:r>
          </w:p>
        </w:tc>
        <w:tc>
          <w:tcPr>
            <w:tcW w:w="7010" w:type="dxa"/>
            <w:shd w:val="clear" w:color="auto" w:fill="auto"/>
            <w:vAlign w:val="center"/>
          </w:tcPr>
          <w:p w14:paraId="3C0820C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Impact of Ttp Specialist Centres on Patient Survival and Satisfaction</w:t>
            </w:r>
          </w:p>
        </w:tc>
        <w:tc>
          <w:tcPr>
            <w:tcW w:w="568" w:type="dxa"/>
            <w:shd w:val="clear" w:color="auto" w:fill="auto"/>
            <w:vAlign w:val="center"/>
          </w:tcPr>
          <w:p w14:paraId="1EDDB56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0F7D98A8" w14:textId="77777777" w:rsidTr="004C3C90">
        <w:trPr>
          <w:trHeight w:val="20"/>
        </w:trPr>
        <w:tc>
          <w:tcPr>
            <w:tcW w:w="550" w:type="dxa"/>
            <w:shd w:val="clear" w:color="auto" w:fill="auto"/>
            <w:vAlign w:val="center"/>
          </w:tcPr>
          <w:p w14:paraId="7689318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386</w:t>
            </w:r>
          </w:p>
        </w:tc>
        <w:tc>
          <w:tcPr>
            <w:tcW w:w="1071" w:type="dxa"/>
            <w:shd w:val="clear" w:color="auto" w:fill="auto"/>
            <w:vAlign w:val="center"/>
          </w:tcPr>
          <w:p w14:paraId="083EF04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1957A0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Mossman J, Efthymiadou O, Kanavos P</w:t>
            </w:r>
          </w:p>
        </w:tc>
        <w:tc>
          <w:tcPr>
            <w:tcW w:w="7010" w:type="dxa"/>
            <w:shd w:val="clear" w:color="auto" w:fill="auto"/>
            <w:vAlign w:val="center"/>
          </w:tcPr>
          <w:p w14:paraId="0E7790B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 International Patient Survey on Health Related Quality of Life Aspects Not C Patured by Eq-5d-5l</w:t>
            </w:r>
          </w:p>
        </w:tc>
        <w:tc>
          <w:tcPr>
            <w:tcW w:w="568" w:type="dxa"/>
            <w:shd w:val="clear" w:color="auto" w:fill="auto"/>
            <w:vAlign w:val="center"/>
          </w:tcPr>
          <w:p w14:paraId="1BF7E0F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60A55748" w14:textId="77777777" w:rsidTr="004C3C90">
        <w:trPr>
          <w:trHeight w:val="20"/>
        </w:trPr>
        <w:tc>
          <w:tcPr>
            <w:tcW w:w="550" w:type="dxa"/>
            <w:shd w:val="clear" w:color="auto" w:fill="auto"/>
            <w:vAlign w:val="center"/>
          </w:tcPr>
          <w:p w14:paraId="6056185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387</w:t>
            </w:r>
          </w:p>
        </w:tc>
        <w:tc>
          <w:tcPr>
            <w:tcW w:w="1071" w:type="dxa"/>
            <w:shd w:val="clear" w:color="auto" w:fill="auto"/>
            <w:vAlign w:val="center"/>
          </w:tcPr>
          <w:p w14:paraId="61F1452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FF6F12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Huang B, Morgan E, Chen C, Adamas M, Sivaganisan S, Brunner H, et al. </w:t>
            </w:r>
          </w:p>
        </w:tc>
        <w:tc>
          <w:tcPr>
            <w:tcW w:w="7010" w:type="dxa"/>
            <w:shd w:val="clear" w:color="auto" w:fill="auto"/>
            <w:vAlign w:val="center"/>
          </w:tcPr>
          <w:p w14:paraId="3F8EA5B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Is Early Initiation of Biologic Treatment More Effective Than a Step up Treatment Approach for New Onset Juvenile Idiopathic Art Hritis?-Using a Causal Inference Approach to Achieve a Double Robust Estimate</w:t>
            </w:r>
          </w:p>
        </w:tc>
        <w:tc>
          <w:tcPr>
            <w:tcW w:w="568" w:type="dxa"/>
            <w:shd w:val="clear" w:color="auto" w:fill="auto"/>
            <w:vAlign w:val="center"/>
          </w:tcPr>
          <w:p w14:paraId="5E78F03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20FE1B5B" w14:textId="77777777" w:rsidTr="004C3C90">
        <w:trPr>
          <w:trHeight w:val="20"/>
        </w:trPr>
        <w:tc>
          <w:tcPr>
            <w:tcW w:w="550" w:type="dxa"/>
            <w:shd w:val="clear" w:color="auto" w:fill="auto"/>
            <w:vAlign w:val="center"/>
          </w:tcPr>
          <w:p w14:paraId="4212606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388</w:t>
            </w:r>
          </w:p>
        </w:tc>
        <w:tc>
          <w:tcPr>
            <w:tcW w:w="1071" w:type="dxa"/>
            <w:shd w:val="clear" w:color="auto" w:fill="auto"/>
            <w:vAlign w:val="center"/>
          </w:tcPr>
          <w:p w14:paraId="560994A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897C15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 Requena MA, Dasí F, Barajas F, Castillo S, Benavent O, Escribano A</w:t>
            </w:r>
          </w:p>
        </w:tc>
        <w:tc>
          <w:tcPr>
            <w:tcW w:w="7010" w:type="dxa"/>
            <w:shd w:val="clear" w:color="auto" w:fill="auto"/>
            <w:vAlign w:val="center"/>
          </w:tcPr>
          <w:p w14:paraId="00E0690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Knowledge of Alpha-1 Deficiency and Primary Ciliary Dyskinesia by Medical Students and Health Professionals</w:t>
            </w:r>
          </w:p>
        </w:tc>
        <w:tc>
          <w:tcPr>
            <w:tcW w:w="568" w:type="dxa"/>
            <w:shd w:val="clear" w:color="auto" w:fill="auto"/>
            <w:vAlign w:val="center"/>
          </w:tcPr>
          <w:p w14:paraId="3C298C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394A2A79" w14:textId="77777777" w:rsidTr="004C3C90">
        <w:trPr>
          <w:trHeight w:val="20"/>
        </w:trPr>
        <w:tc>
          <w:tcPr>
            <w:tcW w:w="550" w:type="dxa"/>
            <w:shd w:val="clear" w:color="auto" w:fill="auto"/>
            <w:vAlign w:val="center"/>
          </w:tcPr>
          <w:p w14:paraId="4F6C2F8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389</w:t>
            </w:r>
          </w:p>
        </w:tc>
        <w:tc>
          <w:tcPr>
            <w:tcW w:w="1071" w:type="dxa"/>
            <w:shd w:val="clear" w:color="auto" w:fill="auto"/>
            <w:vAlign w:val="center"/>
          </w:tcPr>
          <w:p w14:paraId="0467193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2402DE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Paoli X</w:t>
            </w:r>
          </w:p>
        </w:tc>
        <w:tc>
          <w:tcPr>
            <w:tcW w:w="7010" w:type="dxa"/>
            <w:shd w:val="clear" w:color="auto" w:fill="auto"/>
            <w:vAlign w:val="center"/>
          </w:tcPr>
          <w:p w14:paraId="732DAA3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 Online Survey of Neurologists About Charcot-Marie-Tooth Disease Type 1a</w:t>
            </w:r>
          </w:p>
        </w:tc>
        <w:tc>
          <w:tcPr>
            <w:tcW w:w="568" w:type="dxa"/>
            <w:shd w:val="clear" w:color="auto" w:fill="auto"/>
            <w:vAlign w:val="center"/>
          </w:tcPr>
          <w:p w14:paraId="39E8F6A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452EDA20" w14:textId="77777777" w:rsidTr="004C3C90">
        <w:trPr>
          <w:trHeight w:val="20"/>
        </w:trPr>
        <w:tc>
          <w:tcPr>
            <w:tcW w:w="550" w:type="dxa"/>
            <w:shd w:val="clear" w:color="auto" w:fill="auto"/>
            <w:vAlign w:val="center"/>
          </w:tcPr>
          <w:p w14:paraId="6D4C2F5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390</w:t>
            </w:r>
          </w:p>
        </w:tc>
        <w:tc>
          <w:tcPr>
            <w:tcW w:w="1071" w:type="dxa"/>
            <w:shd w:val="clear" w:color="auto" w:fill="auto"/>
            <w:vAlign w:val="center"/>
          </w:tcPr>
          <w:p w14:paraId="1EC0C5B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46ED939" w14:textId="77777777" w:rsidR="004C3C90" w:rsidRPr="004C3C90" w:rsidRDefault="004C3C90" w:rsidP="004C3C90">
            <w:pPr>
              <w:spacing w:line="240" w:lineRule="auto"/>
              <w:rPr>
                <w:rFonts w:ascii="Times New Roman" w:eastAsia="Times New Roman" w:hAnsi="Times New Roman" w:cs="Times New Roman"/>
                <w:sz w:val="20"/>
                <w:szCs w:val="20"/>
                <w:highlight w:val="white"/>
              </w:rPr>
            </w:pPr>
            <w:r w:rsidRPr="004C3C90">
              <w:rPr>
                <w:rFonts w:ascii="Times New Roman" w:eastAsia="Times New Roman" w:hAnsi="Times New Roman" w:cs="Times New Roman"/>
                <w:sz w:val="20"/>
                <w:szCs w:val="20"/>
                <w:highlight w:val="white"/>
              </w:rPr>
              <w:t>Jain A, Mehta S, Joshi M, Garg K, Togal LK, Parnes A, et al.</w:t>
            </w:r>
          </w:p>
        </w:tc>
        <w:tc>
          <w:tcPr>
            <w:tcW w:w="7010" w:type="dxa"/>
            <w:shd w:val="clear" w:color="auto" w:fill="auto"/>
            <w:vAlign w:val="center"/>
          </w:tcPr>
          <w:p w14:paraId="0B90395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 Reported Outcomes to Assess Quality of Hemophilia Care in North India-Results of a Global Partnership</w:t>
            </w:r>
          </w:p>
        </w:tc>
        <w:tc>
          <w:tcPr>
            <w:tcW w:w="568" w:type="dxa"/>
            <w:shd w:val="clear" w:color="auto" w:fill="auto"/>
            <w:vAlign w:val="center"/>
          </w:tcPr>
          <w:p w14:paraId="36F3E1E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10E26415" w14:textId="77777777" w:rsidTr="004C3C90">
        <w:trPr>
          <w:trHeight w:val="20"/>
        </w:trPr>
        <w:tc>
          <w:tcPr>
            <w:tcW w:w="550" w:type="dxa"/>
            <w:shd w:val="clear" w:color="auto" w:fill="auto"/>
            <w:vAlign w:val="center"/>
          </w:tcPr>
          <w:p w14:paraId="3172CAB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391</w:t>
            </w:r>
          </w:p>
        </w:tc>
        <w:tc>
          <w:tcPr>
            <w:tcW w:w="1071" w:type="dxa"/>
            <w:shd w:val="clear" w:color="auto" w:fill="auto"/>
            <w:vAlign w:val="center"/>
          </w:tcPr>
          <w:p w14:paraId="1BD817E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C1942E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Nakajima T, Yoshifuji H, Terao C, et al. </w:t>
            </w:r>
          </w:p>
        </w:tc>
        <w:tc>
          <w:tcPr>
            <w:tcW w:w="7010" w:type="dxa"/>
            <w:shd w:val="clear" w:color="auto" w:fill="auto"/>
            <w:vAlign w:val="center"/>
          </w:tcPr>
          <w:p w14:paraId="0028267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Severe Complications and Immunosuppressive Treatments in 33 Patients with Relapsing Polychondritis</w:t>
            </w:r>
          </w:p>
        </w:tc>
        <w:tc>
          <w:tcPr>
            <w:tcW w:w="568" w:type="dxa"/>
            <w:shd w:val="clear" w:color="auto" w:fill="auto"/>
            <w:vAlign w:val="center"/>
          </w:tcPr>
          <w:p w14:paraId="1F58132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59E80AA6" w14:textId="77777777" w:rsidTr="004C3C90">
        <w:trPr>
          <w:trHeight w:val="20"/>
        </w:trPr>
        <w:tc>
          <w:tcPr>
            <w:tcW w:w="550" w:type="dxa"/>
            <w:shd w:val="clear" w:color="auto" w:fill="auto"/>
            <w:vAlign w:val="center"/>
          </w:tcPr>
          <w:p w14:paraId="582636F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392</w:t>
            </w:r>
          </w:p>
        </w:tc>
        <w:tc>
          <w:tcPr>
            <w:tcW w:w="1071" w:type="dxa"/>
            <w:shd w:val="clear" w:color="auto" w:fill="auto"/>
            <w:vAlign w:val="center"/>
          </w:tcPr>
          <w:p w14:paraId="4D18A56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58E7FA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Reyes M, Camps B, Knebelman N, de Solà-Morales O</w:t>
            </w:r>
          </w:p>
        </w:tc>
        <w:tc>
          <w:tcPr>
            <w:tcW w:w="7010" w:type="dxa"/>
            <w:shd w:val="clear" w:color="auto" w:fill="auto"/>
            <w:vAlign w:val="center"/>
          </w:tcPr>
          <w:p w14:paraId="06C38FE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Social Preferences for Rare Diseases in Spain</w:t>
            </w:r>
          </w:p>
        </w:tc>
        <w:tc>
          <w:tcPr>
            <w:tcW w:w="568" w:type="dxa"/>
            <w:shd w:val="clear" w:color="auto" w:fill="auto"/>
            <w:vAlign w:val="center"/>
          </w:tcPr>
          <w:p w14:paraId="17740B7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1ED20107" w14:textId="77777777" w:rsidTr="004C3C90">
        <w:trPr>
          <w:trHeight w:val="20"/>
        </w:trPr>
        <w:tc>
          <w:tcPr>
            <w:tcW w:w="550" w:type="dxa"/>
            <w:shd w:val="clear" w:color="auto" w:fill="auto"/>
            <w:vAlign w:val="center"/>
          </w:tcPr>
          <w:p w14:paraId="35ED744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393</w:t>
            </w:r>
          </w:p>
        </w:tc>
        <w:tc>
          <w:tcPr>
            <w:tcW w:w="1071" w:type="dxa"/>
            <w:shd w:val="clear" w:color="auto" w:fill="auto"/>
            <w:vAlign w:val="center"/>
          </w:tcPr>
          <w:p w14:paraId="71925F7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76567B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Roman H</w:t>
            </w:r>
          </w:p>
        </w:tc>
        <w:tc>
          <w:tcPr>
            <w:tcW w:w="7010" w:type="dxa"/>
            <w:shd w:val="clear" w:color="auto" w:fill="auto"/>
            <w:vAlign w:val="center"/>
          </w:tcPr>
          <w:p w14:paraId="2848D1B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Surgical Management of Deep Colorectal Endometriosis in France: A Multicentric 1,135 Case-Series. On Behalf of the Friends Group (French Colorectal Infiltrating Endometriosis Study Group)</w:t>
            </w:r>
          </w:p>
        </w:tc>
        <w:tc>
          <w:tcPr>
            <w:tcW w:w="568" w:type="dxa"/>
            <w:shd w:val="clear" w:color="auto" w:fill="auto"/>
            <w:vAlign w:val="center"/>
          </w:tcPr>
          <w:p w14:paraId="0CA1309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3B37FBC0" w14:textId="77777777" w:rsidTr="004C3C90">
        <w:trPr>
          <w:trHeight w:val="20"/>
        </w:trPr>
        <w:tc>
          <w:tcPr>
            <w:tcW w:w="550" w:type="dxa"/>
            <w:shd w:val="clear" w:color="auto" w:fill="auto"/>
            <w:vAlign w:val="center"/>
          </w:tcPr>
          <w:p w14:paraId="797E19C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394</w:t>
            </w:r>
          </w:p>
        </w:tc>
        <w:tc>
          <w:tcPr>
            <w:tcW w:w="1071" w:type="dxa"/>
            <w:shd w:val="clear" w:color="auto" w:fill="auto"/>
            <w:vAlign w:val="center"/>
          </w:tcPr>
          <w:p w14:paraId="75B0800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F2D3D9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Ogata K, Suzuki M, Yatabe K, Monna K, Tanaka Y, Nonaka I, et al</w:t>
            </w:r>
          </w:p>
        </w:tc>
        <w:tc>
          <w:tcPr>
            <w:tcW w:w="7010" w:type="dxa"/>
            <w:shd w:val="clear" w:color="auto" w:fill="auto"/>
            <w:vAlign w:val="center"/>
          </w:tcPr>
          <w:p w14:paraId="55A01BE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Survey on Usage of Telecommunication Terminals in Japanese Patients with Neuromuscular Diseases</w:t>
            </w:r>
          </w:p>
        </w:tc>
        <w:tc>
          <w:tcPr>
            <w:tcW w:w="568" w:type="dxa"/>
            <w:shd w:val="clear" w:color="auto" w:fill="auto"/>
            <w:vAlign w:val="center"/>
          </w:tcPr>
          <w:p w14:paraId="7A5C1FA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1FEDA09D" w14:textId="77777777" w:rsidTr="004C3C90">
        <w:trPr>
          <w:trHeight w:val="20"/>
        </w:trPr>
        <w:tc>
          <w:tcPr>
            <w:tcW w:w="550" w:type="dxa"/>
            <w:shd w:val="clear" w:color="auto" w:fill="auto"/>
            <w:vAlign w:val="center"/>
          </w:tcPr>
          <w:p w14:paraId="6DC1CEB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395</w:t>
            </w:r>
          </w:p>
        </w:tc>
        <w:tc>
          <w:tcPr>
            <w:tcW w:w="1071" w:type="dxa"/>
            <w:shd w:val="clear" w:color="auto" w:fill="auto"/>
            <w:vAlign w:val="center"/>
          </w:tcPr>
          <w:p w14:paraId="3F25084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ABB103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Philina Lee P,</w:t>
            </w: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 xml:space="preserve">George TI, Shi H, Evans EK, Sing T, Boral AL, et al. </w:t>
            </w:r>
          </w:p>
        </w:tc>
        <w:tc>
          <w:tcPr>
            <w:tcW w:w="7010" w:type="dxa"/>
            <w:shd w:val="clear" w:color="auto" w:fill="auto"/>
            <w:vAlign w:val="center"/>
          </w:tcPr>
          <w:p w14:paraId="4569DCF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Systemic Mastocytosis Patient Experience from Mast Cell Connect, the First Patient-Reported Registry for Mastocytosis</w:t>
            </w:r>
          </w:p>
        </w:tc>
        <w:tc>
          <w:tcPr>
            <w:tcW w:w="568" w:type="dxa"/>
            <w:shd w:val="clear" w:color="auto" w:fill="auto"/>
            <w:vAlign w:val="center"/>
          </w:tcPr>
          <w:p w14:paraId="094E67B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313B3737" w14:textId="77777777" w:rsidTr="004C3C90">
        <w:trPr>
          <w:trHeight w:val="20"/>
        </w:trPr>
        <w:tc>
          <w:tcPr>
            <w:tcW w:w="550" w:type="dxa"/>
            <w:shd w:val="clear" w:color="auto" w:fill="auto"/>
            <w:vAlign w:val="center"/>
          </w:tcPr>
          <w:p w14:paraId="7A37654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396</w:t>
            </w:r>
          </w:p>
        </w:tc>
        <w:tc>
          <w:tcPr>
            <w:tcW w:w="1071" w:type="dxa"/>
            <w:shd w:val="clear" w:color="auto" w:fill="auto"/>
            <w:vAlign w:val="center"/>
          </w:tcPr>
          <w:p w14:paraId="3A3612A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775E52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Simpson A, Hunter A, Whitaker MJ</w:t>
            </w:r>
          </w:p>
        </w:tc>
        <w:tc>
          <w:tcPr>
            <w:tcW w:w="7010" w:type="dxa"/>
            <w:shd w:val="clear" w:color="auto" w:fill="auto"/>
            <w:vAlign w:val="center"/>
          </w:tcPr>
          <w:p w14:paraId="10E4351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Understanding the Wider Impact of Adrenal Insufficiency: Patient Organisation Involvement in the Tain Project</w:t>
            </w:r>
          </w:p>
        </w:tc>
        <w:tc>
          <w:tcPr>
            <w:tcW w:w="568" w:type="dxa"/>
            <w:shd w:val="clear" w:color="auto" w:fill="auto"/>
            <w:vAlign w:val="center"/>
          </w:tcPr>
          <w:p w14:paraId="1DD5E19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634311C2" w14:textId="77777777" w:rsidTr="004C3C90">
        <w:trPr>
          <w:trHeight w:val="20"/>
        </w:trPr>
        <w:tc>
          <w:tcPr>
            <w:tcW w:w="550" w:type="dxa"/>
            <w:shd w:val="clear" w:color="auto" w:fill="auto"/>
            <w:vAlign w:val="center"/>
          </w:tcPr>
          <w:p w14:paraId="47C2140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397</w:t>
            </w:r>
          </w:p>
        </w:tc>
        <w:tc>
          <w:tcPr>
            <w:tcW w:w="1071" w:type="dxa"/>
            <w:shd w:val="clear" w:color="auto" w:fill="auto"/>
            <w:vAlign w:val="center"/>
          </w:tcPr>
          <w:p w14:paraId="7B86D1E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E2EFC0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Greywal T, Zaenglein AL, Baldwin HE, Bhatia N, Chernoff KA, Del Rosso JQ, et al.</w:t>
            </w:r>
          </w:p>
        </w:tc>
        <w:tc>
          <w:tcPr>
            <w:tcW w:w="7010" w:type="dxa"/>
            <w:shd w:val="clear" w:color="auto" w:fill="auto"/>
            <w:vAlign w:val="center"/>
          </w:tcPr>
          <w:p w14:paraId="6B86AD0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Acne Fulminans and Its Variants: Evidence-Based Expert Panel Recommendations</w:t>
            </w:r>
          </w:p>
        </w:tc>
        <w:tc>
          <w:tcPr>
            <w:tcW w:w="568" w:type="dxa"/>
            <w:shd w:val="clear" w:color="auto" w:fill="auto"/>
            <w:vAlign w:val="center"/>
          </w:tcPr>
          <w:p w14:paraId="28A87FF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131E69A8" w14:textId="77777777" w:rsidTr="004C3C90">
        <w:trPr>
          <w:trHeight w:val="20"/>
        </w:trPr>
        <w:tc>
          <w:tcPr>
            <w:tcW w:w="550" w:type="dxa"/>
            <w:shd w:val="clear" w:color="auto" w:fill="auto"/>
            <w:vAlign w:val="center"/>
          </w:tcPr>
          <w:p w14:paraId="1F0D1B3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398</w:t>
            </w:r>
          </w:p>
        </w:tc>
        <w:tc>
          <w:tcPr>
            <w:tcW w:w="1071" w:type="dxa"/>
            <w:shd w:val="clear" w:color="auto" w:fill="auto"/>
            <w:vAlign w:val="center"/>
          </w:tcPr>
          <w:p w14:paraId="54D8E6D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01D91B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Gala S, Mwamburi M</w:t>
            </w:r>
          </w:p>
        </w:tc>
        <w:tc>
          <w:tcPr>
            <w:tcW w:w="7010" w:type="dxa"/>
            <w:shd w:val="clear" w:color="auto" w:fill="auto"/>
            <w:vAlign w:val="center"/>
          </w:tcPr>
          <w:p w14:paraId="296CD74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Assessment and Characterization of Gaps in Literature of Resource Utilization and Economic Burden in Inflammatory Myopathies</w:t>
            </w:r>
          </w:p>
        </w:tc>
        <w:tc>
          <w:tcPr>
            <w:tcW w:w="568" w:type="dxa"/>
            <w:shd w:val="clear" w:color="auto" w:fill="auto"/>
            <w:vAlign w:val="center"/>
          </w:tcPr>
          <w:p w14:paraId="4F8A990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15A37FDD" w14:textId="77777777" w:rsidTr="004C3C90">
        <w:trPr>
          <w:trHeight w:val="20"/>
        </w:trPr>
        <w:tc>
          <w:tcPr>
            <w:tcW w:w="550" w:type="dxa"/>
            <w:shd w:val="clear" w:color="auto" w:fill="auto"/>
            <w:vAlign w:val="center"/>
          </w:tcPr>
          <w:p w14:paraId="10C8150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399</w:t>
            </w:r>
          </w:p>
        </w:tc>
        <w:tc>
          <w:tcPr>
            <w:tcW w:w="1071" w:type="dxa"/>
            <w:shd w:val="clear" w:color="auto" w:fill="auto"/>
            <w:vAlign w:val="center"/>
          </w:tcPr>
          <w:p w14:paraId="66DB232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FDF794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Cohen J, Chiang AL, Kumar NL, Horst D</w:t>
            </w:r>
          </w:p>
        </w:tc>
        <w:tc>
          <w:tcPr>
            <w:tcW w:w="7010" w:type="dxa"/>
            <w:shd w:val="clear" w:color="auto" w:fill="auto"/>
            <w:vAlign w:val="center"/>
          </w:tcPr>
          <w:p w14:paraId="3B3DC11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Boston's Gastroenterology Interhospital Evening Rounds: A Novel Model for Academic Competitive Collaboration</w:t>
            </w:r>
          </w:p>
        </w:tc>
        <w:tc>
          <w:tcPr>
            <w:tcW w:w="568" w:type="dxa"/>
            <w:shd w:val="clear" w:color="auto" w:fill="auto"/>
            <w:vAlign w:val="center"/>
          </w:tcPr>
          <w:p w14:paraId="4B26414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471052BD" w14:textId="77777777" w:rsidTr="004C3C90">
        <w:trPr>
          <w:trHeight w:val="20"/>
        </w:trPr>
        <w:tc>
          <w:tcPr>
            <w:tcW w:w="550" w:type="dxa"/>
            <w:shd w:val="clear" w:color="auto" w:fill="auto"/>
            <w:vAlign w:val="center"/>
          </w:tcPr>
          <w:p w14:paraId="3C6CFBC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400</w:t>
            </w:r>
          </w:p>
        </w:tc>
        <w:tc>
          <w:tcPr>
            <w:tcW w:w="1071" w:type="dxa"/>
            <w:shd w:val="clear" w:color="auto" w:fill="auto"/>
            <w:vAlign w:val="center"/>
          </w:tcPr>
          <w:p w14:paraId="3C04E25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26C92B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Dalin F, Nordling Eriksson G, Dahlqvist P, Hallgren Å, Wahlberg J, et al. </w:t>
            </w:r>
          </w:p>
        </w:tc>
        <w:tc>
          <w:tcPr>
            <w:tcW w:w="7010" w:type="dxa"/>
            <w:shd w:val="clear" w:color="auto" w:fill="auto"/>
            <w:vAlign w:val="center"/>
          </w:tcPr>
          <w:p w14:paraId="3A44CE7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and Immunological Characteristics of Autoimmune Addison's Disease in Sweden: A Nationwide Multicenter Analysis of 660 Patients</w:t>
            </w:r>
          </w:p>
        </w:tc>
        <w:tc>
          <w:tcPr>
            <w:tcW w:w="568" w:type="dxa"/>
            <w:shd w:val="clear" w:color="auto" w:fill="auto"/>
            <w:vAlign w:val="center"/>
          </w:tcPr>
          <w:p w14:paraId="7CB1AB9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7D09D85B" w14:textId="77777777" w:rsidTr="004C3C90">
        <w:trPr>
          <w:trHeight w:val="20"/>
        </w:trPr>
        <w:tc>
          <w:tcPr>
            <w:tcW w:w="550" w:type="dxa"/>
            <w:shd w:val="clear" w:color="auto" w:fill="auto"/>
            <w:vAlign w:val="center"/>
          </w:tcPr>
          <w:p w14:paraId="5842EDC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401</w:t>
            </w:r>
          </w:p>
        </w:tc>
        <w:tc>
          <w:tcPr>
            <w:tcW w:w="1071" w:type="dxa"/>
            <w:shd w:val="clear" w:color="auto" w:fill="auto"/>
            <w:vAlign w:val="center"/>
          </w:tcPr>
          <w:p w14:paraId="1AA9ED2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3FC9C1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Park DS, Chang ™, Young IC, Koh YC, Kim HY, Roh HG</w:t>
            </w:r>
          </w:p>
        </w:tc>
        <w:tc>
          <w:tcPr>
            <w:tcW w:w="7010" w:type="dxa"/>
            <w:shd w:val="clear" w:color="auto" w:fill="auto"/>
            <w:vAlign w:val="center"/>
          </w:tcPr>
          <w:p w14:paraId="0CFBB49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Diagnostic and Therapeutic Work-up for Cerebralvenous Thrombosis &amp;Ndash; Results Froma Surveyongerman Stroke Units</w:t>
            </w:r>
          </w:p>
        </w:tc>
        <w:tc>
          <w:tcPr>
            <w:tcW w:w="568" w:type="dxa"/>
            <w:shd w:val="clear" w:color="auto" w:fill="auto"/>
            <w:vAlign w:val="center"/>
          </w:tcPr>
          <w:p w14:paraId="2F4B766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52D9AC82" w14:textId="77777777" w:rsidTr="004C3C90">
        <w:trPr>
          <w:trHeight w:val="20"/>
        </w:trPr>
        <w:tc>
          <w:tcPr>
            <w:tcW w:w="550" w:type="dxa"/>
            <w:shd w:val="clear" w:color="auto" w:fill="auto"/>
            <w:vAlign w:val="center"/>
          </w:tcPr>
          <w:p w14:paraId="7DBE08D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402</w:t>
            </w:r>
          </w:p>
        </w:tc>
        <w:tc>
          <w:tcPr>
            <w:tcW w:w="1071" w:type="dxa"/>
            <w:shd w:val="clear" w:color="auto" w:fill="auto"/>
            <w:vAlign w:val="center"/>
          </w:tcPr>
          <w:p w14:paraId="7E658AE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88E8A5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Efthymiadou O, Kanavos P1, Mossman J</w:t>
            </w:r>
          </w:p>
        </w:tc>
        <w:tc>
          <w:tcPr>
            <w:tcW w:w="7010" w:type="dxa"/>
            <w:shd w:val="clear" w:color="auto" w:fill="auto"/>
            <w:vAlign w:val="center"/>
          </w:tcPr>
          <w:p w14:paraId="2F5D53D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Differentiation of Health Related Quality of Life Outcomes between Patient Populations; Results from Patients with Breast Cancer, Rheumatoid Arthritis, Multiple Sclerosis, Rare Cancers and Rare Diseases</w:t>
            </w:r>
          </w:p>
        </w:tc>
        <w:tc>
          <w:tcPr>
            <w:tcW w:w="568" w:type="dxa"/>
            <w:shd w:val="clear" w:color="auto" w:fill="auto"/>
            <w:vAlign w:val="center"/>
          </w:tcPr>
          <w:p w14:paraId="2A672A9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335EF444" w14:textId="77777777" w:rsidTr="004C3C90">
        <w:trPr>
          <w:trHeight w:val="20"/>
        </w:trPr>
        <w:tc>
          <w:tcPr>
            <w:tcW w:w="550" w:type="dxa"/>
            <w:shd w:val="clear" w:color="auto" w:fill="auto"/>
            <w:vAlign w:val="center"/>
          </w:tcPr>
          <w:p w14:paraId="03BBE64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403</w:t>
            </w:r>
          </w:p>
        </w:tc>
        <w:tc>
          <w:tcPr>
            <w:tcW w:w="1071" w:type="dxa"/>
            <w:shd w:val="clear" w:color="auto" w:fill="auto"/>
            <w:vAlign w:val="center"/>
          </w:tcPr>
          <w:p w14:paraId="5A7DC63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62B4F4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Goring SM, Risebrough N, Wilson JB, Watch J, Gallagher JR, Heao KJ, et al. </w:t>
            </w:r>
          </w:p>
        </w:tc>
        <w:tc>
          <w:tcPr>
            <w:tcW w:w="7010" w:type="dxa"/>
            <w:shd w:val="clear" w:color="auto" w:fill="auto"/>
            <w:vAlign w:val="center"/>
          </w:tcPr>
          <w:p w14:paraId="668D425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Economic Burden of Non-Tuberculous Mycobacterial Pulmonary Disease in Canada, France, Unitedkingdom and Germany</w:t>
            </w:r>
          </w:p>
        </w:tc>
        <w:tc>
          <w:tcPr>
            <w:tcW w:w="568" w:type="dxa"/>
            <w:shd w:val="clear" w:color="auto" w:fill="auto"/>
            <w:vAlign w:val="center"/>
          </w:tcPr>
          <w:p w14:paraId="5435EA0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09D7C278" w14:textId="77777777" w:rsidTr="004C3C90">
        <w:trPr>
          <w:trHeight w:val="20"/>
        </w:trPr>
        <w:tc>
          <w:tcPr>
            <w:tcW w:w="550" w:type="dxa"/>
            <w:shd w:val="clear" w:color="auto" w:fill="auto"/>
            <w:vAlign w:val="center"/>
          </w:tcPr>
          <w:p w14:paraId="5CCDAE9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404</w:t>
            </w:r>
          </w:p>
        </w:tc>
        <w:tc>
          <w:tcPr>
            <w:tcW w:w="1071" w:type="dxa"/>
            <w:shd w:val="clear" w:color="auto" w:fill="auto"/>
            <w:vAlign w:val="center"/>
          </w:tcPr>
          <w:p w14:paraId="59B0BC0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C2AA0E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Benedikt H, Celina S, Cornelia B, Edda H, Peter W, Steffen B, et al.</w:t>
            </w:r>
          </w:p>
        </w:tc>
        <w:tc>
          <w:tcPr>
            <w:tcW w:w="7010" w:type="dxa"/>
            <w:shd w:val="clear" w:color="auto" w:fill="auto"/>
            <w:vAlign w:val="center"/>
          </w:tcPr>
          <w:p w14:paraId="3A6B8C8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Epilepsy and Its Treatment in Nicolaidesbaraitser Syndrome</w:t>
            </w:r>
          </w:p>
        </w:tc>
        <w:tc>
          <w:tcPr>
            <w:tcW w:w="568" w:type="dxa"/>
            <w:shd w:val="clear" w:color="auto" w:fill="auto"/>
            <w:vAlign w:val="center"/>
          </w:tcPr>
          <w:p w14:paraId="4AFA929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352BB4E4" w14:textId="77777777" w:rsidTr="004C3C90">
        <w:trPr>
          <w:trHeight w:val="20"/>
        </w:trPr>
        <w:tc>
          <w:tcPr>
            <w:tcW w:w="550" w:type="dxa"/>
            <w:shd w:val="clear" w:color="auto" w:fill="auto"/>
            <w:vAlign w:val="center"/>
          </w:tcPr>
          <w:p w14:paraId="354C2DD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405</w:t>
            </w:r>
          </w:p>
        </w:tc>
        <w:tc>
          <w:tcPr>
            <w:tcW w:w="1071" w:type="dxa"/>
            <w:shd w:val="clear" w:color="auto" w:fill="auto"/>
            <w:vAlign w:val="center"/>
          </w:tcPr>
          <w:p w14:paraId="468860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8FB8F02" w14:textId="77777777" w:rsidR="004C3C90" w:rsidRPr="004C3C90" w:rsidRDefault="004C3C90" w:rsidP="004C3C90">
            <w:pPr>
              <w:spacing w:line="240" w:lineRule="auto"/>
              <w:rPr>
                <w:rFonts w:ascii="Times New Roman" w:eastAsia="Times New Roman" w:hAnsi="Times New Roman" w:cs="Times New Roman"/>
                <w:sz w:val="20"/>
                <w:szCs w:val="20"/>
              </w:rPr>
            </w:pPr>
            <w:bookmarkStart w:id="3" w:name="_heading=h.pyxqo4caklkf" w:colFirst="0" w:colLast="0"/>
            <w:bookmarkEnd w:id="3"/>
            <w:r w:rsidRPr="004C3C90">
              <w:rPr>
                <w:rFonts w:ascii="Times New Roman" w:eastAsia="Times New Roman" w:hAnsi="Times New Roman" w:cs="Times New Roman"/>
                <w:sz w:val="20"/>
                <w:szCs w:val="20"/>
              </w:rPr>
              <w:t>Fernandeza I, Ahmed SF, Bishop N, Brandi ML, Doulgeraki A, Haeusler G, et al.</w:t>
            </w:r>
          </w:p>
          <w:p w14:paraId="65AA25ED" w14:textId="77777777" w:rsidR="004C3C90" w:rsidRPr="004C3C90" w:rsidRDefault="004C3C90" w:rsidP="004C3C90">
            <w:pPr>
              <w:spacing w:line="240" w:lineRule="auto"/>
              <w:rPr>
                <w:rFonts w:ascii="Times New Roman" w:eastAsia="Times New Roman" w:hAnsi="Times New Roman" w:cs="Times New Roman"/>
                <w:sz w:val="20"/>
                <w:szCs w:val="20"/>
              </w:rPr>
            </w:pPr>
          </w:p>
        </w:tc>
        <w:tc>
          <w:tcPr>
            <w:tcW w:w="7010" w:type="dxa"/>
            <w:shd w:val="clear" w:color="auto" w:fill="auto"/>
            <w:vAlign w:val="center"/>
          </w:tcPr>
          <w:p w14:paraId="4B7DEC0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European Survey to Identify New Roads for Care, Training and Research around Rare Metabolic Bone Diseases</w:t>
            </w:r>
          </w:p>
        </w:tc>
        <w:tc>
          <w:tcPr>
            <w:tcW w:w="568" w:type="dxa"/>
            <w:shd w:val="clear" w:color="auto" w:fill="auto"/>
            <w:vAlign w:val="center"/>
          </w:tcPr>
          <w:p w14:paraId="38D3ECA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7D0392C9" w14:textId="77777777" w:rsidTr="004C3C90">
        <w:trPr>
          <w:trHeight w:val="20"/>
        </w:trPr>
        <w:tc>
          <w:tcPr>
            <w:tcW w:w="550" w:type="dxa"/>
            <w:shd w:val="clear" w:color="auto" w:fill="auto"/>
            <w:vAlign w:val="center"/>
          </w:tcPr>
          <w:p w14:paraId="68C754F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406</w:t>
            </w:r>
          </w:p>
        </w:tc>
        <w:tc>
          <w:tcPr>
            <w:tcW w:w="1071" w:type="dxa"/>
            <w:shd w:val="clear" w:color="auto" w:fill="auto"/>
            <w:vAlign w:val="center"/>
          </w:tcPr>
          <w:p w14:paraId="42133BC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6EA30E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Hammann MJA, Effing-Boele MC, Dekker HK</w:t>
            </w:r>
          </w:p>
        </w:tc>
        <w:tc>
          <w:tcPr>
            <w:tcW w:w="7010" w:type="dxa"/>
            <w:shd w:val="clear" w:color="auto" w:fill="auto"/>
            <w:vAlign w:val="center"/>
          </w:tcPr>
          <w:p w14:paraId="1162799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Expertise for Rare Diseases Mapped</w:t>
            </w:r>
          </w:p>
        </w:tc>
        <w:tc>
          <w:tcPr>
            <w:tcW w:w="568" w:type="dxa"/>
            <w:shd w:val="clear" w:color="auto" w:fill="auto"/>
            <w:vAlign w:val="center"/>
          </w:tcPr>
          <w:p w14:paraId="09E04D5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4D7D2EEA" w14:textId="77777777" w:rsidTr="004C3C90">
        <w:trPr>
          <w:trHeight w:val="20"/>
        </w:trPr>
        <w:tc>
          <w:tcPr>
            <w:tcW w:w="550" w:type="dxa"/>
            <w:shd w:val="clear" w:color="auto" w:fill="auto"/>
            <w:vAlign w:val="center"/>
          </w:tcPr>
          <w:p w14:paraId="0D23323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407</w:t>
            </w:r>
          </w:p>
        </w:tc>
        <w:tc>
          <w:tcPr>
            <w:tcW w:w="1071" w:type="dxa"/>
            <w:shd w:val="clear" w:color="auto" w:fill="auto"/>
            <w:vAlign w:val="center"/>
          </w:tcPr>
          <w:p w14:paraId="1A4A31F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B6A826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Jessop S, Crudgington D, London K, Kellie S,</w:t>
            </w:r>
            <w:r w:rsidRPr="004C3C90">
              <w:rPr>
                <w:rFonts w:ascii="Times New Roman" w:eastAsia="Times New Roman" w:hAnsi="Times New Roman" w:cs="Times New Roman"/>
                <w:sz w:val="20"/>
                <w:szCs w:val="20"/>
                <w:highlight w:val="white"/>
              </w:rPr>
              <w:t xml:space="preserve"> Howman-Giles R</w:t>
            </w:r>
          </w:p>
        </w:tc>
        <w:tc>
          <w:tcPr>
            <w:tcW w:w="7010" w:type="dxa"/>
            <w:shd w:val="clear" w:color="auto" w:fill="auto"/>
            <w:vAlign w:val="center"/>
          </w:tcPr>
          <w:p w14:paraId="301893F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Fdg-Pet/Ct for the Evaluation of Non-Osseous Sites of Langerhans Cell Histiocytosis</w:t>
            </w:r>
          </w:p>
        </w:tc>
        <w:tc>
          <w:tcPr>
            <w:tcW w:w="568" w:type="dxa"/>
            <w:shd w:val="clear" w:color="auto" w:fill="auto"/>
            <w:vAlign w:val="center"/>
          </w:tcPr>
          <w:p w14:paraId="39F029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5DBCEAAA" w14:textId="77777777" w:rsidTr="004C3C90">
        <w:trPr>
          <w:trHeight w:val="20"/>
        </w:trPr>
        <w:tc>
          <w:tcPr>
            <w:tcW w:w="550" w:type="dxa"/>
            <w:shd w:val="clear" w:color="auto" w:fill="auto"/>
            <w:vAlign w:val="center"/>
          </w:tcPr>
          <w:p w14:paraId="567DB44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408</w:t>
            </w:r>
          </w:p>
        </w:tc>
        <w:tc>
          <w:tcPr>
            <w:tcW w:w="1071" w:type="dxa"/>
            <w:shd w:val="clear" w:color="auto" w:fill="auto"/>
            <w:vAlign w:val="center"/>
          </w:tcPr>
          <w:p w14:paraId="2F78F5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E5C2DE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Guthrie S, White MK, McCausland KL, Bayliss M.</w:t>
            </w:r>
          </w:p>
        </w:tc>
        <w:tc>
          <w:tcPr>
            <w:tcW w:w="7010" w:type="dxa"/>
            <w:shd w:val="clear" w:color="auto" w:fill="auto"/>
            <w:vAlign w:val="center"/>
          </w:tcPr>
          <w:p w14:paraId="415B0C5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Impact of Al Amyloidosis on Absenteeism, Reduced Productivity, and Job Loss</w:t>
            </w:r>
          </w:p>
        </w:tc>
        <w:tc>
          <w:tcPr>
            <w:tcW w:w="568" w:type="dxa"/>
            <w:shd w:val="clear" w:color="auto" w:fill="auto"/>
            <w:vAlign w:val="center"/>
          </w:tcPr>
          <w:p w14:paraId="5CF5D36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3991A2E3" w14:textId="77777777" w:rsidTr="004C3C90">
        <w:trPr>
          <w:trHeight w:val="20"/>
        </w:trPr>
        <w:tc>
          <w:tcPr>
            <w:tcW w:w="550" w:type="dxa"/>
            <w:shd w:val="clear" w:color="auto" w:fill="auto"/>
            <w:vAlign w:val="center"/>
          </w:tcPr>
          <w:p w14:paraId="3383757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409</w:t>
            </w:r>
          </w:p>
        </w:tc>
        <w:tc>
          <w:tcPr>
            <w:tcW w:w="1071" w:type="dxa"/>
            <w:shd w:val="clear" w:color="auto" w:fill="auto"/>
            <w:vAlign w:val="center"/>
          </w:tcPr>
          <w:p w14:paraId="553D494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B31828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Dhonncha EN, Clowry J, Hennessy B, Stratton J, Field S</w:t>
            </w:r>
          </w:p>
        </w:tc>
        <w:tc>
          <w:tcPr>
            <w:tcW w:w="7010" w:type="dxa"/>
            <w:shd w:val="clear" w:color="auto" w:fill="auto"/>
            <w:vAlign w:val="center"/>
          </w:tcPr>
          <w:p w14:paraId="256995C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Langerhans-Cell Histiocytosis Presents as Vulval Disease in a 16-Year-Old Girl</w:t>
            </w:r>
          </w:p>
        </w:tc>
        <w:tc>
          <w:tcPr>
            <w:tcW w:w="568" w:type="dxa"/>
            <w:shd w:val="clear" w:color="auto" w:fill="auto"/>
            <w:vAlign w:val="center"/>
          </w:tcPr>
          <w:p w14:paraId="5EA34B6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21AF3D4E" w14:textId="77777777" w:rsidTr="004C3C90">
        <w:trPr>
          <w:trHeight w:val="20"/>
        </w:trPr>
        <w:tc>
          <w:tcPr>
            <w:tcW w:w="550" w:type="dxa"/>
            <w:shd w:val="clear" w:color="auto" w:fill="auto"/>
            <w:vAlign w:val="center"/>
          </w:tcPr>
          <w:p w14:paraId="2322B5D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410</w:t>
            </w:r>
          </w:p>
        </w:tc>
        <w:tc>
          <w:tcPr>
            <w:tcW w:w="1071" w:type="dxa"/>
            <w:shd w:val="clear" w:color="auto" w:fill="auto"/>
            <w:vAlign w:val="center"/>
          </w:tcPr>
          <w:p w14:paraId="05A67E4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F4731B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Oplatek A, Brown K, Sen S, Halerz M, Supple K, Gamelli RL</w:t>
            </w:r>
          </w:p>
        </w:tc>
        <w:tc>
          <w:tcPr>
            <w:tcW w:w="7010" w:type="dxa"/>
            <w:shd w:val="clear" w:color="auto" w:fill="auto"/>
            <w:vAlign w:val="center"/>
          </w:tcPr>
          <w:p w14:paraId="494B6E6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Long-Term Outcomes of Patients Treated with Toxic Epidermal Necrolysis</w:t>
            </w:r>
          </w:p>
        </w:tc>
        <w:tc>
          <w:tcPr>
            <w:tcW w:w="568" w:type="dxa"/>
            <w:shd w:val="clear" w:color="auto" w:fill="auto"/>
            <w:vAlign w:val="center"/>
          </w:tcPr>
          <w:p w14:paraId="6DD8653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05BAE811" w14:textId="77777777" w:rsidTr="004C3C90">
        <w:trPr>
          <w:trHeight w:val="20"/>
        </w:trPr>
        <w:tc>
          <w:tcPr>
            <w:tcW w:w="550" w:type="dxa"/>
            <w:shd w:val="clear" w:color="auto" w:fill="auto"/>
            <w:vAlign w:val="center"/>
          </w:tcPr>
          <w:p w14:paraId="5ACFA2D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411</w:t>
            </w:r>
          </w:p>
        </w:tc>
        <w:tc>
          <w:tcPr>
            <w:tcW w:w="1071" w:type="dxa"/>
            <w:shd w:val="clear" w:color="auto" w:fill="auto"/>
            <w:vAlign w:val="center"/>
          </w:tcPr>
          <w:p w14:paraId="6AA6F33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1CD480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Gonzalez A, Zurynski Y, Phu A, Deverell M, Elliott E</w:t>
            </w:r>
          </w:p>
        </w:tc>
        <w:tc>
          <w:tcPr>
            <w:tcW w:w="7010" w:type="dxa"/>
            <w:shd w:val="clear" w:color="auto" w:fill="auto"/>
            <w:vAlign w:val="center"/>
          </w:tcPr>
          <w:p w14:paraId="5B51974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Paediatricians Caring for Children with Rare Diseases: Survey of Current Knowledge, Practice and Future Educational Needs</w:t>
            </w:r>
          </w:p>
        </w:tc>
        <w:tc>
          <w:tcPr>
            <w:tcW w:w="568" w:type="dxa"/>
            <w:shd w:val="clear" w:color="auto" w:fill="auto"/>
            <w:vAlign w:val="center"/>
          </w:tcPr>
          <w:p w14:paraId="64254AF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03CE211A" w14:textId="77777777" w:rsidTr="004C3C90">
        <w:trPr>
          <w:trHeight w:val="20"/>
        </w:trPr>
        <w:tc>
          <w:tcPr>
            <w:tcW w:w="550" w:type="dxa"/>
            <w:shd w:val="clear" w:color="auto" w:fill="auto"/>
            <w:vAlign w:val="center"/>
          </w:tcPr>
          <w:p w14:paraId="6E6575F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412</w:t>
            </w:r>
          </w:p>
        </w:tc>
        <w:tc>
          <w:tcPr>
            <w:tcW w:w="1071" w:type="dxa"/>
            <w:shd w:val="clear" w:color="auto" w:fill="auto"/>
            <w:vAlign w:val="center"/>
          </w:tcPr>
          <w:p w14:paraId="456B81D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861BBF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 Sola-Morales O, Knebelman N</w:t>
            </w:r>
          </w:p>
        </w:tc>
        <w:tc>
          <w:tcPr>
            <w:tcW w:w="7010" w:type="dxa"/>
            <w:shd w:val="clear" w:color="auto" w:fill="auto"/>
            <w:vAlign w:val="center"/>
          </w:tcPr>
          <w:p w14:paraId="687429C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Population Preferences for Rare Diseases in Spain</w:t>
            </w:r>
          </w:p>
        </w:tc>
        <w:tc>
          <w:tcPr>
            <w:tcW w:w="568" w:type="dxa"/>
            <w:shd w:val="clear" w:color="auto" w:fill="auto"/>
            <w:vAlign w:val="center"/>
          </w:tcPr>
          <w:p w14:paraId="4B7287B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2C520590" w14:textId="77777777" w:rsidTr="004C3C90">
        <w:trPr>
          <w:trHeight w:val="20"/>
        </w:trPr>
        <w:tc>
          <w:tcPr>
            <w:tcW w:w="550" w:type="dxa"/>
            <w:shd w:val="clear" w:color="auto" w:fill="auto"/>
            <w:vAlign w:val="center"/>
          </w:tcPr>
          <w:p w14:paraId="15D881D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413</w:t>
            </w:r>
          </w:p>
        </w:tc>
        <w:tc>
          <w:tcPr>
            <w:tcW w:w="1071" w:type="dxa"/>
            <w:shd w:val="clear" w:color="auto" w:fill="auto"/>
            <w:vAlign w:val="center"/>
          </w:tcPr>
          <w:p w14:paraId="2DF9F31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8EEA47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Hollin IL, Peay H, Bridges JF</w:t>
            </w:r>
          </w:p>
        </w:tc>
        <w:tc>
          <w:tcPr>
            <w:tcW w:w="7010" w:type="dxa"/>
            <w:shd w:val="clear" w:color="auto" w:fill="auto"/>
            <w:vAlign w:val="center"/>
          </w:tcPr>
          <w:p w14:paraId="262892D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Pulmonary Benefits of Treating Duchenne Muscular Dystrophy: A Regulatory Benefit-Risk Analysis</w:t>
            </w:r>
          </w:p>
        </w:tc>
        <w:tc>
          <w:tcPr>
            <w:tcW w:w="568" w:type="dxa"/>
            <w:shd w:val="clear" w:color="auto" w:fill="auto"/>
            <w:vAlign w:val="center"/>
          </w:tcPr>
          <w:p w14:paraId="7D97317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507AA73F" w14:textId="77777777" w:rsidTr="004C3C90">
        <w:trPr>
          <w:trHeight w:val="20"/>
        </w:trPr>
        <w:tc>
          <w:tcPr>
            <w:tcW w:w="550" w:type="dxa"/>
            <w:shd w:val="clear" w:color="auto" w:fill="auto"/>
            <w:vAlign w:val="center"/>
          </w:tcPr>
          <w:p w14:paraId="61AC430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414</w:t>
            </w:r>
          </w:p>
        </w:tc>
        <w:tc>
          <w:tcPr>
            <w:tcW w:w="1071" w:type="dxa"/>
            <w:shd w:val="clear" w:color="auto" w:fill="auto"/>
            <w:vAlign w:val="center"/>
          </w:tcPr>
          <w:p w14:paraId="2895061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8186FC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Dulas F, Dávila Vanegas MM, Weber S.</w:t>
            </w:r>
          </w:p>
        </w:tc>
        <w:tc>
          <w:tcPr>
            <w:tcW w:w="7010" w:type="dxa"/>
            <w:shd w:val="clear" w:color="auto" w:fill="auto"/>
            <w:vAlign w:val="center"/>
          </w:tcPr>
          <w:p w14:paraId="5C8639E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Rare Disease Joint Action and How to Make Rare Diseases Visible in Health Care Systems</w:t>
            </w:r>
          </w:p>
        </w:tc>
        <w:tc>
          <w:tcPr>
            <w:tcW w:w="568" w:type="dxa"/>
            <w:shd w:val="clear" w:color="auto" w:fill="auto"/>
            <w:vAlign w:val="center"/>
          </w:tcPr>
          <w:p w14:paraId="24684DB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723CED7C" w14:textId="77777777" w:rsidTr="004C3C90">
        <w:trPr>
          <w:trHeight w:val="20"/>
        </w:trPr>
        <w:tc>
          <w:tcPr>
            <w:tcW w:w="550" w:type="dxa"/>
            <w:shd w:val="clear" w:color="auto" w:fill="auto"/>
            <w:vAlign w:val="center"/>
          </w:tcPr>
          <w:p w14:paraId="0C6EEB1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415</w:t>
            </w:r>
          </w:p>
        </w:tc>
        <w:tc>
          <w:tcPr>
            <w:tcW w:w="1071" w:type="dxa"/>
            <w:shd w:val="clear" w:color="auto" w:fill="auto"/>
            <w:vAlign w:val="center"/>
          </w:tcPr>
          <w:p w14:paraId="163D849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115117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Bayliss M</w:t>
            </w: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White MK</w:t>
            </w:r>
            <w:r w:rsidRPr="004C3C90">
              <w:rPr>
                <w:rFonts w:ascii="Times New Roman" w:eastAsia="Times New Roman" w:hAnsi="Times New Roman" w:cs="Times New Roman"/>
                <w:sz w:val="20"/>
                <w:szCs w:val="20"/>
                <w:highlight w:val="white"/>
              </w:rPr>
              <w:t>,</w:t>
            </w:r>
            <w:r w:rsidRPr="004C3C90">
              <w:rPr>
                <w:rFonts w:ascii="Times New Roman" w:eastAsia="Times New Roman" w:hAnsi="Times New Roman" w:cs="Times New Roman"/>
                <w:sz w:val="20"/>
                <w:szCs w:val="20"/>
              </w:rPr>
              <w:t xml:space="preserve"> McCausland KL</w:t>
            </w: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Guthrie S</w:t>
            </w:r>
          </w:p>
        </w:tc>
        <w:tc>
          <w:tcPr>
            <w:tcW w:w="7010" w:type="dxa"/>
            <w:shd w:val="clear" w:color="auto" w:fill="auto"/>
            <w:vAlign w:val="center"/>
          </w:tcPr>
          <w:p w14:paraId="304ADB7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Relative Burden of Al Amyloidosis on Health-Related Quality of Life</w:t>
            </w:r>
          </w:p>
        </w:tc>
        <w:tc>
          <w:tcPr>
            <w:tcW w:w="568" w:type="dxa"/>
            <w:shd w:val="clear" w:color="auto" w:fill="auto"/>
            <w:vAlign w:val="center"/>
          </w:tcPr>
          <w:p w14:paraId="42D14B2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1373C18E" w14:textId="77777777" w:rsidTr="004C3C90">
        <w:trPr>
          <w:trHeight w:val="20"/>
        </w:trPr>
        <w:tc>
          <w:tcPr>
            <w:tcW w:w="550" w:type="dxa"/>
            <w:shd w:val="clear" w:color="auto" w:fill="auto"/>
            <w:vAlign w:val="center"/>
          </w:tcPr>
          <w:p w14:paraId="266F917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416</w:t>
            </w:r>
          </w:p>
        </w:tc>
        <w:tc>
          <w:tcPr>
            <w:tcW w:w="1071" w:type="dxa"/>
            <w:shd w:val="clear" w:color="auto" w:fill="auto"/>
            <w:vAlign w:val="center"/>
          </w:tcPr>
          <w:p w14:paraId="212CD0A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F4DA6F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Bayliss M</w:t>
            </w:r>
            <w:r w:rsidRPr="004C3C90">
              <w:rPr>
                <w:rFonts w:ascii="Times New Roman" w:eastAsia="Times New Roman" w:hAnsi="Times New Roman" w:cs="Times New Roman"/>
                <w:sz w:val="20"/>
                <w:szCs w:val="20"/>
                <w:highlight w:val="white"/>
              </w:rPr>
              <w:t>,</w:t>
            </w:r>
            <w:r w:rsidRPr="004C3C90">
              <w:rPr>
                <w:rFonts w:ascii="Times New Roman" w:eastAsia="Times New Roman" w:hAnsi="Times New Roman" w:cs="Times New Roman"/>
                <w:sz w:val="20"/>
                <w:szCs w:val="20"/>
              </w:rPr>
              <w:t xml:space="preserve"> White MK</w:t>
            </w: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McCausland KL</w:t>
            </w: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Guthrie S</w:t>
            </w:r>
          </w:p>
        </w:tc>
        <w:tc>
          <w:tcPr>
            <w:tcW w:w="7010" w:type="dxa"/>
            <w:shd w:val="clear" w:color="auto" w:fill="auto"/>
            <w:vAlign w:val="center"/>
          </w:tcPr>
          <w:p w14:paraId="710BBEE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Treatment History, Tolerability and Impact on Health-Related Quality of Life in Al Amyloidosis</w:t>
            </w:r>
          </w:p>
        </w:tc>
        <w:tc>
          <w:tcPr>
            <w:tcW w:w="568" w:type="dxa"/>
            <w:shd w:val="clear" w:color="auto" w:fill="auto"/>
            <w:vAlign w:val="center"/>
          </w:tcPr>
          <w:p w14:paraId="6AA693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600321ED" w14:textId="77777777" w:rsidTr="004C3C90">
        <w:trPr>
          <w:trHeight w:val="20"/>
        </w:trPr>
        <w:tc>
          <w:tcPr>
            <w:tcW w:w="550" w:type="dxa"/>
            <w:shd w:val="clear" w:color="auto" w:fill="auto"/>
            <w:vAlign w:val="center"/>
          </w:tcPr>
          <w:p w14:paraId="5AD5141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417</w:t>
            </w:r>
          </w:p>
        </w:tc>
        <w:tc>
          <w:tcPr>
            <w:tcW w:w="1071" w:type="dxa"/>
            <w:shd w:val="clear" w:color="auto" w:fill="auto"/>
            <w:vAlign w:val="center"/>
          </w:tcPr>
          <w:p w14:paraId="3B70965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944553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Bayliss M</w:t>
            </w: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White MK</w:t>
            </w: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McCausland KL</w:t>
            </w: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Oliver C, Guthrie SD</w:t>
            </w:r>
          </w:p>
        </w:tc>
        <w:tc>
          <w:tcPr>
            <w:tcW w:w="7010" w:type="dxa"/>
            <w:shd w:val="clear" w:color="auto" w:fill="auto"/>
            <w:vAlign w:val="center"/>
          </w:tcPr>
          <w:p w14:paraId="7D86992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Treatment of Visual Impairment in Patients with Leber's Hereditary Optic Neuropathy (Lhon) Using Idebenone (Raxone®)</w:t>
            </w:r>
          </w:p>
        </w:tc>
        <w:tc>
          <w:tcPr>
            <w:tcW w:w="568" w:type="dxa"/>
            <w:shd w:val="clear" w:color="auto" w:fill="auto"/>
            <w:vAlign w:val="center"/>
          </w:tcPr>
          <w:p w14:paraId="2FAECD3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688CA240" w14:textId="77777777" w:rsidTr="004C3C90">
        <w:trPr>
          <w:trHeight w:val="20"/>
        </w:trPr>
        <w:tc>
          <w:tcPr>
            <w:tcW w:w="550" w:type="dxa"/>
            <w:shd w:val="clear" w:color="auto" w:fill="auto"/>
            <w:vAlign w:val="center"/>
          </w:tcPr>
          <w:p w14:paraId="7339595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418</w:t>
            </w:r>
          </w:p>
        </w:tc>
        <w:tc>
          <w:tcPr>
            <w:tcW w:w="1071" w:type="dxa"/>
            <w:shd w:val="clear" w:color="auto" w:fill="auto"/>
            <w:vAlign w:val="center"/>
          </w:tcPr>
          <w:p w14:paraId="7A261D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34973A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Bayliss M</w:t>
            </w: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White MK</w:t>
            </w: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McCausland KL</w:t>
            </w: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Oliver C, Guthrie SD</w:t>
            </w:r>
          </w:p>
        </w:tc>
        <w:tc>
          <w:tcPr>
            <w:tcW w:w="7010" w:type="dxa"/>
            <w:shd w:val="clear" w:color="auto" w:fill="auto"/>
            <w:vAlign w:val="center"/>
          </w:tcPr>
          <w:p w14:paraId="53E7CDF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Treatment-Related Symptoms and Impact on Health-Related Quality of Life in Al Amyloidosis</w:t>
            </w:r>
          </w:p>
        </w:tc>
        <w:tc>
          <w:tcPr>
            <w:tcW w:w="568" w:type="dxa"/>
            <w:shd w:val="clear" w:color="auto" w:fill="auto"/>
            <w:vAlign w:val="center"/>
          </w:tcPr>
          <w:p w14:paraId="7ED5BBA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1AC071F7" w14:textId="77777777" w:rsidTr="004C3C90">
        <w:trPr>
          <w:trHeight w:val="20"/>
        </w:trPr>
        <w:tc>
          <w:tcPr>
            <w:tcW w:w="550" w:type="dxa"/>
            <w:shd w:val="clear" w:color="auto" w:fill="auto"/>
            <w:vAlign w:val="center"/>
          </w:tcPr>
          <w:p w14:paraId="76394E1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419</w:t>
            </w:r>
          </w:p>
        </w:tc>
        <w:tc>
          <w:tcPr>
            <w:tcW w:w="1071" w:type="dxa"/>
            <w:shd w:val="clear" w:color="auto" w:fill="auto"/>
            <w:vAlign w:val="center"/>
          </w:tcPr>
          <w:p w14:paraId="0F757DD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96A08B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Dwyer A, Quinton R, Morin D, Pitteloud N</w:t>
            </w:r>
          </w:p>
        </w:tc>
        <w:tc>
          <w:tcPr>
            <w:tcW w:w="7010" w:type="dxa"/>
            <w:shd w:val="clear" w:color="auto" w:fill="auto"/>
            <w:vAlign w:val="center"/>
          </w:tcPr>
          <w:p w14:paraId="63DCF2E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Unheard Voices: The Experiences and Illness Perceptions of Women with Kallmann Syndrome</w:t>
            </w:r>
          </w:p>
        </w:tc>
        <w:tc>
          <w:tcPr>
            <w:tcW w:w="568" w:type="dxa"/>
            <w:shd w:val="clear" w:color="auto" w:fill="auto"/>
            <w:vAlign w:val="center"/>
          </w:tcPr>
          <w:p w14:paraId="2E5F580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6BF84050" w14:textId="77777777" w:rsidTr="004C3C90">
        <w:trPr>
          <w:trHeight w:val="20"/>
        </w:trPr>
        <w:tc>
          <w:tcPr>
            <w:tcW w:w="550" w:type="dxa"/>
            <w:shd w:val="clear" w:color="auto" w:fill="auto"/>
            <w:vAlign w:val="center"/>
          </w:tcPr>
          <w:p w14:paraId="63E0C26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420</w:t>
            </w:r>
          </w:p>
        </w:tc>
        <w:tc>
          <w:tcPr>
            <w:tcW w:w="1071" w:type="dxa"/>
            <w:shd w:val="clear" w:color="auto" w:fill="auto"/>
            <w:vAlign w:val="center"/>
          </w:tcPr>
          <w:p w14:paraId="408EFA0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81ACE1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Andrews W, Garceau D, Sablinski T,  Zhang P, Waldman T</w:t>
            </w:r>
          </w:p>
        </w:tc>
        <w:tc>
          <w:tcPr>
            <w:tcW w:w="7010" w:type="dxa"/>
            <w:shd w:val="clear" w:color="auto" w:fill="auto"/>
            <w:vAlign w:val="center"/>
          </w:tcPr>
          <w:p w14:paraId="4761F3C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Aa Amyloidosis: An Evaluation of Epidemiology and Prevalence in the Us and Eu5 Countries</w:t>
            </w:r>
          </w:p>
        </w:tc>
        <w:tc>
          <w:tcPr>
            <w:tcW w:w="568" w:type="dxa"/>
            <w:shd w:val="clear" w:color="auto" w:fill="auto"/>
            <w:vAlign w:val="center"/>
          </w:tcPr>
          <w:p w14:paraId="13D1A01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6DF905C3" w14:textId="77777777" w:rsidTr="004C3C90">
        <w:trPr>
          <w:trHeight w:val="20"/>
        </w:trPr>
        <w:tc>
          <w:tcPr>
            <w:tcW w:w="550" w:type="dxa"/>
            <w:shd w:val="clear" w:color="auto" w:fill="auto"/>
            <w:vAlign w:val="center"/>
          </w:tcPr>
          <w:p w14:paraId="2DC83DB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421</w:t>
            </w:r>
          </w:p>
        </w:tc>
        <w:tc>
          <w:tcPr>
            <w:tcW w:w="1071" w:type="dxa"/>
            <w:shd w:val="clear" w:color="auto" w:fill="auto"/>
            <w:vAlign w:val="center"/>
          </w:tcPr>
          <w:p w14:paraId="75F46AA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CAD367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Bayliss M</w:t>
            </w: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White MK</w:t>
            </w: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McCausland KL</w:t>
            </w:r>
            <w:r w:rsidRPr="004C3C90">
              <w:rPr>
                <w:rFonts w:ascii="Times New Roman" w:eastAsia="Times New Roman" w:hAnsi="Times New Roman" w:cs="Times New Roman"/>
                <w:sz w:val="20"/>
                <w:szCs w:val="20"/>
                <w:highlight w:val="white"/>
              </w:rPr>
              <w:t xml:space="preserve">, </w:t>
            </w:r>
            <w:r w:rsidRPr="004C3C90">
              <w:rPr>
                <w:rFonts w:ascii="Times New Roman" w:eastAsia="Times New Roman" w:hAnsi="Times New Roman" w:cs="Times New Roman"/>
                <w:sz w:val="20"/>
                <w:szCs w:val="20"/>
              </w:rPr>
              <w:t xml:space="preserve">Oliver C, Guthrie SD, Lo S, Sanchorawala V </w:t>
            </w:r>
          </w:p>
        </w:tc>
        <w:tc>
          <w:tcPr>
            <w:tcW w:w="7010" w:type="dxa"/>
            <w:shd w:val="clear" w:color="auto" w:fill="auto"/>
            <w:vAlign w:val="center"/>
          </w:tcPr>
          <w:p w14:paraId="5C0FD90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Burden of Al Amyloidosis on Health-Related Quality of Life in Clinic-Based, Community-Based, and Trial-Based Studies</w:t>
            </w:r>
          </w:p>
        </w:tc>
        <w:tc>
          <w:tcPr>
            <w:tcW w:w="568" w:type="dxa"/>
            <w:shd w:val="clear" w:color="auto" w:fill="auto"/>
            <w:vAlign w:val="center"/>
          </w:tcPr>
          <w:p w14:paraId="67060BA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7BD03B16" w14:textId="77777777" w:rsidTr="004C3C90">
        <w:trPr>
          <w:trHeight w:val="20"/>
        </w:trPr>
        <w:tc>
          <w:tcPr>
            <w:tcW w:w="550" w:type="dxa"/>
            <w:shd w:val="clear" w:color="auto" w:fill="auto"/>
            <w:vAlign w:val="center"/>
          </w:tcPr>
          <w:p w14:paraId="055F07B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422</w:t>
            </w:r>
          </w:p>
        </w:tc>
        <w:tc>
          <w:tcPr>
            <w:tcW w:w="1071" w:type="dxa"/>
            <w:shd w:val="clear" w:color="auto" w:fill="auto"/>
            <w:vAlign w:val="center"/>
          </w:tcPr>
          <w:p w14:paraId="29B7FDA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28BBBE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Ariceta G, Camacho JA, Fernández-Obispo M, Fernandez-Polo A, Gamesz J, Garcia-Villoria J, et al. </w:t>
            </w:r>
          </w:p>
        </w:tc>
        <w:tc>
          <w:tcPr>
            <w:tcW w:w="7010" w:type="dxa"/>
            <w:shd w:val="clear" w:color="auto" w:fill="auto"/>
            <w:vAlign w:val="center"/>
          </w:tcPr>
          <w:p w14:paraId="15B44F8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Cystinosis in Adult and Adolescent Patients: Recommendations for the Comprehensive Care of the Disease in Spain</w:t>
            </w:r>
          </w:p>
        </w:tc>
        <w:tc>
          <w:tcPr>
            <w:tcW w:w="568" w:type="dxa"/>
            <w:shd w:val="clear" w:color="auto" w:fill="auto"/>
            <w:vAlign w:val="center"/>
          </w:tcPr>
          <w:p w14:paraId="415BDA3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12B4CE0D" w14:textId="77777777" w:rsidTr="004C3C90">
        <w:trPr>
          <w:trHeight w:val="20"/>
        </w:trPr>
        <w:tc>
          <w:tcPr>
            <w:tcW w:w="550" w:type="dxa"/>
            <w:shd w:val="clear" w:color="auto" w:fill="auto"/>
            <w:vAlign w:val="center"/>
          </w:tcPr>
          <w:p w14:paraId="7E77AE8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423</w:t>
            </w:r>
          </w:p>
        </w:tc>
        <w:tc>
          <w:tcPr>
            <w:tcW w:w="1071" w:type="dxa"/>
            <w:shd w:val="clear" w:color="auto" w:fill="auto"/>
            <w:vAlign w:val="center"/>
          </w:tcPr>
          <w:p w14:paraId="506F74D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EE2496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Barra L, Borchin R, Burroughs C, McMahon T, Adagaria B, Goebel S, et al.</w:t>
            </w:r>
          </w:p>
        </w:tc>
        <w:tc>
          <w:tcPr>
            <w:tcW w:w="7010" w:type="dxa"/>
            <w:shd w:val="clear" w:color="auto" w:fill="auto"/>
            <w:vAlign w:val="center"/>
          </w:tcPr>
          <w:p w14:paraId="2A27B4F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Impact of Vasculitis on Employment and Income: An Online Survey of Participants in the Rare Diseases Clinical Research Network-Vasculitis Clinical Research Consortium Patient Contact Registry</w:t>
            </w:r>
          </w:p>
        </w:tc>
        <w:tc>
          <w:tcPr>
            <w:tcW w:w="568" w:type="dxa"/>
            <w:shd w:val="clear" w:color="auto" w:fill="auto"/>
            <w:vAlign w:val="center"/>
          </w:tcPr>
          <w:p w14:paraId="50561D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55027156" w14:textId="77777777" w:rsidTr="004C3C90">
        <w:trPr>
          <w:trHeight w:val="20"/>
        </w:trPr>
        <w:tc>
          <w:tcPr>
            <w:tcW w:w="550" w:type="dxa"/>
            <w:shd w:val="clear" w:color="auto" w:fill="auto"/>
            <w:vAlign w:val="center"/>
          </w:tcPr>
          <w:p w14:paraId="3D51733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424</w:t>
            </w:r>
          </w:p>
        </w:tc>
        <w:tc>
          <w:tcPr>
            <w:tcW w:w="1071" w:type="dxa"/>
            <w:shd w:val="clear" w:color="auto" w:fill="auto"/>
            <w:vAlign w:val="center"/>
          </w:tcPr>
          <w:p w14:paraId="78BD91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B8C150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Barohn R, Statland J, Kimminau K, McMahon T, Adagaria B, Goebel S, et al.</w:t>
            </w:r>
          </w:p>
        </w:tc>
        <w:tc>
          <w:tcPr>
            <w:tcW w:w="7010" w:type="dxa"/>
            <w:shd w:val="clear" w:color="auto" w:fill="auto"/>
            <w:vAlign w:val="center"/>
          </w:tcPr>
          <w:p w14:paraId="680FE85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 Activity of Daily Living for Amyotrophic Lateral Sclerosis</w:t>
            </w:r>
          </w:p>
        </w:tc>
        <w:tc>
          <w:tcPr>
            <w:tcW w:w="568" w:type="dxa"/>
            <w:shd w:val="clear" w:color="auto" w:fill="auto"/>
            <w:vAlign w:val="center"/>
          </w:tcPr>
          <w:p w14:paraId="455124E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0EB00752" w14:textId="77777777" w:rsidTr="004C3C90">
        <w:trPr>
          <w:trHeight w:val="20"/>
        </w:trPr>
        <w:tc>
          <w:tcPr>
            <w:tcW w:w="550" w:type="dxa"/>
            <w:shd w:val="clear" w:color="auto" w:fill="auto"/>
            <w:vAlign w:val="center"/>
          </w:tcPr>
          <w:p w14:paraId="59C2D6E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425</w:t>
            </w:r>
          </w:p>
        </w:tc>
        <w:tc>
          <w:tcPr>
            <w:tcW w:w="1071" w:type="dxa"/>
            <w:shd w:val="clear" w:color="auto" w:fill="auto"/>
            <w:vAlign w:val="center"/>
          </w:tcPr>
          <w:p w14:paraId="22BAE33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6AA73A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Amengual T, Adams H, Mink J, Augustine E</w:t>
            </w:r>
          </w:p>
        </w:tc>
        <w:tc>
          <w:tcPr>
            <w:tcW w:w="7010" w:type="dxa"/>
            <w:shd w:val="clear" w:color="auto" w:fill="auto"/>
            <w:vAlign w:val="center"/>
          </w:tcPr>
          <w:p w14:paraId="042428B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Rare Disease Clinical Research: Caregivers' Perspectives on Barriers and Solutions for Clinical Research Participation</w:t>
            </w:r>
          </w:p>
        </w:tc>
        <w:tc>
          <w:tcPr>
            <w:tcW w:w="568" w:type="dxa"/>
            <w:shd w:val="clear" w:color="auto" w:fill="auto"/>
            <w:vAlign w:val="center"/>
          </w:tcPr>
          <w:p w14:paraId="7A3999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05768B61" w14:textId="77777777" w:rsidTr="004C3C90">
        <w:trPr>
          <w:trHeight w:val="20"/>
        </w:trPr>
        <w:tc>
          <w:tcPr>
            <w:tcW w:w="550" w:type="dxa"/>
            <w:shd w:val="clear" w:color="auto" w:fill="auto"/>
            <w:vAlign w:val="center"/>
          </w:tcPr>
          <w:p w14:paraId="121598C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426</w:t>
            </w:r>
          </w:p>
        </w:tc>
        <w:tc>
          <w:tcPr>
            <w:tcW w:w="1071" w:type="dxa"/>
            <w:shd w:val="clear" w:color="auto" w:fill="auto"/>
            <w:vAlign w:val="center"/>
          </w:tcPr>
          <w:p w14:paraId="6191CDE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195BE3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Tallar M, Chen W, Gallagher JL, Gedeit R, Zafra H</w:t>
            </w:r>
          </w:p>
        </w:tc>
        <w:tc>
          <w:tcPr>
            <w:tcW w:w="7010" w:type="dxa"/>
            <w:shd w:val="clear" w:color="auto" w:fill="auto"/>
            <w:vAlign w:val="center"/>
          </w:tcPr>
          <w:p w14:paraId="58AEF18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Compartment Syndrome Requiring Fasciotomy in a Patient with Hae Type 1: A Case Report</w:t>
            </w:r>
          </w:p>
        </w:tc>
        <w:tc>
          <w:tcPr>
            <w:tcW w:w="568" w:type="dxa"/>
            <w:shd w:val="clear" w:color="auto" w:fill="auto"/>
            <w:vAlign w:val="center"/>
          </w:tcPr>
          <w:p w14:paraId="4A74FF6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06534F44" w14:textId="77777777" w:rsidTr="004C3C90">
        <w:trPr>
          <w:trHeight w:val="20"/>
        </w:trPr>
        <w:tc>
          <w:tcPr>
            <w:tcW w:w="550" w:type="dxa"/>
            <w:shd w:val="clear" w:color="auto" w:fill="auto"/>
            <w:vAlign w:val="center"/>
          </w:tcPr>
          <w:p w14:paraId="2FCDB8D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427</w:t>
            </w:r>
          </w:p>
        </w:tc>
        <w:tc>
          <w:tcPr>
            <w:tcW w:w="1071" w:type="dxa"/>
            <w:shd w:val="clear" w:color="auto" w:fill="auto"/>
            <w:vAlign w:val="center"/>
          </w:tcPr>
          <w:p w14:paraId="0239F21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40852B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Stacpoole PW</w:t>
            </w:r>
          </w:p>
        </w:tc>
        <w:tc>
          <w:tcPr>
            <w:tcW w:w="7010" w:type="dxa"/>
            <w:shd w:val="clear" w:color="auto" w:fill="auto"/>
            <w:vAlign w:val="center"/>
          </w:tcPr>
          <w:p w14:paraId="4E59F67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Development of an Observer-Reported Outcome Measure of Home Functionality in Children with Primary Mitochondrial Diseases</w:t>
            </w:r>
          </w:p>
        </w:tc>
        <w:tc>
          <w:tcPr>
            <w:tcW w:w="568" w:type="dxa"/>
            <w:shd w:val="clear" w:color="auto" w:fill="auto"/>
            <w:vAlign w:val="center"/>
          </w:tcPr>
          <w:p w14:paraId="6C514F1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5C6D6C71" w14:textId="77777777" w:rsidTr="004C3C90">
        <w:trPr>
          <w:trHeight w:val="20"/>
        </w:trPr>
        <w:tc>
          <w:tcPr>
            <w:tcW w:w="550" w:type="dxa"/>
            <w:shd w:val="clear" w:color="auto" w:fill="auto"/>
            <w:vAlign w:val="center"/>
          </w:tcPr>
          <w:p w14:paraId="4514A29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428</w:t>
            </w:r>
          </w:p>
        </w:tc>
        <w:tc>
          <w:tcPr>
            <w:tcW w:w="1071" w:type="dxa"/>
            <w:shd w:val="clear" w:color="auto" w:fill="auto"/>
            <w:vAlign w:val="center"/>
          </w:tcPr>
          <w:p w14:paraId="43AD7DB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1BD155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Syed AR, Calles-Escandon J, Wolfe MM</w:t>
            </w:r>
          </w:p>
        </w:tc>
        <w:tc>
          <w:tcPr>
            <w:tcW w:w="7010" w:type="dxa"/>
            <w:shd w:val="clear" w:color="auto" w:fill="auto"/>
            <w:vAlign w:val="center"/>
          </w:tcPr>
          <w:p w14:paraId="7DE9BE5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Epidemiology of Gastroparesis with and without Diabetes Mellitus in a Large Cohort from 340 Us Hospitals</w:t>
            </w:r>
          </w:p>
        </w:tc>
        <w:tc>
          <w:tcPr>
            <w:tcW w:w="568" w:type="dxa"/>
            <w:shd w:val="clear" w:color="auto" w:fill="auto"/>
            <w:vAlign w:val="center"/>
          </w:tcPr>
          <w:p w14:paraId="0B371D5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4D258F95" w14:textId="77777777" w:rsidTr="004C3C90">
        <w:trPr>
          <w:trHeight w:val="20"/>
        </w:trPr>
        <w:tc>
          <w:tcPr>
            <w:tcW w:w="550" w:type="dxa"/>
            <w:shd w:val="clear" w:color="auto" w:fill="auto"/>
            <w:vAlign w:val="center"/>
          </w:tcPr>
          <w:p w14:paraId="6CE6231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429</w:t>
            </w:r>
          </w:p>
        </w:tc>
        <w:tc>
          <w:tcPr>
            <w:tcW w:w="1071" w:type="dxa"/>
            <w:shd w:val="clear" w:color="auto" w:fill="auto"/>
            <w:vAlign w:val="center"/>
          </w:tcPr>
          <w:p w14:paraId="53DCDC6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AFF69E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Paz S, Torrent J, Poveda JL, et al</w:t>
            </w:r>
          </w:p>
        </w:tc>
        <w:tc>
          <w:tcPr>
            <w:tcW w:w="7010" w:type="dxa"/>
            <w:shd w:val="clear" w:color="auto" w:fill="auto"/>
            <w:vAlign w:val="center"/>
          </w:tcPr>
          <w:p w14:paraId="138E95A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Experts Consensus on the Future of Rare Diseases Care and Orphan Drugs Access in Spain: A Delphi Study</w:t>
            </w:r>
          </w:p>
        </w:tc>
        <w:tc>
          <w:tcPr>
            <w:tcW w:w="568" w:type="dxa"/>
            <w:shd w:val="clear" w:color="auto" w:fill="auto"/>
            <w:vAlign w:val="center"/>
          </w:tcPr>
          <w:p w14:paraId="600F7C6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19192E3E" w14:textId="77777777" w:rsidTr="004C3C90">
        <w:trPr>
          <w:trHeight w:val="20"/>
        </w:trPr>
        <w:tc>
          <w:tcPr>
            <w:tcW w:w="550" w:type="dxa"/>
            <w:shd w:val="clear" w:color="auto" w:fill="auto"/>
            <w:vAlign w:val="center"/>
          </w:tcPr>
          <w:p w14:paraId="3502182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430</w:t>
            </w:r>
          </w:p>
        </w:tc>
        <w:tc>
          <w:tcPr>
            <w:tcW w:w="1071" w:type="dxa"/>
            <w:shd w:val="clear" w:color="auto" w:fill="auto"/>
            <w:vAlign w:val="center"/>
          </w:tcPr>
          <w:p w14:paraId="2C646B0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36AB87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Weber TJ, Sawyer EK, Moseley S, OdrIjin T, Kishnani PS</w:t>
            </w:r>
          </w:p>
          <w:p w14:paraId="5034A884" w14:textId="77777777" w:rsidR="004C3C90" w:rsidRPr="004C3C90" w:rsidRDefault="004C3C90" w:rsidP="004C3C90">
            <w:pPr>
              <w:spacing w:line="240" w:lineRule="auto"/>
              <w:rPr>
                <w:rFonts w:ascii="Times New Roman" w:eastAsia="Times New Roman" w:hAnsi="Times New Roman" w:cs="Times New Roman"/>
                <w:sz w:val="20"/>
                <w:szCs w:val="20"/>
              </w:rPr>
            </w:pPr>
          </w:p>
        </w:tc>
        <w:tc>
          <w:tcPr>
            <w:tcW w:w="7010" w:type="dxa"/>
            <w:shd w:val="clear" w:color="auto" w:fill="auto"/>
            <w:vAlign w:val="center"/>
          </w:tcPr>
          <w:p w14:paraId="0F31BBA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Fracture and Surgical Burden in Pediatric and Adult Patients with Hypophosphatasia: Results from Patient Reported Outcome Surveys</w:t>
            </w:r>
          </w:p>
        </w:tc>
        <w:tc>
          <w:tcPr>
            <w:tcW w:w="568" w:type="dxa"/>
            <w:shd w:val="clear" w:color="auto" w:fill="auto"/>
            <w:vAlign w:val="center"/>
          </w:tcPr>
          <w:p w14:paraId="01F7C3A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195CBF43" w14:textId="77777777" w:rsidTr="004C3C90">
        <w:trPr>
          <w:trHeight w:val="20"/>
        </w:trPr>
        <w:tc>
          <w:tcPr>
            <w:tcW w:w="550" w:type="dxa"/>
            <w:shd w:val="clear" w:color="auto" w:fill="auto"/>
            <w:vAlign w:val="center"/>
          </w:tcPr>
          <w:p w14:paraId="760FB4D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431</w:t>
            </w:r>
          </w:p>
        </w:tc>
        <w:tc>
          <w:tcPr>
            <w:tcW w:w="1071" w:type="dxa"/>
            <w:shd w:val="clear" w:color="auto" w:fill="auto"/>
            <w:vAlign w:val="center"/>
          </w:tcPr>
          <w:p w14:paraId="5398EB4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C85E5F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Wong K, Forrest C, Schunemann H</w:t>
            </w:r>
          </w:p>
        </w:tc>
        <w:tc>
          <w:tcPr>
            <w:tcW w:w="7010" w:type="dxa"/>
            <w:shd w:val="clear" w:color="auto" w:fill="auto"/>
            <w:vAlign w:val="center"/>
          </w:tcPr>
          <w:p w14:paraId="27D42E4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Generating Evidence in Cleft Care: A Delphi-Like Study to Identify and Address Barriers to Carrying out Randomized Controlled Trials</w:t>
            </w:r>
          </w:p>
        </w:tc>
        <w:tc>
          <w:tcPr>
            <w:tcW w:w="568" w:type="dxa"/>
            <w:shd w:val="clear" w:color="auto" w:fill="auto"/>
            <w:vAlign w:val="center"/>
          </w:tcPr>
          <w:p w14:paraId="11FFB20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5944FF10" w14:textId="77777777" w:rsidTr="004C3C90">
        <w:trPr>
          <w:trHeight w:val="20"/>
        </w:trPr>
        <w:tc>
          <w:tcPr>
            <w:tcW w:w="550" w:type="dxa"/>
            <w:shd w:val="clear" w:color="auto" w:fill="auto"/>
            <w:vAlign w:val="center"/>
          </w:tcPr>
          <w:p w14:paraId="16221A3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432</w:t>
            </w:r>
          </w:p>
        </w:tc>
        <w:tc>
          <w:tcPr>
            <w:tcW w:w="1071" w:type="dxa"/>
            <w:shd w:val="clear" w:color="auto" w:fill="auto"/>
            <w:vAlign w:val="center"/>
          </w:tcPr>
          <w:p w14:paraId="3554CEF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195379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Travlos V, Downs J, Wilson A, Patman S</w:t>
            </w:r>
          </w:p>
          <w:p w14:paraId="248295D7" w14:textId="77777777" w:rsidR="004C3C90" w:rsidRPr="004C3C90" w:rsidRDefault="004C3C90" w:rsidP="004C3C90">
            <w:pPr>
              <w:spacing w:line="240" w:lineRule="auto"/>
              <w:rPr>
                <w:rFonts w:ascii="Times New Roman" w:eastAsia="Times New Roman" w:hAnsi="Times New Roman" w:cs="Times New Roman"/>
                <w:sz w:val="20"/>
                <w:szCs w:val="20"/>
              </w:rPr>
            </w:pPr>
          </w:p>
        </w:tc>
        <w:tc>
          <w:tcPr>
            <w:tcW w:w="7010" w:type="dxa"/>
            <w:shd w:val="clear" w:color="auto" w:fill="auto"/>
            <w:vAlign w:val="center"/>
          </w:tcPr>
          <w:p w14:paraId="40BB27D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How Is Engagement in Health Care More Than Adherence or Participation? Supporting Adolescents Living with Neuromuscular and Rare Disease</w:t>
            </w:r>
          </w:p>
        </w:tc>
        <w:tc>
          <w:tcPr>
            <w:tcW w:w="568" w:type="dxa"/>
            <w:shd w:val="clear" w:color="auto" w:fill="auto"/>
            <w:vAlign w:val="center"/>
          </w:tcPr>
          <w:p w14:paraId="66F4D2B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61BED831" w14:textId="77777777" w:rsidTr="004C3C90">
        <w:trPr>
          <w:trHeight w:val="20"/>
        </w:trPr>
        <w:tc>
          <w:tcPr>
            <w:tcW w:w="550" w:type="dxa"/>
            <w:shd w:val="clear" w:color="auto" w:fill="auto"/>
            <w:vAlign w:val="center"/>
          </w:tcPr>
          <w:p w14:paraId="46F9EC5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433</w:t>
            </w:r>
          </w:p>
        </w:tc>
        <w:tc>
          <w:tcPr>
            <w:tcW w:w="1071" w:type="dxa"/>
            <w:shd w:val="clear" w:color="auto" w:fill="auto"/>
            <w:vAlign w:val="center"/>
          </w:tcPr>
          <w:p w14:paraId="7CEBC1A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B7128E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Sweidan AJ, Cantillep A, Sohn D, Burg A</w:t>
            </w:r>
          </w:p>
        </w:tc>
        <w:tc>
          <w:tcPr>
            <w:tcW w:w="7010" w:type="dxa"/>
            <w:shd w:val="clear" w:color="auto" w:fill="auto"/>
            <w:vAlign w:val="center"/>
          </w:tcPr>
          <w:p w14:paraId="3F3A8B2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Idiopathic Hypereosinophilia with Warm Autoimmune Hemolytic Anemia</w:t>
            </w:r>
          </w:p>
        </w:tc>
        <w:tc>
          <w:tcPr>
            <w:tcW w:w="568" w:type="dxa"/>
            <w:shd w:val="clear" w:color="auto" w:fill="auto"/>
            <w:vAlign w:val="center"/>
          </w:tcPr>
          <w:p w14:paraId="43F9D0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18CE3D03" w14:textId="77777777" w:rsidTr="004C3C90">
        <w:trPr>
          <w:trHeight w:val="20"/>
        </w:trPr>
        <w:tc>
          <w:tcPr>
            <w:tcW w:w="550" w:type="dxa"/>
            <w:shd w:val="clear" w:color="auto" w:fill="auto"/>
            <w:vAlign w:val="center"/>
          </w:tcPr>
          <w:p w14:paraId="7178B8C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434</w:t>
            </w:r>
          </w:p>
        </w:tc>
        <w:tc>
          <w:tcPr>
            <w:tcW w:w="1071" w:type="dxa"/>
            <w:shd w:val="clear" w:color="auto" w:fill="auto"/>
            <w:vAlign w:val="center"/>
          </w:tcPr>
          <w:p w14:paraId="3F55702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BBB608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Xu L</w:t>
            </w:r>
          </w:p>
        </w:tc>
        <w:tc>
          <w:tcPr>
            <w:tcW w:w="7010" w:type="dxa"/>
            <w:shd w:val="clear" w:color="auto" w:fill="auto"/>
            <w:vAlign w:val="center"/>
          </w:tcPr>
          <w:p w14:paraId="6E73F4C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Mccune-Albright Syndrome, a Rare Occurrence</w:t>
            </w:r>
          </w:p>
        </w:tc>
        <w:tc>
          <w:tcPr>
            <w:tcW w:w="568" w:type="dxa"/>
            <w:shd w:val="clear" w:color="auto" w:fill="auto"/>
            <w:vAlign w:val="center"/>
          </w:tcPr>
          <w:p w14:paraId="7181BA1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263FF134" w14:textId="77777777" w:rsidTr="004C3C90">
        <w:trPr>
          <w:trHeight w:val="20"/>
        </w:trPr>
        <w:tc>
          <w:tcPr>
            <w:tcW w:w="550" w:type="dxa"/>
            <w:shd w:val="clear" w:color="auto" w:fill="auto"/>
            <w:vAlign w:val="center"/>
          </w:tcPr>
          <w:p w14:paraId="3B07586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435</w:t>
            </w:r>
          </w:p>
        </w:tc>
        <w:tc>
          <w:tcPr>
            <w:tcW w:w="1071" w:type="dxa"/>
            <w:shd w:val="clear" w:color="auto" w:fill="auto"/>
            <w:vAlign w:val="center"/>
          </w:tcPr>
          <w:p w14:paraId="23D7701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AF3E1D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 Marika PM, Katja P, Marja A, Katri HA</w:t>
            </w:r>
          </w:p>
        </w:tc>
        <w:tc>
          <w:tcPr>
            <w:tcW w:w="7010" w:type="dxa"/>
            <w:shd w:val="clear" w:color="auto" w:fill="auto"/>
            <w:vAlign w:val="center"/>
          </w:tcPr>
          <w:p w14:paraId="192B095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Medicines Information Needs among Medicine Users in Finland-a Population Survey</w:t>
            </w:r>
          </w:p>
        </w:tc>
        <w:tc>
          <w:tcPr>
            <w:tcW w:w="568" w:type="dxa"/>
            <w:shd w:val="clear" w:color="auto" w:fill="auto"/>
            <w:vAlign w:val="center"/>
          </w:tcPr>
          <w:p w14:paraId="2312E09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0B03A228" w14:textId="77777777" w:rsidTr="004C3C90">
        <w:trPr>
          <w:trHeight w:val="20"/>
        </w:trPr>
        <w:tc>
          <w:tcPr>
            <w:tcW w:w="550" w:type="dxa"/>
            <w:shd w:val="clear" w:color="auto" w:fill="auto"/>
            <w:vAlign w:val="center"/>
          </w:tcPr>
          <w:p w14:paraId="7E152FA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436</w:t>
            </w:r>
          </w:p>
        </w:tc>
        <w:tc>
          <w:tcPr>
            <w:tcW w:w="1071" w:type="dxa"/>
            <w:shd w:val="clear" w:color="auto" w:fill="auto"/>
            <w:vAlign w:val="center"/>
          </w:tcPr>
          <w:p w14:paraId="0DD1283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C0112E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Zifodya JS, Kim HP, Silver HJ, Slaughter JC, Higginbotham T, Vaezi MF</w:t>
            </w:r>
          </w:p>
        </w:tc>
        <w:tc>
          <w:tcPr>
            <w:tcW w:w="7010" w:type="dxa"/>
            <w:shd w:val="clear" w:color="auto" w:fill="auto"/>
            <w:vAlign w:val="center"/>
          </w:tcPr>
          <w:p w14:paraId="403F465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Nutritional Status of Patients with Untreated Achalasia</w:t>
            </w:r>
          </w:p>
        </w:tc>
        <w:tc>
          <w:tcPr>
            <w:tcW w:w="568" w:type="dxa"/>
            <w:shd w:val="clear" w:color="auto" w:fill="auto"/>
            <w:vAlign w:val="center"/>
          </w:tcPr>
          <w:p w14:paraId="56796AD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2DA1E872" w14:textId="77777777" w:rsidTr="004C3C90">
        <w:trPr>
          <w:trHeight w:val="20"/>
        </w:trPr>
        <w:tc>
          <w:tcPr>
            <w:tcW w:w="550" w:type="dxa"/>
            <w:shd w:val="clear" w:color="auto" w:fill="auto"/>
            <w:vAlign w:val="center"/>
          </w:tcPr>
          <w:p w14:paraId="25707DE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437</w:t>
            </w:r>
          </w:p>
        </w:tc>
        <w:tc>
          <w:tcPr>
            <w:tcW w:w="1071" w:type="dxa"/>
            <w:shd w:val="clear" w:color="auto" w:fill="auto"/>
            <w:vAlign w:val="center"/>
          </w:tcPr>
          <w:p w14:paraId="679B92B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658310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Perrone ME, Carmody D, Philipson LH, Greeley SA</w:t>
            </w:r>
          </w:p>
        </w:tc>
        <w:tc>
          <w:tcPr>
            <w:tcW w:w="7010" w:type="dxa"/>
            <w:shd w:val="clear" w:color="auto" w:fill="auto"/>
            <w:vAlign w:val="center"/>
          </w:tcPr>
          <w:p w14:paraId="105CA18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 Online Discussion Group for Rare Monogenic Diabetes Patients: Supporting Families and Fueling New Research</w:t>
            </w:r>
          </w:p>
        </w:tc>
        <w:tc>
          <w:tcPr>
            <w:tcW w:w="568" w:type="dxa"/>
            <w:shd w:val="clear" w:color="auto" w:fill="auto"/>
            <w:vAlign w:val="center"/>
          </w:tcPr>
          <w:p w14:paraId="4CAD40F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2D161DD0" w14:textId="77777777" w:rsidTr="004C3C90">
        <w:trPr>
          <w:trHeight w:val="20"/>
        </w:trPr>
        <w:tc>
          <w:tcPr>
            <w:tcW w:w="550" w:type="dxa"/>
            <w:shd w:val="clear" w:color="auto" w:fill="auto"/>
            <w:vAlign w:val="center"/>
          </w:tcPr>
          <w:p w14:paraId="375F376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438</w:t>
            </w:r>
          </w:p>
        </w:tc>
        <w:tc>
          <w:tcPr>
            <w:tcW w:w="1071" w:type="dxa"/>
            <w:shd w:val="clear" w:color="auto" w:fill="auto"/>
            <w:vAlign w:val="center"/>
          </w:tcPr>
          <w:p w14:paraId="5ADD4A0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66DBFB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Sato K, Kikuchi T, Kimura M, Komita M, Shimada K, Seki K, et al.</w:t>
            </w:r>
          </w:p>
        </w:tc>
        <w:tc>
          <w:tcPr>
            <w:tcW w:w="7010" w:type="dxa"/>
            <w:shd w:val="clear" w:color="auto" w:fill="auto"/>
            <w:vAlign w:val="center"/>
          </w:tcPr>
          <w:p w14:paraId="6B5FB84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 Satisfaction Survey for Ham-Net Registrants</w:t>
            </w:r>
          </w:p>
        </w:tc>
        <w:tc>
          <w:tcPr>
            <w:tcW w:w="568" w:type="dxa"/>
            <w:shd w:val="clear" w:color="auto" w:fill="auto"/>
            <w:vAlign w:val="center"/>
          </w:tcPr>
          <w:p w14:paraId="522D40A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A07AF40" w14:textId="77777777" w:rsidTr="004C3C90">
        <w:trPr>
          <w:trHeight w:val="20"/>
        </w:trPr>
        <w:tc>
          <w:tcPr>
            <w:tcW w:w="550" w:type="dxa"/>
            <w:shd w:val="clear" w:color="auto" w:fill="auto"/>
            <w:vAlign w:val="center"/>
          </w:tcPr>
          <w:p w14:paraId="4482718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439</w:t>
            </w:r>
          </w:p>
        </w:tc>
        <w:tc>
          <w:tcPr>
            <w:tcW w:w="1071" w:type="dxa"/>
            <w:shd w:val="clear" w:color="auto" w:fill="auto"/>
            <w:vAlign w:val="center"/>
          </w:tcPr>
          <w:p w14:paraId="5B4B28E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D6C26D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Sultana R</w:t>
            </w:r>
          </w:p>
        </w:tc>
        <w:tc>
          <w:tcPr>
            <w:tcW w:w="7010" w:type="dxa"/>
            <w:shd w:val="clear" w:color="auto" w:fill="auto"/>
            <w:vAlign w:val="center"/>
          </w:tcPr>
          <w:p w14:paraId="691ADD8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Prevalence of Sleep Problems in Children with Neurodevelopmental Disorders: A Follow-up Study</w:t>
            </w:r>
          </w:p>
        </w:tc>
        <w:tc>
          <w:tcPr>
            <w:tcW w:w="568" w:type="dxa"/>
            <w:shd w:val="clear" w:color="auto" w:fill="auto"/>
            <w:vAlign w:val="center"/>
          </w:tcPr>
          <w:p w14:paraId="46B21CC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1D7ABF04" w14:textId="77777777" w:rsidTr="004C3C90">
        <w:trPr>
          <w:trHeight w:val="20"/>
        </w:trPr>
        <w:tc>
          <w:tcPr>
            <w:tcW w:w="550" w:type="dxa"/>
            <w:shd w:val="clear" w:color="auto" w:fill="auto"/>
            <w:vAlign w:val="center"/>
          </w:tcPr>
          <w:p w14:paraId="53DB0EB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440</w:t>
            </w:r>
          </w:p>
        </w:tc>
        <w:tc>
          <w:tcPr>
            <w:tcW w:w="1071" w:type="dxa"/>
            <w:shd w:val="clear" w:color="auto" w:fill="auto"/>
            <w:vAlign w:val="center"/>
          </w:tcPr>
          <w:p w14:paraId="15D0E5A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A077A6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Sun Y, Wang D, Salvadore G, Singh J, Casper C, Van Rhee, et al. </w:t>
            </w:r>
          </w:p>
        </w:tc>
        <w:tc>
          <w:tcPr>
            <w:tcW w:w="7010" w:type="dxa"/>
            <w:shd w:val="clear" w:color="auto" w:fill="auto"/>
            <w:vAlign w:val="center"/>
          </w:tcPr>
          <w:p w14:paraId="5BEFC4D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Siltuximab Improves Depressive Symptoms in a Randomised, Placebo-Controlled, Phase 2 Study in Patients with Multicentric Castlemen's Disease</w:t>
            </w:r>
          </w:p>
        </w:tc>
        <w:tc>
          <w:tcPr>
            <w:tcW w:w="568" w:type="dxa"/>
            <w:shd w:val="clear" w:color="auto" w:fill="auto"/>
            <w:vAlign w:val="center"/>
          </w:tcPr>
          <w:p w14:paraId="185F5CE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4134ACE" w14:textId="77777777" w:rsidTr="004C3C90">
        <w:trPr>
          <w:trHeight w:val="20"/>
        </w:trPr>
        <w:tc>
          <w:tcPr>
            <w:tcW w:w="550" w:type="dxa"/>
            <w:shd w:val="clear" w:color="auto" w:fill="auto"/>
            <w:vAlign w:val="center"/>
          </w:tcPr>
          <w:p w14:paraId="08FEB46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441</w:t>
            </w:r>
          </w:p>
        </w:tc>
        <w:tc>
          <w:tcPr>
            <w:tcW w:w="1071" w:type="dxa"/>
            <w:shd w:val="clear" w:color="auto" w:fill="auto"/>
            <w:vAlign w:val="center"/>
          </w:tcPr>
          <w:p w14:paraId="2E5C876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EC2362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Palkmets O, Balvanyos J, Parthenaki I, Alnwick-Allu K, Hutchings A</w:t>
            </w:r>
          </w:p>
        </w:tc>
        <w:tc>
          <w:tcPr>
            <w:tcW w:w="7010" w:type="dxa"/>
            <w:shd w:val="clear" w:color="auto" w:fill="auto"/>
            <w:vAlign w:val="center"/>
          </w:tcPr>
          <w:p w14:paraId="6BA5676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Societal and Non-Healthcare Costs Associated with Atypical Haemolytic Uraemic Syndrome in the Uk: Results of a Patient Survey</w:t>
            </w:r>
          </w:p>
        </w:tc>
        <w:tc>
          <w:tcPr>
            <w:tcW w:w="568" w:type="dxa"/>
            <w:shd w:val="clear" w:color="auto" w:fill="auto"/>
            <w:vAlign w:val="center"/>
          </w:tcPr>
          <w:p w14:paraId="437D2C2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2ED8D9F1" w14:textId="77777777" w:rsidTr="004C3C90">
        <w:trPr>
          <w:trHeight w:val="20"/>
        </w:trPr>
        <w:tc>
          <w:tcPr>
            <w:tcW w:w="550" w:type="dxa"/>
            <w:shd w:val="clear" w:color="auto" w:fill="auto"/>
            <w:vAlign w:val="center"/>
          </w:tcPr>
          <w:p w14:paraId="63297FA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442</w:t>
            </w:r>
          </w:p>
        </w:tc>
        <w:tc>
          <w:tcPr>
            <w:tcW w:w="1071" w:type="dxa"/>
            <w:shd w:val="clear" w:color="auto" w:fill="auto"/>
            <w:vAlign w:val="center"/>
          </w:tcPr>
          <w:p w14:paraId="4A11FF3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F78652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Picanco Jr OM, Picanco TSC, Alves RMS, Soares PC</w:t>
            </w:r>
          </w:p>
        </w:tc>
        <w:tc>
          <w:tcPr>
            <w:tcW w:w="7010" w:type="dxa"/>
            <w:shd w:val="clear" w:color="auto" w:fill="auto"/>
            <w:vAlign w:val="center"/>
          </w:tcPr>
          <w:p w14:paraId="38CE4FC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Vermiform Appendix Carcinoma: Clinical Presentation, Diagnosis and Treatment</w:t>
            </w:r>
          </w:p>
        </w:tc>
        <w:tc>
          <w:tcPr>
            <w:tcW w:w="568" w:type="dxa"/>
            <w:shd w:val="clear" w:color="auto" w:fill="auto"/>
            <w:vAlign w:val="center"/>
          </w:tcPr>
          <w:p w14:paraId="5DD77CB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572649D2" w14:textId="77777777" w:rsidTr="004C3C90">
        <w:trPr>
          <w:trHeight w:val="20"/>
        </w:trPr>
        <w:tc>
          <w:tcPr>
            <w:tcW w:w="550" w:type="dxa"/>
            <w:shd w:val="clear" w:color="auto" w:fill="auto"/>
            <w:vAlign w:val="center"/>
          </w:tcPr>
          <w:p w14:paraId="502DBB6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443</w:t>
            </w:r>
          </w:p>
        </w:tc>
        <w:tc>
          <w:tcPr>
            <w:tcW w:w="1071" w:type="dxa"/>
            <w:shd w:val="clear" w:color="auto" w:fill="auto"/>
            <w:vAlign w:val="center"/>
          </w:tcPr>
          <w:p w14:paraId="057A675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3DBF63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Chung JH</w:t>
            </w:r>
          </w:p>
        </w:tc>
        <w:tc>
          <w:tcPr>
            <w:tcW w:w="7010" w:type="dxa"/>
            <w:shd w:val="clear" w:color="auto" w:fill="auto"/>
            <w:vAlign w:val="center"/>
          </w:tcPr>
          <w:p w14:paraId="68813B8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Asia</w:t>
            </w:r>
          </w:p>
        </w:tc>
        <w:tc>
          <w:tcPr>
            <w:tcW w:w="568" w:type="dxa"/>
            <w:shd w:val="clear" w:color="auto" w:fill="auto"/>
            <w:vAlign w:val="center"/>
          </w:tcPr>
          <w:p w14:paraId="40D56F9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FDAFEFD" w14:textId="77777777" w:rsidTr="004C3C90">
        <w:trPr>
          <w:trHeight w:val="20"/>
        </w:trPr>
        <w:tc>
          <w:tcPr>
            <w:tcW w:w="550" w:type="dxa"/>
            <w:shd w:val="clear" w:color="auto" w:fill="auto"/>
            <w:vAlign w:val="center"/>
          </w:tcPr>
          <w:p w14:paraId="72EADAF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444</w:t>
            </w:r>
          </w:p>
        </w:tc>
        <w:tc>
          <w:tcPr>
            <w:tcW w:w="1071" w:type="dxa"/>
            <w:shd w:val="clear" w:color="auto" w:fill="auto"/>
            <w:vAlign w:val="center"/>
          </w:tcPr>
          <w:p w14:paraId="36DE781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FB0EB4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 Gallagher JR, Obradovic M, Risebrough N, Heap K, Watch J</w:t>
            </w:r>
          </w:p>
        </w:tc>
        <w:tc>
          <w:tcPr>
            <w:tcW w:w="7010" w:type="dxa"/>
            <w:shd w:val="clear" w:color="auto" w:fill="auto"/>
            <w:vAlign w:val="center"/>
          </w:tcPr>
          <w:p w14:paraId="113F117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Cost-Effective Enhanced Retrospective Observational Study Methodology to Capture Economic Burden Evidence in a Rare Disease Using Non-Tuberculous Mycobacteria Infection as a Model</w:t>
            </w:r>
          </w:p>
        </w:tc>
        <w:tc>
          <w:tcPr>
            <w:tcW w:w="568" w:type="dxa"/>
            <w:shd w:val="clear" w:color="auto" w:fill="auto"/>
            <w:vAlign w:val="center"/>
          </w:tcPr>
          <w:p w14:paraId="3B8D895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AE8CD85" w14:textId="77777777" w:rsidTr="004C3C90">
        <w:trPr>
          <w:trHeight w:val="20"/>
        </w:trPr>
        <w:tc>
          <w:tcPr>
            <w:tcW w:w="550" w:type="dxa"/>
            <w:shd w:val="clear" w:color="auto" w:fill="auto"/>
            <w:vAlign w:val="center"/>
          </w:tcPr>
          <w:p w14:paraId="4F74F9B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445</w:t>
            </w:r>
          </w:p>
        </w:tc>
        <w:tc>
          <w:tcPr>
            <w:tcW w:w="1071" w:type="dxa"/>
            <w:shd w:val="clear" w:color="auto" w:fill="auto"/>
            <w:vAlign w:val="center"/>
          </w:tcPr>
          <w:p w14:paraId="559CB81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84F700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Brook RA, Smeeding JE, Sax MJ</w:t>
            </w:r>
          </w:p>
        </w:tc>
        <w:tc>
          <w:tcPr>
            <w:tcW w:w="7010" w:type="dxa"/>
            <w:shd w:val="clear" w:color="auto" w:fill="auto"/>
            <w:vAlign w:val="center"/>
          </w:tcPr>
          <w:p w14:paraId="1A8960F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Current Landscape and Expected Changes in Formulary Management</w:t>
            </w:r>
          </w:p>
        </w:tc>
        <w:tc>
          <w:tcPr>
            <w:tcW w:w="568" w:type="dxa"/>
            <w:shd w:val="clear" w:color="auto" w:fill="auto"/>
            <w:vAlign w:val="center"/>
          </w:tcPr>
          <w:p w14:paraId="23597BA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16F01BCC" w14:textId="77777777" w:rsidTr="004C3C90">
        <w:trPr>
          <w:trHeight w:val="20"/>
        </w:trPr>
        <w:tc>
          <w:tcPr>
            <w:tcW w:w="550" w:type="dxa"/>
            <w:shd w:val="clear" w:color="auto" w:fill="auto"/>
            <w:vAlign w:val="center"/>
          </w:tcPr>
          <w:p w14:paraId="10212EB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446</w:t>
            </w:r>
          </w:p>
        </w:tc>
        <w:tc>
          <w:tcPr>
            <w:tcW w:w="1071" w:type="dxa"/>
            <w:shd w:val="clear" w:color="auto" w:fill="auto"/>
            <w:vAlign w:val="center"/>
          </w:tcPr>
          <w:p w14:paraId="640A4D0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A397C2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Marshall DA, MacDonald KV, Lopatina E, Mackenzie A, Hartley T, Boycott K</w:t>
            </w:r>
          </w:p>
        </w:tc>
        <w:tc>
          <w:tcPr>
            <w:tcW w:w="7010" w:type="dxa"/>
            <w:shd w:val="clear" w:color="auto" w:fill="auto"/>
            <w:vAlign w:val="center"/>
          </w:tcPr>
          <w:p w14:paraId="0A5DAF8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Estimating the Value of Whole Exome Sequencing for Parents of Children with Rare Genetic Diseases</w:t>
            </w:r>
          </w:p>
        </w:tc>
        <w:tc>
          <w:tcPr>
            <w:tcW w:w="568" w:type="dxa"/>
            <w:shd w:val="clear" w:color="auto" w:fill="auto"/>
            <w:vAlign w:val="center"/>
          </w:tcPr>
          <w:p w14:paraId="4722A3B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4F126C01" w14:textId="77777777" w:rsidTr="004C3C90">
        <w:trPr>
          <w:trHeight w:val="20"/>
        </w:trPr>
        <w:tc>
          <w:tcPr>
            <w:tcW w:w="550" w:type="dxa"/>
            <w:shd w:val="clear" w:color="auto" w:fill="auto"/>
            <w:vAlign w:val="center"/>
          </w:tcPr>
          <w:p w14:paraId="146712F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447</w:t>
            </w:r>
          </w:p>
        </w:tc>
        <w:tc>
          <w:tcPr>
            <w:tcW w:w="1071" w:type="dxa"/>
            <w:shd w:val="clear" w:color="auto" w:fill="auto"/>
            <w:vAlign w:val="center"/>
          </w:tcPr>
          <w:p w14:paraId="514E530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4D35B0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Malinowski, Alexandra, Utz,  Zanrucha B, Martin D </w:t>
            </w:r>
          </w:p>
        </w:tc>
        <w:tc>
          <w:tcPr>
            <w:tcW w:w="7010" w:type="dxa"/>
            <w:shd w:val="clear" w:color="auto" w:fill="auto"/>
            <w:vAlign w:val="center"/>
          </w:tcPr>
          <w:p w14:paraId="7B58EE1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Evaluation of United States Schools and Colleges of Pharmacy Curriculum to Assess Education on Lysosomal Diseases</w:t>
            </w:r>
          </w:p>
        </w:tc>
        <w:tc>
          <w:tcPr>
            <w:tcW w:w="568" w:type="dxa"/>
            <w:shd w:val="clear" w:color="auto" w:fill="auto"/>
            <w:vAlign w:val="center"/>
          </w:tcPr>
          <w:p w14:paraId="1DB1F50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BF7B214" w14:textId="77777777" w:rsidTr="004C3C90">
        <w:trPr>
          <w:trHeight w:val="20"/>
        </w:trPr>
        <w:tc>
          <w:tcPr>
            <w:tcW w:w="550" w:type="dxa"/>
            <w:shd w:val="clear" w:color="auto" w:fill="auto"/>
            <w:vAlign w:val="center"/>
          </w:tcPr>
          <w:p w14:paraId="10C6475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448</w:t>
            </w:r>
          </w:p>
        </w:tc>
        <w:tc>
          <w:tcPr>
            <w:tcW w:w="1071" w:type="dxa"/>
            <w:shd w:val="clear" w:color="auto" w:fill="auto"/>
            <w:vAlign w:val="center"/>
          </w:tcPr>
          <w:p w14:paraId="21ACB54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9B3D76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Elsevier BV</w:t>
            </w:r>
          </w:p>
        </w:tc>
        <w:tc>
          <w:tcPr>
            <w:tcW w:w="7010" w:type="dxa"/>
            <w:shd w:val="clear" w:color="auto" w:fill="auto"/>
            <w:vAlign w:val="center"/>
          </w:tcPr>
          <w:p w14:paraId="035BB6D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Gaucher Disease: Lived Experience of Patients in the Context of a French National Patient Therapeutic Education Program</w:t>
            </w:r>
          </w:p>
        </w:tc>
        <w:tc>
          <w:tcPr>
            <w:tcW w:w="568" w:type="dxa"/>
            <w:shd w:val="clear" w:color="auto" w:fill="auto"/>
            <w:vAlign w:val="center"/>
          </w:tcPr>
          <w:p w14:paraId="7081BB3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2B036410" w14:textId="77777777" w:rsidTr="004C3C90">
        <w:trPr>
          <w:trHeight w:val="20"/>
        </w:trPr>
        <w:tc>
          <w:tcPr>
            <w:tcW w:w="550" w:type="dxa"/>
            <w:shd w:val="clear" w:color="auto" w:fill="auto"/>
            <w:vAlign w:val="center"/>
          </w:tcPr>
          <w:p w14:paraId="28776A3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449</w:t>
            </w:r>
          </w:p>
        </w:tc>
        <w:tc>
          <w:tcPr>
            <w:tcW w:w="1071" w:type="dxa"/>
            <w:shd w:val="clear" w:color="auto" w:fill="auto"/>
            <w:vAlign w:val="center"/>
          </w:tcPr>
          <w:p w14:paraId="08331F6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C49186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Liu W, Meng Z, Liu H, LiW, Wu Q, Cy E, et al. </w:t>
            </w:r>
          </w:p>
        </w:tc>
        <w:tc>
          <w:tcPr>
            <w:tcW w:w="7010" w:type="dxa"/>
            <w:shd w:val="clear" w:color="auto" w:fill="auto"/>
            <w:vAlign w:val="center"/>
          </w:tcPr>
          <w:p w14:paraId="0B38DFD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Hepatic Epithelioid Angiomyolipoma: A Rare and Potentially Severe Treatble Tumor Accompneny with 3 Cases Report</w:t>
            </w:r>
          </w:p>
        </w:tc>
        <w:tc>
          <w:tcPr>
            <w:tcW w:w="568" w:type="dxa"/>
            <w:shd w:val="clear" w:color="auto" w:fill="auto"/>
            <w:vAlign w:val="center"/>
          </w:tcPr>
          <w:p w14:paraId="1FEEE63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ABD61A9" w14:textId="77777777" w:rsidTr="004C3C90">
        <w:trPr>
          <w:trHeight w:val="20"/>
        </w:trPr>
        <w:tc>
          <w:tcPr>
            <w:tcW w:w="550" w:type="dxa"/>
            <w:shd w:val="clear" w:color="auto" w:fill="auto"/>
            <w:vAlign w:val="center"/>
          </w:tcPr>
          <w:p w14:paraId="3C22929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450</w:t>
            </w:r>
          </w:p>
        </w:tc>
        <w:tc>
          <w:tcPr>
            <w:tcW w:w="1071" w:type="dxa"/>
            <w:shd w:val="clear" w:color="auto" w:fill="auto"/>
            <w:vAlign w:val="center"/>
          </w:tcPr>
          <w:p w14:paraId="155F012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8BBFB8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Lloyd A, Gallop K, Hutchings A, Acaster S</w:t>
            </w:r>
          </w:p>
        </w:tc>
        <w:tc>
          <w:tcPr>
            <w:tcW w:w="7010" w:type="dxa"/>
            <w:shd w:val="clear" w:color="auto" w:fill="auto"/>
            <w:vAlign w:val="center"/>
          </w:tcPr>
          <w:p w14:paraId="5EAD330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How Do We Estimate Quality Adjusted Life Years (Qalys) in Rare Diseases? A Case Study in Hypophosphatasia</w:t>
            </w:r>
          </w:p>
        </w:tc>
        <w:tc>
          <w:tcPr>
            <w:tcW w:w="568" w:type="dxa"/>
            <w:shd w:val="clear" w:color="auto" w:fill="auto"/>
            <w:vAlign w:val="center"/>
          </w:tcPr>
          <w:p w14:paraId="358B440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C9AF0EF" w14:textId="77777777" w:rsidTr="004C3C90">
        <w:trPr>
          <w:trHeight w:val="20"/>
        </w:trPr>
        <w:tc>
          <w:tcPr>
            <w:tcW w:w="550" w:type="dxa"/>
            <w:shd w:val="clear" w:color="auto" w:fill="auto"/>
            <w:vAlign w:val="center"/>
          </w:tcPr>
          <w:p w14:paraId="0E58752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451</w:t>
            </w:r>
          </w:p>
        </w:tc>
        <w:tc>
          <w:tcPr>
            <w:tcW w:w="1071" w:type="dxa"/>
            <w:shd w:val="clear" w:color="auto" w:fill="auto"/>
            <w:vAlign w:val="center"/>
          </w:tcPr>
          <w:p w14:paraId="7293FE9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29AA60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Mooney J, Watts RA, Scott DGI</w:t>
            </w:r>
          </w:p>
        </w:tc>
        <w:tc>
          <w:tcPr>
            <w:tcW w:w="7010" w:type="dxa"/>
            <w:shd w:val="clear" w:color="auto" w:fill="auto"/>
            <w:vAlign w:val="center"/>
          </w:tcPr>
          <w:p w14:paraId="71DFEC7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How Long Does It Take to Get Diagnosed with Anca Vasculitis?</w:t>
            </w:r>
          </w:p>
        </w:tc>
        <w:tc>
          <w:tcPr>
            <w:tcW w:w="568" w:type="dxa"/>
            <w:shd w:val="clear" w:color="auto" w:fill="auto"/>
            <w:vAlign w:val="center"/>
          </w:tcPr>
          <w:p w14:paraId="367EE16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661F0852" w14:textId="77777777" w:rsidTr="004C3C90">
        <w:trPr>
          <w:trHeight w:val="20"/>
        </w:trPr>
        <w:tc>
          <w:tcPr>
            <w:tcW w:w="550" w:type="dxa"/>
            <w:shd w:val="clear" w:color="auto" w:fill="auto"/>
            <w:vAlign w:val="center"/>
          </w:tcPr>
          <w:p w14:paraId="1F19CE9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452</w:t>
            </w:r>
          </w:p>
        </w:tc>
        <w:tc>
          <w:tcPr>
            <w:tcW w:w="1071" w:type="dxa"/>
            <w:shd w:val="clear" w:color="auto" w:fill="auto"/>
            <w:vAlign w:val="center"/>
          </w:tcPr>
          <w:p w14:paraId="3C17B24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41E25F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Colombatti R, Palazzi G, Masera N, Notarangelo LD, Bonetti E, Samperi P, et al.</w:t>
            </w:r>
          </w:p>
        </w:tc>
        <w:tc>
          <w:tcPr>
            <w:tcW w:w="7010" w:type="dxa"/>
            <w:shd w:val="clear" w:color="auto" w:fill="auto"/>
            <w:vAlign w:val="center"/>
          </w:tcPr>
          <w:p w14:paraId="43A2E04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Hydroxiurea Prescription, Availability and Use for Children with Sickle Cell Disease in Italy: Results of the Italian Association of Pediatric Hematology Oncology (Aieop) Multicenter Survey</w:t>
            </w:r>
          </w:p>
        </w:tc>
        <w:tc>
          <w:tcPr>
            <w:tcW w:w="568" w:type="dxa"/>
            <w:shd w:val="clear" w:color="auto" w:fill="auto"/>
            <w:vAlign w:val="center"/>
          </w:tcPr>
          <w:p w14:paraId="5A82C72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75B2B4C3" w14:textId="77777777" w:rsidTr="004C3C90">
        <w:trPr>
          <w:trHeight w:val="20"/>
        </w:trPr>
        <w:tc>
          <w:tcPr>
            <w:tcW w:w="550" w:type="dxa"/>
            <w:shd w:val="clear" w:color="auto" w:fill="auto"/>
            <w:vAlign w:val="center"/>
          </w:tcPr>
          <w:p w14:paraId="4F8F13D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453</w:t>
            </w:r>
          </w:p>
        </w:tc>
        <w:tc>
          <w:tcPr>
            <w:tcW w:w="1071" w:type="dxa"/>
            <w:shd w:val="clear" w:color="auto" w:fill="auto"/>
            <w:vAlign w:val="center"/>
          </w:tcPr>
          <w:p w14:paraId="3EFA22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D1B0B4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Maurer M, Caballero T, Aberer W, Zanichelli A, Bouillet L, Fabien V, et al.</w:t>
            </w:r>
          </w:p>
        </w:tc>
        <w:tc>
          <w:tcPr>
            <w:tcW w:w="7010" w:type="dxa"/>
            <w:shd w:val="clear" w:color="auto" w:fill="auto"/>
            <w:vAlign w:val="center"/>
          </w:tcPr>
          <w:p w14:paraId="318BB40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Icatibant Outcome Survey: More Than 1500 Icatibant-Treated Attacks in Patients with Type I or Ii Hereditary Angioedema</w:t>
            </w:r>
          </w:p>
        </w:tc>
        <w:tc>
          <w:tcPr>
            <w:tcW w:w="568" w:type="dxa"/>
            <w:shd w:val="clear" w:color="auto" w:fill="auto"/>
            <w:vAlign w:val="center"/>
          </w:tcPr>
          <w:p w14:paraId="57871EB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5611ACE3" w14:textId="77777777" w:rsidTr="004C3C90">
        <w:trPr>
          <w:trHeight w:val="20"/>
        </w:trPr>
        <w:tc>
          <w:tcPr>
            <w:tcW w:w="550" w:type="dxa"/>
            <w:shd w:val="clear" w:color="auto" w:fill="auto"/>
            <w:vAlign w:val="center"/>
          </w:tcPr>
          <w:p w14:paraId="63CD8BF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454</w:t>
            </w:r>
          </w:p>
        </w:tc>
        <w:tc>
          <w:tcPr>
            <w:tcW w:w="1071" w:type="dxa"/>
            <w:shd w:val="clear" w:color="auto" w:fill="auto"/>
            <w:vAlign w:val="center"/>
          </w:tcPr>
          <w:p w14:paraId="5F7F1E3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AB78A5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Longhurst HJ, Aberer W, Bouillet L, Zanichelli A, Bouillet L, Fabien V, et al. </w:t>
            </w:r>
          </w:p>
        </w:tc>
        <w:tc>
          <w:tcPr>
            <w:tcW w:w="7010" w:type="dxa"/>
            <w:shd w:val="clear" w:color="auto" w:fill="auto"/>
            <w:vAlign w:val="center"/>
          </w:tcPr>
          <w:p w14:paraId="5E41E07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Icatibant Outcome Survey: More Than 2200 Icatibant-Treated Attacks in Patients with Type I or Ii Hereditary Angioedema</w:t>
            </w:r>
          </w:p>
        </w:tc>
        <w:tc>
          <w:tcPr>
            <w:tcW w:w="568" w:type="dxa"/>
            <w:shd w:val="clear" w:color="auto" w:fill="auto"/>
            <w:vAlign w:val="center"/>
          </w:tcPr>
          <w:p w14:paraId="204D71C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5DD9E3D0" w14:textId="77777777" w:rsidTr="004C3C90">
        <w:trPr>
          <w:trHeight w:val="20"/>
        </w:trPr>
        <w:tc>
          <w:tcPr>
            <w:tcW w:w="550" w:type="dxa"/>
            <w:shd w:val="clear" w:color="auto" w:fill="auto"/>
            <w:vAlign w:val="center"/>
          </w:tcPr>
          <w:p w14:paraId="7F226E0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455</w:t>
            </w:r>
          </w:p>
        </w:tc>
        <w:tc>
          <w:tcPr>
            <w:tcW w:w="1071" w:type="dxa"/>
            <w:shd w:val="clear" w:color="auto" w:fill="auto"/>
            <w:vAlign w:val="center"/>
          </w:tcPr>
          <w:p w14:paraId="66E331F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501D37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Wu SL, Bai JG, Xu J, Ma QY, Wu Z</w:t>
            </w:r>
          </w:p>
        </w:tc>
        <w:tc>
          <w:tcPr>
            <w:tcW w:w="7010" w:type="dxa"/>
            <w:shd w:val="clear" w:color="auto" w:fill="auto"/>
            <w:vAlign w:val="center"/>
          </w:tcPr>
          <w:p w14:paraId="2219345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Necrolytic Migratory Erythema as the First Presentation of Pancreatic Glucagonoma</w:t>
            </w:r>
          </w:p>
        </w:tc>
        <w:tc>
          <w:tcPr>
            <w:tcW w:w="568" w:type="dxa"/>
            <w:shd w:val="clear" w:color="auto" w:fill="auto"/>
            <w:vAlign w:val="center"/>
          </w:tcPr>
          <w:p w14:paraId="3BF9165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1E7F4B6F" w14:textId="77777777" w:rsidTr="004C3C90">
        <w:trPr>
          <w:trHeight w:val="20"/>
        </w:trPr>
        <w:tc>
          <w:tcPr>
            <w:tcW w:w="550" w:type="dxa"/>
            <w:shd w:val="clear" w:color="auto" w:fill="auto"/>
            <w:vAlign w:val="center"/>
          </w:tcPr>
          <w:p w14:paraId="0B0579D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456</w:t>
            </w:r>
          </w:p>
        </w:tc>
        <w:tc>
          <w:tcPr>
            <w:tcW w:w="1071" w:type="dxa"/>
            <w:shd w:val="clear" w:color="auto" w:fill="auto"/>
            <w:vAlign w:val="center"/>
          </w:tcPr>
          <w:p w14:paraId="6C20917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87A347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Chow W, Ing A, Rowe D</w:t>
            </w:r>
          </w:p>
        </w:tc>
        <w:tc>
          <w:tcPr>
            <w:tcW w:w="7010" w:type="dxa"/>
            <w:shd w:val="clear" w:color="auto" w:fill="auto"/>
            <w:vAlign w:val="center"/>
          </w:tcPr>
          <w:p w14:paraId="433B7AC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Non-Invasive Ventilation in Motor Neuron Disease/Amyotrophic Lateral Sclerosis: An Australasian Perspective</w:t>
            </w:r>
          </w:p>
        </w:tc>
        <w:tc>
          <w:tcPr>
            <w:tcW w:w="568" w:type="dxa"/>
            <w:shd w:val="clear" w:color="auto" w:fill="auto"/>
            <w:vAlign w:val="center"/>
          </w:tcPr>
          <w:p w14:paraId="5BE2951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74489C3F" w14:textId="77777777" w:rsidTr="004C3C90">
        <w:trPr>
          <w:trHeight w:val="20"/>
        </w:trPr>
        <w:tc>
          <w:tcPr>
            <w:tcW w:w="550" w:type="dxa"/>
            <w:shd w:val="clear" w:color="auto" w:fill="auto"/>
            <w:vAlign w:val="center"/>
          </w:tcPr>
          <w:p w14:paraId="147DA94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457</w:t>
            </w:r>
          </w:p>
        </w:tc>
        <w:tc>
          <w:tcPr>
            <w:tcW w:w="1071" w:type="dxa"/>
            <w:shd w:val="clear" w:color="auto" w:fill="auto"/>
            <w:vAlign w:val="center"/>
          </w:tcPr>
          <w:p w14:paraId="33D30AD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253A6F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Isabelle L, Raymond C, Heather L, Spencer G, Giampaolo M</w:t>
            </w:r>
          </w:p>
        </w:tc>
        <w:tc>
          <w:tcPr>
            <w:tcW w:w="7010" w:type="dxa"/>
            <w:shd w:val="clear" w:color="auto" w:fill="auto"/>
            <w:vAlign w:val="center"/>
          </w:tcPr>
          <w:p w14:paraId="1E39D2F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 Experience with Hereditary and Senile Systemic Amyloidoses: A Survey from the Amyloidosis Research Consortium</w:t>
            </w:r>
          </w:p>
        </w:tc>
        <w:tc>
          <w:tcPr>
            <w:tcW w:w="568" w:type="dxa"/>
            <w:shd w:val="clear" w:color="auto" w:fill="auto"/>
            <w:vAlign w:val="center"/>
          </w:tcPr>
          <w:p w14:paraId="2B5EF0C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28736255" w14:textId="77777777" w:rsidTr="004C3C90">
        <w:trPr>
          <w:trHeight w:val="20"/>
        </w:trPr>
        <w:tc>
          <w:tcPr>
            <w:tcW w:w="550" w:type="dxa"/>
            <w:shd w:val="clear" w:color="auto" w:fill="auto"/>
            <w:vAlign w:val="center"/>
          </w:tcPr>
          <w:p w14:paraId="209F0A6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458</w:t>
            </w:r>
          </w:p>
        </w:tc>
        <w:tc>
          <w:tcPr>
            <w:tcW w:w="1071" w:type="dxa"/>
            <w:shd w:val="clear" w:color="auto" w:fill="auto"/>
            <w:vAlign w:val="center"/>
          </w:tcPr>
          <w:p w14:paraId="10600D6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FEE1FE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Ashley Farmer, Kelly Colvin, Tippu Khan, Kam T, Mason S, Davis C, et al. </w:t>
            </w:r>
          </w:p>
        </w:tc>
        <w:tc>
          <w:tcPr>
            <w:tcW w:w="7010" w:type="dxa"/>
            <w:shd w:val="clear" w:color="auto" w:fill="auto"/>
            <w:vAlign w:val="center"/>
          </w:tcPr>
          <w:p w14:paraId="7D4A965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Preparation of the New Graduate Rn for Care of the Hematopoietic Cell Transplant Patient: An Orientation Reconstruction Story</w:t>
            </w:r>
          </w:p>
        </w:tc>
        <w:tc>
          <w:tcPr>
            <w:tcW w:w="568" w:type="dxa"/>
            <w:shd w:val="clear" w:color="auto" w:fill="auto"/>
            <w:vAlign w:val="center"/>
          </w:tcPr>
          <w:p w14:paraId="3176750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75FFF6E3" w14:textId="77777777" w:rsidTr="004C3C90">
        <w:trPr>
          <w:trHeight w:val="20"/>
        </w:trPr>
        <w:tc>
          <w:tcPr>
            <w:tcW w:w="550" w:type="dxa"/>
            <w:shd w:val="clear" w:color="auto" w:fill="auto"/>
            <w:vAlign w:val="center"/>
          </w:tcPr>
          <w:p w14:paraId="6D902ED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459</w:t>
            </w:r>
          </w:p>
        </w:tc>
        <w:tc>
          <w:tcPr>
            <w:tcW w:w="1071" w:type="dxa"/>
            <w:shd w:val="clear" w:color="auto" w:fill="auto"/>
            <w:vAlign w:val="center"/>
          </w:tcPr>
          <w:p w14:paraId="4F61F7C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C6A4E2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Manno M, Golfieri L, Lauro A, Zanfi C, Venturoli A, Tossani E, et al.</w:t>
            </w:r>
          </w:p>
        </w:tc>
        <w:tc>
          <w:tcPr>
            <w:tcW w:w="7010" w:type="dxa"/>
            <w:shd w:val="clear" w:color="auto" w:fill="auto"/>
            <w:vAlign w:val="center"/>
          </w:tcPr>
          <w:p w14:paraId="1544FA0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Psychological and Physical Health in Patients with Cipo: Transplant and Non-Transplant Surgery</w:t>
            </w:r>
          </w:p>
        </w:tc>
        <w:tc>
          <w:tcPr>
            <w:tcW w:w="568" w:type="dxa"/>
            <w:shd w:val="clear" w:color="auto" w:fill="auto"/>
            <w:vAlign w:val="center"/>
          </w:tcPr>
          <w:p w14:paraId="12377E9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51F9C90F" w14:textId="77777777" w:rsidTr="004C3C90">
        <w:trPr>
          <w:trHeight w:val="20"/>
        </w:trPr>
        <w:tc>
          <w:tcPr>
            <w:tcW w:w="550" w:type="dxa"/>
            <w:shd w:val="clear" w:color="auto" w:fill="auto"/>
            <w:vAlign w:val="center"/>
          </w:tcPr>
          <w:p w14:paraId="77AF5DB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460</w:t>
            </w:r>
          </w:p>
        </w:tc>
        <w:tc>
          <w:tcPr>
            <w:tcW w:w="1071" w:type="dxa"/>
            <w:shd w:val="clear" w:color="auto" w:fill="auto"/>
            <w:vAlign w:val="center"/>
          </w:tcPr>
          <w:p w14:paraId="1DAB546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0D1D74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Lapointe anne-sophie, Moutel G, Gimenes P</w:t>
            </w:r>
          </w:p>
        </w:tc>
        <w:tc>
          <w:tcPr>
            <w:tcW w:w="7010" w:type="dxa"/>
            <w:shd w:val="clear" w:color="auto" w:fill="auto"/>
            <w:vAlign w:val="center"/>
          </w:tcPr>
          <w:p w14:paraId="1D3D5D5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Rare Diseases and Patient Organization Collaboration in the Medical Research: Analysis of the Issues with All the Protagonists</w:t>
            </w:r>
          </w:p>
        </w:tc>
        <w:tc>
          <w:tcPr>
            <w:tcW w:w="568" w:type="dxa"/>
            <w:shd w:val="clear" w:color="auto" w:fill="auto"/>
            <w:vAlign w:val="center"/>
          </w:tcPr>
          <w:p w14:paraId="5631DD0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5F182F7F" w14:textId="77777777" w:rsidTr="004C3C90">
        <w:trPr>
          <w:trHeight w:val="20"/>
        </w:trPr>
        <w:tc>
          <w:tcPr>
            <w:tcW w:w="550" w:type="dxa"/>
            <w:shd w:val="clear" w:color="auto" w:fill="auto"/>
            <w:vAlign w:val="center"/>
          </w:tcPr>
          <w:p w14:paraId="76A32B0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461</w:t>
            </w:r>
          </w:p>
        </w:tc>
        <w:tc>
          <w:tcPr>
            <w:tcW w:w="1071" w:type="dxa"/>
            <w:shd w:val="clear" w:color="auto" w:fill="auto"/>
            <w:vAlign w:val="center"/>
          </w:tcPr>
          <w:p w14:paraId="6CB6789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F3C486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Kaushik P, Bhalla S, Jain A</w:t>
            </w:r>
          </w:p>
        </w:tc>
        <w:tc>
          <w:tcPr>
            <w:tcW w:w="7010" w:type="dxa"/>
            <w:shd w:val="clear" w:color="auto" w:fill="auto"/>
            <w:vAlign w:val="center"/>
          </w:tcPr>
          <w:p w14:paraId="36B1E59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Reporting Instruments of Patient Reported Outcomes in Orphan Disease</w:t>
            </w:r>
          </w:p>
        </w:tc>
        <w:tc>
          <w:tcPr>
            <w:tcW w:w="568" w:type="dxa"/>
            <w:shd w:val="clear" w:color="auto" w:fill="auto"/>
            <w:vAlign w:val="center"/>
          </w:tcPr>
          <w:p w14:paraId="61C1B3B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5D5C77C7" w14:textId="77777777" w:rsidTr="004C3C90">
        <w:trPr>
          <w:trHeight w:val="20"/>
        </w:trPr>
        <w:tc>
          <w:tcPr>
            <w:tcW w:w="550" w:type="dxa"/>
            <w:shd w:val="clear" w:color="auto" w:fill="auto"/>
            <w:vAlign w:val="center"/>
          </w:tcPr>
          <w:p w14:paraId="3DE307E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462</w:t>
            </w:r>
          </w:p>
        </w:tc>
        <w:tc>
          <w:tcPr>
            <w:tcW w:w="1071" w:type="dxa"/>
            <w:shd w:val="clear" w:color="auto" w:fill="auto"/>
            <w:vAlign w:val="center"/>
          </w:tcPr>
          <w:p w14:paraId="49B42BC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0001D8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Kaura S, Seetasith A, Ramesh V, Nanavaty M, Proach J, Khan Z.M</w:t>
            </w:r>
          </w:p>
        </w:tc>
        <w:tc>
          <w:tcPr>
            <w:tcW w:w="7010" w:type="dxa"/>
            <w:shd w:val="clear" w:color="auto" w:fill="auto"/>
            <w:vAlign w:val="center"/>
          </w:tcPr>
          <w:p w14:paraId="3F7897C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Survey of Ispor Attendee Views on the Use of Icer and Acceptable Icer Thresholds</w:t>
            </w:r>
          </w:p>
        </w:tc>
        <w:tc>
          <w:tcPr>
            <w:tcW w:w="568" w:type="dxa"/>
            <w:shd w:val="clear" w:color="auto" w:fill="auto"/>
            <w:vAlign w:val="center"/>
          </w:tcPr>
          <w:p w14:paraId="1063BD2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52F3C6C0" w14:textId="77777777" w:rsidTr="004C3C90">
        <w:trPr>
          <w:trHeight w:val="20"/>
        </w:trPr>
        <w:tc>
          <w:tcPr>
            <w:tcW w:w="550" w:type="dxa"/>
            <w:shd w:val="clear" w:color="auto" w:fill="auto"/>
            <w:vAlign w:val="center"/>
          </w:tcPr>
          <w:p w14:paraId="3F6BFBB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463</w:t>
            </w:r>
          </w:p>
        </w:tc>
        <w:tc>
          <w:tcPr>
            <w:tcW w:w="1071" w:type="dxa"/>
            <w:shd w:val="clear" w:color="auto" w:fill="auto"/>
            <w:vAlign w:val="center"/>
          </w:tcPr>
          <w:p w14:paraId="2CA5517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D32E08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Chegini Z, Maghari A, Ebrahimi A, Seraji B, Khorshidfar M</w:t>
            </w:r>
          </w:p>
        </w:tc>
        <w:tc>
          <w:tcPr>
            <w:tcW w:w="7010" w:type="dxa"/>
            <w:shd w:val="clear" w:color="auto" w:fill="auto"/>
            <w:vAlign w:val="center"/>
          </w:tcPr>
          <w:p w14:paraId="03DB770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Therapeutic Apheresis and Its Indications: Referred to Tehran Blood Transfusion Centre</w:t>
            </w:r>
          </w:p>
        </w:tc>
        <w:tc>
          <w:tcPr>
            <w:tcW w:w="568" w:type="dxa"/>
            <w:shd w:val="clear" w:color="auto" w:fill="auto"/>
            <w:vAlign w:val="center"/>
          </w:tcPr>
          <w:p w14:paraId="157209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6302811B" w14:textId="77777777" w:rsidTr="004C3C90">
        <w:trPr>
          <w:trHeight w:val="20"/>
        </w:trPr>
        <w:tc>
          <w:tcPr>
            <w:tcW w:w="550" w:type="dxa"/>
            <w:shd w:val="clear" w:color="auto" w:fill="auto"/>
            <w:vAlign w:val="center"/>
          </w:tcPr>
          <w:p w14:paraId="6D1CA50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464</w:t>
            </w:r>
          </w:p>
        </w:tc>
        <w:tc>
          <w:tcPr>
            <w:tcW w:w="1071" w:type="dxa"/>
            <w:shd w:val="clear" w:color="auto" w:fill="auto"/>
            <w:vAlign w:val="center"/>
          </w:tcPr>
          <w:p w14:paraId="7EF4630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088AB4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Guthrie S, Chapman D, Koller M, Jackie Walling J, Kinney GG</w:t>
            </w:r>
          </w:p>
        </w:tc>
        <w:tc>
          <w:tcPr>
            <w:tcW w:w="7010" w:type="dxa"/>
            <w:shd w:val="clear" w:color="auto" w:fill="auto"/>
            <w:vAlign w:val="center"/>
          </w:tcPr>
          <w:p w14:paraId="161FE6F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Who Is Treating Al Amyloidosis and How Are They Doing It? Results of a Global Physician Survey</w:t>
            </w:r>
          </w:p>
        </w:tc>
        <w:tc>
          <w:tcPr>
            <w:tcW w:w="568" w:type="dxa"/>
            <w:shd w:val="clear" w:color="auto" w:fill="auto"/>
            <w:vAlign w:val="center"/>
          </w:tcPr>
          <w:p w14:paraId="60EC443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72D2171E" w14:textId="77777777" w:rsidTr="004C3C90">
        <w:trPr>
          <w:trHeight w:val="20"/>
        </w:trPr>
        <w:tc>
          <w:tcPr>
            <w:tcW w:w="550" w:type="dxa"/>
            <w:shd w:val="clear" w:color="auto" w:fill="auto"/>
            <w:vAlign w:val="center"/>
          </w:tcPr>
          <w:p w14:paraId="721FE01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465</w:t>
            </w:r>
          </w:p>
        </w:tc>
        <w:tc>
          <w:tcPr>
            <w:tcW w:w="1071" w:type="dxa"/>
            <w:shd w:val="clear" w:color="auto" w:fill="auto"/>
            <w:vAlign w:val="center"/>
          </w:tcPr>
          <w:p w14:paraId="4BE4D92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56B7E5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Zanichelli A, Arcoleo F, Barca MP, Borrelli P, Bova M, Cancian M, et al.</w:t>
            </w:r>
          </w:p>
        </w:tc>
        <w:tc>
          <w:tcPr>
            <w:tcW w:w="7010" w:type="dxa"/>
            <w:shd w:val="clear" w:color="auto" w:fill="auto"/>
            <w:vAlign w:val="center"/>
          </w:tcPr>
          <w:p w14:paraId="27D9B86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Nationwide Survey of Hereditary Angioedema Due to C1 Inhibitor Deficiency in Italy</w:t>
            </w:r>
          </w:p>
        </w:tc>
        <w:tc>
          <w:tcPr>
            <w:tcW w:w="568" w:type="dxa"/>
            <w:shd w:val="clear" w:color="auto" w:fill="auto"/>
            <w:vAlign w:val="center"/>
          </w:tcPr>
          <w:p w14:paraId="66840C2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69C25409" w14:textId="77777777" w:rsidTr="004C3C90">
        <w:trPr>
          <w:trHeight w:val="20"/>
        </w:trPr>
        <w:tc>
          <w:tcPr>
            <w:tcW w:w="550" w:type="dxa"/>
            <w:shd w:val="clear" w:color="auto" w:fill="auto"/>
            <w:vAlign w:val="center"/>
          </w:tcPr>
          <w:p w14:paraId="00CDBE8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466</w:t>
            </w:r>
          </w:p>
        </w:tc>
        <w:tc>
          <w:tcPr>
            <w:tcW w:w="1071" w:type="dxa"/>
            <w:shd w:val="clear" w:color="auto" w:fill="auto"/>
            <w:vAlign w:val="center"/>
          </w:tcPr>
          <w:p w14:paraId="701318C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7AAA566" w14:textId="77777777" w:rsidR="004C3C90" w:rsidRPr="004C3C90" w:rsidRDefault="004C3C90" w:rsidP="004C3C90">
            <w:pPr>
              <w:spacing w:line="240" w:lineRule="auto"/>
              <w:rPr>
                <w:rFonts w:ascii="Times New Roman" w:eastAsia="Times New Roman" w:hAnsi="Times New Roman" w:cs="Times New Roman"/>
                <w:sz w:val="20"/>
                <w:szCs w:val="20"/>
                <w:highlight w:val="white"/>
              </w:rPr>
            </w:pPr>
            <w:r w:rsidRPr="004C3C90">
              <w:rPr>
                <w:rFonts w:ascii="Times New Roman" w:eastAsia="Times New Roman" w:hAnsi="Times New Roman" w:cs="Times New Roman"/>
                <w:sz w:val="20"/>
                <w:szCs w:val="20"/>
                <w:highlight w:val="white"/>
              </w:rPr>
              <w:t>Meunier B, Harle J, Chekroun M, Chiche L</w:t>
            </w:r>
          </w:p>
        </w:tc>
        <w:tc>
          <w:tcPr>
            <w:tcW w:w="7010" w:type="dxa"/>
            <w:shd w:val="clear" w:color="auto" w:fill="auto"/>
            <w:vAlign w:val="center"/>
          </w:tcPr>
          <w:p w14:paraId="5897F8E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Characteristics, Needs and Sources of Information of a French Online Community of Systemic Lupus Erythematosus Patients</w:t>
            </w:r>
          </w:p>
        </w:tc>
        <w:tc>
          <w:tcPr>
            <w:tcW w:w="568" w:type="dxa"/>
            <w:shd w:val="clear" w:color="auto" w:fill="auto"/>
            <w:vAlign w:val="center"/>
          </w:tcPr>
          <w:p w14:paraId="5935386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59753818" w14:textId="77777777" w:rsidTr="004C3C90">
        <w:trPr>
          <w:trHeight w:val="20"/>
        </w:trPr>
        <w:tc>
          <w:tcPr>
            <w:tcW w:w="550" w:type="dxa"/>
            <w:shd w:val="clear" w:color="auto" w:fill="auto"/>
            <w:vAlign w:val="center"/>
          </w:tcPr>
          <w:p w14:paraId="5F1EBE1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467</w:t>
            </w:r>
          </w:p>
        </w:tc>
        <w:tc>
          <w:tcPr>
            <w:tcW w:w="1071" w:type="dxa"/>
            <w:shd w:val="clear" w:color="auto" w:fill="auto"/>
            <w:vAlign w:val="center"/>
          </w:tcPr>
          <w:p w14:paraId="396ED2D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B9A75B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Yagi H, Hayakawa M, Yamaguchi N, Yamashita K, Taniguchi S, Matsumoto M, et al. </w:t>
            </w:r>
          </w:p>
        </w:tc>
        <w:tc>
          <w:tcPr>
            <w:tcW w:w="7010" w:type="dxa"/>
            <w:shd w:val="clear" w:color="auto" w:fill="auto"/>
            <w:vAlign w:val="center"/>
          </w:tcPr>
          <w:p w14:paraId="1FA1D20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Decreased Platelet Thrombus Size, Due to a Heightened Proteolysis of Vwf by Adamts13, Is Quickly Restored after Valve Replacement in Aortic Stenosis Patients</w:t>
            </w:r>
          </w:p>
        </w:tc>
        <w:tc>
          <w:tcPr>
            <w:tcW w:w="568" w:type="dxa"/>
            <w:shd w:val="clear" w:color="auto" w:fill="auto"/>
            <w:vAlign w:val="center"/>
          </w:tcPr>
          <w:p w14:paraId="1E024DF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60B832E1" w14:textId="77777777" w:rsidTr="004C3C90">
        <w:trPr>
          <w:trHeight w:val="20"/>
        </w:trPr>
        <w:tc>
          <w:tcPr>
            <w:tcW w:w="550" w:type="dxa"/>
            <w:shd w:val="clear" w:color="auto" w:fill="auto"/>
            <w:vAlign w:val="center"/>
          </w:tcPr>
          <w:p w14:paraId="00F5E23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468</w:t>
            </w:r>
          </w:p>
        </w:tc>
        <w:tc>
          <w:tcPr>
            <w:tcW w:w="1071" w:type="dxa"/>
            <w:shd w:val="clear" w:color="auto" w:fill="auto"/>
            <w:vAlign w:val="center"/>
          </w:tcPr>
          <w:p w14:paraId="73F4F8C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7F7DF9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Benjamin Xu, Paul Israelson, Jessy Dana Dorn, Mark S Humayun, Lisa C Olmos</w:t>
            </w:r>
          </w:p>
        </w:tc>
        <w:tc>
          <w:tcPr>
            <w:tcW w:w="7010" w:type="dxa"/>
            <w:shd w:val="clear" w:color="auto" w:fill="auto"/>
            <w:vAlign w:val="center"/>
          </w:tcPr>
          <w:p w14:paraId="1B49F41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Developing an Improved Method to Evaluate Retinitis Pigmentosa Patients for the Argus Ii Retinal Prosthesis System</w:t>
            </w:r>
          </w:p>
        </w:tc>
        <w:tc>
          <w:tcPr>
            <w:tcW w:w="568" w:type="dxa"/>
            <w:shd w:val="clear" w:color="auto" w:fill="auto"/>
            <w:vAlign w:val="center"/>
          </w:tcPr>
          <w:p w14:paraId="7F259AF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7FF94C95" w14:textId="77777777" w:rsidTr="004C3C90">
        <w:trPr>
          <w:trHeight w:val="20"/>
        </w:trPr>
        <w:tc>
          <w:tcPr>
            <w:tcW w:w="550" w:type="dxa"/>
            <w:shd w:val="clear" w:color="auto" w:fill="auto"/>
            <w:vAlign w:val="center"/>
          </w:tcPr>
          <w:p w14:paraId="1584C08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469</w:t>
            </w:r>
          </w:p>
        </w:tc>
        <w:tc>
          <w:tcPr>
            <w:tcW w:w="1071" w:type="dxa"/>
            <w:shd w:val="clear" w:color="auto" w:fill="auto"/>
            <w:vAlign w:val="center"/>
          </w:tcPr>
          <w:p w14:paraId="20DAA5E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F1B64D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Kumar A, Reddy A, Elliott W</w:t>
            </w:r>
          </w:p>
        </w:tc>
        <w:tc>
          <w:tcPr>
            <w:tcW w:w="7010" w:type="dxa"/>
            <w:shd w:val="clear" w:color="auto" w:fill="auto"/>
            <w:vAlign w:val="center"/>
          </w:tcPr>
          <w:p w14:paraId="58F932D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Elderly Female with Anemia and Acute Renal Failure</w:t>
            </w:r>
          </w:p>
        </w:tc>
        <w:tc>
          <w:tcPr>
            <w:tcW w:w="568" w:type="dxa"/>
            <w:shd w:val="clear" w:color="auto" w:fill="auto"/>
            <w:vAlign w:val="center"/>
          </w:tcPr>
          <w:p w14:paraId="6B21850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09FDADA5" w14:textId="77777777" w:rsidTr="004C3C90">
        <w:trPr>
          <w:trHeight w:val="20"/>
        </w:trPr>
        <w:tc>
          <w:tcPr>
            <w:tcW w:w="550" w:type="dxa"/>
            <w:shd w:val="clear" w:color="auto" w:fill="auto"/>
            <w:vAlign w:val="center"/>
          </w:tcPr>
          <w:p w14:paraId="19FBF7D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470</w:t>
            </w:r>
          </w:p>
        </w:tc>
        <w:tc>
          <w:tcPr>
            <w:tcW w:w="1071" w:type="dxa"/>
            <w:shd w:val="clear" w:color="auto" w:fill="auto"/>
            <w:vAlign w:val="center"/>
          </w:tcPr>
          <w:p w14:paraId="725F31B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9023D8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Sura M, Gerasimova K, Omelyanovsky VV, Avxentyeva M, Tatarinov A, Fedyaev D</w:t>
            </w:r>
          </w:p>
        </w:tc>
        <w:tc>
          <w:tcPr>
            <w:tcW w:w="7010" w:type="dxa"/>
            <w:shd w:val="clear" w:color="auto" w:fill="auto"/>
            <w:vAlign w:val="center"/>
          </w:tcPr>
          <w:p w14:paraId="7600139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Estimating the Costs of Drug Supply for Rare Diseases Patients in Russia</w:t>
            </w:r>
          </w:p>
        </w:tc>
        <w:tc>
          <w:tcPr>
            <w:tcW w:w="568" w:type="dxa"/>
            <w:shd w:val="clear" w:color="auto" w:fill="auto"/>
            <w:vAlign w:val="center"/>
          </w:tcPr>
          <w:p w14:paraId="7BFBE7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0AD93A2F" w14:textId="77777777" w:rsidTr="004C3C90">
        <w:trPr>
          <w:trHeight w:val="20"/>
        </w:trPr>
        <w:tc>
          <w:tcPr>
            <w:tcW w:w="550" w:type="dxa"/>
            <w:shd w:val="clear" w:color="auto" w:fill="auto"/>
            <w:vAlign w:val="center"/>
          </w:tcPr>
          <w:p w14:paraId="63FB431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471</w:t>
            </w:r>
          </w:p>
        </w:tc>
        <w:tc>
          <w:tcPr>
            <w:tcW w:w="1071" w:type="dxa"/>
            <w:shd w:val="clear" w:color="auto" w:fill="auto"/>
            <w:vAlign w:val="center"/>
          </w:tcPr>
          <w:p w14:paraId="394ACE3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5D6A2B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Perryman S, Sreepati G, Chalasani N, Lammert C</w:t>
            </w:r>
          </w:p>
        </w:tc>
        <w:tc>
          <w:tcPr>
            <w:tcW w:w="7010" w:type="dxa"/>
            <w:shd w:val="clear" w:color="auto" w:fill="auto"/>
            <w:vAlign w:val="center"/>
          </w:tcPr>
          <w:p w14:paraId="162C6AC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Fatigue and Itch Are Associated with Less Biochemical Response in Treated Autoimmune Hepatitis</w:t>
            </w:r>
          </w:p>
        </w:tc>
        <w:tc>
          <w:tcPr>
            <w:tcW w:w="568" w:type="dxa"/>
            <w:shd w:val="clear" w:color="auto" w:fill="auto"/>
            <w:vAlign w:val="center"/>
          </w:tcPr>
          <w:p w14:paraId="4108D4D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06F047DC" w14:textId="77777777" w:rsidTr="004C3C90">
        <w:trPr>
          <w:trHeight w:val="20"/>
        </w:trPr>
        <w:tc>
          <w:tcPr>
            <w:tcW w:w="550" w:type="dxa"/>
            <w:shd w:val="clear" w:color="auto" w:fill="auto"/>
            <w:vAlign w:val="center"/>
          </w:tcPr>
          <w:p w14:paraId="4A99D1E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472</w:t>
            </w:r>
          </w:p>
        </w:tc>
        <w:tc>
          <w:tcPr>
            <w:tcW w:w="1071" w:type="dxa"/>
            <w:shd w:val="clear" w:color="auto" w:fill="auto"/>
            <w:vAlign w:val="center"/>
          </w:tcPr>
          <w:p w14:paraId="0A1640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2B7D69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Péntek M, Baji P, Pogány G, Brodszky V, Boncz I, Gulácsi L</w:t>
            </w:r>
          </w:p>
        </w:tc>
        <w:tc>
          <w:tcPr>
            <w:tcW w:w="7010" w:type="dxa"/>
            <w:shd w:val="clear" w:color="auto" w:fill="auto"/>
            <w:vAlign w:val="center"/>
          </w:tcPr>
          <w:p w14:paraId="31B11A0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Health Related Quality of Life of Patients and Their Caregivers in Rare Diseases Results of the Burqol-Rd Project in Hungary</w:t>
            </w:r>
          </w:p>
        </w:tc>
        <w:tc>
          <w:tcPr>
            <w:tcW w:w="568" w:type="dxa"/>
            <w:shd w:val="clear" w:color="auto" w:fill="auto"/>
            <w:vAlign w:val="center"/>
          </w:tcPr>
          <w:p w14:paraId="723F717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4CC5D671" w14:textId="77777777" w:rsidTr="004C3C90">
        <w:trPr>
          <w:trHeight w:val="20"/>
        </w:trPr>
        <w:tc>
          <w:tcPr>
            <w:tcW w:w="550" w:type="dxa"/>
            <w:shd w:val="clear" w:color="auto" w:fill="auto"/>
            <w:vAlign w:val="center"/>
          </w:tcPr>
          <w:p w14:paraId="4B0178C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473</w:t>
            </w:r>
          </w:p>
        </w:tc>
        <w:tc>
          <w:tcPr>
            <w:tcW w:w="1071" w:type="dxa"/>
            <w:shd w:val="clear" w:color="auto" w:fill="auto"/>
            <w:vAlign w:val="center"/>
          </w:tcPr>
          <w:p w14:paraId="1283F49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B4B0D7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Rizzardo S., Bansback N., Mitton C., Marra C., Lynd L.</w:t>
            </w:r>
          </w:p>
        </w:tc>
        <w:tc>
          <w:tcPr>
            <w:tcW w:w="7010" w:type="dxa"/>
            <w:shd w:val="clear" w:color="auto" w:fill="auto"/>
            <w:vAlign w:val="center"/>
          </w:tcPr>
          <w:p w14:paraId="3950421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How Canadians Value Rare Diseases Given Their Opportunity Cost?</w:t>
            </w:r>
          </w:p>
        </w:tc>
        <w:tc>
          <w:tcPr>
            <w:tcW w:w="568" w:type="dxa"/>
            <w:shd w:val="clear" w:color="auto" w:fill="auto"/>
            <w:vAlign w:val="center"/>
          </w:tcPr>
          <w:p w14:paraId="5703EDC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6DB24C3E" w14:textId="77777777" w:rsidTr="004C3C90">
        <w:trPr>
          <w:trHeight w:val="20"/>
        </w:trPr>
        <w:tc>
          <w:tcPr>
            <w:tcW w:w="550" w:type="dxa"/>
            <w:shd w:val="clear" w:color="auto" w:fill="auto"/>
            <w:vAlign w:val="center"/>
          </w:tcPr>
          <w:p w14:paraId="5CC07D2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474</w:t>
            </w:r>
          </w:p>
        </w:tc>
        <w:tc>
          <w:tcPr>
            <w:tcW w:w="1071" w:type="dxa"/>
            <w:shd w:val="clear" w:color="auto" w:fill="auto"/>
            <w:vAlign w:val="center"/>
          </w:tcPr>
          <w:p w14:paraId="5F8DFB5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4EF041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Naruse S, Ishiguro H, Yamamoto A, Kondo S, Nakakuku M, Hoshino M, et al.</w:t>
            </w:r>
          </w:p>
        </w:tc>
        <w:tc>
          <w:tcPr>
            <w:tcW w:w="7010" w:type="dxa"/>
            <w:shd w:val="clear" w:color="auto" w:fill="auto"/>
            <w:vAlign w:val="center"/>
          </w:tcPr>
          <w:p w14:paraId="407D43B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Incidence and Exocrine Pancreatic Function of Cystic Fibrosis in Japan</w:t>
            </w:r>
          </w:p>
        </w:tc>
        <w:tc>
          <w:tcPr>
            <w:tcW w:w="568" w:type="dxa"/>
            <w:shd w:val="clear" w:color="auto" w:fill="auto"/>
            <w:vAlign w:val="center"/>
          </w:tcPr>
          <w:p w14:paraId="209ACCD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2CD45AA2" w14:textId="77777777" w:rsidTr="004C3C90">
        <w:trPr>
          <w:trHeight w:val="20"/>
        </w:trPr>
        <w:tc>
          <w:tcPr>
            <w:tcW w:w="550" w:type="dxa"/>
            <w:shd w:val="clear" w:color="auto" w:fill="auto"/>
            <w:vAlign w:val="center"/>
          </w:tcPr>
          <w:p w14:paraId="6C23E06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475</w:t>
            </w:r>
          </w:p>
        </w:tc>
        <w:tc>
          <w:tcPr>
            <w:tcW w:w="1071" w:type="dxa"/>
            <w:shd w:val="clear" w:color="auto" w:fill="auto"/>
            <w:vAlign w:val="center"/>
          </w:tcPr>
          <w:p w14:paraId="3765CA2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70A280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Small M, Piercy J, Pike J, Cerulli A.</w:t>
            </w:r>
          </w:p>
        </w:tc>
        <w:tc>
          <w:tcPr>
            <w:tcW w:w="7010" w:type="dxa"/>
            <w:shd w:val="clear" w:color="auto" w:fill="auto"/>
            <w:vAlign w:val="center"/>
          </w:tcPr>
          <w:p w14:paraId="3BAF05F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Incremental Burden of Disease in Patients Diagnosed with Pulmonary Arterial Hypertension Receiving Monotherapy and Combination Vasodilator Therapy</w:t>
            </w:r>
          </w:p>
        </w:tc>
        <w:tc>
          <w:tcPr>
            <w:tcW w:w="568" w:type="dxa"/>
            <w:shd w:val="clear" w:color="auto" w:fill="auto"/>
            <w:vAlign w:val="center"/>
          </w:tcPr>
          <w:p w14:paraId="448491A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680ED110" w14:textId="77777777" w:rsidTr="004C3C90">
        <w:trPr>
          <w:trHeight w:val="20"/>
        </w:trPr>
        <w:tc>
          <w:tcPr>
            <w:tcW w:w="550" w:type="dxa"/>
            <w:shd w:val="clear" w:color="auto" w:fill="auto"/>
            <w:vAlign w:val="center"/>
          </w:tcPr>
          <w:p w14:paraId="69A5BDB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476</w:t>
            </w:r>
          </w:p>
        </w:tc>
        <w:tc>
          <w:tcPr>
            <w:tcW w:w="1071" w:type="dxa"/>
            <w:shd w:val="clear" w:color="auto" w:fill="auto"/>
            <w:vAlign w:val="center"/>
          </w:tcPr>
          <w:p w14:paraId="166BC63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F9ED57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Trip AM, Tsiachristas A, Koenders JM, Kanters TA</w:t>
            </w:r>
          </w:p>
        </w:tc>
        <w:tc>
          <w:tcPr>
            <w:tcW w:w="7010" w:type="dxa"/>
            <w:shd w:val="clear" w:color="auto" w:fill="auto"/>
            <w:vAlign w:val="center"/>
          </w:tcPr>
          <w:p w14:paraId="4B6FE84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Multi-Criteria Decision Analysis for Reimbursing Orphan Drugs: A Dutch Demonstration Study Using the Analytic Hierarchy Process Method</w:t>
            </w:r>
          </w:p>
        </w:tc>
        <w:tc>
          <w:tcPr>
            <w:tcW w:w="568" w:type="dxa"/>
            <w:shd w:val="clear" w:color="auto" w:fill="auto"/>
            <w:vAlign w:val="center"/>
          </w:tcPr>
          <w:p w14:paraId="1F2EF8E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28A5692D" w14:textId="77777777" w:rsidTr="004C3C90">
        <w:trPr>
          <w:trHeight w:val="20"/>
        </w:trPr>
        <w:tc>
          <w:tcPr>
            <w:tcW w:w="550" w:type="dxa"/>
            <w:shd w:val="clear" w:color="auto" w:fill="auto"/>
            <w:vAlign w:val="center"/>
          </w:tcPr>
          <w:p w14:paraId="1B77404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477</w:t>
            </w:r>
          </w:p>
        </w:tc>
        <w:tc>
          <w:tcPr>
            <w:tcW w:w="1071" w:type="dxa"/>
            <w:shd w:val="clear" w:color="auto" w:fill="auto"/>
            <w:vAlign w:val="center"/>
          </w:tcPr>
          <w:p w14:paraId="48E9F27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207465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Takeuchi F, Nakamura H, Mitsuhashi S, mori-Yoshimura M, Hayashi YK, et al. </w:t>
            </w:r>
          </w:p>
        </w:tc>
        <w:tc>
          <w:tcPr>
            <w:tcW w:w="7010" w:type="dxa"/>
            <w:shd w:val="clear" w:color="auto" w:fill="auto"/>
            <w:vAlign w:val="center"/>
          </w:tcPr>
          <w:p w14:paraId="7C22A7F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National Registry of Japanese Dystrophinopathy Patients: Remudy</w:t>
            </w:r>
          </w:p>
        </w:tc>
        <w:tc>
          <w:tcPr>
            <w:tcW w:w="568" w:type="dxa"/>
            <w:shd w:val="clear" w:color="auto" w:fill="auto"/>
            <w:vAlign w:val="center"/>
          </w:tcPr>
          <w:p w14:paraId="58935E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7C81C5B5" w14:textId="77777777" w:rsidTr="004C3C90">
        <w:trPr>
          <w:trHeight w:val="20"/>
        </w:trPr>
        <w:tc>
          <w:tcPr>
            <w:tcW w:w="550" w:type="dxa"/>
            <w:shd w:val="clear" w:color="auto" w:fill="auto"/>
            <w:vAlign w:val="center"/>
          </w:tcPr>
          <w:p w14:paraId="6CC09CE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478</w:t>
            </w:r>
          </w:p>
        </w:tc>
        <w:tc>
          <w:tcPr>
            <w:tcW w:w="1071" w:type="dxa"/>
            <w:shd w:val="clear" w:color="auto" w:fill="auto"/>
            <w:vAlign w:val="center"/>
          </w:tcPr>
          <w:p w14:paraId="344FC3D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31940C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Peay HL, Scharff H, Biesecker BB</w:t>
            </w:r>
          </w:p>
        </w:tc>
        <w:tc>
          <w:tcPr>
            <w:tcW w:w="7010" w:type="dxa"/>
            <w:shd w:val="clear" w:color="auto" w:fill="auto"/>
            <w:vAlign w:val="center"/>
          </w:tcPr>
          <w:p w14:paraId="2AD6460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Perceived Barriers and Facilitators of Participation in Clinical Trials for Duchenne and Becker Muscular Dystrophy</w:t>
            </w:r>
          </w:p>
        </w:tc>
        <w:tc>
          <w:tcPr>
            <w:tcW w:w="568" w:type="dxa"/>
            <w:shd w:val="clear" w:color="auto" w:fill="auto"/>
            <w:vAlign w:val="center"/>
          </w:tcPr>
          <w:p w14:paraId="7948E4E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79DB6AD4" w14:textId="77777777" w:rsidTr="004C3C90">
        <w:trPr>
          <w:trHeight w:val="20"/>
        </w:trPr>
        <w:tc>
          <w:tcPr>
            <w:tcW w:w="550" w:type="dxa"/>
            <w:shd w:val="clear" w:color="auto" w:fill="auto"/>
            <w:vAlign w:val="center"/>
          </w:tcPr>
          <w:p w14:paraId="198AAAA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479</w:t>
            </w:r>
          </w:p>
        </w:tc>
        <w:tc>
          <w:tcPr>
            <w:tcW w:w="1071" w:type="dxa"/>
            <w:shd w:val="clear" w:color="auto" w:fill="auto"/>
            <w:vAlign w:val="center"/>
          </w:tcPr>
          <w:p w14:paraId="77C2039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9117F4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O'Mahony B, Kent A, Aymé S</w:t>
            </w:r>
          </w:p>
        </w:tc>
        <w:tc>
          <w:tcPr>
            <w:tcW w:w="7010" w:type="dxa"/>
            <w:shd w:val="clear" w:color="auto" w:fill="auto"/>
            <w:vAlign w:val="center"/>
          </w:tcPr>
          <w:p w14:paraId="5F4D316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Pfizer-Sponsored Satellite Symposium at the European Haemophilia Consortium (Ehc) Congress: Changing the Policy Landscape: Haemophilia Patient Involvement in Healthcare Decision-Making</w:t>
            </w:r>
          </w:p>
        </w:tc>
        <w:tc>
          <w:tcPr>
            <w:tcW w:w="568" w:type="dxa"/>
            <w:shd w:val="clear" w:color="auto" w:fill="auto"/>
            <w:vAlign w:val="center"/>
          </w:tcPr>
          <w:p w14:paraId="2F6CBEA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5B790BEA" w14:textId="77777777" w:rsidTr="004C3C90">
        <w:trPr>
          <w:trHeight w:val="20"/>
        </w:trPr>
        <w:tc>
          <w:tcPr>
            <w:tcW w:w="550" w:type="dxa"/>
            <w:shd w:val="clear" w:color="auto" w:fill="auto"/>
            <w:vAlign w:val="center"/>
          </w:tcPr>
          <w:p w14:paraId="719E368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480</w:t>
            </w:r>
          </w:p>
        </w:tc>
        <w:tc>
          <w:tcPr>
            <w:tcW w:w="1071" w:type="dxa"/>
            <w:shd w:val="clear" w:color="auto" w:fill="auto"/>
            <w:vAlign w:val="center"/>
          </w:tcPr>
          <w:p w14:paraId="5D9DFDD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120924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Opotowsky AR, Moko L, Kim Y, et al</w:t>
            </w:r>
          </w:p>
        </w:tc>
        <w:tc>
          <w:tcPr>
            <w:tcW w:w="7010" w:type="dxa"/>
            <w:shd w:val="clear" w:color="auto" w:fill="auto"/>
            <w:vAlign w:val="center"/>
          </w:tcPr>
          <w:p w14:paraId="2999625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Pheochromocytoma-Paraganglioma Syndromes and Cyanotic Congenital Heart Disease: An International Multicenter Case Series and Population-Based Epidemiologic Study</w:t>
            </w:r>
          </w:p>
        </w:tc>
        <w:tc>
          <w:tcPr>
            <w:tcW w:w="568" w:type="dxa"/>
            <w:shd w:val="clear" w:color="auto" w:fill="auto"/>
            <w:vAlign w:val="center"/>
          </w:tcPr>
          <w:p w14:paraId="7C5ECA0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4841670F" w14:textId="77777777" w:rsidTr="004C3C90">
        <w:trPr>
          <w:trHeight w:val="20"/>
        </w:trPr>
        <w:tc>
          <w:tcPr>
            <w:tcW w:w="550" w:type="dxa"/>
            <w:shd w:val="clear" w:color="auto" w:fill="auto"/>
            <w:vAlign w:val="center"/>
          </w:tcPr>
          <w:p w14:paraId="4DCAF1A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481</w:t>
            </w:r>
          </w:p>
        </w:tc>
        <w:tc>
          <w:tcPr>
            <w:tcW w:w="1071" w:type="dxa"/>
            <w:shd w:val="clear" w:color="auto" w:fill="auto"/>
            <w:vAlign w:val="center"/>
          </w:tcPr>
          <w:p w14:paraId="7DA4EE0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B4D61E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Meijden JC, Gungor D, Kruijshaar ME, Ans T</w:t>
            </w:r>
          </w:p>
        </w:tc>
        <w:tc>
          <w:tcPr>
            <w:tcW w:w="7010" w:type="dxa"/>
            <w:shd w:val="clear" w:color="auto" w:fill="auto"/>
            <w:vAlign w:val="center"/>
          </w:tcPr>
          <w:p w14:paraId="22B0EA0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Pompe Survey: A Summary of 10 Years Follow-up through Patient Reported Outcomes on Non-Classic Pompe Patients</w:t>
            </w:r>
          </w:p>
        </w:tc>
        <w:tc>
          <w:tcPr>
            <w:tcW w:w="568" w:type="dxa"/>
            <w:shd w:val="clear" w:color="auto" w:fill="auto"/>
            <w:vAlign w:val="center"/>
          </w:tcPr>
          <w:p w14:paraId="780DE61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48345C7D" w14:textId="77777777" w:rsidTr="004C3C90">
        <w:trPr>
          <w:trHeight w:val="20"/>
        </w:trPr>
        <w:tc>
          <w:tcPr>
            <w:tcW w:w="550" w:type="dxa"/>
            <w:shd w:val="clear" w:color="auto" w:fill="auto"/>
            <w:vAlign w:val="center"/>
          </w:tcPr>
          <w:p w14:paraId="101B8EC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482</w:t>
            </w:r>
          </w:p>
        </w:tc>
        <w:tc>
          <w:tcPr>
            <w:tcW w:w="1071" w:type="dxa"/>
            <w:shd w:val="clear" w:color="auto" w:fill="auto"/>
            <w:vAlign w:val="center"/>
          </w:tcPr>
          <w:p w14:paraId="0C414A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FD1F5A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Stourac P</w:t>
            </w:r>
            <w:r w:rsidRPr="004C3C90">
              <w:rPr>
                <w:rFonts w:ascii="Times New Roman" w:eastAsia="Times New Roman" w:hAnsi="Times New Roman" w:cs="Times New Roman"/>
                <w:sz w:val="20"/>
                <w:szCs w:val="20"/>
                <w:shd w:val="clear" w:color="auto" w:fill="F3F3F3"/>
              </w:rPr>
              <w:t xml:space="preserve">, </w:t>
            </w:r>
            <w:r w:rsidRPr="004C3C90">
              <w:rPr>
                <w:rFonts w:ascii="Times New Roman" w:eastAsia="Times New Roman" w:hAnsi="Times New Roman" w:cs="Times New Roman"/>
                <w:sz w:val="20"/>
                <w:szCs w:val="20"/>
              </w:rPr>
              <w:t>Bednarova J</w:t>
            </w:r>
            <w:r w:rsidRPr="004C3C90">
              <w:rPr>
                <w:rFonts w:ascii="Times New Roman" w:eastAsia="Times New Roman" w:hAnsi="Times New Roman" w:cs="Times New Roman"/>
                <w:sz w:val="20"/>
                <w:szCs w:val="20"/>
                <w:shd w:val="clear" w:color="auto" w:fill="F3F3F3"/>
              </w:rPr>
              <w:t xml:space="preserve">, </w:t>
            </w:r>
            <w:r w:rsidRPr="004C3C90">
              <w:rPr>
                <w:rFonts w:ascii="Times New Roman" w:eastAsia="Times New Roman" w:hAnsi="Times New Roman" w:cs="Times New Roman"/>
                <w:sz w:val="20"/>
                <w:szCs w:val="20"/>
              </w:rPr>
              <w:t>Praksova P</w:t>
            </w:r>
            <w:r w:rsidRPr="004C3C90">
              <w:rPr>
                <w:rFonts w:ascii="Times New Roman" w:eastAsia="Times New Roman" w:hAnsi="Times New Roman" w:cs="Times New Roman"/>
                <w:sz w:val="20"/>
                <w:szCs w:val="20"/>
                <w:shd w:val="clear" w:color="auto" w:fill="F3F3F3"/>
              </w:rPr>
              <w:t xml:space="preserve">, </w:t>
            </w:r>
            <w:r w:rsidRPr="004C3C90">
              <w:rPr>
                <w:rFonts w:ascii="Times New Roman" w:eastAsia="Times New Roman" w:hAnsi="Times New Roman" w:cs="Times New Roman"/>
                <w:sz w:val="20"/>
                <w:szCs w:val="20"/>
              </w:rPr>
              <w:t>Hladikova M</w:t>
            </w:r>
            <w:r w:rsidRPr="004C3C90">
              <w:rPr>
                <w:rFonts w:ascii="Times New Roman" w:eastAsia="Times New Roman" w:hAnsi="Times New Roman" w:cs="Times New Roman"/>
                <w:sz w:val="20"/>
                <w:szCs w:val="20"/>
                <w:shd w:val="clear" w:color="auto" w:fill="F3F3F3"/>
              </w:rPr>
              <w:t xml:space="preserve">, </w:t>
            </w:r>
            <w:r w:rsidRPr="004C3C90">
              <w:rPr>
                <w:rFonts w:ascii="Times New Roman" w:eastAsia="Times New Roman" w:hAnsi="Times New Roman" w:cs="Times New Roman"/>
                <w:sz w:val="20"/>
                <w:szCs w:val="20"/>
              </w:rPr>
              <w:t>Kantorova K</w:t>
            </w:r>
          </w:p>
        </w:tc>
        <w:tc>
          <w:tcPr>
            <w:tcW w:w="7010" w:type="dxa"/>
            <w:shd w:val="clear" w:color="auto" w:fill="auto"/>
            <w:vAlign w:val="center"/>
          </w:tcPr>
          <w:p w14:paraId="74CA7D6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Population-Based Survey of Paraneoplastic Neurological Syndromes in the Czech Republic During the Eight Years' Period</w:t>
            </w:r>
          </w:p>
        </w:tc>
        <w:tc>
          <w:tcPr>
            <w:tcW w:w="568" w:type="dxa"/>
            <w:shd w:val="clear" w:color="auto" w:fill="auto"/>
            <w:vAlign w:val="center"/>
          </w:tcPr>
          <w:p w14:paraId="173ADCC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61B6089E" w14:textId="77777777" w:rsidTr="004C3C90">
        <w:trPr>
          <w:trHeight w:val="20"/>
        </w:trPr>
        <w:tc>
          <w:tcPr>
            <w:tcW w:w="550" w:type="dxa"/>
            <w:shd w:val="clear" w:color="auto" w:fill="auto"/>
            <w:vAlign w:val="center"/>
          </w:tcPr>
          <w:p w14:paraId="1BCD08F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483</w:t>
            </w:r>
          </w:p>
        </w:tc>
        <w:tc>
          <w:tcPr>
            <w:tcW w:w="1071" w:type="dxa"/>
            <w:shd w:val="clear" w:color="auto" w:fill="auto"/>
            <w:vAlign w:val="center"/>
          </w:tcPr>
          <w:p w14:paraId="23DDD89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0CB62D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Wiss J, Levin LA</w:t>
            </w:r>
          </w:p>
        </w:tc>
        <w:tc>
          <w:tcPr>
            <w:tcW w:w="7010" w:type="dxa"/>
            <w:shd w:val="clear" w:color="auto" w:fill="auto"/>
            <w:vAlign w:val="center"/>
          </w:tcPr>
          <w:p w14:paraId="659C86B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Preferences for Prioritizing Patients with Rare Diseases: A Survey of the General Population in Sweden</w:t>
            </w:r>
          </w:p>
        </w:tc>
        <w:tc>
          <w:tcPr>
            <w:tcW w:w="568" w:type="dxa"/>
            <w:shd w:val="clear" w:color="auto" w:fill="auto"/>
            <w:vAlign w:val="center"/>
          </w:tcPr>
          <w:p w14:paraId="40E9BAF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03520D11" w14:textId="77777777" w:rsidTr="004C3C90">
        <w:trPr>
          <w:trHeight w:val="20"/>
        </w:trPr>
        <w:tc>
          <w:tcPr>
            <w:tcW w:w="550" w:type="dxa"/>
            <w:shd w:val="clear" w:color="auto" w:fill="auto"/>
            <w:vAlign w:val="center"/>
          </w:tcPr>
          <w:p w14:paraId="1F75776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484</w:t>
            </w:r>
          </w:p>
        </w:tc>
        <w:tc>
          <w:tcPr>
            <w:tcW w:w="1071" w:type="dxa"/>
            <w:shd w:val="clear" w:color="auto" w:fill="auto"/>
            <w:vAlign w:val="center"/>
          </w:tcPr>
          <w:p w14:paraId="78729AB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FA702D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Ponet O, Tasdemir E, Magestro M, Griner BP, Gummins G, Van Engen A, et al.</w:t>
            </w:r>
          </w:p>
        </w:tc>
        <w:tc>
          <w:tcPr>
            <w:tcW w:w="7010" w:type="dxa"/>
            <w:shd w:val="clear" w:color="auto" w:fill="auto"/>
            <w:vAlign w:val="center"/>
          </w:tcPr>
          <w:p w14:paraId="2525360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Prevalence-Based Measurement of the Economic Burden of Rare Diseases: Case Review to Determine the Annual Cost of Acromegaly in Italy</w:t>
            </w:r>
          </w:p>
        </w:tc>
        <w:tc>
          <w:tcPr>
            <w:tcW w:w="568" w:type="dxa"/>
            <w:shd w:val="clear" w:color="auto" w:fill="auto"/>
            <w:vAlign w:val="center"/>
          </w:tcPr>
          <w:p w14:paraId="1F971D7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41C07798" w14:textId="77777777" w:rsidTr="004C3C90">
        <w:trPr>
          <w:trHeight w:val="20"/>
        </w:trPr>
        <w:tc>
          <w:tcPr>
            <w:tcW w:w="550" w:type="dxa"/>
            <w:shd w:val="clear" w:color="auto" w:fill="auto"/>
            <w:vAlign w:val="center"/>
          </w:tcPr>
          <w:p w14:paraId="7DCBE67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485</w:t>
            </w:r>
          </w:p>
        </w:tc>
        <w:tc>
          <w:tcPr>
            <w:tcW w:w="1071" w:type="dxa"/>
            <w:shd w:val="clear" w:color="auto" w:fill="auto"/>
            <w:vAlign w:val="center"/>
          </w:tcPr>
          <w:p w14:paraId="12546FC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C50A69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Vastert S, Dolezalova P, Feldman B, Ravelli A, Wulffraat N, Martini A, </w:t>
            </w:r>
            <w:r w:rsidRPr="004C3C90">
              <w:rPr>
                <w:rFonts w:ascii="Times New Roman" w:eastAsia="Times New Roman" w:hAnsi="Times New Roman" w:cs="Times New Roman"/>
                <w:i/>
                <w:sz w:val="20"/>
                <w:szCs w:val="20"/>
              </w:rPr>
              <w:t>et al.</w:t>
            </w:r>
            <w:r w:rsidRPr="004C3C90">
              <w:rPr>
                <w:rFonts w:ascii="Times New Roman" w:eastAsia="Roboto" w:hAnsi="Times New Roman" w:cs="Times New Roman"/>
                <w:sz w:val="20"/>
                <w:szCs w:val="20"/>
                <w:highlight w:val="white"/>
              </w:rPr>
              <w:t xml:space="preserve"> </w:t>
            </w:r>
          </w:p>
        </w:tc>
        <w:tc>
          <w:tcPr>
            <w:tcW w:w="7010" w:type="dxa"/>
            <w:shd w:val="clear" w:color="auto" w:fill="auto"/>
            <w:vAlign w:val="center"/>
          </w:tcPr>
          <w:p w14:paraId="4D12E5E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Share-Workpackage 5: Development of Best Practices of Diagnosis and Treatment for Paediatric Rheumatic Diseases Throughout Europe</w:t>
            </w:r>
          </w:p>
        </w:tc>
        <w:tc>
          <w:tcPr>
            <w:tcW w:w="568" w:type="dxa"/>
            <w:shd w:val="clear" w:color="auto" w:fill="auto"/>
            <w:vAlign w:val="center"/>
          </w:tcPr>
          <w:p w14:paraId="690A0DC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5A42FE57" w14:textId="77777777" w:rsidTr="004C3C90">
        <w:trPr>
          <w:trHeight w:val="20"/>
        </w:trPr>
        <w:tc>
          <w:tcPr>
            <w:tcW w:w="550" w:type="dxa"/>
            <w:shd w:val="clear" w:color="auto" w:fill="auto"/>
            <w:vAlign w:val="center"/>
          </w:tcPr>
          <w:p w14:paraId="0FB8E14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486</w:t>
            </w:r>
          </w:p>
        </w:tc>
        <w:tc>
          <w:tcPr>
            <w:tcW w:w="1071" w:type="dxa"/>
            <w:shd w:val="clear" w:color="auto" w:fill="auto"/>
            <w:vAlign w:val="center"/>
          </w:tcPr>
          <w:p w14:paraId="42A8341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9E25BF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Sharp CA, Tansley S, New P, Richard E, Rober G, Cooper NM, et al. </w:t>
            </w:r>
          </w:p>
        </w:tc>
        <w:tc>
          <w:tcPr>
            <w:tcW w:w="7010" w:type="dxa"/>
            <w:shd w:val="clear" w:color="auto" w:fill="auto"/>
            <w:vAlign w:val="center"/>
          </w:tcPr>
          <w:p w14:paraId="0BF02E1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Specialist Commissioning: Does Treatment by Experts Influence Outcomes for Patients with Rare Diseases? An Exemplar from Myositis</w:t>
            </w:r>
          </w:p>
        </w:tc>
        <w:tc>
          <w:tcPr>
            <w:tcW w:w="568" w:type="dxa"/>
            <w:shd w:val="clear" w:color="auto" w:fill="auto"/>
            <w:vAlign w:val="center"/>
          </w:tcPr>
          <w:p w14:paraId="1824E3C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50CA8ABA" w14:textId="77777777" w:rsidTr="004C3C90">
        <w:trPr>
          <w:trHeight w:val="20"/>
        </w:trPr>
        <w:tc>
          <w:tcPr>
            <w:tcW w:w="550" w:type="dxa"/>
            <w:shd w:val="clear" w:color="auto" w:fill="auto"/>
            <w:vAlign w:val="center"/>
          </w:tcPr>
          <w:p w14:paraId="5724408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487</w:t>
            </w:r>
          </w:p>
        </w:tc>
        <w:tc>
          <w:tcPr>
            <w:tcW w:w="1071" w:type="dxa"/>
            <w:shd w:val="clear" w:color="auto" w:fill="auto"/>
            <w:vAlign w:val="center"/>
          </w:tcPr>
          <w:p w14:paraId="24CC244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697A7B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Pieri L, Bonadonna P, Elena C, Papayannidis C, Grifoni FI, Rondoni M, et al. </w:t>
            </w:r>
          </w:p>
        </w:tc>
        <w:tc>
          <w:tcPr>
            <w:tcW w:w="7010" w:type="dxa"/>
            <w:shd w:val="clear" w:color="auto" w:fill="auto"/>
            <w:vAlign w:val="center"/>
          </w:tcPr>
          <w:p w14:paraId="4309994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Survey on Clinical and Biological Characteristic and Therapy Management of an Italian Series of 455 Adult Patients with Systemic Mastocytosis on Behalf of Italian Registry of Mastocytosis</w:t>
            </w:r>
          </w:p>
        </w:tc>
        <w:tc>
          <w:tcPr>
            <w:tcW w:w="568" w:type="dxa"/>
            <w:shd w:val="clear" w:color="auto" w:fill="auto"/>
            <w:vAlign w:val="center"/>
          </w:tcPr>
          <w:p w14:paraId="624A206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6A4E666F" w14:textId="77777777" w:rsidTr="004C3C90">
        <w:trPr>
          <w:trHeight w:val="20"/>
        </w:trPr>
        <w:tc>
          <w:tcPr>
            <w:tcW w:w="550" w:type="dxa"/>
            <w:shd w:val="clear" w:color="auto" w:fill="auto"/>
            <w:vAlign w:val="center"/>
          </w:tcPr>
          <w:p w14:paraId="0538E3F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488</w:t>
            </w:r>
          </w:p>
        </w:tc>
        <w:tc>
          <w:tcPr>
            <w:tcW w:w="1071" w:type="dxa"/>
            <w:shd w:val="clear" w:color="auto" w:fill="auto"/>
            <w:vAlign w:val="center"/>
          </w:tcPr>
          <w:p w14:paraId="728DCE1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5277ED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Weiglein T, Vehling-Kaiser U, Kaiser F</w:t>
            </w:r>
          </w:p>
        </w:tc>
        <w:tc>
          <w:tcPr>
            <w:tcW w:w="7010" w:type="dxa"/>
            <w:shd w:val="clear" w:color="auto" w:fill="auto"/>
            <w:vAlign w:val="center"/>
          </w:tcPr>
          <w:p w14:paraId="173A43D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Transdifferentiation from Chronic Lymphocytic Leukemia into Langerhans-Cell-Sarkoma: A Case Report</w:t>
            </w:r>
          </w:p>
        </w:tc>
        <w:tc>
          <w:tcPr>
            <w:tcW w:w="568" w:type="dxa"/>
            <w:shd w:val="clear" w:color="auto" w:fill="auto"/>
            <w:vAlign w:val="center"/>
          </w:tcPr>
          <w:p w14:paraId="3149765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434E607E" w14:textId="77777777" w:rsidTr="004C3C90">
        <w:trPr>
          <w:trHeight w:val="20"/>
        </w:trPr>
        <w:tc>
          <w:tcPr>
            <w:tcW w:w="550" w:type="dxa"/>
            <w:shd w:val="clear" w:color="auto" w:fill="auto"/>
            <w:vAlign w:val="center"/>
          </w:tcPr>
          <w:p w14:paraId="5CBCA74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489</w:t>
            </w:r>
          </w:p>
        </w:tc>
        <w:tc>
          <w:tcPr>
            <w:tcW w:w="1071" w:type="dxa"/>
            <w:shd w:val="clear" w:color="auto" w:fill="auto"/>
            <w:vAlign w:val="center"/>
          </w:tcPr>
          <w:p w14:paraId="4C6B6C9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032F15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Coi A, Santoro M, Lipucci M</w:t>
            </w:r>
          </w:p>
        </w:tc>
        <w:tc>
          <w:tcPr>
            <w:tcW w:w="7010" w:type="dxa"/>
            <w:shd w:val="clear" w:color="auto" w:fill="auto"/>
            <w:vAlign w:val="center"/>
          </w:tcPr>
          <w:p w14:paraId="4D609D4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Characterization and Classification of Rare Disease Registries by Using Exploratory Data Analyses</w:t>
            </w:r>
          </w:p>
        </w:tc>
        <w:tc>
          <w:tcPr>
            <w:tcW w:w="568" w:type="dxa"/>
            <w:shd w:val="clear" w:color="auto" w:fill="auto"/>
            <w:vAlign w:val="center"/>
          </w:tcPr>
          <w:p w14:paraId="0E7F438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09AD9224" w14:textId="77777777" w:rsidTr="004C3C90">
        <w:trPr>
          <w:trHeight w:val="20"/>
        </w:trPr>
        <w:tc>
          <w:tcPr>
            <w:tcW w:w="550" w:type="dxa"/>
            <w:shd w:val="clear" w:color="auto" w:fill="auto"/>
            <w:vAlign w:val="center"/>
          </w:tcPr>
          <w:p w14:paraId="30D8A26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490</w:t>
            </w:r>
          </w:p>
        </w:tc>
        <w:tc>
          <w:tcPr>
            <w:tcW w:w="1071" w:type="dxa"/>
            <w:shd w:val="clear" w:color="auto" w:fill="auto"/>
            <w:vAlign w:val="center"/>
          </w:tcPr>
          <w:p w14:paraId="01DC3BF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8F4483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Fabriani V, Marcellusi A, Mennini FS, Giannantoni P</w:t>
            </w:r>
          </w:p>
        </w:tc>
        <w:tc>
          <w:tcPr>
            <w:tcW w:w="7010" w:type="dxa"/>
            <w:shd w:val="clear" w:color="auto" w:fill="auto"/>
            <w:vAlign w:val="center"/>
          </w:tcPr>
          <w:p w14:paraId="4E82701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Cost of Illness Analysis of Duchenne Muscular Dystrophy in Italy</w:t>
            </w:r>
          </w:p>
        </w:tc>
        <w:tc>
          <w:tcPr>
            <w:tcW w:w="568" w:type="dxa"/>
            <w:shd w:val="clear" w:color="auto" w:fill="auto"/>
            <w:vAlign w:val="center"/>
          </w:tcPr>
          <w:p w14:paraId="7D142A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60552F4E" w14:textId="77777777" w:rsidTr="004C3C90">
        <w:trPr>
          <w:trHeight w:val="20"/>
        </w:trPr>
        <w:tc>
          <w:tcPr>
            <w:tcW w:w="550" w:type="dxa"/>
            <w:shd w:val="clear" w:color="auto" w:fill="auto"/>
            <w:vAlign w:val="center"/>
          </w:tcPr>
          <w:p w14:paraId="62CC151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491</w:t>
            </w:r>
          </w:p>
        </w:tc>
        <w:tc>
          <w:tcPr>
            <w:tcW w:w="1071" w:type="dxa"/>
            <w:shd w:val="clear" w:color="auto" w:fill="auto"/>
            <w:vAlign w:val="center"/>
          </w:tcPr>
          <w:p w14:paraId="4A510A8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20E100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Tailor V, Ridder L </w:t>
            </w:r>
          </w:p>
        </w:tc>
        <w:tc>
          <w:tcPr>
            <w:tcW w:w="7010" w:type="dxa"/>
            <w:shd w:val="clear" w:color="auto" w:fill="auto"/>
            <w:vAlign w:val="center"/>
          </w:tcPr>
          <w:p w14:paraId="108A73E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Developing a European Clinical Research Network for Paediatric Gastroenterology , Hepatology and Nutrition</w:t>
            </w:r>
          </w:p>
        </w:tc>
        <w:tc>
          <w:tcPr>
            <w:tcW w:w="568" w:type="dxa"/>
            <w:shd w:val="clear" w:color="auto" w:fill="auto"/>
            <w:vAlign w:val="center"/>
          </w:tcPr>
          <w:p w14:paraId="2A8C383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7A554ED6" w14:textId="77777777" w:rsidTr="004C3C90">
        <w:trPr>
          <w:trHeight w:val="20"/>
        </w:trPr>
        <w:tc>
          <w:tcPr>
            <w:tcW w:w="550" w:type="dxa"/>
            <w:shd w:val="clear" w:color="auto" w:fill="auto"/>
            <w:vAlign w:val="center"/>
          </w:tcPr>
          <w:p w14:paraId="3F04AC5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492</w:t>
            </w:r>
          </w:p>
        </w:tc>
        <w:tc>
          <w:tcPr>
            <w:tcW w:w="1071" w:type="dxa"/>
            <w:shd w:val="clear" w:color="auto" w:fill="auto"/>
            <w:vAlign w:val="center"/>
          </w:tcPr>
          <w:p w14:paraId="31533EE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1A0BC1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Karakina M, Tuzankina I</w:t>
            </w:r>
          </w:p>
        </w:tc>
        <w:tc>
          <w:tcPr>
            <w:tcW w:w="7010" w:type="dxa"/>
            <w:shd w:val="clear" w:color="auto" w:fill="auto"/>
            <w:vAlign w:val="center"/>
          </w:tcPr>
          <w:p w14:paraId="6E5DBE6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Early Recognition Program of Primary Immunodeficiencies in the Ural Region</w:t>
            </w:r>
          </w:p>
        </w:tc>
        <w:tc>
          <w:tcPr>
            <w:tcW w:w="568" w:type="dxa"/>
            <w:shd w:val="clear" w:color="auto" w:fill="auto"/>
            <w:vAlign w:val="center"/>
          </w:tcPr>
          <w:p w14:paraId="1D5FABF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22307C19" w14:textId="77777777" w:rsidTr="004C3C90">
        <w:trPr>
          <w:trHeight w:val="20"/>
        </w:trPr>
        <w:tc>
          <w:tcPr>
            <w:tcW w:w="550" w:type="dxa"/>
            <w:shd w:val="clear" w:color="auto" w:fill="auto"/>
            <w:vAlign w:val="center"/>
          </w:tcPr>
          <w:p w14:paraId="35BE70B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493</w:t>
            </w:r>
          </w:p>
        </w:tc>
        <w:tc>
          <w:tcPr>
            <w:tcW w:w="1071" w:type="dxa"/>
            <w:shd w:val="clear" w:color="auto" w:fill="auto"/>
            <w:vAlign w:val="center"/>
          </w:tcPr>
          <w:p w14:paraId="65F6D1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8CE3917" w14:textId="77777777" w:rsidR="004C3C90" w:rsidRPr="004C3C90" w:rsidRDefault="004C3C90" w:rsidP="004C3C90">
            <w:pPr>
              <w:shd w:val="clear" w:color="auto" w:fill="FFFFFF"/>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Iskrov G, Houÿez F</w:t>
            </w:r>
          </w:p>
        </w:tc>
        <w:tc>
          <w:tcPr>
            <w:tcW w:w="7010" w:type="dxa"/>
            <w:shd w:val="clear" w:color="auto" w:fill="auto"/>
            <w:vAlign w:val="center"/>
          </w:tcPr>
          <w:p w14:paraId="2A70FB0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European Network of Rare Disease Help Lines (Enrdhls)-Caller Profile Analysis 2013</w:t>
            </w:r>
          </w:p>
        </w:tc>
        <w:tc>
          <w:tcPr>
            <w:tcW w:w="568" w:type="dxa"/>
            <w:shd w:val="clear" w:color="auto" w:fill="auto"/>
            <w:vAlign w:val="center"/>
          </w:tcPr>
          <w:p w14:paraId="4B5BF7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06868500" w14:textId="77777777" w:rsidTr="004C3C90">
        <w:trPr>
          <w:trHeight w:val="20"/>
        </w:trPr>
        <w:tc>
          <w:tcPr>
            <w:tcW w:w="550" w:type="dxa"/>
            <w:shd w:val="clear" w:color="auto" w:fill="auto"/>
            <w:vAlign w:val="center"/>
          </w:tcPr>
          <w:p w14:paraId="3915A0F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494</w:t>
            </w:r>
          </w:p>
        </w:tc>
        <w:tc>
          <w:tcPr>
            <w:tcW w:w="1071" w:type="dxa"/>
            <w:shd w:val="clear" w:color="auto" w:fill="auto"/>
            <w:vAlign w:val="center"/>
          </w:tcPr>
          <w:p w14:paraId="0DCC6A4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61559F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Houÿez F, Tessier L, Synodinos D</w:t>
            </w:r>
          </w:p>
          <w:p w14:paraId="2C293977" w14:textId="77777777" w:rsidR="004C3C90" w:rsidRPr="004C3C90" w:rsidRDefault="004C3C90" w:rsidP="004C3C90">
            <w:pPr>
              <w:spacing w:line="240" w:lineRule="auto"/>
              <w:rPr>
                <w:rFonts w:ascii="Times New Roman" w:eastAsia="Times New Roman" w:hAnsi="Times New Roman" w:cs="Times New Roman"/>
                <w:sz w:val="20"/>
                <w:szCs w:val="20"/>
              </w:rPr>
            </w:pPr>
          </w:p>
        </w:tc>
        <w:tc>
          <w:tcPr>
            <w:tcW w:w="7010" w:type="dxa"/>
            <w:shd w:val="clear" w:color="auto" w:fill="auto"/>
            <w:vAlign w:val="center"/>
          </w:tcPr>
          <w:p w14:paraId="448E50E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Health Care Cost-Containment Measures in the Context of the Economic Crisis: Impact Analysis</w:t>
            </w:r>
          </w:p>
        </w:tc>
        <w:tc>
          <w:tcPr>
            <w:tcW w:w="568" w:type="dxa"/>
            <w:shd w:val="clear" w:color="auto" w:fill="auto"/>
            <w:vAlign w:val="center"/>
          </w:tcPr>
          <w:p w14:paraId="22C1F95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3CF5D198" w14:textId="77777777" w:rsidTr="004C3C90">
        <w:trPr>
          <w:trHeight w:val="20"/>
        </w:trPr>
        <w:tc>
          <w:tcPr>
            <w:tcW w:w="550" w:type="dxa"/>
            <w:shd w:val="clear" w:color="auto" w:fill="auto"/>
            <w:vAlign w:val="center"/>
          </w:tcPr>
          <w:p w14:paraId="71A90C0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495</w:t>
            </w:r>
          </w:p>
        </w:tc>
        <w:tc>
          <w:tcPr>
            <w:tcW w:w="1071" w:type="dxa"/>
            <w:shd w:val="clear" w:color="auto" w:fill="auto"/>
            <w:vAlign w:val="center"/>
          </w:tcPr>
          <w:p w14:paraId="7D3FE0E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6A4E9B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Caballero T, Caminoa MJ, Pérez-Fernández E, et al.</w:t>
            </w:r>
          </w:p>
        </w:tc>
        <w:tc>
          <w:tcPr>
            <w:tcW w:w="7010" w:type="dxa"/>
            <w:shd w:val="clear" w:color="auto" w:fill="auto"/>
            <w:vAlign w:val="center"/>
          </w:tcPr>
          <w:p w14:paraId="4FA6266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Health-Related Quality of Life (Hrqol) in Adult Patients with Hereditary Angioedema Due to C1 Inhibitor Deficiency (Haec1-Inh) Assessed by Sf-36v2</w:t>
            </w:r>
          </w:p>
        </w:tc>
        <w:tc>
          <w:tcPr>
            <w:tcW w:w="568" w:type="dxa"/>
            <w:shd w:val="clear" w:color="auto" w:fill="auto"/>
            <w:vAlign w:val="center"/>
          </w:tcPr>
          <w:p w14:paraId="341C4E5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006CEE4E" w14:textId="77777777" w:rsidTr="004C3C90">
        <w:trPr>
          <w:trHeight w:val="20"/>
        </w:trPr>
        <w:tc>
          <w:tcPr>
            <w:tcW w:w="550" w:type="dxa"/>
            <w:shd w:val="clear" w:color="auto" w:fill="auto"/>
            <w:vAlign w:val="center"/>
          </w:tcPr>
          <w:p w14:paraId="3D768F5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496</w:t>
            </w:r>
          </w:p>
        </w:tc>
        <w:tc>
          <w:tcPr>
            <w:tcW w:w="1071" w:type="dxa"/>
            <w:shd w:val="clear" w:color="auto" w:fill="auto"/>
            <w:vAlign w:val="center"/>
          </w:tcPr>
          <w:p w14:paraId="086584E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9A931C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Dan D, Castro R</w:t>
            </w:r>
          </w:p>
        </w:tc>
        <w:tc>
          <w:tcPr>
            <w:tcW w:w="7010" w:type="dxa"/>
            <w:shd w:val="clear" w:color="auto" w:fill="auto"/>
            <w:vAlign w:val="center"/>
          </w:tcPr>
          <w:p w14:paraId="2AE80D5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Identifying Specific Social Challenges of Rare Diseases: Current Challenges and Issues</w:t>
            </w:r>
          </w:p>
        </w:tc>
        <w:tc>
          <w:tcPr>
            <w:tcW w:w="568" w:type="dxa"/>
            <w:shd w:val="clear" w:color="auto" w:fill="auto"/>
            <w:vAlign w:val="center"/>
          </w:tcPr>
          <w:p w14:paraId="23549F3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2FA67E29" w14:textId="77777777" w:rsidTr="004C3C90">
        <w:trPr>
          <w:trHeight w:val="20"/>
        </w:trPr>
        <w:tc>
          <w:tcPr>
            <w:tcW w:w="550" w:type="dxa"/>
            <w:shd w:val="clear" w:color="auto" w:fill="auto"/>
            <w:vAlign w:val="center"/>
          </w:tcPr>
          <w:p w14:paraId="6DFEDA5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497</w:t>
            </w:r>
          </w:p>
        </w:tc>
        <w:tc>
          <w:tcPr>
            <w:tcW w:w="1071" w:type="dxa"/>
            <w:shd w:val="clear" w:color="auto" w:fill="auto"/>
            <w:vAlign w:val="center"/>
          </w:tcPr>
          <w:p w14:paraId="650AF15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6FD9120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Hanson KA, Dudka P, Payne KA, Beatty M, Frazee SG</w:t>
            </w:r>
          </w:p>
        </w:tc>
        <w:tc>
          <w:tcPr>
            <w:tcW w:w="7010" w:type="dxa"/>
            <w:shd w:val="clear" w:color="auto" w:fill="auto"/>
            <w:vAlign w:val="center"/>
          </w:tcPr>
          <w:p w14:paraId="7595BA0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Novel Approaches to Patient Recruitment and Data Integration</w:t>
            </w:r>
          </w:p>
        </w:tc>
        <w:tc>
          <w:tcPr>
            <w:tcW w:w="568" w:type="dxa"/>
            <w:shd w:val="clear" w:color="auto" w:fill="auto"/>
            <w:vAlign w:val="center"/>
          </w:tcPr>
          <w:p w14:paraId="0C0ED24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05D59F54" w14:textId="77777777" w:rsidTr="004C3C90">
        <w:trPr>
          <w:trHeight w:val="20"/>
        </w:trPr>
        <w:tc>
          <w:tcPr>
            <w:tcW w:w="550" w:type="dxa"/>
            <w:shd w:val="clear" w:color="auto" w:fill="auto"/>
            <w:vAlign w:val="center"/>
          </w:tcPr>
          <w:p w14:paraId="2142A87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498</w:t>
            </w:r>
          </w:p>
        </w:tc>
        <w:tc>
          <w:tcPr>
            <w:tcW w:w="1071" w:type="dxa"/>
            <w:shd w:val="clear" w:color="auto" w:fill="auto"/>
            <w:vAlign w:val="center"/>
          </w:tcPr>
          <w:p w14:paraId="154682B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4D11DFB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Joshi Namita Khanna R, Holmes E</w:t>
            </w:r>
          </w:p>
        </w:tc>
        <w:tc>
          <w:tcPr>
            <w:tcW w:w="7010" w:type="dxa"/>
            <w:shd w:val="clear" w:color="auto" w:fill="auto"/>
            <w:vAlign w:val="center"/>
          </w:tcPr>
          <w:p w14:paraId="41BFD6D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Pharmacists' Awareness and Knowledge of Multiple Sclerosis</w:t>
            </w:r>
          </w:p>
        </w:tc>
        <w:tc>
          <w:tcPr>
            <w:tcW w:w="568" w:type="dxa"/>
            <w:shd w:val="clear" w:color="auto" w:fill="auto"/>
            <w:vAlign w:val="center"/>
          </w:tcPr>
          <w:p w14:paraId="77A1661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4F42B8D1" w14:textId="77777777" w:rsidTr="004C3C90">
        <w:trPr>
          <w:trHeight w:val="20"/>
        </w:trPr>
        <w:tc>
          <w:tcPr>
            <w:tcW w:w="550" w:type="dxa"/>
            <w:shd w:val="clear" w:color="auto" w:fill="auto"/>
            <w:vAlign w:val="center"/>
          </w:tcPr>
          <w:p w14:paraId="6F4E047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499</w:t>
            </w:r>
          </w:p>
        </w:tc>
        <w:tc>
          <w:tcPr>
            <w:tcW w:w="1071" w:type="dxa"/>
            <w:shd w:val="clear" w:color="auto" w:fill="auto"/>
            <w:vAlign w:val="center"/>
          </w:tcPr>
          <w:p w14:paraId="1F0D8CB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65DB1EC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Jayasena A, Muscarella M, Ahmed F</w:t>
            </w:r>
          </w:p>
        </w:tc>
        <w:tc>
          <w:tcPr>
            <w:tcW w:w="7010" w:type="dxa"/>
            <w:shd w:val="clear" w:color="auto" w:fill="auto"/>
            <w:vAlign w:val="center"/>
          </w:tcPr>
          <w:p w14:paraId="2238357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Rare Disease Registries: Perception of Parents and Young People</w:t>
            </w:r>
          </w:p>
        </w:tc>
        <w:tc>
          <w:tcPr>
            <w:tcW w:w="568" w:type="dxa"/>
            <w:shd w:val="clear" w:color="auto" w:fill="auto"/>
            <w:vAlign w:val="center"/>
          </w:tcPr>
          <w:p w14:paraId="616733F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61DAF7E4" w14:textId="77777777" w:rsidTr="004C3C90">
        <w:trPr>
          <w:trHeight w:val="20"/>
        </w:trPr>
        <w:tc>
          <w:tcPr>
            <w:tcW w:w="550" w:type="dxa"/>
            <w:shd w:val="clear" w:color="auto" w:fill="auto"/>
            <w:vAlign w:val="center"/>
          </w:tcPr>
          <w:p w14:paraId="4DB91B7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500</w:t>
            </w:r>
          </w:p>
        </w:tc>
        <w:tc>
          <w:tcPr>
            <w:tcW w:w="1071" w:type="dxa"/>
            <w:shd w:val="clear" w:color="auto" w:fill="auto"/>
            <w:vAlign w:val="center"/>
          </w:tcPr>
          <w:p w14:paraId="515E9F0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3606EB3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Han C, Kavan augh A, Genovese MC, Deodhar A, Hsu B, Hsia E</w:t>
            </w:r>
          </w:p>
        </w:tc>
        <w:tc>
          <w:tcPr>
            <w:tcW w:w="7010" w:type="dxa"/>
            <w:shd w:val="clear" w:color="auto" w:fill="auto"/>
            <w:vAlign w:val="center"/>
          </w:tcPr>
          <w:p w14:paraId="427A6E8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Sustained Improvement in Health-Related Quality of Life, Work Productivity, Employability and Reduced Healthcare Resource Utilization of Patients with Rheumatoid Arthritis, Psoriatic Arthritis and Ankylosing Spondylitis Treated with Golimumab: 5-Year Results from Three Phase Iii Studies</w:t>
            </w:r>
          </w:p>
        </w:tc>
        <w:tc>
          <w:tcPr>
            <w:tcW w:w="568" w:type="dxa"/>
            <w:shd w:val="clear" w:color="auto" w:fill="auto"/>
            <w:vAlign w:val="center"/>
          </w:tcPr>
          <w:p w14:paraId="6DEE165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4ED790BF" w14:textId="77777777" w:rsidTr="004C3C90">
        <w:trPr>
          <w:trHeight w:val="20"/>
        </w:trPr>
        <w:tc>
          <w:tcPr>
            <w:tcW w:w="550" w:type="dxa"/>
            <w:shd w:val="clear" w:color="auto" w:fill="auto"/>
            <w:vAlign w:val="center"/>
          </w:tcPr>
          <w:p w14:paraId="2864D75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501</w:t>
            </w:r>
          </w:p>
        </w:tc>
        <w:tc>
          <w:tcPr>
            <w:tcW w:w="1071" w:type="dxa"/>
            <w:shd w:val="clear" w:color="auto" w:fill="auto"/>
            <w:vAlign w:val="center"/>
          </w:tcPr>
          <w:p w14:paraId="3FA62BE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64EFFE9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 Rizzardo S, Lynd L</w:t>
            </w:r>
          </w:p>
        </w:tc>
        <w:tc>
          <w:tcPr>
            <w:tcW w:w="7010" w:type="dxa"/>
            <w:shd w:val="clear" w:color="auto" w:fill="auto"/>
            <w:vAlign w:val="center"/>
          </w:tcPr>
          <w:p w14:paraId="6606920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Canadian Values, Attitudes and Willingness to Pay for Expensive Medications for Rare Diseases</w:t>
            </w:r>
          </w:p>
        </w:tc>
        <w:tc>
          <w:tcPr>
            <w:tcW w:w="568" w:type="dxa"/>
            <w:shd w:val="clear" w:color="auto" w:fill="auto"/>
            <w:vAlign w:val="center"/>
          </w:tcPr>
          <w:p w14:paraId="251C6EE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0CAEE853" w14:textId="77777777" w:rsidTr="004C3C90">
        <w:trPr>
          <w:trHeight w:val="20"/>
        </w:trPr>
        <w:tc>
          <w:tcPr>
            <w:tcW w:w="550" w:type="dxa"/>
            <w:shd w:val="clear" w:color="auto" w:fill="auto"/>
            <w:vAlign w:val="center"/>
          </w:tcPr>
          <w:p w14:paraId="3ED8E0C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502</w:t>
            </w:r>
          </w:p>
        </w:tc>
        <w:tc>
          <w:tcPr>
            <w:tcW w:w="1071" w:type="dxa"/>
            <w:shd w:val="clear" w:color="auto" w:fill="auto"/>
            <w:vAlign w:val="center"/>
          </w:tcPr>
          <w:p w14:paraId="21331F2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413E3F1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Witt M, Meier J, Proft F, Schulze-koops H, Grunke M</w:t>
            </w:r>
          </w:p>
        </w:tc>
        <w:tc>
          <w:tcPr>
            <w:tcW w:w="7010" w:type="dxa"/>
            <w:shd w:val="clear" w:color="auto" w:fill="auto"/>
            <w:vAlign w:val="center"/>
          </w:tcPr>
          <w:p w14:paraId="0C06D96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Characterizing Disease Burden in an Ultra-Rare Disease in the United States: Transthyretin (Ttr) Amyloidosis Patients &amp; Caregivers</w:t>
            </w:r>
          </w:p>
        </w:tc>
        <w:tc>
          <w:tcPr>
            <w:tcW w:w="568" w:type="dxa"/>
            <w:shd w:val="clear" w:color="auto" w:fill="auto"/>
            <w:vAlign w:val="center"/>
          </w:tcPr>
          <w:p w14:paraId="7DCF16E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0D43D45C" w14:textId="77777777" w:rsidTr="004C3C90">
        <w:trPr>
          <w:trHeight w:val="20"/>
        </w:trPr>
        <w:tc>
          <w:tcPr>
            <w:tcW w:w="550" w:type="dxa"/>
            <w:shd w:val="clear" w:color="auto" w:fill="auto"/>
            <w:vAlign w:val="center"/>
          </w:tcPr>
          <w:p w14:paraId="2D137F6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503</w:t>
            </w:r>
          </w:p>
        </w:tc>
        <w:tc>
          <w:tcPr>
            <w:tcW w:w="1071" w:type="dxa"/>
            <w:shd w:val="clear" w:color="auto" w:fill="auto"/>
            <w:vAlign w:val="center"/>
          </w:tcPr>
          <w:p w14:paraId="600BAF0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3B461E6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 Ventura P, Marchini S, Rocchi E, et al.</w:t>
            </w:r>
          </w:p>
        </w:tc>
        <w:tc>
          <w:tcPr>
            <w:tcW w:w="7010" w:type="dxa"/>
            <w:shd w:val="clear" w:color="auto" w:fill="auto"/>
            <w:vAlign w:val="center"/>
          </w:tcPr>
          <w:p w14:paraId="0C09D34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Management of Porphyrias in Italy: The Grip Is Born</w:t>
            </w:r>
          </w:p>
        </w:tc>
        <w:tc>
          <w:tcPr>
            <w:tcW w:w="568" w:type="dxa"/>
            <w:shd w:val="clear" w:color="auto" w:fill="auto"/>
            <w:vAlign w:val="center"/>
          </w:tcPr>
          <w:p w14:paraId="6FFB0D8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156146AD" w14:textId="77777777" w:rsidTr="004C3C90">
        <w:trPr>
          <w:trHeight w:val="20"/>
        </w:trPr>
        <w:tc>
          <w:tcPr>
            <w:tcW w:w="550" w:type="dxa"/>
            <w:shd w:val="clear" w:color="auto" w:fill="auto"/>
            <w:vAlign w:val="center"/>
          </w:tcPr>
          <w:p w14:paraId="7E3683E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504</w:t>
            </w:r>
          </w:p>
        </w:tc>
        <w:tc>
          <w:tcPr>
            <w:tcW w:w="1071" w:type="dxa"/>
            <w:shd w:val="clear" w:color="auto" w:fill="auto"/>
            <w:vAlign w:val="center"/>
          </w:tcPr>
          <w:p w14:paraId="0C6EC40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10641B3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 Witt M, Meier J, Proft F, Schulze-Koops H, Grunke M</w:t>
            </w:r>
          </w:p>
        </w:tc>
        <w:tc>
          <w:tcPr>
            <w:tcW w:w="7010" w:type="dxa"/>
            <w:shd w:val="clear" w:color="auto" w:fill="auto"/>
            <w:vAlign w:val="center"/>
          </w:tcPr>
          <w:p w14:paraId="6B75B7F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Diagnosis, Disease Burden and Disease Manifestations of the Sapho Syndrome in Germany: Results from a Nationwide Patient Survey</w:t>
            </w:r>
          </w:p>
        </w:tc>
        <w:tc>
          <w:tcPr>
            <w:tcW w:w="568" w:type="dxa"/>
            <w:shd w:val="clear" w:color="auto" w:fill="auto"/>
            <w:vAlign w:val="center"/>
          </w:tcPr>
          <w:p w14:paraId="1E1E8F0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6A353463" w14:textId="77777777" w:rsidTr="004C3C90">
        <w:trPr>
          <w:trHeight w:val="20"/>
        </w:trPr>
        <w:tc>
          <w:tcPr>
            <w:tcW w:w="550" w:type="dxa"/>
            <w:shd w:val="clear" w:color="auto" w:fill="auto"/>
            <w:vAlign w:val="center"/>
          </w:tcPr>
          <w:p w14:paraId="4FE1137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505</w:t>
            </w:r>
          </w:p>
        </w:tc>
        <w:tc>
          <w:tcPr>
            <w:tcW w:w="1071" w:type="dxa"/>
            <w:shd w:val="clear" w:color="auto" w:fill="auto"/>
            <w:vAlign w:val="center"/>
          </w:tcPr>
          <w:p w14:paraId="08B5AEE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3D039D8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 Plebani A, Quinti I, Martire B, et al.</w:t>
            </w:r>
          </w:p>
        </w:tc>
        <w:tc>
          <w:tcPr>
            <w:tcW w:w="7010" w:type="dxa"/>
            <w:shd w:val="clear" w:color="auto" w:fill="auto"/>
            <w:vAlign w:val="center"/>
          </w:tcPr>
          <w:p w14:paraId="4EBDF93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Improving the Awareness of Pids among Physicians: The Experience of the Italian Registry (Ipinet)</w:t>
            </w:r>
          </w:p>
        </w:tc>
        <w:tc>
          <w:tcPr>
            <w:tcW w:w="568" w:type="dxa"/>
            <w:shd w:val="clear" w:color="auto" w:fill="auto"/>
            <w:vAlign w:val="center"/>
          </w:tcPr>
          <w:p w14:paraId="690E71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3D9B093D" w14:textId="77777777" w:rsidTr="004C3C90">
        <w:trPr>
          <w:trHeight w:val="20"/>
        </w:trPr>
        <w:tc>
          <w:tcPr>
            <w:tcW w:w="550" w:type="dxa"/>
            <w:shd w:val="clear" w:color="auto" w:fill="auto"/>
            <w:vAlign w:val="center"/>
          </w:tcPr>
          <w:p w14:paraId="1627A90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506</w:t>
            </w:r>
          </w:p>
        </w:tc>
        <w:tc>
          <w:tcPr>
            <w:tcW w:w="1071" w:type="dxa"/>
            <w:shd w:val="clear" w:color="auto" w:fill="auto"/>
            <w:vAlign w:val="center"/>
          </w:tcPr>
          <w:p w14:paraId="0A8B92E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278FBEA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Yang G, Tuomari A</w:t>
            </w:r>
          </w:p>
        </w:tc>
        <w:tc>
          <w:tcPr>
            <w:tcW w:w="7010" w:type="dxa"/>
            <w:shd w:val="clear" w:color="auto" w:fill="auto"/>
            <w:vAlign w:val="center"/>
          </w:tcPr>
          <w:p w14:paraId="5092B80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 in-Depth Analysis of the Prevalence and Socio-Demographic Factors Associated with Lupus Nephritis in Major Industrialized Countries</w:t>
            </w:r>
          </w:p>
        </w:tc>
        <w:tc>
          <w:tcPr>
            <w:tcW w:w="568" w:type="dxa"/>
            <w:shd w:val="clear" w:color="auto" w:fill="auto"/>
            <w:vAlign w:val="center"/>
          </w:tcPr>
          <w:p w14:paraId="27A9F14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2F668F1D" w14:textId="77777777" w:rsidTr="004C3C90">
        <w:trPr>
          <w:trHeight w:val="20"/>
        </w:trPr>
        <w:tc>
          <w:tcPr>
            <w:tcW w:w="550" w:type="dxa"/>
            <w:shd w:val="clear" w:color="auto" w:fill="auto"/>
            <w:vAlign w:val="center"/>
          </w:tcPr>
          <w:p w14:paraId="7FBE431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507</w:t>
            </w:r>
          </w:p>
        </w:tc>
        <w:tc>
          <w:tcPr>
            <w:tcW w:w="1071" w:type="dxa"/>
            <w:shd w:val="clear" w:color="auto" w:fill="auto"/>
            <w:vAlign w:val="center"/>
          </w:tcPr>
          <w:p w14:paraId="4120088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04F491D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Rasheed A, Vasudevan V, Abbas Q</w:t>
            </w:r>
          </w:p>
        </w:tc>
        <w:tc>
          <w:tcPr>
            <w:tcW w:w="7010" w:type="dxa"/>
            <w:shd w:val="clear" w:color="auto" w:fill="auto"/>
            <w:vAlign w:val="center"/>
          </w:tcPr>
          <w:p w14:paraId="358BBAA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Life Threating Hyponatremia as a Presenting Manifestation of Renal Amyloidosis</w:t>
            </w:r>
          </w:p>
        </w:tc>
        <w:tc>
          <w:tcPr>
            <w:tcW w:w="568" w:type="dxa"/>
            <w:shd w:val="clear" w:color="auto" w:fill="auto"/>
            <w:vAlign w:val="center"/>
          </w:tcPr>
          <w:p w14:paraId="4C8542F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477CE025" w14:textId="77777777" w:rsidTr="004C3C90">
        <w:trPr>
          <w:trHeight w:val="20"/>
        </w:trPr>
        <w:tc>
          <w:tcPr>
            <w:tcW w:w="550" w:type="dxa"/>
            <w:shd w:val="clear" w:color="auto" w:fill="auto"/>
            <w:vAlign w:val="center"/>
          </w:tcPr>
          <w:p w14:paraId="0C8D2AC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508</w:t>
            </w:r>
          </w:p>
        </w:tc>
        <w:tc>
          <w:tcPr>
            <w:tcW w:w="1071" w:type="dxa"/>
            <w:shd w:val="clear" w:color="auto" w:fill="auto"/>
            <w:vAlign w:val="center"/>
          </w:tcPr>
          <w:p w14:paraId="1EAE9C3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2BAC8D6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Turpeinen R, Kalam-Salminen L, Lampi H, Kaivos S, Kyngas H, Kaariainen M</w:t>
            </w:r>
          </w:p>
        </w:tc>
        <w:tc>
          <w:tcPr>
            <w:tcW w:w="7010" w:type="dxa"/>
            <w:shd w:val="clear" w:color="auto" w:fill="auto"/>
            <w:vAlign w:val="center"/>
          </w:tcPr>
          <w:p w14:paraId="15B8851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Quality of Counselling of Patients with Cardiac Sarcoidosis</w:t>
            </w:r>
          </w:p>
        </w:tc>
        <w:tc>
          <w:tcPr>
            <w:tcW w:w="568" w:type="dxa"/>
            <w:shd w:val="clear" w:color="auto" w:fill="auto"/>
            <w:vAlign w:val="center"/>
          </w:tcPr>
          <w:p w14:paraId="62D604A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52623911" w14:textId="77777777" w:rsidTr="004C3C90">
        <w:trPr>
          <w:trHeight w:val="20"/>
        </w:trPr>
        <w:tc>
          <w:tcPr>
            <w:tcW w:w="550" w:type="dxa"/>
            <w:shd w:val="clear" w:color="auto" w:fill="auto"/>
            <w:vAlign w:val="center"/>
          </w:tcPr>
          <w:p w14:paraId="1CAFB9B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509</w:t>
            </w:r>
          </w:p>
        </w:tc>
        <w:tc>
          <w:tcPr>
            <w:tcW w:w="1071" w:type="dxa"/>
            <w:shd w:val="clear" w:color="auto" w:fill="auto"/>
            <w:vAlign w:val="center"/>
          </w:tcPr>
          <w:p w14:paraId="1C7580B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62D8E73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Pearce KF, Hildebrandt M, Greinix H, et al.</w:t>
            </w:r>
          </w:p>
        </w:tc>
        <w:tc>
          <w:tcPr>
            <w:tcW w:w="7010" w:type="dxa"/>
            <w:shd w:val="clear" w:color="auto" w:fill="auto"/>
            <w:vAlign w:val="center"/>
          </w:tcPr>
          <w:p w14:paraId="362C16C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Regulation of Advanced Therapy Medicinal Products in Europe and the Role of Academia</w:t>
            </w:r>
          </w:p>
        </w:tc>
        <w:tc>
          <w:tcPr>
            <w:tcW w:w="568" w:type="dxa"/>
            <w:shd w:val="clear" w:color="auto" w:fill="auto"/>
            <w:vAlign w:val="center"/>
          </w:tcPr>
          <w:p w14:paraId="5472C7A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21420DBC" w14:textId="77777777" w:rsidTr="004C3C90">
        <w:trPr>
          <w:trHeight w:val="20"/>
        </w:trPr>
        <w:tc>
          <w:tcPr>
            <w:tcW w:w="550" w:type="dxa"/>
            <w:shd w:val="clear" w:color="auto" w:fill="auto"/>
            <w:vAlign w:val="center"/>
          </w:tcPr>
          <w:p w14:paraId="1D34347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510</w:t>
            </w:r>
          </w:p>
        </w:tc>
        <w:tc>
          <w:tcPr>
            <w:tcW w:w="1071" w:type="dxa"/>
            <w:shd w:val="clear" w:color="auto" w:fill="auto"/>
            <w:vAlign w:val="center"/>
          </w:tcPr>
          <w:p w14:paraId="76CE8E2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6D3059D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Partida-Gaytan A, Yamazaki-Nakashimada MA, Berron-Ruiz L, López-Herrera G</w:t>
            </w:r>
          </w:p>
        </w:tc>
        <w:tc>
          <w:tcPr>
            <w:tcW w:w="7010" w:type="dxa"/>
            <w:shd w:val="clear" w:color="auto" w:fill="auto"/>
            <w:vAlign w:val="center"/>
          </w:tcPr>
          <w:p w14:paraId="72F367B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Selective Igm-Deficiency-to Be or Not to Be</w:t>
            </w:r>
          </w:p>
        </w:tc>
        <w:tc>
          <w:tcPr>
            <w:tcW w:w="568" w:type="dxa"/>
            <w:shd w:val="clear" w:color="auto" w:fill="auto"/>
            <w:vAlign w:val="center"/>
          </w:tcPr>
          <w:p w14:paraId="7EDDE25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32485C95" w14:textId="77777777" w:rsidTr="004C3C90">
        <w:trPr>
          <w:trHeight w:val="20"/>
        </w:trPr>
        <w:tc>
          <w:tcPr>
            <w:tcW w:w="550" w:type="dxa"/>
            <w:shd w:val="clear" w:color="auto" w:fill="auto"/>
            <w:vAlign w:val="center"/>
          </w:tcPr>
          <w:p w14:paraId="7E15BA3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511</w:t>
            </w:r>
          </w:p>
        </w:tc>
        <w:tc>
          <w:tcPr>
            <w:tcW w:w="1071" w:type="dxa"/>
            <w:shd w:val="clear" w:color="auto" w:fill="auto"/>
            <w:vAlign w:val="center"/>
          </w:tcPr>
          <w:p w14:paraId="2294BBE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3EFA299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 Pinion AK, Gierer S</w:t>
            </w:r>
          </w:p>
        </w:tc>
        <w:tc>
          <w:tcPr>
            <w:tcW w:w="7010" w:type="dxa"/>
            <w:shd w:val="clear" w:color="auto" w:fill="auto"/>
            <w:vAlign w:val="center"/>
          </w:tcPr>
          <w:p w14:paraId="1E19A1E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Six Year Dermatosis: Chronic Urticaria Due to Schnitzler Syndrome</w:t>
            </w:r>
          </w:p>
        </w:tc>
        <w:tc>
          <w:tcPr>
            <w:tcW w:w="568" w:type="dxa"/>
            <w:shd w:val="clear" w:color="auto" w:fill="auto"/>
            <w:vAlign w:val="center"/>
          </w:tcPr>
          <w:p w14:paraId="5864E8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61136578" w14:textId="77777777" w:rsidTr="004C3C90">
        <w:trPr>
          <w:trHeight w:val="20"/>
        </w:trPr>
        <w:tc>
          <w:tcPr>
            <w:tcW w:w="550" w:type="dxa"/>
            <w:shd w:val="clear" w:color="auto" w:fill="auto"/>
            <w:vAlign w:val="center"/>
          </w:tcPr>
          <w:p w14:paraId="1D14987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512</w:t>
            </w:r>
          </w:p>
        </w:tc>
        <w:tc>
          <w:tcPr>
            <w:tcW w:w="1071" w:type="dxa"/>
            <w:shd w:val="clear" w:color="auto" w:fill="auto"/>
            <w:vAlign w:val="center"/>
          </w:tcPr>
          <w:p w14:paraId="3A2A135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7B3542C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Bourguignon S, Reznik Y, Chenuc G</w:t>
            </w:r>
          </w:p>
        </w:tc>
        <w:tc>
          <w:tcPr>
            <w:tcW w:w="7010" w:type="dxa"/>
            <w:shd w:val="clear" w:color="auto" w:fill="auto"/>
            <w:vAlign w:val="center"/>
          </w:tcPr>
          <w:p w14:paraId="454FB96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Adrenal Insufficiency: Burden of Disease in France in 2011</w:t>
            </w:r>
          </w:p>
        </w:tc>
        <w:tc>
          <w:tcPr>
            <w:tcW w:w="568" w:type="dxa"/>
            <w:shd w:val="clear" w:color="auto" w:fill="auto"/>
            <w:vAlign w:val="center"/>
          </w:tcPr>
          <w:p w14:paraId="1E87F6C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7CAA0BBD" w14:textId="77777777" w:rsidTr="004C3C90">
        <w:trPr>
          <w:trHeight w:val="20"/>
        </w:trPr>
        <w:tc>
          <w:tcPr>
            <w:tcW w:w="550" w:type="dxa"/>
            <w:shd w:val="clear" w:color="auto" w:fill="auto"/>
            <w:vAlign w:val="center"/>
          </w:tcPr>
          <w:p w14:paraId="40288E6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513</w:t>
            </w:r>
          </w:p>
        </w:tc>
        <w:tc>
          <w:tcPr>
            <w:tcW w:w="1071" w:type="dxa"/>
            <w:shd w:val="clear" w:color="auto" w:fill="auto"/>
            <w:vAlign w:val="center"/>
          </w:tcPr>
          <w:p w14:paraId="6EEAD44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41DEE57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Hicks N, Toumi M</w:t>
            </w:r>
          </w:p>
        </w:tc>
        <w:tc>
          <w:tcPr>
            <w:tcW w:w="7010" w:type="dxa"/>
            <w:shd w:val="clear" w:color="auto" w:fill="auto"/>
            <w:vAlign w:val="center"/>
          </w:tcPr>
          <w:p w14:paraId="1F14C95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 Approach for Quantification of Patient Advocacy Group Input in the Hta Process</w:t>
            </w:r>
          </w:p>
        </w:tc>
        <w:tc>
          <w:tcPr>
            <w:tcW w:w="568" w:type="dxa"/>
            <w:shd w:val="clear" w:color="auto" w:fill="auto"/>
            <w:vAlign w:val="center"/>
          </w:tcPr>
          <w:p w14:paraId="7B7CC54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4D3C99F8" w14:textId="77777777" w:rsidTr="004C3C90">
        <w:trPr>
          <w:trHeight w:val="20"/>
        </w:trPr>
        <w:tc>
          <w:tcPr>
            <w:tcW w:w="550" w:type="dxa"/>
            <w:shd w:val="clear" w:color="auto" w:fill="auto"/>
            <w:vAlign w:val="center"/>
          </w:tcPr>
          <w:p w14:paraId="229139B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514</w:t>
            </w:r>
          </w:p>
        </w:tc>
        <w:tc>
          <w:tcPr>
            <w:tcW w:w="1071" w:type="dxa"/>
            <w:shd w:val="clear" w:color="auto" w:fill="auto"/>
            <w:vAlign w:val="center"/>
          </w:tcPr>
          <w:p w14:paraId="3860C6A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73B2AB7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 Donner EJ, Jeffs T, Jette N</w:t>
            </w:r>
          </w:p>
        </w:tc>
        <w:tc>
          <w:tcPr>
            <w:tcW w:w="7010" w:type="dxa"/>
            <w:shd w:val="clear" w:color="auto" w:fill="auto"/>
            <w:vAlign w:val="center"/>
          </w:tcPr>
          <w:p w14:paraId="2869058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Are Canadian Pediatricians Aware of Sudep?</w:t>
            </w:r>
          </w:p>
        </w:tc>
        <w:tc>
          <w:tcPr>
            <w:tcW w:w="568" w:type="dxa"/>
            <w:shd w:val="clear" w:color="auto" w:fill="auto"/>
            <w:vAlign w:val="center"/>
          </w:tcPr>
          <w:p w14:paraId="60057A9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3DF3E6F4" w14:textId="77777777" w:rsidTr="004C3C90">
        <w:trPr>
          <w:trHeight w:val="20"/>
        </w:trPr>
        <w:tc>
          <w:tcPr>
            <w:tcW w:w="550" w:type="dxa"/>
            <w:shd w:val="clear" w:color="auto" w:fill="auto"/>
            <w:vAlign w:val="center"/>
          </w:tcPr>
          <w:p w14:paraId="28EB91E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515</w:t>
            </w:r>
          </w:p>
        </w:tc>
        <w:tc>
          <w:tcPr>
            <w:tcW w:w="1071" w:type="dxa"/>
            <w:shd w:val="clear" w:color="auto" w:fill="auto"/>
            <w:vAlign w:val="center"/>
          </w:tcPr>
          <w:p w14:paraId="7048A6A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2E2E31C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García ML, Blanco JM, Gómez C, et al</w:t>
            </w:r>
          </w:p>
        </w:tc>
        <w:tc>
          <w:tcPr>
            <w:tcW w:w="7010" w:type="dxa"/>
            <w:shd w:val="clear" w:color="auto" w:fill="auto"/>
            <w:vAlign w:val="center"/>
          </w:tcPr>
          <w:p w14:paraId="3D397D4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Bone Involvement in Systemic Mastocytosis: Cases Review</w:t>
            </w:r>
          </w:p>
        </w:tc>
        <w:tc>
          <w:tcPr>
            <w:tcW w:w="568" w:type="dxa"/>
            <w:shd w:val="clear" w:color="auto" w:fill="auto"/>
            <w:vAlign w:val="center"/>
          </w:tcPr>
          <w:p w14:paraId="61881E0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3B8244DE" w14:textId="77777777" w:rsidTr="004C3C90">
        <w:trPr>
          <w:trHeight w:val="20"/>
        </w:trPr>
        <w:tc>
          <w:tcPr>
            <w:tcW w:w="550" w:type="dxa"/>
            <w:shd w:val="clear" w:color="auto" w:fill="auto"/>
            <w:vAlign w:val="center"/>
          </w:tcPr>
          <w:p w14:paraId="50EFE94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516</w:t>
            </w:r>
          </w:p>
        </w:tc>
        <w:tc>
          <w:tcPr>
            <w:tcW w:w="1071" w:type="dxa"/>
            <w:shd w:val="clear" w:color="auto" w:fill="auto"/>
            <w:vAlign w:val="center"/>
          </w:tcPr>
          <w:p w14:paraId="1ED4D29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65A07CA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Mansouritorghabeh H, Banihashem A, Modaresi A, Manavifar L</w:t>
            </w:r>
          </w:p>
        </w:tc>
        <w:tc>
          <w:tcPr>
            <w:tcW w:w="7010" w:type="dxa"/>
            <w:shd w:val="clear" w:color="auto" w:fill="auto"/>
            <w:vAlign w:val="center"/>
          </w:tcPr>
          <w:p w14:paraId="58DA94D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Circumcision in Males with Bleeding Disorders</w:t>
            </w:r>
          </w:p>
        </w:tc>
        <w:tc>
          <w:tcPr>
            <w:tcW w:w="568" w:type="dxa"/>
            <w:shd w:val="clear" w:color="auto" w:fill="auto"/>
            <w:vAlign w:val="center"/>
          </w:tcPr>
          <w:p w14:paraId="548CE03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25E6F2B9" w14:textId="77777777" w:rsidTr="004C3C90">
        <w:trPr>
          <w:trHeight w:val="20"/>
        </w:trPr>
        <w:tc>
          <w:tcPr>
            <w:tcW w:w="550" w:type="dxa"/>
            <w:shd w:val="clear" w:color="auto" w:fill="auto"/>
            <w:vAlign w:val="center"/>
          </w:tcPr>
          <w:p w14:paraId="0F98DCE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517</w:t>
            </w:r>
          </w:p>
        </w:tc>
        <w:tc>
          <w:tcPr>
            <w:tcW w:w="1071" w:type="dxa"/>
            <w:shd w:val="clear" w:color="auto" w:fill="auto"/>
            <w:vAlign w:val="center"/>
          </w:tcPr>
          <w:p w14:paraId="765F651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44B698D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 Gennaro L, Cravino M, Martinelli A, Racano C, Donzelli O</w:t>
            </w:r>
          </w:p>
        </w:tc>
        <w:tc>
          <w:tcPr>
            <w:tcW w:w="7010" w:type="dxa"/>
            <w:shd w:val="clear" w:color="auto" w:fill="auto"/>
            <w:vAlign w:val="center"/>
          </w:tcPr>
          <w:p w14:paraId="2C118C3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Congenital Pseudarthrosis of the Clavicle: Report of 21 Cases</w:t>
            </w:r>
          </w:p>
        </w:tc>
        <w:tc>
          <w:tcPr>
            <w:tcW w:w="568" w:type="dxa"/>
            <w:shd w:val="clear" w:color="auto" w:fill="auto"/>
            <w:vAlign w:val="center"/>
          </w:tcPr>
          <w:p w14:paraId="383D620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20409D85" w14:textId="77777777" w:rsidTr="004C3C90">
        <w:trPr>
          <w:trHeight w:val="20"/>
        </w:trPr>
        <w:tc>
          <w:tcPr>
            <w:tcW w:w="550" w:type="dxa"/>
            <w:shd w:val="clear" w:color="auto" w:fill="auto"/>
            <w:vAlign w:val="center"/>
          </w:tcPr>
          <w:p w14:paraId="27FA7BE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518</w:t>
            </w:r>
          </w:p>
        </w:tc>
        <w:tc>
          <w:tcPr>
            <w:tcW w:w="1071" w:type="dxa"/>
            <w:shd w:val="clear" w:color="auto" w:fill="auto"/>
            <w:vAlign w:val="center"/>
          </w:tcPr>
          <w:p w14:paraId="4F70E8F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39A662F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Ghosh K</w:t>
            </w:r>
          </w:p>
        </w:tc>
        <w:tc>
          <w:tcPr>
            <w:tcW w:w="7010" w:type="dxa"/>
            <w:shd w:val="clear" w:color="auto" w:fill="auto"/>
            <w:vAlign w:val="center"/>
          </w:tcPr>
          <w:p w14:paraId="3F2E59C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Developing Haemophilia Care in India</w:t>
            </w:r>
          </w:p>
        </w:tc>
        <w:tc>
          <w:tcPr>
            <w:tcW w:w="568" w:type="dxa"/>
            <w:shd w:val="clear" w:color="auto" w:fill="auto"/>
            <w:vAlign w:val="center"/>
          </w:tcPr>
          <w:p w14:paraId="70379AF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362F3320" w14:textId="77777777" w:rsidTr="004C3C90">
        <w:trPr>
          <w:trHeight w:val="20"/>
        </w:trPr>
        <w:tc>
          <w:tcPr>
            <w:tcW w:w="550" w:type="dxa"/>
            <w:shd w:val="clear" w:color="auto" w:fill="auto"/>
            <w:vAlign w:val="center"/>
          </w:tcPr>
          <w:p w14:paraId="69E7BC2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519</w:t>
            </w:r>
          </w:p>
        </w:tc>
        <w:tc>
          <w:tcPr>
            <w:tcW w:w="1071" w:type="dxa"/>
            <w:shd w:val="clear" w:color="auto" w:fill="auto"/>
            <w:vAlign w:val="center"/>
          </w:tcPr>
          <w:p w14:paraId="7A2AE16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5A167BE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Fraenkel L, Wilhelms EA, Reyna VF</w:t>
            </w:r>
          </w:p>
        </w:tc>
        <w:tc>
          <w:tcPr>
            <w:tcW w:w="7010" w:type="dxa"/>
            <w:shd w:val="clear" w:color="auto" w:fill="auto"/>
            <w:vAlign w:val="center"/>
          </w:tcPr>
          <w:p w14:paraId="2B9BD8A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Do Numbers Make a Difference?</w:t>
            </w:r>
          </w:p>
        </w:tc>
        <w:tc>
          <w:tcPr>
            <w:tcW w:w="568" w:type="dxa"/>
            <w:shd w:val="clear" w:color="auto" w:fill="auto"/>
            <w:vAlign w:val="center"/>
          </w:tcPr>
          <w:p w14:paraId="14D478E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69457B18" w14:textId="77777777" w:rsidTr="004C3C90">
        <w:trPr>
          <w:trHeight w:val="20"/>
        </w:trPr>
        <w:tc>
          <w:tcPr>
            <w:tcW w:w="550" w:type="dxa"/>
            <w:shd w:val="clear" w:color="auto" w:fill="auto"/>
            <w:vAlign w:val="center"/>
          </w:tcPr>
          <w:p w14:paraId="4BC91A1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520</w:t>
            </w:r>
          </w:p>
        </w:tc>
        <w:tc>
          <w:tcPr>
            <w:tcW w:w="1071" w:type="dxa"/>
            <w:shd w:val="clear" w:color="auto" w:fill="auto"/>
            <w:vAlign w:val="center"/>
          </w:tcPr>
          <w:p w14:paraId="7CFB629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5301FA1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Haydeh H</w:t>
            </w:r>
          </w:p>
        </w:tc>
        <w:tc>
          <w:tcPr>
            <w:tcW w:w="7010" w:type="dxa"/>
            <w:shd w:val="clear" w:color="auto" w:fill="auto"/>
            <w:vAlign w:val="center"/>
          </w:tcPr>
          <w:p w14:paraId="0DE4504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Evaluation of Risk Factors in Children with Acute Lymphoblastic Leukemia in Mashhad-Iran</w:t>
            </w:r>
          </w:p>
        </w:tc>
        <w:tc>
          <w:tcPr>
            <w:tcW w:w="568" w:type="dxa"/>
            <w:shd w:val="clear" w:color="auto" w:fill="auto"/>
            <w:vAlign w:val="center"/>
          </w:tcPr>
          <w:p w14:paraId="0AE75F7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43C592D2" w14:textId="77777777" w:rsidTr="004C3C90">
        <w:trPr>
          <w:trHeight w:val="20"/>
        </w:trPr>
        <w:tc>
          <w:tcPr>
            <w:tcW w:w="550" w:type="dxa"/>
            <w:shd w:val="clear" w:color="auto" w:fill="auto"/>
            <w:vAlign w:val="center"/>
          </w:tcPr>
          <w:p w14:paraId="29902A0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521</w:t>
            </w:r>
          </w:p>
        </w:tc>
        <w:tc>
          <w:tcPr>
            <w:tcW w:w="1071" w:type="dxa"/>
            <w:shd w:val="clear" w:color="auto" w:fill="auto"/>
            <w:vAlign w:val="center"/>
          </w:tcPr>
          <w:p w14:paraId="1AA90E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628B36C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Grider T, Cuthbertson D, Feely S, Shy M</w:t>
            </w:r>
          </w:p>
        </w:tc>
        <w:tc>
          <w:tcPr>
            <w:tcW w:w="7010" w:type="dxa"/>
            <w:shd w:val="clear" w:color="auto" w:fill="auto"/>
            <w:vAlign w:val="center"/>
          </w:tcPr>
          <w:p w14:paraId="11C2024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Health-Related Quality of Life by Sf-36 in Patients with Hnpp Compared to Those with Cmt1a</w:t>
            </w:r>
          </w:p>
        </w:tc>
        <w:tc>
          <w:tcPr>
            <w:tcW w:w="568" w:type="dxa"/>
            <w:shd w:val="clear" w:color="auto" w:fill="auto"/>
            <w:vAlign w:val="center"/>
          </w:tcPr>
          <w:p w14:paraId="5ADF4E2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7EEF7EDE" w14:textId="77777777" w:rsidTr="004C3C90">
        <w:trPr>
          <w:trHeight w:val="20"/>
        </w:trPr>
        <w:tc>
          <w:tcPr>
            <w:tcW w:w="550" w:type="dxa"/>
            <w:shd w:val="clear" w:color="auto" w:fill="auto"/>
            <w:vAlign w:val="center"/>
          </w:tcPr>
          <w:p w14:paraId="0D9E50A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522</w:t>
            </w:r>
          </w:p>
        </w:tc>
        <w:tc>
          <w:tcPr>
            <w:tcW w:w="1071" w:type="dxa"/>
            <w:shd w:val="clear" w:color="auto" w:fill="auto"/>
            <w:vAlign w:val="center"/>
          </w:tcPr>
          <w:p w14:paraId="0D89637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6AB8F68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Mihai R, Cutter D, Pezella F, Ramasamy K</w:t>
            </w:r>
          </w:p>
        </w:tc>
        <w:tc>
          <w:tcPr>
            <w:tcW w:w="7010" w:type="dxa"/>
            <w:shd w:val="clear" w:color="auto" w:fill="auto"/>
            <w:vAlign w:val="center"/>
          </w:tcPr>
          <w:p w14:paraId="54D5E13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Isolated Thyroid Plasmacytoma-a Very Rare Disease</w:t>
            </w:r>
          </w:p>
        </w:tc>
        <w:tc>
          <w:tcPr>
            <w:tcW w:w="568" w:type="dxa"/>
            <w:shd w:val="clear" w:color="auto" w:fill="auto"/>
            <w:vAlign w:val="center"/>
          </w:tcPr>
          <w:p w14:paraId="2C2E152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06F8AD95" w14:textId="77777777" w:rsidTr="004C3C90">
        <w:trPr>
          <w:trHeight w:val="20"/>
        </w:trPr>
        <w:tc>
          <w:tcPr>
            <w:tcW w:w="550" w:type="dxa"/>
            <w:shd w:val="clear" w:color="auto" w:fill="auto"/>
            <w:vAlign w:val="center"/>
          </w:tcPr>
          <w:p w14:paraId="44E2FFD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523</w:t>
            </w:r>
          </w:p>
        </w:tc>
        <w:tc>
          <w:tcPr>
            <w:tcW w:w="1071" w:type="dxa"/>
            <w:shd w:val="clear" w:color="auto" w:fill="auto"/>
            <w:vAlign w:val="center"/>
          </w:tcPr>
          <w:p w14:paraId="537D91E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1352361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Motta I, Filocamo M, Poggiali E, Poggiali E, Dragani A, Domenica M, et al. </w:t>
            </w:r>
          </w:p>
        </w:tc>
        <w:tc>
          <w:tcPr>
            <w:tcW w:w="7010" w:type="dxa"/>
            <w:shd w:val="clear" w:color="auto" w:fill="auto"/>
            <w:vAlign w:val="center"/>
          </w:tcPr>
          <w:p w14:paraId="53F2B40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Multicenter Observational Study for Early Diagnosis of Gaucher Disease in Patients with Splenomegaly and/or Thrombocytopenia</w:t>
            </w:r>
          </w:p>
        </w:tc>
        <w:tc>
          <w:tcPr>
            <w:tcW w:w="568" w:type="dxa"/>
            <w:shd w:val="clear" w:color="auto" w:fill="auto"/>
            <w:vAlign w:val="center"/>
          </w:tcPr>
          <w:p w14:paraId="20F2356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31C58CB9" w14:textId="77777777" w:rsidTr="004C3C90">
        <w:trPr>
          <w:trHeight w:val="20"/>
        </w:trPr>
        <w:tc>
          <w:tcPr>
            <w:tcW w:w="550" w:type="dxa"/>
            <w:shd w:val="clear" w:color="auto" w:fill="auto"/>
            <w:vAlign w:val="center"/>
          </w:tcPr>
          <w:p w14:paraId="0D27E0D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524</w:t>
            </w:r>
          </w:p>
        </w:tc>
        <w:tc>
          <w:tcPr>
            <w:tcW w:w="1071" w:type="dxa"/>
            <w:shd w:val="clear" w:color="auto" w:fill="auto"/>
            <w:vAlign w:val="center"/>
          </w:tcPr>
          <w:p w14:paraId="4DE90B9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006E934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Fisher CG, Goldschlager T, Boriani S, Varga PP, Hehiling M, Bilsky M, et al. </w:t>
            </w:r>
          </w:p>
        </w:tc>
        <w:tc>
          <w:tcPr>
            <w:tcW w:w="7010" w:type="dxa"/>
            <w:shd w:val="clear" w:color="auto" w:fill="auto"/>
            <w:vAlign w:val="center"/>
          </w:tcPr>
          <w:p w14:paraId="2D13A73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Novel Scientific Model for Rare and Often Neglected Neoplastic Conditions</w:t>
            </w:r>
          </w:p>
        </w:tc>
        <w:tc>
          <w:tcPr>
            <w:tcW w:w="568" w:type="dxa"/>
            <w:shd w:val="clear" w:color="auto" w:fill="auto"/>
            <w:vAlign w:val="center"/>
          </w:tcPr>
          <w:p w14:paraId="6603905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11D4244E" w14:textId="77777777" w:rsidTr="004C3C90">
        <w:trPr>
          <w:trHeight w:val="20"/>
        </w:trPr>
        <w:tc>
          <w:tcPr>
            <w:tcW w:w="550" w:type="dxa"/>
            <w:shd w:val="clear" w:color="auto" w:fill="auto"/>
            <w:vAlign w:val="center"/>
          </w:tcPr>
          <w:p w14:paraId="02B4640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525</w:t>
            </w:r>
          </w:p>
        </w:tc>
        <w:tc>
          <w:tcPr>
            <w:tcW w:w="1071" w:type="dxa"/>
            <w:shd w:val="clear" w:color="auto" w:fill="auto"/>
            <w:vAlign w:val="center"/>
          </w:tcPr>
          <w:p w14:paraId="5D6E640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6F00CB5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 Henrard S, Speybroeck N, Hermans C</w:t>
            </w:r>
          </w:p>
        </w:tc>
        <w:tc>
          <w:tcPr>
            <w:tcW w:w="7010" w:type="dxa"/>
            <w:shd w:val="clear" w:color="auto" w:fill="auto"/>
            <w:vAlign w:val="center"/>
          </w:tcPr>
          <w:p w14:paraId="0C86D00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Participation for Innovation: Survey of Motivation for Clinical Studies Evaluating New Treatments for Haemophilia</w:t>
            </w:r>
          </w:p>
        </w:tc>
        <w:tc>
          <w:tcPr>
            <w:tcW w:w="568" w:type="dxa"/>
            <w:shd w:val="clear" w:color="auto" w:fill="auto"/>
            <w:vAlign w:val="center"/>
          </w:tcPr>
          <w:p w14:paraId="2AE7988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63612661" w14:textId="77777777" w:rsidTr="004C3C90">
        <w:trPr>
          <w:trHeight w:val="20"/>
        </w:trPr>
        <w:tc>
          <w:tcPr>
            <w:tcW w:w="550" w:type="dxa"/>
            <w:shd w:val="clear" w:color="auto" w:fill="auto"/>
            <w:vAlign w:val="center"/>
          </w:tcPr>
          <w:p w14:paraId="128177F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526</w:t>
            </w:r>
          </w:p>
        </w:tc>
        <w:tc>
          <w:tcPr>
            <w:tcW w:w="1071" w:type="dxa"/>
            <w:shd w:val="clear" w:color="auto" w:fill="auto"/>
            <w:vAlign w:val="center"/>
          </w:tcPr>
          <w:p w14:paraId="0BE3F7F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43AD02F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Ziegler LE</w:t>
            </w:r>
          </w:p>
        </w:tc>
        <w:tc>
          <w:tcPr>
            <w:tcW w:w="7010" w:type="dxa"/>
            <w:shd w:val="clear" w:color="auto" w:fill="auto"/>
            <w:vAlign w:val="center"/>
          </w:tcPr>
          <w:p w14:paraId="5F57B31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 Education, a Full Component of Patient Care in France : Impact of the New Regulations-Results of a National Survey</w:t>
            </w:r>
          </w:p>
        </w:tc>
        <w:tc>
          <w:tcPr>
            <w:tcW w:w="568" w:type="dxa"/>
            <w:shd w:val="clear" w:color="auto" w:fill="auto"/>
            <w:vAlign w:val="center"/>
          </w:tcPr>
          <w:p w14:paraId="427D7E4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18F3B70D" w14:textId="77777777" w:rsidTr="004C3C90">
        <w:trPr>
          <w:trHeight w:val="20"/>
        </w:trPr>
        <w:tc>
          <w:tcPr>
            <w:tcW w:w="550" w:type="dxa"/>
            <w:shd w:val="clear" w:color="auto" w:fill="auto"/>
            <w:vAlign w:val="center"/>
          </w:tcPr>
          <w:p w14:paraId="210A3BD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527</w:t>
            </w:r>
          </w:p>
        </w:tc>
        <w:tc>
          <w:tcPr>
            <w:tcW w:w="1071" w:type="dxa"/>
            <w:shd w:val="clear" w:color="auto" w:fill="auto"/>
            <w:vAlign w:val="center"/>
          </w:tcPr>
          <w:p w14:paraId="20A78B5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569869D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 Bacon CJ, Hall CA, Shy ME</w:t>
            </w:r>
          </w:p>
        </w:tc>
        <w:tc>
          <w:tcPr>
            <w:tcW w:w="7010" w:type="dxa"/>
            <w:shd w:val="clear" w:color="auto" w:fill="auto"/>
            <w:vAlign w:val="center"/>
          </w:tcPr>
          <w:p w14:paraId="3020EE3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Rare Diseases Clinical Research Network Contact Registry for the Inherited Neuropathies Consortium</w:t>
            </w:r>
          </w:p>
        </w:tc>
        <w:tc>
          <w:tcPr>
            <w:tcW w:w="568" w:type="dxa"/>
            <w:shd w:val="clear" w:color="auto" w:fill="auto"/>
            <w:vAlign w:val="center"/>
          </w:tcPr>
          <w:p w14:paraId="7A5E912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49DD6AD1" w14:textId="77777777" w:rsidTr="004C3C90">
        <w:trPr>
          <w:trHeight w:val="20"/>
        </w:trPr>
        <w:tc>
          <w:tcPr>
            <w:tcW w:w="550" w:type="dxa"/>
            <w:shd w:val="clear" w:color="auto" w:fill="auto"/>
            <w:vAlign w:val="center"/>
          </w:tcPr>
          <w:p w14:paraId="58C2299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528</w:t>
            </w:r>
          </w:p>
        </w:tc>
        <w:tc>
          <w:tcPr>
            <w:tcW w:w="1071" w:type="dxa"/>
            <w:shd w:val="clear" w:color="auto" w:fill="auto"/>
            <w:vAlign w:val="center"/>
          </w:tcPr>
          <w:p w14:paraId="2BC264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5B9E98A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DiBenedetti D, Coles T, Sharma T</w:t>
            </w:r>
          </w:p>
        </w:tc>
        <w:tc>
          <w:tcPr>
            <w:tcW w:w="7010" w:type="dxa"/>
            <w:shd w:val="clear" w:color="auto" w:fill="auto"/>
            <w:vAlign w:val="center"/>
          </w:tcPr>
          <w:p w14:paraId="6E53D04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Recruiting Patients with a Rare Blood Disorder and Their Caregivers through Social Media</w:t>
            </w:r>
          </w:p>
        </w:tc>
        <w:tc>
          <w:tcPr>
            <w:tcW w:w="568" w:type="dxa"/>
            <w:shd w:val="clear" w:color="auto" w:fill="auto"/>
            <w:vAlign w:val="center"/>
          </w:tcPr>
          <w:p w14:paraId="206B27A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1D6A6C49" w14:textId="77777777" w:rsidTr="004C3C90">
        <w:trPr>
          <w:trHeight w:val="20"/>
        </w:trPr>
        <w:tc>
          <w:tcPr>
            <w:tcW w:w="550" w:type="dxa"/>
            <w:shd w:val="clear" w:color="auto" w:fill="auto"/>
            <w:vAlign w:val="center"/>
          </w:tcPr>
          <w:p w14:paraId="4E57A76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529</w:t>
            </w:r>
          </w:p>
        </w:tc>
        <w:tc>
          <w:tcPr>
            <w:tcW w:w="1071" w:type="dxa"/>
            <w:shd w:val="clear" w:color="auto" w:fill="auto"/>
            <w:vAlign w:val="center"/>
          </w:tcPr>
          <w:p w14:paraId="13BDB4D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6FD0870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Hildebrandt M, Apperley J, Dickinson Am, et al.</w:t>
            </w:r>
          </w:p>
        </w:tc>
        <w:tc>
          <w:tcPr>
            <w:tcW w:w="7010" w:type="dxa"/>
            <w:shd w:val="clear" w:color="auto" w:fill="auto"/>
            <w:vAlign w:val="center"/>
          </w:tcPr>
          <w:p w14:paraId="2DDA1F3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Regulation of Advanced Therapy Medicinal Products (Atmps) in Europe and the Role of Academia: Results of an Fp7-Funded Research Project</w:t>
            </w:r>
          </w:p>
        </w:tc>
        <w:tc>
          <w:tcPr>
            <w:tcW w:w="568" w:type="dxa"/>
            <w:shd w:val="clear" w:color="auto" w:fill="auto"/>
            <w:vAlign w:val="center"/>
          </w:tcPr>
          <w:p w14:paraId="23EB856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38F6A9A3" w14:textId="77777777" w:rsidTr="004C3C90">
        <w:trPr>
          <w:trHeight w:val="20"/>
        </w:trPr>
        <w:tc>
          <w:tcPr>
            <w:tcW w:w="550" w:type="dxa"/>
            <w:shd w:val="clear" w:color="auto" w:fill="auto"/>
            <w:vAlign w:val="center"/>
          </w:tcPr>
          <w:p w14:paraId="16C8DD2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530</w:t>
            </w:r>
          </w:p>
        </w:tc>
        <w:tc>
          <w:tcPr>
            <w:tcW w:w="1071" w:type="dxa"/>
            <w:shd w:val="clear" w:color="auto" w:fill="auto"/>
            <w:vAlign w:val="center"/>
          </w:tcPr>
          <w:p w14:paraId="32D8D03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42B8F73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 Lam NS, Thanh TD</w:t>
            </w:r>
          </w:p>
        </w:tc>
        <w:tc>
          <w:tcPr>
            <w:tcW w:w="7010" w:type="dxa"/>
            <w:shd w:val="clear" w:color="auto" w:fill="auto"/>
            <w:vAlign w:val="center"/>
          </w:tcPr>
          <w:p w14:paraId="4CF1EBE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Study of Some Factors Related to Epidemiology in Malignant Pleural Mesothelioma</w:t>
            </w:r>
          </w:p>
        </w:tc>
        <w:tc>
          <w:tcPr>
            <w:tcW w:w="568" w:type="dxa"/>
            <w:shd w:val="clear" w:color="auto" w:fill="auto"/>
            <w:vAlign w:val="center"/>
          </w:tcPr>
          <w:p w14:paraId="77F2CED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358D9E27" w14:textId="77777777" w:rsidTr="004C3C90">
        <w:trPr>
          <w:trHeight w:val="20"/>
        </w:trPr>
        <w:tc>
          <w:tcPr>
            <w:tcW w:w="550" w:type="dxa"/>
            <w:shd w:val="clear" w:color="auto" w:fill="auto"/>
            <w:vAlign w:val="center"/>
          </w:tcPr>
          <w:p w14:paraId="69D6924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531</w:t>
            </w:r>
          </w:p>
        </w:tc>
        <w:tc>
          <w:tcPr>
            <w:tcW w:w="1071" w:type="dxa"/>
            <w:shd w:val="clear" w:color="auto" w:fill="auto"/>
            <w:vAlign w:val="center"/>
          </w:tcPr>
          <w:p w14:paraId="67B6933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623BAF7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Giugliani R, Jesuino K, Brites A, Burin MG, Matte Y, Leistner SS, et al.</w:t>
            </w:r>
          </w:p>
        </w:tc>
        <w:tc>
          <w:tcPr>
            <w:tcW w:w="7010" w:type="dxa"/>
            <w:shd w:val="clear" w:color="auto" w:fill="auto"/>
            <w:vAlign w:val="center"/>
          </w:tcPr>
          <w:p w14:paraId="26C7C22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Survey of the First 1000 Patients Identified by the Mps Brazil Network</w:t>
            </w:r>
          </w:p>
        </w:tc>
        <w:tc>
          <w:tcPr>
            <w:tcW w:w="568" w:type="dxa"/>
            <w:shd w:val="clear" w:color="auto" w:fill="auto"/>
            <w:vAlign w:val="center"/>
          </w:tcPr>
          <w:p w14:paraId="586F013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3B86963C" w14:textId="77777777" w:rsidTr="004C3C90">
        <w:trPr>
          <w:trHeight w:val="20"/>
        </w:trPr>
        <w:tc>
          <w:tcPr>
            <w:tcW w:w="550" w:type="dxa"/>
            <w:shd w:val="clear" w:color="auto" w:fill="auto"/>
            <w:vAlign w:val="center"/>
          </w:tcPr>
          <w:p w14:paraId="14F9007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532</w:t>
            </w:r>
          </w:p>
        </w:tc>
        <w:tc>
          <w:tcPr>
            <w:tcW w:w="1071" w:type="dxa"/>
            <w:shd w:val="clear" w:color="auto" w:fill="auto"/>
            <w:vAlign w:val="center"/>
          </w:tcPr>
          <w:p w14:paraId="2F943F0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6541FEC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Han C, Kavanaugh A, Genovese MC, Deohar A, Hsu B, Hsia E</w:t>
            </w:r>
          </w:p>
        </w:tc>
        <w:tc>
          <w:tcPr>
            <w:tcW w:w="7010" w:type="dxa"/>
            <w:shd w:val="clear" w:color="auto" w:fill="auto"/>
            <w:vAlign w:val="center"/>
          </w:tcPr>
          <w:p w14:paraId="2FD7E3F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Sustained Improvement in Health Related Quality of Life, Work Productivity, Employability, and Reduced Healthcare Resource Utilization of Patients with Rheumatoid Arthritis, Psoriatic Arthritis and Ankylosing Spondylitis Treated with Golimumab: 5yr Results</w:t>
            </w:r>
          </w:p>
        </w:tc>
        <w:tc>
          <w:tcPr>
            <w:tcW w:w="568" w:type="dxa"/>
            <w:shd w:val="clear" w:color="auto" w:fill="auto"/>
            <w:vAlign w:val="center"/>
          </w:tcPr>
          <w:p w14:paraId="08518C7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08631405" w14:textId="77777777" w:rsidTr="004C3C90">
        <w:trPr>
          <w:trHeight w:val="20"/>
        </w:trPr>
        <w:tc>
          <w:tcPr>
            <w:tcW w:w="550" w:type="dxa"/>
            <w:shd w:val="clear" w:color="auto" w:fill="auto"/>
            <w:vAlign w:val="center"/>
          </w:tcPr>
          <w:p w14:paraId="353E4FF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533</w:t>
            </w:r>
          </w:p>
        </w:tc>
        <w:tc>
          <w:tcPr>
            <w:tcW w:w="1071" w:type="dxa"/>
            <w:shd w:val="clear" w:color="auto" w:fill="auto"/>
            <w:vAlign w:val="center"/>
          </w:tcPr>
          <w:p w14:paraId="328DA9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7FB4B12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Han C</w:t>
            </w:r>
            <w:r w:rsidRPr="004C3C90">
              <w:rPr>
                <w:rFonts w:ascii="Times New Roman" w:eastAsia="Times New Roman" w:hAnsi="Times New Roman" w:cs="Times New Roman"/>
                <w:sz w:val="20"/>
                <w:szCs w:val="20"/>
                <w:highlight w:val="white"/>
              </w:rPr>
              <w:t>, Kavanaugh</w:t>
            </w:r>
            <w:r w:rsidRPr="004C3C90">
              <w:rPr>
                <w:rFonts w:ascii="Times New Roman" w:eastAsia="Times New Roman" w:hAnsi="Times New Roman" w:cs="Times New Roman"/>
                <w:sz w:val="20"/>
                <w:szCs w:val="20"/>
              </w:rPr>
              <w:t xml:space="preserve"> A</w:t>
            </w:r>
            <w:r w:rsidRPr="004C3C90">
              <w:rPr>
                <w:rFonts w:ascii="Times New Roman" w:eastAsia="Times New Roman" w:hAnsi="Times New Roman" w:cs="Times New Roman"/>
                <w:sz w:val="20"/>
                <w:szCs w:val="20"/>
                <w:highlight w:val="white"/>
              </w:rPr>
              <w:t xml:space="preserve">, Genovese MC, Deodhar A, Hsu B, Hsai E </w:t>
            </w:r>
          </w:p>
        </w:tc>
        <w:tc>
          <w:tcPr>
            <w:tcW w:w="7010" w:type="dxa"/>
            <w:shd w:val="clear" w:color="auto" w:fill="auto"/>
            <w:vAlign w:val="center"/>
          </w:tcPr>
          <w:p w14:paraId="51FD705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Sustained Improvement in Health-Related Quality of Life, Work Productivity, Employability, and Reduced Healthcare Resource Utilization of Patients with Rheumatoid Arthritis, Psoriatic Arthritis and Ankylosing Spondylitis Treated with Golimumab: 5-Year Results from 3 Phase Iii Studies</w:t>
            </w:r>
          </w:p>
        </w:tc>
        <w:tc>
          <w:tcPr>
            <w:tcW w:w="568" w:type="dxa"/>
            <w:shd w:val="clear" w:color="auto" w:fill="auto"/>
            <w:vAlign w:val="center"/>
          </w:tcPr>
          <w:p w14:paraId="02CCDDB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78DE8614" w14:textId="77777777" w:rsidTr="004C3C90">
        <w:trPr>
          <w:trHeight w:val="20"/>
        </w:trPr>
        <w:tc>
          <w:tcPr>
            <w:tcW w:w="550" w:type="dxa"/>
            <w:shd w:val="clear" w:color="auto" w:fill="auto"/>
            <w:vAlign w:val="center"/>
          </w:tcPr>
          <w:p w14:paraId="5C03C96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534</w:t>
            </w:r>
          </w:p>
        </w:tc>
        <w:tc>
          <w:tcPr>
            <w:tcW w:w="1071" w:type="dxa"/>
            <w:shd w:val="clear" w:color="auto" w:fill="auto"/>
            <w:vAlign w:val="center"/>
          </w:tcPr>
          <w:p w14:paraId="1853419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4D090B9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 Mohamed S, Al-Juryyan N, Hasanato R, Babiker A, Al-Otibi H, Al-Hakamy A, et al.</w:t>
            </w:r>
          </w:p>
        </w:tc>
        <w:tc>
          <w:tcPr>
            <w:tcW w:w="7010" w:type="dxa"/>
            <w:shd w:val="clear" w:color="auto" w:fill="auto"/>
            <w:vAlign w:val="center"/>
          </w:tcPr>
          <w:p w14:paraId="6F0E546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 Unusual Presentation of Phex Mutated X-Linked Hypophosphatemic Rickets in a Child</w:t>
            </w:r>
          </w:p>
        </w:tc>
        <w:tc>
          <w:tcPr>
            <w:tcW w:w="568" w:type="dxa"/>
            <w:shd w:val="clear" w:color="auto" w:fill="auto"/>
            <w:vAlign w:val="center"/>
          </w:tcPr>
          <w:p w14:paraId="13C7F3B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5ECCF892" w14:textId="77777777" w:rsidTr="004C3C90">
        <w:trPr>
          <w:trHeight w:val="20"/>
        </w:trPr>
        <w:tc>
          <w:tcPr>
            <w:tcW w:w="550" w:type="dxa"/>
            <w:shd w:val="clear" w:color="auto" w:fill="auto"/>
            <w:vAlign w:val="center"/>
          </w:tcPr>
          <w:p w14:paraId="0BCAA71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535</w:t>
            </w:r>
          </w:p>
        </w:tc>
        <w:tc>
          <w:tcPr>
            <w:tcW w:w="1071" w:type="dxa"/>
            <w:shd w:val="clear" w:color="auto" w:fill="auto"/>
            <w:vAlign w:val="center"/>
          </w:tcPr>
          <w:p w14:paraId="7879516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vAlign w:val="center"/>
          </w:tcPr>
          <w:p w14:paraId="6134EF2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 Aygören-Pürsün E, Bygum A, Caballero T, Beusterien K, Hautamaki E, Sisic Z, et al.</w:t>
            </w:r>
          </w:p>
        </w:tc>
        <w:tc>
          <w:tcPr>
            <w:tcW w:w="7010" w:type="dxa"/>
            <w:shd w:val="clear" w:color="auto" w:fill="auto"/>
            <w:vAlign w:val="center"/>
          </w:tcPr>
          <w:p w14:paraId="46C691A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Hereditary C1-Inhibitor Deficiency: Economic and Social Impact on Individuals and Their Families-Results of a Cross-Sectional Survey in Germany, Denmark and Spain-the Hae-Bois Study</w:t>
            </w:r>
          </w:p>
        </w:tc>
        <w:tc>
          <w:tcPr>
            <w:tcW w:w="568" w:type="dxa"/>
            <w:shd w:val="clear" w:color="auto" w:fill="auto"/>
            <w:vAlign w:val="center"/>
          </w:tcPr>
          <w:p w14:paraId="4ACE137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2E19DB8A" w14:textId="77777777" w:rsidTr="004C3C90">
        <w:trPr>
          <w:trHeight w:val="20"/>
        </w:trPr>
        <w:tc>
          <w:tcPr>
            <w:tcW w:w="550" w:type="dxa"/>
            <w:shd w:val="clear" w:color="auto" w:fill="auto"/>
            <w:vAlign w:val="center"/>
          </w:tcPr>
          <w:p w14:paraId="7868D20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536</w:t>
            </w:r>
          </w:p>
        </w:tc>
        <w:tc>
          <w:tcPr>
            <w:tcW w:w="1071" w:type="dxa"/>
            <w:shd w:val="clear" w:color="auto" w:fill="auto"/>
            <w:vAlign w:val="center"/>
          </w:tcPr>
          <w:p w14:paraId="684F34D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1AAAFD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 Rodger S, Antonova V, Brabec P, Catlin N, Garami M, Gramsch K,  et al. </w:t>
            </w:r>
          </w:p>
        </w:tc>
        <w:tc>
          <w:tcPr>
            <w:tcW w:w="7010" w:type="dxa"/>
            <w:shd w:val="clear" w:color="auto" w:fill="auto"/>
            <w:vAlign w:val="center"/>
          </w:tcPr>
          <w:p w14:paraId="4C278FA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Care-Nmd: The Role of Patient Registries in an International Study of Care in Duchenne Muscular Dystrophy</w:t>
            </w:r>
          </w:p>
        </w:tc>
        <w:tc>
          <w:tcPr>
            <w:tcW w:w="568" w:type="dxa"/>
            <w:shd w:val="clear" w:color="auto" w:fill="auto"/>
            <w:vAlign w:val="center"/>
          </w:tcPr>
          <w:p w14:paraId="24BE283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0DE27EDC" w14:textId="77777777" w:rsidTr="004C3C90">
        <w:trPr>
          <w:trHeight w:val="20"/>
        </w:trPr>
        <w:tc>
          <w:tcPr>
            <w:tcW w:w="550" w:type="dxa"/>
            <w:shd w:val="clear" w:color="auto" w:fill="auto"/>
            <w:vAlign w:val="center"/>
          </w:tcPr>
          <w:p w14:paraId="310805E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537</w:t>
            </w:r>
          </w:p>
        </w:tc>
        <w:tc>
          <w:tcPr>
            <w:tcW w:w="1071" w:type="dxa"/>
            <w:shd w:val="clear" w:color="auto" w:fill="auto"/>
            <w:vAlign w:val="center"/>
          </w:tcPr>
          <w:p w14:paraId="1BD6BD9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8351C4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Houÿez F, Bélorgey C, North A, Czondi E, Lipucci di Paola M. </w:t>
            </w:r>
          </w:p>
        </w:tc>
        <w:tc>
          <w:tcPr>
            <w:tcW w:w="7010" w:type="dxa"/>
            <w:shd w:val="clear" w:color="auto" w:fill="auto"/>
            <w:vAlign w:val="center"/>
          </w:tcPr>
          <w:p w14:paraId="488BC83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Compassionate Use Programmes for Rare Diseases: Proposals for Actions</w:t>
            </w:r>
          </w:p>
        </w:tc>
        <w:tc>
          <w:tcPr>
            <w:tcW w:w="568" w:type="dxa"/>
            <w:shd w:val="clear" w:color="auto" w:fill="auto"/>
            <w:vAlign w:val="center"/>
          </w:tcPr>
          <w:p w14:paraId="358D6ED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27B7A401" w14:textId="77777777" w:rsidTr="004C3C90">
        <w:trPr>
          <w:trHeight w:val="20"/>
        </w:trPr>
        <w:tc>
          <w:tcPr>
            <w:tcW w:w="550" w:type="dxa"/>
            <w:shd w:val="clear" w:color="auto" w:fill="auto"/>
            <w:vAlign w:val="center"/>
          </w:tcPr>
          <w:p w14:paraId="4529735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538</w:t>
            </w:r>
          </w:p>
        </w:tc>
        <w:tc>
          <w:tcPr>
            <w:tcW w:w="1071" w:type="dxa"/>
            <w:shd w:val="clear" w:color="auto" w:fill="auto"/>
            <w:vAlign w:val="center"/>
          </w:tcPr>
          <w:p w14:paraId="623AE45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857A51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Derham C, Anderson I, Wilson J, Goodden J, Chumas P, Tyagi A</w:t>
            </w:r>
          </w:p>
        </w:tc>
        <w:tc>
          <w:tcPr>
            <w:tcW w:w="7010" w:type="dxa"/>
            <w:shd w:val="clear" w:color="auto" w:fill="auto"/>
            <w:vAlign w:val="center"/>
          </w:tcPr>
          <w:p w14:paraId="256647D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Conundrum of Paediatric Lenticulostriate Artery Aneurysm: A Report of 2 Cases</w:t>
            </w:r>
          </w:p>
        </w:tc>
        <w:tc>
          <w:tcPr>
            <w:tcW w:w="568" w:type="dxa"/>
            <w:shd w:val="clear" w:color="auto" w:fill="auto"/>
            <w:vAlign w:val="center"/>
          </w:tcPr>
          <w:p w14:paraId="5FDFCC9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547F953B" w14:textId="77777777" w:rsidTr="004C3C90">
        <w:trPr>
          <w:trHeight w:val="20"/>
        </w:trPr>
        <w:tc>
          <w:tcPr>
            <w:tcW w:w="550" w:type="dxa"/>
            <w:shd w:val="clear" w:color="auto" w:fill="auto"/>
            <w:vAlign w:val="center"/>
          </w:tcPr>
          <w:p w14:paraId="4B1B7F3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539</w:t>
            </w:r>
          </w:p>
        </w:tc>
        <w:tc>
          <w:tcPr>
            <w:tcW w:w="1071" w:type="dxa"/>
            <w:shd w:val="clear" w:color="auto" w:fill="auto"/>
            <w:vAlign w:val="center"/>
          </w:tcPr>
          <w:p w14:paraId="78EC84C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4AE7C5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Kim J, Yoo K, Park Y, Park S, Hwang T, Choi Y, et al.</w:t>
            </w:r>
          </w:p>
        </w:tc>
        <w:tc>
          <w:tcPr>
            <w:tcW w:w="7010" w:type="dxa"/>
            <w:shd w:val="clear" w:color="auto" w:fill="auto"/>
            <w:vAlign w:val="center"/>
          </w:tcPr>
          <w:p w14:paraId="54E407E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Current Status of Hemophilia in Korea: Results from a Nationwide Survey</w:t>
            </w:r>
          </w:p>
        </w:tc>
        <w:tc>
          <w:tcPr>
            <w:tcW w:w="568" w:type="dxa"/>
            <w:shd w:val="clear" w:color="auto" w:fill="auto"/>
            <w:vAlign w:val="center"/>
          </w:tcPr>
          <w:p w14:paraId="4B1089B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7761CFD3" w14:textId="77777777" w:rsidTr="004C3C90">
        <w:trPr>
          <w:trHeight w:val="20"/>
        </w:trPr>
        <w:tc>
          <w:tcPr>
            <w:tcW w:w="550" w:type="dxa"/>
            <w:shd w:val="clear" w:color="auto" w:fill="auto"/>
            <w:vAlign w:val="center"/>
          </w:tcPr>
          <w:p w14:paraId="3D8CE64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540</w:t>
            </w:r>
          </w:p>
        </w:tc>
        <w:tc>
          <w:tcPr>
            <w:tcW w:w="1071" w:type="dxa"/>
            <w:shd w:val="clear" w:color="auto" w:fill="auto"/>
            <w:vAlign w:val="center"/>
          </w:tcPr>
          <w:p w14:paraId="616B16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44DC4A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Peyvandi F</w:t>
            </w:r>
          </w:p>
        </w:tc>
        <w:tc>
          <w:tcPr>
            <w:tcW w:w="7010" w:type="dxa"/>
            <w:shd w:val="clear" w:color="auto" w:fill="auto"/>
            <w:vAlign w:val="center"/>
          </w:tcPr>
          <w:p w14:paraId="167DAD1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Epidemiology and Management of Rare Bleeding Disorders</w:t>
            </w:r>
          </w:p>
        </w:tc>
        <w:tc>
          <w:tcPr>
            <w:tcW w:w="568" w:type="dxa"/>
            <w:shd w:val="clear" w:color="auto" w:fill="auto"/>
            <w:vAlign w:val="center"/>
          </w:tcPr>
          <w:p w14:paraId="6E66C35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3FA86D8C" w14:textId="77777777" w:rsidTr="004C3C90">
        <w:trPr>
          <w:trHeight w:val="20"/>
        </w:trPr>
        <w:tc>
          <w:tcPr>
            <w:tcW w:w="550" w:type="dxa"/>
            <w:shd w:val="clear" w:color="auto" w:fill="auto"/>
            <w:vAlign w:val="center"/>
          </w:tcPr>
          <w:p w14:paraId="7E6EDA6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541</w:t>
            </w:r>
          </w:p>
        </w:tc>
        <w:tc>
          <w:tcPr>
            <w:tcW w:w="1071" w:type="dxa"/>
            <w:shd w:val="clear" w:color="auto" w:fill="auto"/>
            <w:vAlign w:val="center"/>
          </w:tcPr>
          <w:p w14:paraId="7DBD418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089084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Underbjerg L, Sikjaer T, Mosekilde L, Rejnmark L</w:t>
            </w:r>
          </w:p>
        </w:tc>
        <w:tc>
          <w:tcPr>
            <w:tcW w:w="7010" w:type="dxa"/>
            <w:shd w:val="clear" w:color="auto" w:fill="auto"/>
            <w:vAlign w:val="center"/>
          </w:tcPr>
          <w:p w14:paraId="04106DD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Epidemiology of Hypo-and Pseudo Hypo Parathy Roidism in Denmark</w:t>
            </w:r>
          </w:p>
        </w:tc>
        <w:tc>
          <w:tcPr>
            <w:tcW w:w="568" w:type="dxa"/>
            <w:shd w:val="clear" w:color="auto" w:fill="auto"/>
            <w:vAlign w:val="center"/>
          </w:tcPr>
          <w:p w14:paraId="0552418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7C517A73" w14:textId="77777777" w:rsidTr="004C3C90">
        <w:trPr>
          <w:trHeight w:val="20"/>
        </w:trPr>
        <w:tc>
          <w:tcPr>
            <w:tcW w:w="550" w:type="dxa"/>
            <w:shd w:val="clear" w:color="auto" w:fill="auto"/>
            <w:vAlign w:val="center"/>
          </w:tcPr>
          <w:p w14:paraId="3B7F72B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542</w:t>
            </w:r>
          </w:p>
        </w:tc>
        <w:tc>
          <w:tcPr>
            <w:tcW w:w="1071" w:type="dxa"/>
            <w:shd w:val="clear" w:color="auto" w:fill="auto"/>
            <w:vAlign w:val="center"/>
          </w:tcPr>
          <w:p w14:paraId="2360D50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4D98C1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Moulard O, Mehta J, Fryzek J, Olivares R, Iqbal U, Mesa RA.</w:t>
            </w:r>
          </w:p>
        </w:tc>
        <w:tc>
          <w:tcPr>
            <w:tcW w:w="7010" w:type="dxa"/>
            <w:shd w:val="clear" w:color="auto" w:fill="auto"/>
            <w:vAlign w:val="center"/>
          </w:tcPr>
          <w:p w14:paraId="38E035A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Epidemiology of Myelofibrosis (Mf), Polycythemia Vera (Pv) and Essential Thrombocythemia (Et) in the European Union (Eu)</w:t>
            </w:r>
          </w:p>
        </w:tc>
        <w:tc>
          <w:tcPr>
            <w:tcW w:w="568" w:type="dxa"/>
            <w:shd w:val="clear" w:color="auto" w:fill="auto"/>
            <w:vAlign w:val="center"/>
          </w:tcPr>
          <w:p w14:paraId="0C78409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7DA1CF7A" w14:textId="77777777" w:rsidTr="004C3C90">
        <w:trPr>
          <w:trHeight w:val="20"/>
        </w:trPr>
        <w:tc>
          <w:tcPr>
            <w:tcW w:w="550" w:type="dxa"/>
            <w:shd w:val="clear" w:color="auto" w:fill="auto"/>
            <w:vAlign w:val="center"/>
          </w:tcPr>
          <w:p w14:paraId="5CD3791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543</w:t>
            </w:r>
          </w:p>
        </w:tc>
        <w:tc>
          <w:tcPr>
            <w:tcW w:w="1071" w:type="dxa"/>
            <w:shd w:val="clear" w:color="auto" w:fill="auto"/>
            <w:vAlign w:val="center"/>
          </w:tcPr>
          <w:p w14:paraId="37D8ABF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E48EE7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Taruscio D, Gainotti S, Vittozzi L, Bianchi F, Ensini M, Posada M</w:t>
            </w:r>
          </w:p>
        </w:tc>
        <w:tc>
          <w:tcPr>
            <w:tcW w:w="7010" w:type="dxa"/>
            <w:shd w:val="clear" w:color="auto" w:fill="auto"/>
            <w:vAlign w:val="center"/>
          </w:tcPr>
          <w:p w14:paraId="1EF0B0E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Epirare Survey on Activities and Needs of Rare Disease Registries in the European Union</w:t>
            </w:r>
          </w:p>
        </w:tc>
        <w:tc>
          <w:tcPr>
            <w:tcW w:w="568" w:type="dxa"/>
            <w:shd w:val="clear" w:color="auto" w:fill="auto"/>
            <w:vAlign w:val="center"/>
          </w:tcPr>
          <w:p w14:paraId="12C07DA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7706AFD9" w14:textId="77777777" w:rsidTr="004C3C90">
        <w:trPr>
          <w:trHeight w:val="20"/>
        </w:trPr>
        <w:tc>
          <w:tcPr>
            <w:tcW w:w="550" w:type="dxa"/>
            <w:shd w:val="clear" w:color="auto" w:fill="auto"/>
            <w:vAlign w:val="center"/>
          </w:tcPr>
          <w:p w14:paraId="43A16AA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544</w:t>
            </w:r>
          </w:p>
        </w:tc>
        <w:tc>
          <w:tcPr>
            <w:tcW w:w="1071" w:type="dxa"/>
            <w:shd w:val="clear" w:color="auto" w:fill="auto"/>
            <w:vAlign w:val="center"/>
          </w:tcPr>
          <w:p w14:paraId="2285D29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2ED256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Ruano E, Woimant F, Trocello JM</w:t>
            </w:r>
          </w:p>
        </w:tc>
        <w:tc>
          <w:tcPr>
            <w:tcW w:w="7010" w:type="dxa"/>
            <w:shd w:val="clear" w:color="auto" w:fill="auto"/>
            <w:vAlign w:val="center"/>
          </w:tcPr>
          <w:p w14:paraId="5EC1AB6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European Patient Survey in Wilson Disease to Improve the Management of This Rare Disease</w:t>
            </w:r>
          </w:p>
        </w:tc>
        <w:tc>
          <w:tcPr>
            <w:tcW w:w="568" w:type="dxa"/>
            <w:shd w:val="clear" w:color="auto" w:fill="auto"/>
            <w:vAlign w:val="center"/>
          </w:tcPr>
          <w:p w14:paraId="46D8677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419D8048" w14:textId="77777777" w:rsidTr="004C3C90">
        <w:trPr>
          <w:trHeight w:val="20"/>
        </w:trPr>
        <w:tc>
          <w:tcPr>
            <w:tcW w:w="550" w:type="dxa"/>
            <w:shd w:val="clear" w:color="auto" w:fill="auto"/>
            <w:vAlign w:val="center"/>
          </w:tcPr>
          <w:p w14:paraId="569513B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545</w:t>
            </w:r>
          </w:p>
        </w:tc>
        <w:tc>
          <w:tcPr>
            <w:tcW w:w="1071" w:type="dxa"/>
            <w:shd w:val="clear" w:color="auto" w:fill="auto"/>
            <w:vAlign w:val="center"/>
          </w:tcPr>
          <w:p w14:paraId="30212A8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368F32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Kirschner J, Rodger S, Vry J, Gramsch K, Lochmüller H, Bushby K</w:t>
            </w:r>
          </w:p>
        </w:tc>
        <w:tc>
          <w:tcPr>
            <w:tcW w:w="7010" w:type="dxa"/>
            <w:shd w:val="clear" w:color="auto" w:fill="auto"/>
            <w:vAlign w:val="center"/>
          </w:tcPr>
          <w:p w14:paraId="6C44F9E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How Reference Networks Develop, Implement, and Monitor Guidelines</w:t>
            </w:r>
          </w:p>
        </w:tc>
        <w:tc>
          <w:tcPr>
            <w:tcW w:w="568" w:type="dxa"/>
            <w:shd w:val="clear" w:color="auto" w:fill="auto"/>
            <w:vAlign w:val="center"/>
          </w:tcPr>
          <w:p w14:paraId="2D3411D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21BE3470" w14:textId="77777777" w:rsidTr="004C3C90">
        <w:trPr>
          <w:trHeight w:val="20"/>
        </w:trPr>
        <w:tc>
          <w:tcPr>
            <w:tcW w:w="550" w:type="dxa"/>
            <w:shd w:val="clear" w:color="auto" w:fill="auto"/>
            <w:vAlign w:val="center"/>
          </w:tcPr>
          <w:p w14:paraId="524F2AD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546</w:t>
            </w:r>
          </w:p>
        </w:tc>
        <w:tc>
          <w:tcPr>
            <w:tcW w:w="1071" w:type="dxa"/>
            <w:shd w:val="clear" w:color="auto" w:fill="auto"/>
            <w:vAlign w:val="center"/>
          </w:tcPr>
          <w:p w14:paraId="422A538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CD3B72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Woehrer A, Slavc I, Stefanits H, Waldhoer T, Heinzl H, Zielonke N, et al.</w:t>
            </w:r>
          </w:p>
        </w:tc>
        <w:tc>
          <w:tcPr>
            <w:tcW w:w="7010" w:type="dxa"/>
            <w:shd w:val="clear" w:color="auto" w:fill="auto"/>
            <w:vAlign w:val="center"/>
          </w:tcPr>
          <w:p w14:paraId="1125AA0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Incidence of Embryonal Tumor with Abundant Neuropil and True Rosettes in Children: A Population-Based Study by the Austrian Brain Tumor Registry</w:t>
            </w:r>
          </w:p>
        </w:tc>
        <w:tc>
          <w:tcPr>
            <w:tcW w:w="568" w:type="dxa"/>
            <w:shd w:val="clear" w:color="auto" w:fill="auto"/>
            <w:vAlign w:val="center"/>
          </w:tcPr>
          <w:p w14:paraId="6CF8D98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5243DED0" w14:textId="77777777" w:rsidTr="004C3C90">
        <w:trPr>
          <w:trHeight w:val="20"/>
        </w:trPr>
        <w:tc>
          <w:tcPr>
            <w:tcW w:w="550" w:type="dxa"/>
            <w:shd w:val="clear" w:color="auto" w:fill="auto"/>
            <w:vAlign w:val="center"/>
          </w:tcPr>
          <w:p w14:paraId="18EE743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547</w:t>
            </w:r>
          </w:p>
        </w:tc>
        <w:tc>
          <w:tcPr>
            <w:tcW w:w="1071" w:type="dxa"/>
            <w:shd w:val="clear" w:color="auto" w:fill="auto"/>
            <w:vAlign w:val="center"/>
          </w:tcPr>
          <w:p w14:paraId="0EEE5A4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909EA8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Mavris M, Le Cam Y</w:t>
            </w:r>
          </w:p>
        </w:tc>
        <w:tc>
          <w:tcPr>
            <w:tcW w:w="7010" w:type="dxa"/>
            <w:shd w:val="clear" w:color="auto" w:fill="auto"/>
            <w:vAlign w:val="center"/>
          </w:tcPr>
          <w:p w14:paraId="3C77E2C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Involvement of Patient Organisations in Research and Development of Orphan Drugs for Rare Diseases in Europe</w:t>
            </w:r>
          </w:p>
        </w:tc>
        <w:tc>
          <w:tcPr>
            <w:tcW w:w="568" w:type="dxa"/>
            <w:shd w:val="clear" w:color="auto" w:fill="auto"/>
            <w:vAlign w:val="center"/>
          </w:tcPr>
          <w:p w14:paraId="5E432DE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36375873" w14:textId="77777777" w:rsidTr="004C3C90">
        <w:trPr>
          <w:trHeight w:val="20"/>
        </w:trPr>
        <w:tc>
          <w:tcPr>
            <w:tcW w:w="550" w:type="dxa"/>
            <w:shd w:val="clear" w:color="auto" w:fill="auto"/>
            <w:vAlign w:val="center"/>
          </w:tcPr>
          <w:p w14:paraId="10C7B5B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548</w:t>
            </w:r>
          </w:p>
        </w:tc>
        <w:tc>
          <w:tcPr>
            <w:tcW w:w="1071" w:type="dxa"/>
            <w:shd w:val="clear" w:color="auto" w:fill="auto"/>
            <w:vAlign w:val="center"/>
          </w:tcPr>
          <w:p w14:paraId="58940E3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2F340A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Derham C, Goodden JR, Chumas P, Goddard T, Tyagi A</w:t>
            </w:r>
          </w:p>
        </w:tc>
        <w:tc>
          <w:tcPr>
            <w:tcW w:w="7010" w:type="dxa"/>
            <w:shd w:val="clear" w:color="auto" w:fill="auto"/>
            <w:vAlign w:val="center"/>
          </w:tcPr>
          <w:p w14:paraId="0904489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Lenticulostriate Artery Aneurysms in the Paediatric Population: A Treatment Conundrum</w:t>
            </w:r>
          </w:p>
        </w:tc>
        <w:tc>
          <w:tcPr>
            <w:tcW w:w="568" w:type="dxa"/>
            <w:shd w:val="clear" w:color="auto" w:fill="auto"/>
            <w:vAlign w:val="center"/>
          </w:tcPr>
          <w:p w14:paraId="0461C7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0C20602C" w14:textId="77777777" w:rsidTr="004C3C90">
        <w:trPr>
          <w:trHeight w:val="20"/>
        </w:trPr>
        <w:tc>
          <w:tcPr>
            <w:tcW w:w="550" w:type="dxa"/>
            <w:shd w:val="clear" w:color="auto" w:fill="auto"/>
            <w:vAlign w:val="center"/>
          </w:tcPr>
          <w:p w14:paraId="04490AA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549</w:t>
            </w:r>
          </w:p>
        </w:tc>
        <w:tc>
          <w:tcPr>
            <w:tcW w:w="1071" w:type="dxa"/>
            <w:shd w:val="clear" w:color="auto" w:fill="auto"/>
            <w:vAlign w:val="center"/>
          </w:tcPr>
          <w:p w14:paraId="01293D3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61F584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Goto M, Okada M, Komaki H, Komaki H, Sugai K, Sasaki M, et al.</w:t>
            </w:r>
          </w:p>
        </w:tc>
        <w:tc>
          <w:tcPr>
            <w:tcW w:w="7010" w:type="dxa"/>
            <w:shd w:val="clear" w:color="auto" w:fill="auto"/>
            <w:vAlign w:val="center"/>
          </w:tcPr>
          <w:p w14:paraId="1B8B679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Nation-Wide Survey for Marinesco-Sjögren Syndrome</w:t>
            </w:r>
          </w:p>
        </w:tc>
        <w:tc>
          <w:tcPr>
            <w:tcW w:w="568" w:type="dxa"/>
            <w:shd w:val="clear" w:color="auto" w:fill="auto"/>
            <w:vAlign w:val="center"/>
          </w:tcPr>
          <w:p w14:paraId="4E11636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0022FEBE" w14:textId="77777777" w:rsidTr="004C3C90">
        <w:trPr>
          <w:trHeight w:val="20"/>
        </w:trPr>
        <w:tc>
          <w:tcPr>
            <w:tcW w:w="550" w:type="dxa"/>
            <w:shd w:val="clear" w:color="auto" w:fill="auto"/>
            <w:vAlign w:val="center"/>
          </w:tcPr>
          <w:p w14:paraId="511634A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550</w:t>
            </w:r>
          </w:p>
        </w:tc>
        <w:tc>
          <w:tcPr>
            <w:tcW w:w="1071" w:type="dxa"/>
            <w:shd w:val="clear" w:color="auto" w:fill="auto"/>
            <w:vAlign w:val="center"/>
          </w:tcPr>
          <w:p w14:paraId="5BEFAFA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531AB1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Dufour C, Pillon M, Oneto R, Oneto R, Peters C, Granceschetto G, et al. </w:t>
            </w:r>
          </w:p>
        </w:tc>
        <w:tc>
          <w:tcPr>
            <w:tcW w:w="7010" w:type="dxa"/>
            <w:shd w:val="clear" w:color="auto" w:fill="auto"/>
            <w:vAlign w:val="center"/>
          </w:tcPr>
          <w:p w14:paraId="2D7CCDD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Outcome of Aplastic Anemia in Children. A Survey on Behalf of the Saa and Pdwp of the Ebmt</w:t>
            </w:r>
          </w:p>
        </w:tc>
        <w:tc>
          <w:tcPr>
            <w:tcW w:w="568" w:type="dxa"/>
            <w:shd w:val="clear" w:color="auto" w:fill="auto"/>
            <w:vAlign w:val="center"/>
          </w:tcPr>
          <w:p w14:paraId="27F1BE6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4DEE765C" w14:textId="77777777" w:rsidTr="004C3C90">
        <w:trPr>
          <w:trHeight w:val="20"/>
        </w:trPr>
        <w:tc>
          <w:tcPr>
            <w:tcW w:w="550" w:type="dxa"/>
            <w:shd w:val="clear" w:color="auto" w:fill="auto"/>
            <w:vAlign w:val="center"/>
          </w:tcPr>
          <w:p w14:paraId="599379C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551</w:t>
            </w:r>
          </w:p>
        </w:tc>
        <w:tc>
          <w:tcPr>
            <w:tcW w:w="1071" w:type="dxa"/>
            <w:shd w:val="clear" w:color="auto" w:fill="auto"/>
            <w:vAlign w:val="center"/>
          </w:tcPr>
          <w:p w14:paraId="09B33DA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C50212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Hal Al, Rode M, Pagnoux C,  Pagnoux C, Yachyshyn E</w:t>
            </w:r>
          </w:p>
        </w:tc>
        <w:tc>
          <w:tcPr>
            <w:tcW w:w="7010" w:type="dxa"/>
            <w:shd w:val="clear" w:color="auto" w:fill="auto"/>
            <w:vAlign w:val="center"/>
          </w:tcPr>
          <w:p w14:paraId="6914C2F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Patient-Driven on-Line Survey on Granulomatosis with Polyangiitis</w:t>
            </w:r>
          </w:p>
        </w:tc>
        <w:tc>
          <w:tcPr>
            <w:tcW w:w="568" w:type="dxa"/>
            <w:shd w:val="clear" w:color="auto" w:fill="auto"/>
            <w:vAlign w:val="center"/>
          </w:tcPr>
          <w:p w14:paraId="5C874EF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5DEF4AE7" w14:textId="77777777" w:rsidTr="004C3C90">
        <w:trPr>
          <w:trHeight w:val="20"/>
        </w:trPr>
        <w:tc>
          <w:tcPr>
            <w:tcW w:w="550" w:type="dxa"/>
            <w:shd w:val="clear" w:color="auto" w:fill="auto"/>
            <w:vAlign w:val="center"/>
          </w:tcPr>
          <w:p w14:paraId="503F8C9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552</w:t>
            </w:r>
          </w:p>
        </w:tc>
        <w:tc>
          <w:tcPr>
            <w:tcW w:w="1071" w:type="dxa"/>
            <w:shd w:val="clear" w:color="auto" w:fill="auto"/>
            <w:vAlign w:val="center"/>
          </w:tcPr>
          <w:p w14:paraId="3100C57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5A4F6F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Urbinati D, Dorey J, Trigo P, Yebenes J, Toumi M</w:t>
            </w:r>
          </w:p>
        </w:tc>
        <w:tc>
          <w:tcPr>
            <w:tcW w:w="7010" w:type="dxa"/>
            <w:shd w:val="clear" w:color="auto" w:fill="auto"/>
            <w:vAlign w:val="center"/>
          </w:tcPr>
          <w:p w14:paraId="24A3688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Quality of Life of Spanish Family Carers in Huntington's Disease</w:t>
            </w:r>
          </w:p>
        </w:tc>
        <w:tc>
          <w:tcPr>
            <w:tcW w:w="568" w:type="dxa"/>
            <w:shd w:val="clear" w:color="auto" w:fill="auto"/>
            <w:vAlign w:val="center"/>
          </w:tcPr>
          <w:p w14:paraId="2BEDD41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307301F1" w14:textId="77777777" w:rsidTr="004C3C90">
        <w:trPr>
          <w:trHeight w:val="20"/>
        </w:trPr>
        <w:tc>
          <w:tcPr>
            <w:tcW w:w="550" w:type="dxa"/>
            <w:shd w:val="clear" w:color="auto" w:fill="auto"/>
            <w:vAlign w:val="center"/>
          </w:tcPr>
          <w:p w14:paraId="40196F1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553</w:t>
            </w:r>
          </w:p>
        </w:tc>
        <w:tc>
          <w:tcPr>
            <w:tcW w:w="1071" w:type="dxa"/>
            <w:shd w:val="clear" w:color="auto" w:fill="auto"/>
            <w:vAlign w:val="center"/>
          </w:tcPr>
          <w:p w14:paraId="2AC8744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722230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Pierri P</w:t>
            </w:r>
          </w:p>
        </w:tc>
        <w:tc>
          <w:tcPr>
            <w:tcW w:w="7010" w:type="dxa"/>
            <w:shd w:val="clear" w:color="auto" w:fill="auto"/>
            <w:vAlign w:val="center"/>
          </w:tcPr>
          <w:p w14:paraId="23A6D62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Route Map for the Patients Journey</w:t>
            </w:r>
          </w:p>
        </w:tc>
        <w:tc>
          <w:tcPr>
            <w:tcW w:w="568" w:type="dxa"/>
            <w:shd w:val="clear" w:color="auto" w:fill="auto"/>
            <w:vAlign w:val="center"/>
          </w:tcPr>
          <w:p w14:paraId="5273683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26C3B9AF" w14:textId="77777777" w:rsidTr="004C3C90">
        <w:trPr>
          <w:trHeight w:val="20"/>
        </w:trPr>
        <w:tc>
          <w:tcPr>
            <w:tcW w:w="550" w:type="dxa"/>
            <w:shd w:val="clear" w:color="auto" w:fill="auto"/>
            <w:vAlign w:val="center"/>
          </w:tcPr>
          <w:p w14:paraId="471E583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554</w:t>
            </w:r>
          </w:p>
        </w:tc>
        <w:tc>
          <w:tcPr>
            <w:tcW w:w="1071" w:type="dxa"/>
            <w:shd w:val="clear" w:color="auto" w:fill="auto"/>
            <w:vAlign w:val="center"/>
          </w:tcPr>
          <w:p w14:paraId="722AEB6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395BBC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Linertova R, Lopez-Bastida J, Serrano-Aguilar P, Posada-de-la-paz M</w:t>
            </w:r>
          </w:p>
        </w:tc>
        <w:tc>
          <w:tcPr>
            <w:tcW w:w="7010" w:type="dxa"/>
            <w:shd w:val="clear" w:color="auto" w:fill="auto"/>
            <w:vAlign w:val="center"/>
          </w:tcPr>
          <w:p w14:paraId="5252FBE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Social Economic Burden and Health-Related Quality of Life in Patients with Rare Diseases in Europe (Burqol-Rd Project). Spanish Results</w:t>
            </w:r>
          </w:p>
        </w:tc>
        <w:tc>
          <w:tcPr>
            <w:tcW w:w="568" w:type="dxa"/>
            <w:shd w:val="clear" w:color="auto" w:fill="auto"/>
            <w:vAlign w:val="center"/>
          </w:tcPr>
          <w:p w14:paraId="5496583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7295D1E8" w14:textId="77777777" w:rsidTr="004C3C90">
        <w:trPr>
          <w:trHeight w:val="20"/>
        </w:trPr>
        <w:tc>
          <w:tcPr>
            <w:tcW w:w="550" w:type="dxa"/>
            <w:shd w:val="clear" w:color="auto" w:fill="auto"/>
            <w:vAlign w:val="center"/>
          </w:tcPr>
          <w:p w14:paraId="3DB737C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555</w:t>
            </w:r>
          </w:p>
        </w:tc>
        <w:tc>
          <w:tcPr>
            <w:tcW w:w="1071" w:type="dxa"/>
            <w:shd w:val="clear" w:color="auto" w:fill="auto"/>
            <w:vAlign w:val="center"/>
          </w:tcPr>
          <w:p w14:paraId="38E3B8E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338D66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Weintraub D, Duda JE, Carlson K,  Luo P, Sagher O, Weaver F, et al.</w:t>
            </w:r>
          </w:p>
        </w:tc>
        <w:tc>
          <w:tcPr>
            <w:tcW w:w="7010" w:type="dxa"/>
            <w:shd w:val="clear" w:color="auto" w:fill="auto"/>
            <w:vAlign w:val="center"/>
          </w:tcPr>
          <w:p w14:paraId="0684E8A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Suicide Ideation and Behaviors after Deep Brain Stimulation for Parkinson's Disease: Results from a Randomized Controlled Trial</w:t>
            </w:r>
          </w:p>
        </w:tc>
        <w:tc>
          <w:tcPr>
            <w:tcW w:w="568" w:type="dxa"/>
            <w:shd w:val="clear" w:color="auto" w:fill="auto"/>
            <w:vAlign w:val="center"/>
          </w:tcPr>
          <w:p w14:paraId="33DE4F5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284EABE3" w14:textId="77777777" w:rsidTr="004C3C90">
        <w:trPr>
          <w:trHeight w:val="20"/>
        </w:trPr>
        <w:tc>
          <w:tcPr>
            <w:tcW w:w="550" w:type="dxa"/>
            <w:shd w:val="clear" w:color="auto" w:fill="auto"/>
            <w:vAlign w:val="center"/>
          </w:tcPr>
          <w:p w14:paraId="78A2984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556</w:t>
            </w:r>
          </w:p>
        </w:tc>
        <w:tc>
          <w:tcPr>
            <w:tcW w:w="1071" w:type="dxa"/>
            <w:shd w:val="clear" w:color="auto" w:fill="auto"/>
            <w:vAlign w:val="center"/>
          </w:tcPr>
          <w:p w14:paraId="10B9DF4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5B657E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Essig S, Gianinazzi ME, Xavier von der Weid N, Michel G, Kuehni C</w:t>
            </w:r>
          </w:p>
        </w:tc>
        <w:tc>
          <w:tcPr>
            <w:tcW w:w="7010" w:type="dxa"/>
            <w:shd w:val="clear" w:color="auto" w:fill="auto"/>
            <w:vAlign w:val="center"/>
          </w:tcPr>
          <w:p w14:paraId="7F5798A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Therapy-Induced Late Toxicity in Children with Rare Diseases: Long-Term Follow-up Is Needed but Gets Disrupted in Adolescence-a Study in Pediatric Oncology from the Swiss Childhood Cancer Registry</w:t>
            </w:r>
          </w:p>
        </w:tc>
        <w:tc>
          <w:tcPr>
            <w:tcW w:w="568" w:type="dxa"/>
            <w:shd w:val="clear" w:color="auto" w:fill="auto"/>
            <w:vAlign w:val="center"/>
          </w:tcPr>
          <w:p w14:paraId="5E88270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0DEC6983" w14:textId="77777777" w:rsidTr="004C3C90">
        <w:trPr>
          <w:trHeight w:val="20"/>
        </w:trPr>
        <w:tc>
          <w:tcPr>
            <w:tcW w:w="550" w:type="dxa"/>
            <w:shd w:val="clear" w:color="auto" w:fill="auto"/>
            <w:vAlign w:val="center"/>
          </w:tcPr>
          <w:p w14:paraId="6D24E39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557</w:t>
            </w:r>
          </w:p>
        </w:tc>
        <w:tc>
          <w:tcPr>
            <w:tcW w:w="1071" w:type="dxa"/>
            <w:shd w:val="clear" w:color="auto" w:fill="auto"/>
            <w:vAlign w:val="center"/>
          </w:tcPr>
          <w:p w14:paraId="3B3C775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9BC24B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Trocello JM, Ruano E, Woimant F</w:t>
            </w:r>
          </w:p>
        </w:tc>
        <w:tc>
          <w:tcPr>
            <w:tcW w:w="7010" w:type="dxa"/>
            <w:shd w:val="clear" w:color="auto" w:fill="auto"/>
            <w:vAlign w:val="center"/>
          </w:tcPr>
          <w:p w14:paraId="61D8887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Wilson's Disease: A European Survey to Improve the Management of This Rare Disease</w:t>
            </w:r>
          </w:p>
        </w:tc>
        <w:tc>
          <w:tcPr>
            <w:tcW w:w="568" w:type="dxa"/>
            <w:shd w:val="clear" w:color="auto" w:fill="auto"/>
            <w:vAlign w:val="center"/>
          </w:tcPr>
          <w:p w14:paraId="4AF757B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20057247" w14:textId="77777777" w:rsidTr="004C3C90">
        <w:trPr>
          <w:trHeight w:val="20"/>
        </w:trPr>
        <w:tc>
          <w:tcPr>
            <w:tcW w:w="550" w:type="dxa"/>
            <w:shd w:val="clear" w:color="auto" w:fill="auto"/>
            <w:vAlign w:val="center"/>
          </w:tcPr>
          <w:p w14:paraId="4198874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558</w:t>
            </w:r>
          </w:p>
        </w:tc>
        <w:tc>
          <w:tcPr>
            <w:tcW w:w="1071" w:type="dxa"/>
            <w:shd w:val="clear" w:color="auto" w:fill="auto"/>
            <w:vAlign w:val="center"/>
          </w:tcPr>
          <w:p w14:paraId="1389991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0C2BDF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Cassiman JJ</w:t>
            </w:r>
          </w:p>
        </w:tc>
        <w:tc>
          <w:tcPr>
            <w:tcW w:w="7010" w:type="dxa"/>
            <w:shd w:val="clear" w:color="auto" w:fill="auto"/>
            <w:vAlign w:val="center"/>
          </w:tcPr>
          <w:p w14:paraId="69FF099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Can the Cross-Borders Directive Improve the Quality of Genetic Testing in the Future?</w:t>
            </w:r>
          </w:p>
        </w:tc>
        <w:tc>
          <w:tcPr>
            <w:tcW w:w="568" w:type="dxa"/>
            <w:shd w:val="clear" w:color="auto" w:fill="auto"/>
            <w:vAlign w:val="center"/>
          </w:tcPr>
          <w:p w14:paraId="7820DE8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52E51876" w14:textId="77777777" w:rsidTr="004C3C90">
        <w:trPr>
          <w:trHeight w:val="20"/>
        </w:trPr>
        <w:tc>
          <w:tcPr>
            <w:tcW w:w="550" w:type="dxa"/>
            <w:shd w:val="clear" w:color="auto" w:fill="auto"/>
            <w:vAlign w:val="center"/>
          </w:tcPr>
          <w:p w14:paraId="0BFDDF3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559</w:t>
            </w:r>
          </w:p>
        </w:tc>
        <w:tc>
          <w:tcPr>
            <w:tcW w:w="1071" w:type="dxa"/>
            <w:shd w:val="clear" w:color="auto" w:fill="auto"/>
            <w:vAlign w:val="center"/>
          </w:tcPr>
          <w:p w14:paraId="256A12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141B15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Delcroix M, Adir Ym Andreassen A, Boonstra A, Ekmehag B, Escribano P, et al. </w:t>
            </w:r>
          </w:p>
        </w:tc>
        <w:tc>
          <w:tcPr>
            <w:tcW w:w="7010" w:type="dxa"/>
            <w:shd w:val="clear" w:color="auto" w:fill="auto"/>
            <w:vAlign w:val="center"/>
          </w:tcPr>
          <w:p w14:paraId="003C3B0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Care Organisation for Pulmonary Arterial Hypertension in Developed Countries: A Survey</w:t>
            </w:r>
          </w:p>
        </w:tc>
        <w:tc>
          <w:tcPr>
            <w:tcW w:w="568" w:type="dxa"/>
            <w:shd w:val="clear" w:color="auto" w:fill="auto"/>
            <w:vAlign w:val="center"/>
          </w:tcPr>
          <w:p w14:paraId="21B25EA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7B4ACE44" w14:textId="77777777" w:rsidTr="004C3C90">
        <w:trPr>
          <w:trHeight w:val="20"/>
        </w:trPr>
        <w:tc>
          <w:tcPr>
            <w:tcW w:w="550" w:type="dxa"/>
            <w:shd w:val="clear" w:color="auto" w:fill="auto"/>
            <w:vAlign w:val="center"/>
          </w:tcPr>
          <w:p w14:paraId="39E8442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560</w:t>
            </w:r>
          </w:p>
        </w:tc>
        <w:tc>
          <w:tcPr>
            <w:tcW w:w="1071" w:type="dxa"/>
            <w:shd w:val="clear" w:color="auto" w:fill="auto"/>
            <w:vAlign w:val="center"/>
          </w:tcPr>
          <w:p w14:paraId="1E8B6B7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5A702F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Chai G, Kaw G, Chuah K, Leong K, Chee BE</w:t>
            </w:r>
          </w:p>
        </w:tc>
        <w:tc>
          <w:tcPr>
            <w:tcW w:w="7010" w:type="dxa"/>
            <w:shd w:val="clear" w:color="auto" w:fill="auto"/>
            <w:vAlign w:val="center"/>
          </w:tcPr>
          <w:p w14:paraId="5329507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Diffuse Reticulonodular Shadows: A Rare Manisfestation of a Rare Disease</w:t>
            </w:r>
          </w:p>
        </w:tc>
        <w:tc>
          <w:tcPr>
            <w:tcW w:w="568" w:type="dxa"/>
            <w:shd w:val="clear" w:color="auto" w:fill="auto"/>
            <w:vAlign w:val="center"/>
          </w:tcPr>
          <w:p w14:paraId="7300A87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6C6590AD" w14:textId="77777777" w:rsidTr="004C3C90">
        <w:trPr>
          <w:trHeight w:val="20"/>
        </w:trPr>
        <w:tc>
          <w:tcPr>
            <w:tcW w:w="550" w:type="dxa"/>
            <w:shd w:val="clear" w:color="auto" w:fill="auto"/>
            <w:vAlign w:val="center"/>
          </w:tcPr>
          <w:p w14:paraId="7FD7F10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561</w:t>
            </w:r>
          </w:p>
        </w:tc>
        <w:tc>
          <w:tcPr>
            <w:tcW w:w="1071" w:type="dxa"/>
            <w:shd w:val="clear" w:color="auto" w:fill="auto"/>
            <w:vAlign w:val="center"/>
          </w:tcPr>
          <w:p w14:paraId="1A4669C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A5558E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Austin S, Thompson L, Conett G, McGinnity T</w:t>
            </w:r>
          </w:p>
        </w:tc>
        <w:tc>
          <w:tcPr>
            <w:tcW w:w="7010" w:type="dxa"/>
            <w:shd w:val="clear" w:color="auto" w:fill="auto"/>
            <w:vAlign w:val="center"/>
          </w:tcPr>
          <w:p w14:paraId="57406CA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Family Experience of Childhood Obliterative Bronchiolitis-Findings from a Uk and Ireland National Survey</w:t>
            </w:r>
          </w:p>
        </w:tc>
        <w:tc>
          <w:tcPr>
            <w:tcW w:w="568" w:type="dxa"/>
            <w:shd w:val="clear" w:color="auto" w:fill="auto"/>
            <w:vAlign w:val="center"/>
          </w:tcPr>
          <w:p w14:paraId="5D965C7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240EC718" w14:textId="77777777" w:rsidTr="004C3C90">
        <w:trPr>
          <w:trHeight w:val="20"/>
        </w:trPr>
        <w:tc>
          <w:tcPr>
            <w:tcW w:w="550" w:type="dxa"/>
            <w:shd w:val="clear" w:color="auto" w:fill="auto"/>
            <w:vAlign w:val="center"/>
          </w:tcPr>
          <w:p w14:paraId="0F6C221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562</w:t>
            </w:r>
          </w:p>
        </w:tc>
        <w:tc>
          <w:tcPr>
            <w:tcW w:w="1071" w:type="dxa"/>
            <w:shd w:val="clear" w:color="auto" w:fill="auto"/>
            <w:vAlign w:val="center"/>
          </w:tcPr>
          <w:p w14:paraId="42641C0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5940C5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Barnholt KE, Do CB, Kiefer AK, Nelson M, Harber JE, Robson ME, et al.</w:t>
            </w:r>
          </w:p>
        </w:tc>
        <w:tc>
          <w:tcPr>
            <w:tcW w:w="7010" w:type="dxa"/>
            <w:shd w:val="clear" w:color="auto" w:fill="auto"/>
            <w:vAlign w:val="center"/>
          </w:tcPr>
          <w:p w14:paraId="6BA935B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Genome-Wide Analysis and Characterization of an Online Sarcoma Cohort</w:t>
            </w:r>
          </w:p>
        </w:tc>
        <w:tc>
          <w:tcPr>
            <w:tcW w:w="568" w:type="dxa"/>
            <w:shd w:val="clear" w:color="auto" w:fill="auto"/>
            <w:vAlign w:val="center"/>
          </w:tcPr>
          <w:p w14:paraId="557FD4A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2F7FCC2C" w14:textId="77777777" w:rsidTr="004C3C90">
        <w:trPr>
          <w:trHeight w:val="20"/>
        </w:trPr>
        <w:tc>
          <w:tcPr>
            <w:tcW w:w="550" w:type="dxa"/>
            <w:shd w:val="clear" w:color="auto" w:fill="auto"/>
            <w:vAlign w:val="center"/>
          </w:tcPr>
          <w:p w14:paraId="65F899D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563</w:t>
            </w:r>
          </w:p>
        </w:tc>
        <w:tc>
          <w:tcPr>
            <w:tcW w:w="1071" w:type="dxa"/>
            <w:shd w:val="clear" w:color="auto" w:fill="auto"/>
            <w:vAlign w:val="center"/>
          </w:tcPr>
          <w:p w14:paraId="0D31C65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991A74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Arnason JE, Mendez LM</w:t>
            </w:r>
          </w:p>
        </w:tc>
        <w:tc>
          <w:tcPr>
            <w:tcW w:w="7010" w:type="dxa"/>
            <w:shd w:val="clear" w:color="auto" w:fill="auto"/>
            <w:vAlign w:val="center"/>
          </w:tcPr>
          <w:p w14:paraId="73CC36A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Induction Therapy for Gamma-Heavy Chain Disease with Bortezomib and Dexamethasone: A Case Report</w:t>
            </w:r>
          </w:p>
        </w:tc>
        <w:tc>
          <w:tcPr>
            <w:tcW w:w="568" w:type="dxa"/>
            <w:shd w:val="clear" w:color="auto" w:fill="auto"/>
            <w:vAlign w:val="center"/>
          </w:tcPr>
          <w:p w14:paraId="7C5A4E6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23CCE4E6" w14:textId="77777777" w:rsidTr="004C3C90">
        <w:trPr>
          <w:trHeight w:val="20"/>
        </w:trPr>
        <w:tc>
          <w:tcPr>
            <w:tcW w:w="550" w:type="dxa"/>
            <w:shd w:val="clear" w:color="auto" w:fill="auto"/>
            <w:vAlign w:val="center"/>
          </w:tcPr>
          <w:p w14:paraId="54C8715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564</w:t>
            </w:r>
          </w:p>
        </w:tc>
        <w:tc>
          <w:tcPr>
            <w:tcW w:w="1071" w:type="dxa"/>
            <w:shd w:val="clear" w:color="auto" w:fill="auto"/>
            <w:vAlign w:val="center"/>
          </w:tcPr>
          <w:p w14:paraId="28B15A7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6E8801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Cottin V, Cadranel J, Crestani B,  Dalphin JC, Delaval Pm Israel-Biet D, et al.</w:t>
            </w:r>
          </w:p>
        </w:tc>
        <w:tc>
          <w:tcPr>
            <w:tcW w:w="7010" w:type="dxa"/>
            <w:shd w:val="clear" w:color="auto" w:fill="auto"/>
            <w:vAlign w:val="center"/>
          </w:tcPr>
          <w:p w14:paraId="1086CBA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Management of Idiopathic Pulmonary Fibrosis in France: A Survey of 1,456 Pulmonologists</w:t>
            </w:r>
          </w:p>
        </w:tc>
        <w:tc>
          <w:tcPr>
            <w:tcW w:w="568" w:type="dxa"/>
            <w:shd w:val="clear" w:color="auto" w:fill="auto"/>
            <w:vAlign w:val="center"/>
          </w:tcPr>
          <w:p w14:paraId="1E404CB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5E39812D" w14:textId="77777777" w:rsidTr="004C3C90">
        <w:trPr>
          <w:trHeight w:val="20"/>
        </w:trPr>
        <w:tc>
          <w:tcPr>
            <w:tcW w:w="550" w:type="dxa"/>
            <w:shd w:val="clear" w:color="auto" w:fill="auto"/>
            <w:vAlign w:val="center"/>
          </w:tcPr>
          <w:p w14:paraId="0676172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565</w:t>
            </w:r>
          </w:p>
        </w:tc>
        <w:tc>
          <w:tcPr>
            <w:tcW w:w="1071" w:type="dxa"/>
            <w:shd w:val="clear" w:color="auto" w:fill="auto"/>
            <w:vAlign w:val="center"/>
          </w:tcPr>
          <w:p w14:paraId="7B633D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94BE2F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Bailile S, Midelet A, Gallet C,  Trossaert M, Ternisien C, Itzhard N, et al. </w:t>
            </w:r>
          </w:p>
        </w:tc>
        <w:tc>
          <w:tcPr>
            <w:tcW w:w="7010" w:type="dxa"/>
            <w:shd w:val="clear" w:color="auto" w:fill="auto"/>
            <w:vAlign w:val="center"/>
          </w:tcPr>
          <w:p w14:paraId="5F4E581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Patients' Opinion Surveys Are Necessary to Assess the Quality of the Organization of a Health Facility</w:t>
            </w:r>
          </w:p>
        </w:tc>
        <w:tc>
          <w:tcPr>
            <w:tcW w:w="568" w:type="dxa"/>
            <w:shd w:val="clear" w:color="auto" w:fill="auto"/>
            <w:vAlign w:val="center"/>
          </w:tcPr>
          <w:p w14:paraId="5B9780E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3B237577" w14:textId="77777777" w:rsidTr="004C3C90">
        <w:trPr>
          <w:trHeight w:val="20"/>
        </w:trPr>
        <w:tc>
          <w:tcPr>
            <w:tcW w:w="550" w:type="dxa"/>
            <w:shd w:val="clear" w:color="auto" w:fill="auto"/>
            <w:vAlign w:val="center"/>
          </w:tcPr>
          <w:p w14:paraId="5F1D71F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566</w:t>
            </w:r>
          </w:p>
        </w:tc>
        <w:tc>
          <w:tcPr>
            <w:tcW w:w="1071" w:type="dxa"/>
            <w:shd w:val="clear" w:color="auto" w:fill="auto"/>
            <w:vAlign w:val="center"/>
          </w:tcPr>
          <w:p w14:paraId="07A9E9A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C76364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Arnaud L, Devilliers H, Peng SL, Amoura Z</w:t>
            </w:r>
          </w:p>
        </w:tc>
        <w:tc>
          <w:tcPr>
            <w:tcW w:w="7010" w:type="dxa"/>
            <w:shd w:val="clear" w:color="auto" w:fill="auto"/>
            <w:vAlign w:val="center"/>
          </w:tcPr>
          <w:p w14:paraId="7E0C8CD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Relapsing Polychondritis Disease Activity Index: International Development and Initial Validation of the First Disease Activity Score for Relapsing Polychondritis</w:t>
            </w:r>
          </w:p>
        </w:tc>
        <w:tc>
          <w:tcPr>
            <w:tcW w:w="568" w:type="dxa"/>
            <w:shd w:val="clear" w:color="auto" w:fill="auto"/>
            <w:vAlign w:val="center"/>
          </w:tcPr>
          <w:p w14:paraId="42831E0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1944EAA6" w14:textId="77777777" w:rsidTr="004C3C90">
        <w:trPr>
          <w:trHeight w:val="20"/>
        </w:trPr>
        <w:tc>
          <w:tcPr>
            <w:tcW w:w="550" w:type="dxa"/>
            <w:shd w:val="clear" w:color="auto" w:fill="auto"/>
            <w:vAlign w:val="center"/>
          </w:tcPr>
          <w:p w14:paraId="5A5E334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567</w:t>
            </w:r>
          </w:p>
        </w:tc>
        <w:tc>
          <w:tcPr>
            <w:tcW w:w="1071" w:type="dxa"/>
            <w:shd w:val="clear" w:color="auto" w:fill="auto"/>
            <w:vAlign w:val="center"/>
          </w:tcPr>
          <w:p w14:paraId="6AE28EA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0875E4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Huei-Chun Lin M, Pitukcheewanont P</w:t>
            </w:r>
          </w:p>
        </w:tc>
        <w:tc>
          <w:tcPr>
            <w:tcW w:w="7010" w:type="dxa"/>
            <w:shd w:val="clear" w:color="auto" w:fill="auto"/>
            <w:vAlign w:val="center"/>
          </w:tcPr>
          <w:p w14:paraId="3439B4A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Case of I-Cell Disease (Mucolipidosis Type ii) Masquerading as Rickets</w:t>
            </w:r>
          </w:p>
        </w:tc>
        <w:tc>
          <w:tcPr>
            <w:tcW w:w="568" w:type="dxa"/>
            <w:shd w:val="clear" w:color="auto" w:fill="auto"/>
            <w:vAlign w:val="center"/>
          </w:tcPr>
          <w:p w14:paraId="24D4F84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5B636498" w14:textId="77777777" w:rsidTr="004C3C90">
        <w:trPr>
          <w:trHeight w:val="20"/>
        </w:trPr>
        <w:tc>
          <w:tcPr>
            <w:tcW w:w="550" w:type="dxa"/>
            <w:shd w:val="clear" w:color="auto" w:fill="auto"/>
            <w:vAlign w:val="center"/>
          </w:tcPr>
          <w:p w14:paraId="03EAA0A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568</w:t>
            </w:r>
          </w:p>
        </w:tc>
        <w:tc>
          <w:tcPr>
            <w:tcW w:w="1071" w:type="dxa"/>
            <w:shd w:val="clear" w:color="auto" w:fill="auto"/>
            <w:vAlign w:val="center"/>
          </w:tcPr>
          <w:p w14:paraId="5B21B89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7B2C90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Mahe JY, Kieny P, Tich SNT, Magot A, Durigneux J, Deries X, et al. </w:t>
            </w:r>
          </w:p>
        </w:tc>
        <w:tc>
          <w:tcPr>
            <w:tcW w:w="7010" w:type="dxa"/>
            <w:shd w:val="clear" w:color="auto" w:fill="auto"/>
            <w:vAlign w:val="center"/>
          </w:tcPr>
          <w:p w14:paraId="60D7D5E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Development, Activities and Orientations of Multidisciplinary Consultations for Neuromuscular Diseases of the Nantes-Angers Reference Center for Rare Diseases</w:t>
            </w:r>
          </w:p>
        </w:tc>
        <w:tc>
          <w:tcPr>
            <w:tcW w:w="568" w:type="dxa"/>
            <w:shd w:val="clear" w:color="auto" w:fill="auto"/>
            <w:vAlign w:val="center"/>
          </w:tcPr>
          <w:p w14:paraId="53360B7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40DB0795" w14:textId="77777777" w:rsidTr="004C3C90">
        <w:trPr>
          <w:trHeight w:val="20"/>
        </w:trPr>
        <w:tc>
          <w:tcPr>
            <w:tcW w:w="550" w:type="dxa"/>
            <w:shd w:val="clear" w:color="auto" w:fill="auto"/>
            <w:vAlign w:val="center"/>
          </w:tcPr>
          <w:p w14:paraId="0F16FF2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569</w:t>
            </w:r>
          </w:p>
        </w:tc>
        <w:tc>
          <w:tcPr>
            <w:tcW w:w="1071" w:type="dxa"/>
            <w:shd w:val="clear" w:color="auto" w:fill="auto"/>
            <w:vAlign w:val="center"/>
          </w:tcPr>
          <w:p w14:paraId="004820A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A19DFE3" w14:textId="77777777" w:rsidR="004C3C90" w:rsidRPr="004C3C90" w:rsidRDefault="004C3C90" w:rsidP="004C3C90">
            <w:pPr>
              <w:spacing w:line="240" w:lineRule="auto"/>
              <w:ind w:left="-80" w:right="-80"/>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Korthof ET, Van der Zalm J, Raphael MF, Bresters D, Tolar J, Alijurf M, et al</w:t>
            </w:r>
          </w:p>
        </w:tc>
        <w:tc>
          <w:tcPr>
            <w:tcW w:w="7010" w:type="dxa"/>
            <w:shd w:val="clear" w:color="auto" w:fill="auto"/>
            <w:vAlign w:val="center"/>
          </w:tcPr>
          <w:p w14:paraId="7DAF084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Dyskeratosis Congenita: Evaluation of Immune Status and Hematopoietic Stem Cell Transplantation. A Literature and Ebmt Data Base Survey of 75 Patients</w:t>
            </w:r>
          </w:p>
        </w:tc>
        <w:tc>
          <w:tcPr>
            <w:tcW w:w="568" w:type="dxa"/>
            <w:shd w:val="clear" w:color="auto" w:fill="auto"/>
            <w:vAlign w:val="center"/>
          </w:tcPr>
          <w:p w14:paraId="3EDD0A2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0BDC3EE6" w14:textId="77777777" w:rsidTr="004C3C90">
        <w:trPr>
          <w:trHeight w:val="20"/>
        </w:trPr>
        <w:tc>
          <w:tcPr>
            <w:tcW w:w="550" w:type="dxa"/>
            <w:shd w:val="clear" w:color="auto" w:fill="auto"/>
            <w:vAlign w:val="center"/>
          </w:tcPr>
          <w:p w14:paraId="2DBEA65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570</w:t>
            </w:r>
          </w:p>
        </w:tc>
        <w:tc>
          <w:tcPr>
            <w:tcW w:w="1071" w:type="dxa"/>
            <w:shd w:val="clear" w:color="auto" w:fill="auto"/>
            <w:vAlign w:val="center"/>
          </w:tcPr>
          <w:p w14:paraId="05FF13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5ADE0D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Scotti N, Petratoli A, Carlomagno R, Orlando F, Forni C, Alessio M</w:t>
            </w:r>
          </w:p>
        </w:tc>
        <w:tc>
          <w:tcPr>
            <w:tcW w:w="7010" w:type="dxa"/>
            <w:shd w:val="clear" w:color="auto" w:fill="auto"/>
            <w:vAlign w:val="center"/>
          </w:tcPr>
          <w:p w14:paraId="1A9695F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Hereditary Angioedema. A Condition to Remember</w:t>
            </w:r>
          </w:p>
        </w:tc>
        <w:tc>
          <w:tcPr>
            <w:tcW w:w="568" w:type="dxa"/>
            <w:shd w:val="clear" w:color="auto" w:fill="auto"/>
            <w:vAlign w:val="center"/>
          </w:tcPr>
          <w:p w14:paraId="1E039E4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71241F31" w14:textId="77777777" w:rsidTr="004C3C90">
        <w:trPr>
          <w:trHeight w:val="20"/>
        </w:trPr>
        <w:tc>
          <w:tcPr>
            <w:tcW w:w="550" w:type="dxa"/>
            <w:shd w:val="clear" w:color="auto" w:fill="auto"/>
            <w:vAlign w:val="center"/>
          </w:tcPr>
          <w:p w14:paraId="1B65B20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571</w:t>
            </w:r>
          </w:p>
        </w:tc>
        <w:tc>
          <w:tcPr>
            <w:tcW w:w="1071" w:type="dxa"/>
            <w:shd w:val="clear" w:color="auto" w:fill="auto"/>
            <w:vAlign w:val="center"/>
          </w:tcPr>
          <w:p w14:paraId="276AAFE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2EAD4B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Ndri H, Husson MC, Trouvin JH</w:t>
            </w:r>
          </w:p>
        </w:tc>
        <w:tc>
          <w:tcPr>
            <w:tcW w:w="7010" w:type="dxa"/>
            <w:shd w:val="clear" w:color="auto" w:fill="auto"/>
            <w:vAlign w:val="center"/>
          </w:tcPr>
          <w:p w14:paraId="45F0036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Injectable Sodium Benzoate: Uses in France and Future Prospects</w:t>
            </w:r>
          </w:p>
        </w:tc>
        <w:tc>
          <w:tcPr>
            <w:tcW w:w="568" w:type="dxa"/>
            <w:shd w:val="clear" w:color="auto" w:fill="auto"/>
            <w:vAlign w:val="center"/>
          </w:tcPr>
          <w:p w14:paraId="23BEFE0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3252915F" w14:textId="77777777" w:rsidTr="004C3C90">
        <w:trPr>
          <w:trHeight w:val="20"/>
        </w:trPr>
        <w:tc>
          <w:tcPr>
            <w:tcW w:w="550" w:type="dxa"/>
            <w:shd w:val="clear" w:color="auto" w:fill="auto"/>
            <w:vAlign w:val="center"/>
          </w:tcPr>
          <w:p w14:paraId="11CD940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572</w:t>
            </w:r>
          </w:p>
        </w:tc>
        <w:tc>
          <w:tcPr>
            <w:tcW w:w="1071" w:type="dxa"/>
            <w:shd w:val="clear" w:color="auto" w:fill="auto"/>
            <w:vAlign w:val="center"/>
          </w:tcPr>
          <w:p w14:paraId="16B4F33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6E3459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Harms L, Sieb JP, Williams AE, Graham R, Shlaen R, Claus V, Pfiffner C</w:t>
            </w:r>
          </w:p>
        </w:tc>
        <w:tc>
          <w:tcPr>
            <w:tcW w:w="7010" w:type="dxa"/>
            <w:shd w:val="clear" w:color="auto" w:fill="auto"/>
            <w:vAlign w:val="center"/>
          </w:tcPr>
          <w:p w14:paraId="47F0BB8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Long-Term Disease History of Lems Patients and Current Treatment Patterns: Results of a Patient Interview Survey in Germany</w:t>
            </w:r>
          </w:p>
        </w:tc>
        <w:tc>
          <w:tcPr>
            <w:tcW w:w="568" w:type="dxa"/>
            <w:shd w:val="clear" w:color="auto" w:fill="auto"/>
            <w:vAlign w:val="center"/>
          </w:tcPr>
          <w:p w14:paraId="7957A49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020467E9" w14:textId="77777777" w:rsidTr="004C3C90">
        <w:trPr>
          <w:trHeight w:val="20"/>
        </w:trPr>
        <w:tc>
          <w:tcPr>
            <w:tcW w:w="550" w:type="dxa"/>
            <w:shd w:val="clear" w:color="auto" w:fill="auto"/>
            <w:vAlign w:val="center"/>
          </w:tcPr>
          <w:p w14:paraId="249FB2D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573</w:t>
            </w:r>
          </w:p>
        </w:tc>
        <w:tc>
          <w:tcPr>
            <w:tcW w:w="1071" w:type="dxa"/>
            <w:shd w:val="clear" w:color="auto" w:fill="auto"/>
            <w:vAlign w:val="center"/>
          </w:tcPr>
          <w:p w14:paraId="1D9DC1D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821609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Utz J, Hazaert JJ, Whitley CH</w:t>
            </w:r>
          </w:p>
        </w:tc>
        <w:tc>
          <w:tcPr>
            <w:tcW w:w="7010" w:type="dxa"/>
            <w:shd w:val="clear" w:color="auto" w:fill="auto"/>
            <w:vAlign w:val="center"/>
          </w:tcPr>
          <w:p w14:paraId="43836FC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Medication Therapy Management, a New Clinical Practice for Inherited Metabolic Disorders</w:t>
            </w:r>
          </w:p>
        </w:tc>
        <w:tc>
          <w:tcPr>
            <w:tcW w:w="568" w:type="dxa"/>
            <w:shd w:val="clear" w:color="auto" w:fill="auto"/>
            <w:vAlign w:val="center"/>
          </w:tcPr>
          <w:p w14:paraId="2462EBF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03D7BA04" w14:textId="77777777" w:rsidTr="004C3C90">
        <w:trPr>
          <w:trHeight w:val="20"/>
        </w:trPr>
        <w:tc>
          <w:tcPr>
            <w:tcW w:w="550" w:type="dxa"/>
            <w:shd w:val="clear" w:color="auto" w:fill="auto"/>
            <w:vAlign w:val="center"/>
          </w:tcPr>
          <w:p w14:paraId="7E131A0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574</w:t>
            </w:r>
          </w:p>
        </w:tc>
        <w:tc>
          <w:tcPr>
            <w:tcW w:w="1071" w:type="dxa"/>
            <w:shd w:val="clear" w:color="auto" w:fill="auto"/>
            <w:vAlign w:val="center"/>
          </w:tcPr>
          <w:p w14:paraId="3DDB5EB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3CD2B9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Kamiya C, Katsuragi S, Neki R, Yamanaka K, Yoshihito S, Keiko U, et al.</w:t>
            </w:r>
          </w:p>
        </w:tc>
        <w:tc>
          <w:tcPr>
            <w:tcW w:w="7010" w:type="dxa"/>
            <w:shd w:val="clear" w:color="auto" w:fill="auto"/>
            <w:vAlign w:val="center"/>
          </w:tcPr>
          <w:p w14:paraId="110DC73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Nationwide Survey of Peripertum Cardiomyopathy in Japan</w:t>
            </w:r>
          </w:p>
        </w:tc>
        <w:tc>
          <w:tcPr>
            <w:tcW w:w="568" w:type="dxa"/>
            <w:shd w:val="clear" w:color="auto" w:fill="auto"/>
            <w:vAlign w:val="center"/>
          </w:tcPr>
          <w:p w14:paraId="589FC1B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313737DA" w14:textId="77777777" w:rsidTr="004C3C90">
        <w:trPr>
          <w:trHeight w:val="20"/>
        </w:trPr>
        <w:tc>
          <w:tcPr>
            <w:tcW w:w="550" w:type="dxa"/>
            <w:shd w:val="clear" w:color="auto" w:fill="auto"/>
            <w:vAlign w:val="center"/>
          </w:tcPr>
          <w:p w14:paraId="0607DCD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575</w:t>
            </w:r>
          </w:p>
        </w:tc>
        <w:tc>
          <w:tcPr>
            <w:tcW w:w="1071" w:type="dxa"/>
            <w:shd w:val="clear" w:color="auto" w:fill="auto"/>
            <w:vAlign w:val="center"/>
          </w:tcPr>
          <w:p w14:paraId="76AFA5C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B76B6C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Mirabel M, Luyt CE, Leprince P, Leprince P, Trouillet J-L, Leger P, et al.</w:t>
            </w:r>
          </w:p>
        </w:tc>
        <w:tc>
          <w:tcPr>
            <w:tcW w:w="7010" w:type="dxa"/>
            <w:shd w:val="clear" w:color="auto" w:fill="auto"/>
            <w:vAlign w:val="center"/>
          </w:tcPr>
          <w:p w14:paraId="244FC0A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Outcomes, Long-Term Quality of Life, and Psychologic Assessment of Fulminant Myocarditis Patients Rescued by Mechanical Circulatory Support</w:t>
            </w:r>
          </w:p>
        </w:tc>
        <w:tc>
          <w:tcPr>
            <w:tcW w:w="568" w:type="dxa"/>
            <w:shd w:val="clear" w:color="auto" w:fill="auto"/>
            <w:vAlign w:val="center"/>
          </w:tcPr>
          <w:p w14:paraId="229E628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3BD7D6AA" w14:textId="77777777" w:rsidTr="004C3C90">
        <w:trPr>
          <w:trHeight w:val="20"/>
        </w:trPr>
        <w:tc>
          <w:tcPr>
            <w:tcW w:w="550" w:type="dxa"/>
            <w:shd w:val="clear" w:color="auto" w:fill="auto"/>
            <w:vAlign w:val="center"/>
          </w:tcPr>
          <w:p w14:paraId="2E66795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576</w:t>
            </w:r>
          </w:p>
        </w:tc>
        <w:tc>
          <w:tcPr>
            <w:tcW w:w="1071" w:type="dxa"/>
            <w:shd w:val="clear" w:color="auto" w:fill="auto"/>
            <w:vAlign w:val="center"/>
          </w:tcPr>
          <w:p w14:paraId="2C4AD6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E11E8A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Toplak N, Dolezalovà P, Constantin T, Sediva A, Pasic S, Ciznar P, et al. </w:t>
            </w:r>
          </w:p>
        </w:tc>
        <w:tc>
          <w:tcPr>
            <w:tcW w:w="7010" w:type="dxa"/>
            <w:shd w:val="clear" w:color="auto" w:fill="auto"/>
            <w:vAlign w:val="center"/>
          </w:tcPr>
          <w:p w14:paraId="2017E1B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Periodic Fever Syndromes in Eastern and Central European Countries: Results of a Multinational Survey</w:t>
            </w:r>
          </w:p>
        </w:tc>
        <w:tc>
          <w:tcPr>
            <w:tcW w:w="568" w:type="dxa"/>
            <w:shd w:val="clear" w:color="auto" w:fill="auto"/>
            <w:vAlign w:val="center"/>
          </w:tcPr>
          <w:p w14:paraId="4F3B953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3B05EA6A" w14:textId="77777777" w:rsidTr="004C3C90">
        <w:trPr>
          <w:trHeight w:val="20"/>
        </w:trPr>
        <w:tc>
          <w:tcPr>
            <w:tcW w:w="550" w:type="dxa"/>
            <w:shd w:val="clear" w:color="auto" w:fill="auto"/>
            <w:vAlign w:val="center"/>
          </w:tcPr>
          <w:p w14:paraId="62530B6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577</w:t>
            </w:r>
          </w:p>
        </w:tc>
        <w:tc>
          <w:tcPr>
            <w:tcW w:w="1071" w:type="dxa"/>
            <w:shd w:val="clear" w:color="auto" w:fill="auto"/>
            <w:vAlign w:val="center"/>
          </w:tcPr>
          <w:p w14:paraId="26E856F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A5DFE1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Kamiya C</w:t>
            </w:r>
          </w:p>
        </w:tc>
        <w:tc>
          <w:tcPr>
            <w:tcW w:w="7010" w:type="dxa"/>
            <w:shd w:val="clear" w:color="auto" w:fill="auto"/>
            <w:vAlign w:val="center"/>
          </w:tcPr>
          <w:p w14:paraId="42E91AC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Peripartum Cardiomyopathy in Japan-Results from the Nationwide Survey</w:t>
            </w:r>
          </w:p>
        </w:tc>
        <w:tc>
          <w:tcPr>
            <w:tcW w:w="568" w:type="dxa"/>
            <w:shd w:val="clear" w:color="auto" w:fill="auto"/>
            <w:vAlign w:val="center"/>
          </w:tcPr>
          <w:p w14:paraId="03B467F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48895C55" w14:textId="77777777" w:rsidTr="004C3C90">
        <w:trPr>
          <w:trHeight w:val="20"/>
        </w:trPr>
        <w:tc>
          <w:tcPr>
            <w:tcW w:w="550" w:type="dxa"/>
            <w:shd w:val="clear" w:color="auto" w:fill="auto"/>
            <w:vAlign w:val="center"/>
          </w:tcPr>
          <w:p w14:paraId="6CFEC35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578</w:t>
            </w:r>
          </w:p>
        </w:tc>
        <w:tc>
          <w:tcPr>
            <w:tcW w:w="1071" w:type="dxa"/>
            <w:shd w:val="clear" w:color="auto" w:fill="auto"/>
            <w:vAlign w:val="center"/>
          </w:tcPr>
          <w:p w14:paraId="0499C55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A346C8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Masszi T</w:t>
            </w:r>
          </w:p>
        </w:tc>
        <w:tc>
          <w:tcPr>
            <w:tcW w:w="7010" w:type="dxa"/>
            <w:shd w:val="clear" w:color="auto" w:fill="auto"/>
            <w:vAlign w:val="center"/>
          </w:tcPr>
          <w:p w14:paraId="683358C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Prevalence of Hairy Cell Leukemia in Hungary with Special Emphasis on the Treatment Habits of Hungarian Hematologists</w:t>
            </w:r>
          </w:p>
        </w:tc>
        <w:tc>
          <w:tcPr>
            <w:tcW w:w="568" w:type="dxa"/>
            <w:shd w:val="clear" w:color="auto" w:fill="auto"/>
            <w:vAlign w:val="center"/>
          </w:tcPr>
          <w:p w14:paraId="14E24B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7E4235F1" w14:textId="77777777" w:rsidTr="004C3C90">
        <w:trPr>
          <w:trHeight w:val="20"/>
        </w:trPr>
        <w:tc>
          <w:tcPr>
            <w:tcW w:w="550" w:type="dxa"/>
            <w:shd w:val="clear" w:color="auto" w:fill="auto"/>
            <w:vAlign w:val="center"/>
          </w:tcPr>
          <w:p w14:paraId="58A810A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579</w:t>
            </w:r>
          </w:p>
        </w:tc>
        <w:tc>
          <w:tcPr>
            <w:tcW w:w="1071" w:type="dxa"/>
            <w:shd w:val="clear" w:color="auto" w:fill="auto"/>
            <w:vAlign w:val="center"/>
          </w:tcPr>
          <w:p w14:paraId="4293C67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A31770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Henschke C</w:t>
            </w:r>
          </w:p>
        </w:tc>
        <w:tc>
          <w:tcPr>
            <w:tcW w:w="7010" w:type="dxa"/>
            <w:shd w:val="clear" w:color="auto" w:fill="auto"/>
            <w:vAlign w:val="center"/>
          </w:tcPr>
          <w:p w14:paraId="16AF4EE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Provision and Financing of Medical Aids in the Management of Rare Diseases: The Case of Amyotrophic Lateral Sclerosis (Als)</w:t>
            </w:r>
          </w:p>
        </w:tc>
        <w:tc>
          <w:tcPr>
            <w:tcW w:w="568" w:type="dxa"/>
            <w:shd w:val="clear" w:color="auto" w:fill="auto"/>
            <w:vAlign w:val="center"/>
          </w:tcPr>
          <w:p w14:paraId="5E73098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7B57CC52" w14:textId="77777777" w:rsidTr="004C3C90">
        <w:trPr>
          <w:trHeight w:val="20"/>
        </w:trPr>
        <w:tc>
          <w:tcPr>
            <w:tcW w:w="550" w:type="dxa"/>
            <w:shd w:val="clear" w:color="auto" w:fill="auto"/>
            <w:vAlign w:val="center"/>
          </w:tcPr>
          <w:p w14:paraId="4D1C68F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580</w:t>
            </w:r>
          </w:p>
        </w:tc>
        <w:tc>
          <w:tcPr>
            <w:tcW w:w="1071" w:type="dxa"/>
            <w:shd w:val="clear" w:color="auto" w:fill="auto"/>
            <w:vAlign w:val="center"/>
          </w:tcPr>
          <w:p w14:paraId="55F2D24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F79906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Lombard M, Manunta A, Brissot R, et al.</w:t>
            </w:r>
          </w:p>
        </w:tc>
        <w:tc>
          <w:tcPr>
            <w:tcW w:w="7010" w:type="dxa"/>
            <w:shd w:val="clear" w:color="auto" w:fill="auto"/>
            <w:vAlign w:val="center"/>
          </w:tcPr>
          <w:p w14:paraId="55A5E2D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Reference Center Spina Bifida</w:t>
            </w:r>
          </w:p>
        </w:tc>
        <w:tc>
          <w:tcPr>
            <w:tcW w:w="568" w:type="dxa"/>
            <w:shd w:val="clear" w:color="auto" w:fill="auto"/>
            <w:vAlign w:val="center"/>
          </w:tcPr>
          <w:p w14:paraId="57FC0BA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4F595357" w14:textId="77777777" w:rsidTr="004C3C90">
        <w:trPr>
          <w:trHeight w:val="20"/>
        </w:trPr>
        <w:tc>
          <w:tcPr>
            <w:tcW w:w="550" w:type="dxa"/>
            <w:shd w:val="clear" w:color="auto" w:fill="auto"/>
            <w:vAlign w:val="center"/>
          </w:tcPr>
          <w:p w14:paraId="7246710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581</w:t>
            </w:r>
          </w:p>
        </w:tc>
        <w:tc>
          <w:tcPr>
            <w:tcW w:w="1071" w:type="dxa"/>
            <w:shd w:val="clear" w:color="auto" w:fill="auto"/>
            <w:vAlign w:val="center"/>
          </w:tcPr>
          <w:p w14:paraId="136A201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95DB50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Desjardins C, Calvez S, Richard A, De Lonlay P, Valayannopoulos V, Brasseur Y, et al.</w:t>
            </w:r>
          </w:p>
        </w:tc>
        <w:tc>
          <w:tcPr>
            <w:tcW w:w="7010" w:type="dxa"/>
            <w:shd w:val="clear" w:color="auto" w:fill="auto"/>
            <w:vAlign w:val="center"/>
          </w:tcPr>
          <w:p w14:paraId="4AF76B0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Acute Maple Syrup Urinary Disease Therapeutic Strategy in French Hospitals</w:t>
            </w:r>
          </w:p>
        </w:tc>
        <w:tc>
          <w:tcPr>
            <w:tcW w:w="568" w:type="dxa"/>
            <w:shd w:val="clear" w:color="auto" w:fill="auto"/>
            <w:vAlign w:val="center"/>
          </w:tcPr>
          <w:p w14:paraId="10D17A9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293BC4F3" w14:textId="77777777" w:rsidTr="004C3C90">
        <w:trPr>
          <w:trHeight w:val="20"/>
        </w:trPr>
        <w:tc>
          <w:tcPr>
            <w:tcW w:w="550" w:type="dxa"/>
            <w:shd w:val="clear" w:color="auto" w:fill="auto"/>
            <w:vAlign w:val="center"/>
          </w:tcPr>
          <w:p w14:paraId="30DF11F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582</w:t>
            </w:r>
          </w:p>
        </w:tc>
        <w:tc>
          <w:tcPr>
            <w:tcW w:w="1071" w:type="dxa"/>
            <w:shd w:val="clear" w:color="auto" w:fill="auto"/>
            <w:vAlign w:val="center"/>
          </w:tcPr>
          <w:p w14:paraId="78BFFC2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839477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Bernal W, Ilan Y, Laterre PF, et al. </w:t>
            </w:r>
          </w:p>
        </w:tc>
        <w:tc>
          <w:tcPr>
            <w:tcW w:w="7010" w:type="dxa"/>
            <w:shd w:val="clear" w:color="auto" w:fill="auto"/>
            <w:vAlign w:val="center"/>
          </w:tcPr>
          <w:p w14:paraId="4876D42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Management of Acute Liver Failure 2010: Results of a Pan-European Survey</w:t>
            </w:r>
          </w:p>
        </w:tc>
        <w:tc>
          <w:tcPr>
            <w:tcW w:w="568" w:type="dxa"/>
            <w:shd w:val="clear" w:color="auto" w:fill="auto"/>
            <w:vAlign w:val="center"/>
          </w:tcPr>
          <w:p w14:paraId="11B6B49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0CACA2AF" w14:textId="77777777" w:rsidTr="004C3C90">
        <w:trPr>
          <w:trHeight w:val="20"/>
        </w:trPr>
        <w:tc>
          <w:tcPr>
            <w:tcW w:w="550" w:type="dxa"/>
            <w:shd w:val="clear" w:color="auto" w:fill="auto"/>
            <w:vAlign w:val="center"/>
          </w:tcPr>
          <w:p w14:paraId="74FF76E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583</w:t>
            </w:r>
          </w:p>
        </w:tc>
        <w:tc>
          <w:tcPr>
            <w:tcW w:w="1071" w:type="dxa"/>
            <w:shd w:val="clear" w:color="auto" w:fill="auto"/>
            <w:vAlign w:val="center"/>
          </w:tcPr>
          <w:p w14:paraId="0781EAA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E13645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Fehr A, Theuermann P, Razum O</w:t>
            </w:r>
          </w:p>
        </w:tc>
        <w:tc>
          <w:tcPr>
            <w:tcW w:w="7010" w:type="dxa"/>
            <w:shd w:val="clear" w:color="auto" w:fill="auto"/>
            <w:vAlign w:val="center"/>
          </w:tcPr>
          <w:p w14:paraId="68FCC0A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Delphi Expert Survey on Promoting Research and Development into Drugs for Neglected Diseases</w:t>
            </w:r>
          </w:p>
        </w:tc>
        <w:tc>
          <w:tcPr>
            <w:tcW w:w="568" w:type="dxa"/>
            <w:shd w:val="clear" w:color="auto" w:fill="auto"/>
            <w:vAlign w:val="center"/>
          </w:tcPr>
          <w:p w14:paraId="4378CF1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598A0D8F" w14:textId="77777777" w:rsidTr="004C3C90">
        <w:trPr>
          <w:trHeight w:val="20"/>
        </w:trPr>
        <w:tc>
          <w:tcPr>
            <w:tcW w:w="550" w:type="dxa"/>
            <w:shd w:val="clear" w:color="auto" w:fill="auto"/>
            <w:vAlign w:val="center"/>
          </w:tcPr>
          <w:p w14:paraId="55E9CF7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584</w:t>
            </w:r>
          </w:p>
        </w:tc>
        <w:tc>
          <w:tcPr>
            <w:tcW w:w="1071" w:type="dxa"/>
            <w:shd w:val="clear" w:color="auto" w:fill="auto"/>
            <w:vAlign w:val="center"/>
          </w:tcPr>
          <w:p w14:paraId="05C800E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4D7C2D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n/a</w:t>
            </w:r>
          </w:p>
        </w:tc>
        <w:tc>
          <w:tcPr>
            <w:tcW w:w="7010" w:type="dxa"/>
            <w:shd w:val="clear" w:color="auto" w:fill="auto"/>
            <w:vAlign w:val="center"/>
          </w:tcPr>
          <w:p w14:paraId="445A5D9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Oral Presentation...Conference of the World Society of Arrhythmias, in Athens, Greece, 11–14 December 2011</w:t>
            </w:r>
          </w:p>
        </w:tc>
        <w:tc>
          <w:tcPr>
            <w:tcW w:w="568" w:type="dxa"/>
            <w:shd w:val="clear" w:color="auto" w:fill="auto"/>
            <w:vAlign w:val="center"/>
          </w:tcPr>
          <w:p w14:paraId="59C444A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4BD9BCA7" w14:textId="77777777" w:rsidTr="004C3C90">
        <w:trPr>
          <w:trHeight w:val="20"/>
        </w:trPr>
        <w:tc>
          <w:tcPr>
            <w:tcW w:w="550" w:type="dxa"/>
            <w:shd w:val="clear" w:color="auto" w:fill="auto"/>
            <w:vAlign w:val="center"/>
          </w:tcPr>
          <w:p w14:paraId="203719D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585</w:t>
            </w:r>
          </w:p>
        </w:tc>
        <w:tc>
          <w:tcPr>
            <w:tcW w:w="1071" w:type="dxa"/>
            <w:shd w:val="clear" w:color="auto" w:fill="auto"/>
            <w:vAlign w:val="center"/>
          </w:tcPr>
          <w:p w14:paraId="7CE62BD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52D74F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n/a</w:t>
            </w:r>
          </w:p>
        </w:tc>
        <w:tc>
          <w:tcPr>
            <w:tcW w:w="7010" w:type="dxa"/>
            <w:shd w:val="clear" w:color="auto" w:fill="auto"/>
            <w:vAlign w:val="center"/>
          </w:tcPr>
          <w:p w14:paraId="5BECB35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Poster Presentations...Conference of the World Society of Arrhythmias, in Athens, Greece, 11–14 December 2011</w:t>
            </w:r>
          </w:p>
        </w:tc>
        <w:tc>
          <w:tcPr>
            <w:tcW w:w="568" w:type="dxa"/>
            <w:shd w:val="clear" w:color="auto" w:fill="auto"/>
            <w:vAlign w:val="center"/>
          </w:tcPr>
          <w:p w14:paraId="22A916B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19A11C98" w14:textId="77777777" w:rsidTr="004C3C90">
        <w:trPr>
          <w:trHeight w:val="20"/>
        </w:trPr>
        <w:tc>
          <w:tcPr>
            <w:tcW w:w="550" w:type="dxa"/>
            <w:shd w:val="clear" w:color="auto" w:fill="auto"/>
            <w:vAlign w:val="center"/>
          </w:tcPr>
          <w:p w14:paraId="7B273FC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586</w:t>
            </w:r>
          </w:p>
        </w:tc>
        <w:tc>
          <w:tcPr>
            <w:tcW w:w="1071" w:type="dxa"/>
            <w:shd w:val="clear" w:color="auto" w:fill="auto"/>
            <w:vAlign w:val="center"/>
          </w:tcPr>
          <w:p w14:paraId="2BC607A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720C6E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Eriksson MK, Hagberg L, Lindholm L, Malmgren-Olsson EB, Osterlind J, Eliasson M.</w:t>
            </w:r>
          </w:p>
        </w:tc>
        <w:tc>
          <w:tcPr>
            <w:tcW w:w="7010" w:type="dxa"/>
            <w:shd w:val="clear" w:color="auto" w:fill="auto"/>
            <w:vAlign w:val="center"/>
          </w:tcPr>
          <w:p w14:paraId="6F7C0E1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Quality of Life and Cost-Effectiveness of a 3-Year Trial of Lifestyle Intervention in Primary Health Care</w:t>
            </w:r>
          </w:p>
        </w:tc>
        <w:tc>
          <w:tcPr>
            <w:tcW w:w="568" w:type="dxa"/>
            <w:shd w:val="clear" w:color="auto" w:fill="auto"/>
            <w:vAlign w:val="center"/>
          </w:tcPr>
          <w:p w14:paraId="0536928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596D374E" w14:textId="77777777" w:rsidTr="004C3C90">
        <w:trPr>
          <w:trHeight w:val="20"/>
        </w:trPr>
        <w:tc>
          <w:tcPr>
            <w:tcW w:w="550" w:type="dxa"/>
            <w:shd w:val="clear" w:color="auto" w:fill="auto"/>
            <w:vAlign w:val="center"/>
          </w:tcPr>
          <w:p w14:paraId="54D29FE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587</w:t>
            </w:r>
          </w:p>
        </w:tc>
        <w:tc>
          <w:tcPr>
            <w:tcW w:w="1071" w:type="dxa"/>
            <w:shd w:val="clear" w:color="auto" w:fill="auto"/>
            <w:vAlign w:val="center"/>
          </w:tcPr>
          <w:p w14:paraId="2F4C381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A11349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Campoeresi S, Sullian R, Prtichard-Jones K, Vassal G, Ladenstein R, et al. </w:t>
            </w:r>
          </w:p>
        </w:tc>
        <w:tc>
          <w:tcPr>
            <w:tcW w:w="7010" w:type="dxa"/>
            <w:shd w:val="clear" w:color="auto" w:fill="auto"/>
            <w:vAlign w:val="center"/>
          </w:tcPr>
          <w:p w14:paraId="211B0AA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State of Research into Children with Cancer across Europe: Results of Key Opinion Leaders Survey and Innovative Policy Strategies for the Next Decade</w:t>
            </w:r>
          </w:p>
        </w:tc>
        <w:tc>
          <w:tcPr>
            <w:tcW w:w="568" w:type="dxa"/>
            <w:shd w:val="clear" w:color="auto" w:fill="auto"/>
            <w:vAlign w:val="center"/>
          </w:tcPr>
          <w:p w14:paraId="257375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0AE25936" w14:textId="77777777" w:rsidTr="004C3C90">
        <w:trPr>
          <w:trHeight w:val="20"/>
        </w:trPr>
        <w:tc>
          <w:tcPr>
            <w:tcW w:w="550" w:type="dxa"/>
            <w:shd w:val="clear" w:color="auto" w:fill="auto"/>
            <w:vAlign w:val="center"/>
          </w:tcPr>
          <w:p w14:paraId="4DEFA19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588</w:t>
            </w:r>
          </w:p>
        </w:tc>
        <w:tc>
          <w:tcPr>
            <w:tcW w:w="1071" w:type="dxa"/>
            <w:shd w:val="clear" w:color="auto" w:fill="auto"/>
            <w:vAlign w:val="center"/>
          </w:tcPr>
          <w:p w14:paraId="7D16500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C081AC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Grosse s</w:t>
            </w:r>
          </w:p>
        </w:tc>
        <w:tc>
          <w:tcPr>
            <w:tcW w:w="7010" w:type="dxa"/>
            <w:shd w:val="clear" w:color="auto" w:fill="auto"/>
            <w:vAlign w:val="center"/>
          </w:tcPr>
          <w:p w14:paraId="3DF7BA5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Using Administrative Data Sources for Population Surveillance for Hht</w:t>
            </w:r>
          </w:p>
        </w:tc>
        <w:tc>
          <w:tcPr>
            <w:tcW w:w="568" w:type="dxa"/>
            <w:shd w:val="clear" w:color="auto" w:fill="auto"/>
            <w:vAlign w:val="center"/>
          </w:tcPr>
          <w:p w14:paraId="63B3FC4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14F8BD1A" w14:textId="77777777" w:rsidTr="004C3C90">
        <w:trPr>
          <w:trHeight w:val="20"/>
        </w:trPr>
        <w:tc>
          <w:tcPr>
            <w:tcW w:w="550" w:type="dxa"/>
            <w:shd w:val="clear" w:color="auto" w:fill="auto"/>
            <w:vAlign w:val="center"/>
          </w:tcPr>
          <w:p w14:paraId="2885142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589</w:t>
            </w:r>
          </w:p>
        </w:tc>
        <w:tc>
          <w:tcPr>
            <w:tcW w:w="1071" w:type="dxa"/>
            <w:shd w:val="clear" w:color="auto" w:fill="auto"/>
            <w:vAlign w:val="center"/>
          </w:tcPr>
          <w:p w14:paraId="1463FEF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B38B31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Lee SE, Jang JY, Kim SW</w:t>
            </w:r>
          </w:p>
        </w:tc>
        <w:tc>
          <w:tcPr>
            <w:tcW w:w="7010" w:type="dxa"/>
            <w:shd w:val="clear" w:color="auto" w:fill="auto"/>
            <w:vAlign w:val="center"/>
          </w:tcPr>
          <w:p w14:paraId="293BCBD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Features and Treatment Outcome of Choledochal Cyst in Korea: A Nationwide Multicenter Survey</w:t>
            </w:r>
          </w:p>
        </w:tc>
        <w:tc>
          <w:tcPr>
            <w:tcW w:w="568" w:type="dxa"/>
            <w:shd w:val="clear" w:color="auto" w:fill="auto"/>
            <w:vAlign w:val="center"/>
          </w:tcPr>
          <w:p w14:paraId="7607669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238A59A8" w14:textId="77777777" w:rsidTr="004C3C90">
        <w:trPr>
          <w:trHeight w:val="20"/>
        </w:trPr>
        <w:tc>
          <w:tcPr>
            <w:tcW w:w="550" w:type="dxa"/>
            <w:shd w:val="clear" w:color="auto" w:fill="auto"/>
            <w:vAlign w:val="center"/>
          </w:tcPr>
          <w:p w14:paraId="257B521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590</w:t>
            </w:r>
          </w:p>
        </w:tc>
        <w:tc>
          <w:tcPr>
            <w:tcW w:w="1071" w:type="dxa"/>
            <w:shd w:val="clear" w:color="auto" w:fill="auto"/>
            <w:vAlign w:val="center"/>
          </w:tcPr>
          <w:p w14:paraId="0709B07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9C3E38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Vehreschild JJ, Ruping MJGI</w:t>
            </w:r>
          </w:p>
          <w:p w14:paraId="0AFD910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Farowski F, Cornely O</w:t>
            </w:r>
          </w:p>
        </w:tc>
        <w:tc>
          <w:tcPr>
            <w:tcW w:w="7010" w:type="dxa"/>
            <w:shd w:val="clear" w:color="auto" w:fill="auto"/>
            <w:vAlign w:val="center"/>
          </w:tcPr>
          <w:p w14:paraId="3CB0CC1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Clinicalsurveys.Net: A Web-Based Research Portal for Rare Diseases</w:t>
            </w:r>
          </w:p>
        </w:tc>
        <w:tc>
          <w:tcPr>
            <w:tcW w:w="568" w:type="dxa"/>
            <w:shd w:val="clear" w:color="auto" w:fill="auto"/>
            <w:vAlign w:val="center"/>
          </w:tcPr>
          <w:p w14:paraId="6591C04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63E166D5" w14:textId="77777777" w:rsidTr="004C3C90">
        <w:trPr>
          <w:trHeight w:val="20"/>
        </w:trPr>
        <w:tc>
          <w:tcPr>
            <w:tcW w:w="550" w:type="dxa"/>
            <w:shd w:val="clear" w:color="auto" w:fill="auto"/>
            <w:vAlign w:val="center"/>
          </w:tcPr>
          <w:p w14:paraId="0D9E512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591</w:t>
            </w:r>
          </w:p>
        </w:tc>
        <w:tc>
          <w:tcPr>
            <w:tcW w:w="1071" w:type="dxa"/>
            <w:shd w:val="clear" w:color="auto" w:fill="auto"/>
            <w:vAlign w:val="center"/>
          </w:tcPr>
          <w:p w14:paraId="0D9C3E2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E0A2B9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Tanaka J, Moriyama H, Takada T</w:t>
            </w:r>
          </w:p>
        </w:tc>
        <w:tc>
          <w:tcPr>
            <w:tcW w:w="7010" w:type="dxa"/>
            <w:shd w:val="clear" w:color="auto" w:fill="auto"/>
            <w:vAlign w:val="center"/>
          </w:tcPr>
          <w:p w14:paraId="273771F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Clinicopathological Features of Hard Metal Lung Disease</w:t>
            </w:r>
          </w:p>
        </w:tc>
        <w:tc>
          <w:tcPr>
            <w:tcW w:w="568" w:type="dxa"/>
            <w:shd w:val="clear" w:color="auto" w:fill="auto"/>
            <w:vAlign w:val="center"/>
          </w:tcPr>
          <w:p w14:paraId="151BBAF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2DBE6B15" w14:textId="77777777" w:rsidTr="004C3C90">
        <w:trPr>
          <w:trHeight w:val="20"/>
        </w:trPr>
        <w:tc>
          <w:tcPr>
            <w:tcW w:w="550" w:type="dxa"/>
            <w:shd w:val="clear" w:color="auto" w:fill="auto"/>
            <w:vAlign w:val="center"/>
          </w:tcPr>
          <w:p w14:paraId="5932DAE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592</w:t>
            </w:r>
          </w:p>
        </w:tc>
        <w:tc>
          <w:tcPr>
            <w:tcW w:w="1071" w:type="dxa"/>
            <w:shd w:val="clear" w:color="auto" w:fill="auto"/>
            <w:vAlign w:val="center"/>
          </w:tcPr>
          <w:p w14:paraId="0F05EFB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1C95694" w14:textId="77777777" w:rsidR="004C3C90" w:rsidRPr="004C3C90" w:rsidRDefault="004C3C90" w:rsidP="004C3C90">
            <w:pPr>
              <w:shd w:val="clear" w:color="auto" w:fill="FFFFFF"/>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Gizycki RV</w:t>
            </w:r>
          </w:p>
        </w:tc>
        <w:tc>
          <w:tcPr>
            <w:tcW w:w="7010" w:type="dxa"/>
            <w:shd w:val="clear" w:color="auto" w:fill="auto"/>
            <w:vAlign w:val="center"/>
          </w:tcPr>
          <w:p w14:paraId="540B609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Contribution of Rare Disease Patient Organisations to Medical Education</w:t>
            </w:r>
          </w:p>
        </w:tc>
        <w:tc>
          <w:tcPr>
            <w:tcW w:w="568" w:type="dxa"/>
            <w:shd w:val="clear" w:color="auto" w:fill="auto"/>
            <w:vAlign w:val="center"/>
          </w:tcPr>
          <w:p w14:paraId="5384EE7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5177E6C9" w14:textId="77777777" w:rsidTr="004C3C90">
        <w:trPr>
          <w:trHeight w:val="20"/>
        </w:trPr>
        <w:tc>
          <w:tcPr>
            <w:tcW w:w="550" w:type="dxa"/>
            <w:shd w:val="clear" w:color="auto" w:fill="auto"/>
            <w:vAlign w:val="center"/>
          </w:tcPr>
          <w:p w14:paraId="7D1EE28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593</w:t>
            </w:r>
          </w:p>
        </w:tc>
        <w:tc>
          <w:tcPr>
            <w:tcW w:w="1071" w:type="dxa"/>
            <w:shd w:val="clear" w:color="auto" w:fill="auto"/>
            <w:vAlign w:val="center"/>
          </w:tcPr>
          <w:p w14:paraId="24E4AC4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3B2273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Ohba R, Furuyama K, Tsuchiya S</w:t>
            </w:r>
          </w:p>
        </w:tc>
        <w:tc>
          <w:tcPr>
            <w:tcW w:w="7010" w:type="dxa"/>
            <w:shd w:val="clear" w:color="auto" w:fill="auto"/>
            <w:vAlign w:val="center"/>
          </w:tcPr>
          <w:p w14:paraId="14963EE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Epidemiological and Genetic Analysis of Sideroblastic Anemia - Multicenter Study in Japan</w:t>
            </w:r>
          </w:p>
        </w:tc>
        <w:tc>
          <w:tcPr>
            <w:tcW w:w="568" w:type="dxa"/>
            <w:shd w:val="clear" w:color="auto" w:fill="auto"/>
            <w:vAlign w:val="center"/>
          </w:tcPr>
          <w:p w14:paraId="62F7A4B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0C1ECD91" w14:textId="77777777" w:rsidTr="004C3C90">
        <w:trPr>
          <w:trHeight w:val="20"/>
        </w:trPr>
        <w:tc>
          <w:tcPr>
            <w:tcW w:w="550" w:type="dxa"/>
            <w:shd w:val="clear" w:color="auto" w:fill="auto"/>
            <w:vAlign w:val="center"/>
          </w:tcPr>
          <w:p w14:paraId="7FDD9E1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594</w:t>
            </w:r>
          </w:p>
        </w:tc>
        <w:tc>
          <w:tcPr>
            <w:tcW w:w="1071" w:type="dxa"/>
            <w:shd w:val="clear" w:color="auto" w:fill="auto"/>
            <w:vAlign w:val="center"/>
          </w:tcPr>
          <w:p w14:paraId="74068F8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ABC15B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Nouri A, Ghorshi MA, Nouri P</w:t>
            </w:r>
          </w:p>
        </w:tc>
        <w:tc>
          <w:tcPr>
            <w:tcW w:w="7010" w:type="dxa"/>
            <w:shd w:val="clear" w:color="auto" w:fill="auto"/>
            <w:vAlign w:val="center"/>
          </w:tcPr>
          <w:p w14:paraId="5C99DCD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Extra Medulary Plasmacytoma of the Urethra</w:t>
            </w:r>
          </w:p>
        </w:tc>
        <w:tc>
          <w:tcPr>
            <w:tcW w:w="568" w:type="dxa"/>
            <w:shd w:val="clear" w:color="auto" w:fill="auto"/>
            <w:vAlign w:val="center"/>
          </w:tcPr>
          <w:p w14:paraId="15B998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0CB6C34D" w14:textId="77777777" w:rsidTr="004C3C90">
        <w:trPr>
          <w:trHeight w:val="20"/>
        </w:trPr>
        <w:tc>
          <w:tcPr>
            <w:tcW w:w="550" w:type="dxa"/>
            <w:shd w:val="clear" w:color="auto" w:fill="auto"/>
            <w:vAlign w:val="center"/>
          </w:tcPr>
          <w:p w14:paraId="14C0F3D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595</w:t>
            </w:r>
          </w:p>
        </w:tc>
        <w:tc>
          <w:tcPr>
            <w:tcW w:w="1071" w:type="dxa"/>
            <w:shd w:val="clear" w:color="auto" w:fill="auto"/>
            <w:vAlign w:val="center"/>
          </w:tcPr>
          <w:p w14:paraId="49565EF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186BD0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Hassan B, Popoola A, Olokoba A, Salawu FK</w:t>
            </w:r>
          </w:p>
        </w:tc>
        <w:tc>
          <w:tcPr>
            <w:tcW w:w="7010" w:type="dxa"/>
            <w:shd w:val="clear" w:color="auto" w:fill="auto"/>
            <w:vAlign w:val="center"/>
          </w:tcPr>
          <w:p w14:paraId="790E29A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Hospital Survey of Neonatal Tetanus at a District General Hospital in Northeast Nigeria</w:t>
            </w:r>
          </w:p>
        </w:tc>
        <w:tc>
          <w:tcPr>
            <w:tcW w:w="568" w:type="dxa"/>
            <w:shd w:val="clear" w:color="auto" w:fill="auto"/>
            <w:vAlign w:val="center"/>
          </w:tcPr>
          <w:p w14:paraId="2F5FE3E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53749F9B" w14:textId="77777777" w:rsidTr="004C3C90">
        <w:trPr>
          <w:trHeight w:val="20"/>
        </w:trPr>
        <w:tc>
          <w:tcPr>
            <w:tcW w:w="550" w:type="dxa"/>
            <w:shd w:val="clear" w:color="auto" w:fill="auto"/>
            <w:vAlign w:val="center"/>
          </w:tcPr>
          <w:p w14:paraId="5A6F252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596</w:t>
            </w:r>
          </w:p>
        </w:tc>
        <w:tc>
          <w:tcPr>
            <w:tcW w:w="1071" w:type="dxa"/>
            <w:shd w:val="clear" w:color="auto" w:fill="auto"/>
            <w:vAlign w:val="center"/>
          </w:tcPr>
          <w:p w14:paraId="74F1549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947BFC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Kairemo E, Jarva H, Meri S</w:t>
            </w:r>
          </w:p>
        </w:tc>
        <w:tc>
          <w:tcPr>
            <w:tcW w:w="7010" w:type="dxa"/>
            <w:shd w:val="clear" w:color="auto" w:fill="auto"/>
            <w:vAlign w:val="center"/>
          </w:tcPr>
          <w:p w14:paraId="0095571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Nationwide Survey of Paroxysmal Nocturnal Haemoglobinuria in Finland</w:t>
            </w:r>
          </w:p>
        </w:tc>
        <w:tc>
          <w:tcPr>
            <w:tcW w:w="568" w:type="dxa"/>
            <w:shd w:val="clear" w:color="auto" w:fill="auto"/>
            <w:vAlign w:val="center"/>
          </w:tcPr>
          <w:p w14:paraId="7C39E0D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23A83939" w14:textId="77777777" w:rsidTr="004C3C90">
        <w:trPr>
          <w:trHeight w:val="20"/>
        </w:trPr>
        <w:tc>
          <w:tcPr>
            <w:tcW w:w="550" w:type="dxa"/>
            <w:shd w:val="clear" w:color="auto" w:fill="auto"/>
            <w:vAlign w:val="center"/>
          </w:tcPr>
          <w:p w14:paraId="3C1BE58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597</w:t>
            </w:r>
          </w:p>
        </w:tc>
        <w:tc>
          <w:tcPr>
            <w:tcW w:w="1071" w:type="dxa"/>
            <w:shd w:val="clear" w:color="auto" w:fill="auto"/>
            <w:vAlign w:val="center"/>
          </w:tcPr>
          <w:p w14:paraId="154185A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DB0F2B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Sung N</w:t>
            </w:r>
          </w:p>
        </w:tc>
        <w:tc>
          <w:tcPr>
            <w:tcW w:w="7010" w:type="dxa"/>
            <w:shd w:val="clear" w:color="auto" w:fill="auto"/>
            <w:vAlign w:val="center"/>
          </w:tcPr>
          <w:p w14:paraId="585C464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Philanthropic Strategies to Accelerate Drug Development</w:t>
            </w:r>
          </w:p>
        </w:tc>
        <w:tc>
          <w:tcPr>
            <w:tcW w:w="568" w:type="dxa"/>
            <w:shd w:val="clear" w:color="auto" w:fill="auto"/>
            <w:vAlign w:val="center"/>
          </w:tcPr>
          <w:p w14:paraId="6700C59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659F5AC2" w14:textId="77777777" w:rsidTr="004C3C90">
        <w:trPr>
          <w:trHeight w:val="20"/>
        </w:trPr>
        <w:tc>
          <w:tcPr>
            <w:tcW w:w="550" w:type="dxa"/>
            <w:shd w:val="clear" w:color="auto" w:fill="auto"/>
            <w:vAlign w:val="center"/>
          </w:tcPr>
          <w:p w14:paraId="07A8089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598</w:t>
            </w:r>
          </w:p>
        </w:tc>
        <w:tc>
          <w:tcPr>
            <w:tcW w:w="1071" w:type="dxa"/>
            <w:shd w:val="clear" w:color="auto" w:fill="auto"/>
            <w:vAlign w:val="center"/>
          </w:tcPr>
          <w:p w14:paraId="545F3EC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4F77C8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rPr>
              <w:t xml:space="preserve">Plessier A, Belmatoug N, Bureau C, Mathurin P, Larrey D, Chagneau C, et al. </w:t>
            </w:r>
          </w:p>
        </w:tc>
        <w:tc>
          <w:tcPr>
            <w:tcW w:w="7010" w:type="dxa"/>
            <w:shd w:val="clear" w:color="auto" w:fill="auto"/>
            <w:vAlign w:val="center"/>
          </w:tcPr>
          <w:p w14:paraId="05704D8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Quality of Life in Patients with Vascular Disease of the Liver: Results of a Questionnaire Survey in 49 Patients with Consolidated Liver Disease</w:t>
            </w:r>
          </w:p>
        </w:tc>
        <w:tc>
          <w:tcPr>
            <w:tcW w:w="568" w:type="dxa"/>
            <w:shd w:val="clear" w:color="auto" w:fill="auto"/>
            <w:vAlign w:val="center"/>
          </w:tcPr>
          <w:p w14:paraId="405A5C9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22D0DEE3" w14:textId="77777777" w:rsidTr="004C3C90">
        <w:trPr>
          <w:trHeight w:val="20"/>
        </w:trPr>
        <w:tc>
          <w:tcPr>
            <w:tcW w:w="550" w:type="dxa"/>
            <w:shd w:val="clear" w:color="auto" w:fill="auto"/>
            <w:vAlign w:val="center"/>
          </w:tcPr>
          <w:p w14:paraId="2D69A40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599</w:t>
            </w:r>
          </w:p>
        </w:tc>
        <w:tc>
          <w:tcPr>
            <w:tcW w:w="1071" w:type="dxa"/>
            <w:shd w:val="clear" w:color="auto" w:fill="auto"/>
            <w:vAlign w:val="center"/>
          </w:tcPr>
          <w:p w14:paraId="48C5D14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7FA172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Kramer F, Löning M, Hertel H, Hillemanns P</w:t>
            </w:r>
          </w:p>
        </w:tc>
        <w:tc>
          <w:tcPr>
            <w:tcW w:w="7010" w:type="dxa"/>
            <w:shd w:val="clear" w:color="auto" w:fill="auto"/>
            <w:vAlign w:val="center"/>
          </w:tcPr>
          <w:p w14:paraId="00576A9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Survey of the Application of Sentinel Lymph Node Biopsy Versus Complete Inguinofemoral Lymphadenectomy in Patients with Vulvar Cancer in Germany</w:t>
            </w:r>
          </w:p>
        </w:tc>
        <w:tc>
          <w:tcPr>
            <w:tcW w:w="568" w:type="dxa"/>
            <w:shd w:val="clear" w:color="auto" w:fill="auto"/>
            <w:vAlign w:val="center"/>
          </w:tcPr>
          <w:p w14:paraId="34A115D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0564FA36" w14:textId="77777777" w:rsidTr="004C3C90">
        <w:trPr>
          <w:trHeight w:val="20"/>
        </w:trPr>
        <w:tc>
          <w:tcPr>
            <w:tcW w:w="550" w:type="dxa"/>
            <w:shd w:val="clear" w:color="auto" w:fill="auto"/>
            <w:vAlign w:val="center"/>
          </w:tcPr>
          <w:p w14:paraId="4203684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600</w:t>
            </w:r>
          </w:p>
        </w:tc>
        <w:tc>
          <w:tcPr>
            <w:tcW w:w="1071" w:type="dxa"/>
            <w:shd w:val="clear" w:color="auto" w:fill="auto"/>
            <w:vAlign w:val="center"/>
          </w:tcPr>
          <w:p w14:paraId="17C4666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498510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Killeen C, Ehrenpreis ED, Du H</w:t>
            </w:r>
          </w:p>
        </w:tc>
        <w:tc>
          <w:tcPr>
            <w:tcW w:w="7010" w:type="dxa"/>
            <w:shd w:val="clear" w:color="auto" w:fill="auto"/>
            <w:vAlign w:val="center"/>
          </w:tcPr>
          <w:p w14:paraId="4268954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Symptoms and Quality of Life (Qol) in a Cohort of Patients with Mesenteric Panniculitis</w:t>
            </w:r>
          </w:p>
        </w:tc>
        <w:tc>
          <w:tcPr>
            <w:tcW w:w="568" w:type="dxa"/>
            <w:shd w:val="clear" w:color="auto" w:fill="auto"/>
            <w:vAlign w:val="center"/>
          </w:tcPr>
          <w:p w14:paraId="4134106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7B138FF6" w14:textId="77777777" w:rsidTr="004C3C90">
        <w:trPr>
          <w:trHeight w:val="20"/>
        </w:trPr>
        <w:tc>
          <w:tcPr>
            <w:tcW w:w="550" w:type="dxa"/>
            <w:shd w:val="clear" w:color="auto" w:fill="auto"/>
            <w:vAlign w:val="center"/>
          </w:tcPr>
          <w:p w14:paraId="0DDF9A1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601</w:t>
            </w:r>
          </w:p>
        </w:tc>
        <w:tc>
          <w:tcPr>
            <w:tcW w:w="1071" w:type="dxa"/>
            <w:shd w:val="clear" w:color="auto" w:fill="auto"/>
            <w:vAlign w:val="center"/>
          </w:tcPr>
          <w:p w14:paraId="5627789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349111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Terui</w:t>
            </w:r>
            <w:r w:rsidRPr="004C3C90">
              <w:rPr>
                <w:rFonts w:ascii="Times New Roman" w:eastAsia="Times New Roman" w:hAnsi="Times New Roman" w:cs="Times New Roman"/>
                <w:sz w:val="20"/>
                <w:szCs w:val="20"/>
              </w:rPr>
              <w:t xml:space="preserve"> T</w:t>
            </w:r>
          </w:p>
        </w:tc>
        <w:tc>
          <w:tcPr>
            <w:tcW w:w="7010" w:type="dxa"/>
            <w:shd w:val="clear" w:color="auto" w:fill="auto"/>
            <w:vAlign w:val="center"/>
          </w:tcPr>
          <w:p w14:paraId="652184F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Therapeutic Guidelines for Generalized Pustular Psoriasis Based on Unique Criteria and Classification of Disease Severity 2010</w:t>
            </w:r>
          </w:p>
        </w:tc>
        <w:tc>
          <w:tcPr>
            <w:tcW w:w="568" w:type="dxa"/>
            <w:shd w:val="clear" w:color="auto" w:fill="auto"/>
            <w:vAlign w:val="center"/>
          </w:tcPr>
          <w:p w14:paraId="51F6908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6E55F2A5" w14:textId="77777777" w:rsidTr="004C3C90">
        <w:trPr>
          <w:trHeight w:val="20"/>
        </w:trPr>
        <w:tc>
          <w:tcPr>
            <w:tcW w:w="550" w:type="dxa"/>
            <w:shd w:val="clear" w:color="auto" w:fill="auto"/>
            <w:vAlign w:val="center"/>
          </w:tcPr>
          <w:p w14:paraId="3886D96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602</w:t>
            </w:r>
          </w:p>
        </w:tc>
        <w:tc>
          <w:tcPr>
            <w:tcW w:w="1071" w:type="dxa"/>
            <w:shd w:val="clear" w:color="auto" w:fill="auto"/>
            <w:vAlign w:val="center"/>
          </w:tcPr>
          <w:p w14:paraId="284F738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B0FC87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n/a</w:t>
            </w:r>
          </w:p>
        </w:tc>
        <w:tc>
          <w:tcPr>
            <w:tcW w:w="7010" w:type="dxa"/>
            <w:shd w:val="clear" w:color="auto" w:fill="auto"/>
            <w:vAlign w:val="center"/>
          </w:tcPr>
          <w:p w14:paraId="778AC04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051-</w:t>
            </w:r>
          </w:p>
        </w:tc>
        <w:tc>
          <w:tcPr>
            <w:tcW w:w="568" w:type="dxa"/>
            <w:shd w:val="clear" w:color="auto" w:fill="auto"/>
            <w:vAlign w:val="center"/>
          </w:tcPr>
          <w:p w14:paraId="20FEE9A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6CFE41E2" w14:textId="77777777" w:rsidTr="004C3C90">
        <w:trPr>
          <w:trHeight w:val="20"/>
        </w:trPr>
        <w:tc>
          <w:tcPr>
            <w:tcW w:w="550" w:type="dxa"/>
            <w:shd w:val="clear" w:color="auto" w:fill="auto"/>
            <w:vAlign w:val="center"/>
          </w:tcPr>
          <w:p w14:paraId="724A9B6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603</w:t>
            </w:r>
          </w:p>
        </w:tc>
        <w:tc>
          <w:tcPr>
            <w:tcW w:w="1071" w:type="dxa"/>
            <w:shd w:val="clear" w:color="auto" w:fill="auto"/>
            <w:vAlign w:val="center"/>
          </w:tcPr>
          <w:p w14:paraId="3337A06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811198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Sanguin S, Daraï E, Brzakowski M, Gondry J</w:t>
            </w:r>
          </w:p>
        </w:tc>
        <w:tc>
          <w:tcPr>
            <w:tcW w:w="7010" w:type="dxa"/>
            <w:shd w:val="clear" w:color="auto" w:fill="auto"/>
            <w:vAlign w:val="center"/>
          </w:tcPr>
          <w:p w14:paraId="430D644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Vulvar Cancer - Survey of Surgical Practice in France in 2009</w:t>
            </w:r>
          </w:p>
        </w:tc>
        <w:tc>
          <w:tcPr>
            <w:tcW w:w="568" w:type="dxa"/>
            <w:shd w:val="clear" w:color="auto" w:fill="auto"/>
            <w:vAlign w:val="center"/>
          </w:tcPr>
          <w:p w14:paraId="73CBD02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75C3174B" w14:textId="77777777" w:rsidTr="004C3C90">
        <w:trPr>
          <w:trHeight w:val="20"/>
        </w:trPr>
        <w:tc>
          <w:tcPr>
            <w:tcW w:w="550" w:type="dxa"/>
            <w:shd w:val="clear" w:color="auto" w:fill="auto"/>
            <w:vAlign w:val="center"/>
          </w:tcPr>
          <w:p w14:paraId="71327EE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604</w:t>
            </w:r>
          </w:p>
        </w:tc>
        <w:tc>
          <w:tcPr>
            <w:tcW w:w="1071" w:type="dxa"/>
            <w:shd w:val="clear" w:color="auto" w:fill="auto"/>
            <w:vAlign w:val="center"/>
          </w:tcPr>
          <w:p w14:paraId="393B2AE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DE8ADD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Barton D</w:t>
            </w:r>
          </w:p>
        </w:tc>
        <w:tc>
          <w:tcPr>
            <w:tcW w:w="7010" w:type="dxa"/>
            <w:shd w:val="clear" w:color="auto" w:fill="auto"/>
            <w:vAlign w:val="center"/>
          </w:tcPr>
          <w:p w14:paraId="5260E79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Cross-Border Genetic Testing</w:t>
            </w:r>
          </w:p>
        </w:tc>
        <w:tc>
          <w:tcPr>
            <w:tcW w:w="568" w:type="dxa"/>
            <w:shd w:val="clear" w:color="auto" w:fill="auto"/>
            <w:vAlign w:val="center"/>
          </w:tcPr>
          <w:p w14:paraId="6AA2772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7EAFCBB3" w14:textId="77777777" w:rsidTr="004C3C90">
        <w:trPr>
          <w:trHeight w:val="20"/>
        </w:trPr>
        <w:tc>
          <w:tcPr>
            <w:tcW w:w="550" w:type="dxa"/>
            <w:shd w:val="clear" w:color="auto" w:fill="auto"/>
            <w:vAlign w:val="center"/>
          </w:tcPr>
          <w:p w14:paraId="5861948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605</w:t>
            </w:r>
          </w:p>
        </w:tc>
        <w:tc>
          <w:tcPr>
            <w:tcW w:w="1071" w:type="dxa"/>
            <w:shd w:val="clear" w:color="auto" w:fill="auto"/>
            <w:vAlign w:val="center"/>
          </w:tcPr>
          <w:p w14:paraId="328CCC4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E8483B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rPr>
              <w:t>Burtin P, Bouché O, Lombard-Bohas C, Manfredi S. Pezet D, Giroux J, et al.</w:t>
            </w:r>
          </w:p>
        </w:tc>
        <w:tc>
          <w:tcPr>
            <w:tcW w:w="7010" w:type="dxa"/>
            <w:shd w:val="clear" w:color="auto" w:fill="auto"/>
            <w:vAlign w:val="center"/>
          </w:tcPr>
          <w:p w14:paraId="1CBE2D3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Gastric Linitis: Results of a French National Survey Confirming the Specificity of This Gastric Neoplasm and the Limited Therapeutic Options</w:t>
            </w:r>
          </w:p>
        </w:tc>
        <w:tc>
          <w:tcPr>
            <w:tcW w:w="568" w:type="dxa"/>
            <w:shd w:val="clear" w:color="auto" w:fill="auto"/>
            <w:vAlign w:val="center"/>
          </w:tcPr>
          <w:p w14:paraId="46D89A9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16500E51" w14:textId="77777777" w:rsidTr="004C3C90">
        <w:trPr>
          <w:trHeight w:val="20"/>
        </w:trPr>
        <w:tc>
          <w:tcPr>
            <w:tcW w:w="550" w:type="dxa"/>
            <w:shd w:val="clear" w:color="auto" w:fill="auto"/>
            <w:vAlign w:val="center"/>
          </w:tcPr>
          <w:p w14:paraId="3926965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606</w:t>
            </w:r>
          </w:p>
        </w:tc>
        <w:tc>
          <w:tcPr>
            <w:tcW w:w="1071" w:type="dxa"/>
            <w:shd w:val="clear" w:color="auto" w:fill="auto"/>
            <w:vAlign w:val="center"/>
          </w:tcPr>
          <w:p w14:paraId="1862CC25"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w:t>
            </w:r>
          </w:p>
        </w:tc>
        <w:tc>
          <w:tcPr>
            <w:tcW w:w="3741" w:type="dxa"/>
            <w:shd w:val="clear" w:color="auto" w:fill="auto"/>
            <w:vAlign w:val="center"/>
          </w:tcPr>
          <w:p w14:paraId="213E6BEE" w14:textId="77777777" w:rsidR="004C3C90" w:rsidRPr="004C3C90" w:rsidRDefault="004C3C90" w:rsidP="004C3C90">
            <w:pPr>
              <w:numPr>
                <w:ilvl w:val="0"/>
                <w:numId w:val="8"/>
              </w:numPr>
              <w:shd w:val="clear" w:color="auto" w:fill="FFFFFF"/>
              <w:spacing w:line="240" w:lineRule="auto"/>
              <w:ind w:left="0" w:right="60"/>
              <w:textAlignment w:val="baseline"/>
              <w:rPr>
                <w:rFonts w:ascii="Times New Roman" w:eastAsia="굴림" w:hAnsi="Times New Roman" w:cs="Times New Roman"/>
                <w:sz w:val="20"/>
                <w:szCs w:val="20"/>
                <w:lang w:val="en-US"/>
              </w:rPr>
            </w:pPr>
            <w:r w:rsidRPr="004C3C90">
              <w:rPr>
                <w:rFonts w:ascii="Times New Roman" w:eastAsia="Times New Roman" w:hAnsi="Times New Roman" w:cs="Times New Roman"/>
                <w:sz w:val="20"/>
                <w:szCs w:val="20"/>
              </w:rPr>
              <w:t xml:space="preserve">Campos DJ, Koerich A, Biagini GL, </w:t>
            </w:r>
            <w:r w:rsidRPr="004C3C90">
              <w:rPr>
                <w:rFonts w:ascii="Times New Roman" w:eastAsia="굴림" w:hAnsi="Times New Roman" w:cs="Times New Roman"/>
                <w:sz w:val="20"/>
                <w:szCs w:val="20"/>
                <w:bdr w:val="none" w:sz="0" w:space="0" w:color="auto" w:frame="1"/>
                <w:lang w:val="en-US"/>
              </w:rPr>
              <w:t>Bonfim C.M.S,</w:t>
            </w:r>
          </w:p>
          <w:p w14:paraId="72BF3DAF" w14:textId="77777777" w:rsidR="004C3C90" w:rsidRPr="004C3C90" w:rsidRDefault="004C3C90" w:rsidP="004C3C90">
            <w:pPr>
              <w:numPr>
                <w:ilvl w:val="0"/>
                <w:numId w:val="8"/>
              </w:numPr>
              <w:shd w:val="clear" w:color="auto" w:fill="FFFFFF"/>
              <w:spacing w:line="240" w:lineRule="auto"/>
              <w:ind w:left="0" w:right="60"/>
              <w:textAlignment w:val="baseline"/>
              <w:rPr>
                <w:rFonts w:ascii="Times New Roman" w:eastAsia="굴림" w:hAnsi="Times New Roman" w:cs="Times New Roman"/>
                <w:sz w:val="20"/>
                <w:szCs w:val="20"/>
                <w:lang w:val="en-US"/>
              </w:rPr>
            </w:pPr>
            <w:r w:rsidRPr="004C3C90">
              <w:rPr>
                <w:rFonts w:ascii="Times New Roman" w:eastAsia="굴림" w:hAnsi="Times New Roman" w:cs="Times New Roman"/>
                <w:sz w:val="20"/>
                <w:szCs w:val="20"/>
                <w:bdr w:val="none" w:sz="0" w:space="0" w:color="auto" w:frame="1"/>
                <w:lang w:val="en-US"/>
              </w:rPr>
              <w:t>Zanis Neto J,</w:t>
            </w:r>
            <w:r w:rsidRPr="004C3C90">
              <w:rPr>
                <w:rFonts w:ascii="Times New Roman" w:eastAsia="굴림" w:hAnsi="Times New Roman" w:cs="Times New Roman"/>
                <w:sz w:val="20"/>
                <w:szCs w:val="20"/>
                <w:lang w:val="en-US"/>
              </w:rPr>
              <w:t xml:space="preserve"> </w:t>
            </w:r>
            <w:r w:rsidRPr="004C3C90">
              <w:rPr>
                <w:rFonts w:ascii="Times New Roman" w:eastAsia="굴림" w:hAnsi="Times New Roman" w:cs="Times New Roman"/>
                <w:sz w:val="20"/>
                <w:szCs w:val="20"/>
                <w:bdr w:val="none" w:sz="0" w:space="0" w:color="auto" w:frame="1"/>
                <w:lang w:val="en-US"/>
              </w:rPr>
              <w:t>Boguszewski C.L,</w:t>
            </w:r>
            <w:r w:rsidRPr="004C3C90">
              <w:rPr>
                <w:rFonts w:ascii="Times New Roman" w:eastAsia="굴림" w:hAnsi="Times New Roman" w:cs="Times New Roman"/>
                <w:sz w:val="20"/>
                <w:szCs w:val="20"/>
                <w:lang w:val="en-US"/>
              </w:rPr>
              <w:t xml:space="preserve"> </w:t>
            </w:r>
            <w:r w:rsidRPr="004C3C90">
              <w:rPr>
                <w:rFonts w:ascii="Times New Roman" w:eastAsia="Times New Roman" w:hAnsi="Times New Roman" w:cs="Times New Roman"/>
                <w:sz w:val="20"/>
                <w:szCs w:val="20"/>
              </w:rPr>
              <w:t>et al.</w:t>
            </w:r>
          </w:p>
        </w:tc>
        <w:tc>
          <w:tcPr>
            <w:tcW w:w="7010" w:type="dxa"/>
            <w:shd w:val="clear" w:color="auto" w:fill="auto"/>
            <w:vAlign w:val="center"/>
          </w:tcPr>
          <w:p w14:paraId="2DAE539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Hematopoietic Stem Cell Transplantation in Patients with Fanconi Anemia: What Are the Nutritional Consenquences?</w:t>
            </w:r>
          </w:p>
        </w:tc>
        <w:tc>
          <w:tcPr>
            <w:tcW w:w="568" w:type="dxa"/>
            <w:shd w:val="clear" w:color="auto" w:fill="auto"/>
            <w:vAlign w:val="center"/>
          </w:tcPr>
          <w:p w14:paraId="13C8B83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6A99525B" w14:textId="77777777" w:rsidTr="004C3C90">
        <w:trPr>
          <w:trHeight w:val="20"/>
        </w:trPr>
        <w:tc>
          <w:tcPr>
            <w:tcW w:w="550" w:type="dxa"/>
            <w:shd w:val="clear" w:color="auto" w:fill="auto"/>
            <w:vAlign w:val="center"/>
          </w:tcPr>
          <w:p w14:paraId="1842085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607</w:t>
            </w:r>
          </w:p>
        </w:tc>
        <w:tc>
          <w:tcPr>
            <w:tcW w:w="1071" w:type="dxa"/>
            <w:shd w:val="clear" w:color="auto" w:fill="auto"/>
            <w:vAlign w:val="center"/>
          </w:tcPr>
          <w:p w14:paraId="38463C4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9827D3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Ahn</w:t>
            </w:r>
            <w:r w:rsidRPr="004C3C90">
              <w:rPr>
                <w:rFonts w:ascii="Times New Roman" w:eastAsia="Times New Roman" w:hAnsi="Times New Roman" w:cs="Times New Roman"/>
                <w:sz w:val="20"/>
                <w:szCs w:val="20"/>
              </w:rPr>
              <w:t xml:space="preserve"> YM</w:t>
            </w:r>
          </w:p>
        </w:tc>
        <w:tc>
          <w:tcPr>
            <w:tcW w:w="7010" w:type="dxa"/>
            <w:shd w:val="clear" w:color="auto" w:fill="auto"/>
            <w:vAlign w:val="center"/>
          </w:tcPr>
          <w:p w14:paraId="1E0AFE5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Hereditary Angioedema in Childhood Presentation of Data from 15 Danish Children</w:t>
            </w:r>
          </w:p>
        </w:tc>
        <w:tc>
          <w:tcPr>
            <w:tcW w:w="568" w:type="dxa"/>
            <w:shd w:val="clear" w:color="auto" w:fill="auto"/>
            <w:vAlign w:val="center"/>
          </w:tcPr>
          <w:p w14:paraId="26CB917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52924B98" w14:textId="77777777" w:rsidTr="004C3C90">
        <w:trPr>
          <w:trHeight w:val="20"/>
        </w:trPr>
        <w:tc>
          <w:tcPr>
            <w:tcW w:w="550" w:type="dxa"/>
            <w:shd w:val="clear" w:color="auto" w:fill="auto"/>
            <w:vAlign w:val="center"/>
          </w:tcPr>
          <w:p w14:paraId="16F9671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608</w:t>
            </w:r>
          </w:p>
        </w:tc>
        <w:tc>
          <w:tcPr>
            <w:tcW w:w="1071" w:type="dxa"/>
            <w:shd w:val="clear" w:color="auto" w:fill="auto"/>
            <w:vAlign w:val="center"/>
          </w:tcPr>
          <w:p w14:paraId="78F5BF9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6C4E27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Chang YL, Yang WS, Tu YP</w:t>
            </w:r>
          </w:p>
        </w:tc>
        <w:tc>
          <w:tcPr>
            <w:tcW w:w="7010" w:type="dxa"/>
            <w:shd w:val="clear" w:color="auto" w:fill="auto"/>
            <w:vAlign w:val="center"/>
          </w:tcPr>
          <w:p w14:paraId="4A30055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Hydronephrosis Caused by Psoas Muscle Abscess with Candida Albicans Infection - Case Report and Literature Review</w:t>
            </w:r>
          </w:p>
        </w:tc>
        <w:tc>
          <w:tcPr>
            <w:tcW w:w="568" w:type="dxa"/>
            <w:shd w:val="clear" w:color="auto" w:fill="auto"/>
            <w:vAlign w:val="center"/>
          </w:tcPr>
          <w:p w14:paraId="2F4A5B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41C9C0D1" w14:textId="77777777" w:rsidTr="004C3C90">
        <w:trPr>
          <w:trHeight w:val="20"/>
        </w:trPr>
        <w:tc>
          <w:tcPr>
            <w:tcW w:w="550" w:type="dxa"/>
            <w:shd w:val="clear" w:color="auto" w:fill="auto"/>
            <w:vAlign w:val="center"/>
          </w:tcPr>
          <w:p w14:paraId="516AE75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609</w:t>
            </w:r>
          </w:p>
        </w:tc>
        <w:tc>
          <w:tcPr>
            <w:tcW w:w="1071" w:type="dxa"/>
            <w:shd w:val="clear" w:color="auto" w:fill="auto"/>
            <w:vAlign w:val="center"/>
          </w:tcPr>
          <w:p w14:paraId="0D39449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908AB0B" w14:textId="77777777" w:rsidR="004C3C90" w:rsidRPr="004C3C90" w:rsidRDefault="004C3C90" w:rsidP="004C3C90">
            <w:pPr>
              <w:numPr>
                <w:ilvl w:val="0"/>
                <w:numId w:val="7"/>
              </w:numPr>
              <w:shd w:val="clear" w:color="auto" w:fill="FFFFFF"/>
              <w:spacing w:line="240" w:lineRule="auto"/>
              <w:ind w:left="0" w:right="60"/>
              <w:textAlignment w:val="baseline"/>
              <w:rPr>
                <w:rFonts w:ascii="Times New Roman" w:eastAsia="굴림" w:hAnsi="Times New Roman" w:cs="Times New Roman"/>
                <w:sz w:val="20"/>
                <w:szCs w:val="20"/>
                <w:lang w:val="en-US"/>
              </w:rPr>
            </w:pPr>
            <w:r w:rsidRPr="004C3C90">
              <w:rPr>
                <w:rFonts w:ascii="Times New Roman" w:eastAsia="Times New Roman" w:hAnsi="Times New Roman" w:cs="Times New Roman"/>
                <w:sz w:val="20"/>
                <w:szCs w:val="20"/>
              </w:rPr>
              <w:t xml:space="preserve">Fahrner B, Prosch H, Minkov M, </w:t>
            </w:r>
            <w:r w:rsidRPr="004C3C90">
              <w:rPr>
                <w:rFonts w:ascii="Times New Roman" w:eastAsia="굴림" w:hAnsi="Times New Roman" w:cs="Times New Roman"/>
                <w:sz w:val="20"/>
                <w:szCs w:val="20"/>
                <w:bdr w:val="none" w:sz="0" w:space="0" w:color="auto" w:frame="1"/>
                <w:lang w:val="en-US"/>
              </w:rPr>
              <w:t>Wnorowski M,</w:t>
            </w:r>
            <w:r w:rsidRPr="004C3C90">
              <w:rPr>
                <w:rFonts w:ascii="Times New Roman" w:eastAsia="굴림" w:hAnsi="Times New Roman" w:cs="Times New Roman"/>
                <w:sz w:val="20"/>
                <w:szCs w:val="20"/>
                <w:lang w:val="en-US"/>
              </w:rPr>
              <w:t xml:space="preserve"> </w:t>
            </w:r>
            <w:r w:rsidRPr="004C3C90">
              <w:rPr>
                <w:rFonts w:ascii="Times New Roman" w:eastAsia="굴림" w:hAnsi="Times New Roman" w:cs="Times New Roman"/>
                <w:sz w:val="20"/>
                <w:szCs w:val="20"/>
                <w:bdr w:val="none" w:sz="0" w:space="0" w:color="auto" w:frame="1"/>
                <w:lang w:val="en-US"/>
              </w:rPr>
              <w:t>Gadner H,</w:t>
            </w:r>
            <w:r w:rsidRPr="004C3C90">
              <w:rPr>
                <w:rFonts w:ascii="Times New Roman" w:eastAsia="굴림" w:hAnsi="Times New Roman" w:cs="Times New Roman"/>
                <w:sz w:val="20"/>
                <w:szCs w:val="20"/>
                <w:lang w:val="en-US"/>
              </w:rPr>
              <w:t xml:space="preserve"> </w:t>
            </w:r>
            <w:r w:rsidRPr="004C3C90">
              <w:rPr>
                <w:rFonts w:ascii="Times New Roman" w:eastAsia="굴림" w:hAnsi="Times New Roman" w:cs="Times New Roman"/>
                <w:sz w:val="20"/>
                <w:szCs w:val="20"/>
                <w:bdr w:val="none" w:sz="0" w:space="0" w:color="auto" w:frame="1"/>
                <w:lang w:val="en-US"/>
              </w:rPr>
              <w:t>Prayer D,</w:t>
            </w:r>
            <w:r w:rsidRPr="004C3C90">
              <w:rPr>
                <w:rFonts w:ascii="Times New Roman" w:eastAsia="굴림" w:hAnsi="Times New Roman" w:cs="Times New Roman"/>
                <w:sz w:val="20"/>
                <w:szCs w:val="20"/>
                <w:lang w:val="en-US"/>
              </w:rPr>
              <w:t xml:space="preserve"> </w:t>
            </w:r>
            <w:r w:rsidRPr="004C3C90">
              <w:rPr>
                <w:rFonts w:ascii="Times New Roman" w:eastAsia="Times New Roman" w:hAnsi="Times New Roman" w:cs="Times New Roman"/>
                <w:sz w:val="20"/>
                <w:szCs w:val="20"/>
              </w:rPr>
              <w:t>et al.</w:t>
            </w:r>
          </w:p>
        </w:tc>
        <w:tc>
          <w:tcPr>
            <w:tcW w:w="7010" w:type="dxa"/>
            <w:shd w:val="clear" w:color="auto" w:fill="auto"/>
            <w:vAlign w:val="center"/>
          </w:tcPr>
          <w:p w14:paraId="0C96B79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Hypothalamic-Pituitary Tumors in Langerhans Cell Histiocytosis</w:t>
            </w:r>
          </w:p>
        </w:tc>
        <w:tc>
          <w:tcPr>
            <w:tcW w:w="568" w:type="dxa"/>
            <w:shd w:val="clear" w:color="auto" w:fill="auto"/>
            <w:vAlign w:val="center"/>
          </w:tcPr>
          <w:p w14:paraId="0D0CDEB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7C3BC291" w14:textId="77777777" w:rsidTr="004C3C90">
        <w:trPr>
          <w:trHeight w:val="20"/>
        </w:trPr>
        <w:tc>
          <w:tcPr>
            <w:tcW w:w="550" w:type="dxa"/>
            <w:shd w:val="clear" w:color="auto" w:fill="auto"/>
            <w:vAlign w:val="center"/>
          </w:tcPr>
          <w:p w14:paraId="73F6E8B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610</w:t>
            </w:r>
          </w:p>
        </w:tc>
        <w:tc>
          <w:tcPr>
            <w:tcW w:w="1071" w:type="dxa"/>
            <w:shd w:val="clear" w:color="auto" w:fill="auto"/>
            <w:vAlign w:val="center"/>
          </w:tcPr>
          <w:p w14:paraId="6249B52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0B8685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Eriksson MK, Malmgren-Olsson EB, Hagberg LA, Eliasson M</w:t>
            </w:r>
          </w:p>
        </w:tc>
        <w:tc>
          <w:tcPr>
            <w:tcW w:w="7010" w:type="dxa"/>
            <w:shd w:val="clear" w:color="auto" w:fill="auto"/>
            <w:vAlign w:val="center"/>
          </w:tcPr>
          <w:p w14:paraId="7D86FDF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Lifestyle Intervention, Quality of Life and Cost-Effectiveness, a Randomized Controlled Trial</w:t>
            </w:r>
          </w:p>
        </w:tc>
        <w:tc>
          <w:tcPr>
            <w:tcW w:w="568" w:type="dxa"/>
            <w:shd w:val="clear" w:color="auto" w:fill="auto"/>
            <w:vAlign w:val="center"/>
          </w:tcPr>
          <w:p w14:paraId="3ECA917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79EF07FB" w14:textId="77777777" w:rsidTr="004C3C90">
        <w:trPr>
          <w:trHeight w:val="20"/>
        </w:trPr>
        <w:tc>
          <w:tcPr>
            <w:tcW w:w="550" w:type="dxa"/>
            <w:shd w:val="clear" w:color="auto" w:fill="auto"/>
            <w:vAlign w:val="center"/>
          </w:tcPr>
          <w:p w14:paraId="1BA43F4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611</w:t>
            </w:r>
          </w:p>
        </w:tc>
        <w:tc>
          <w:tcPr>
            <w:tcW w:w="1071" w:type="dxa"/>
            <w:shd w:val="clear" w:color="auto" w:fill="auto"/>
            <w:vAlign w:val="center"/>
          </w:tcPr>
          <w:p w14:paraId="071CFB9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DEC6D1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Acquaye AA, Vera-Bolanos E, Armstrong TS, Bekele BN, Gilbert MR</w:t>
            </w:r>
          </w:p>
        </w:tc>
        <w:tc>
          <w:tcPr>
            <w:tcW w:w="7010" w:type="dxa"/>
            <w:shd w:val="clear" w:color="auto" w:fill="auto"/>
            <w:vAlign w:val="center"/>
          </w:tcPr>
          <w:p w14:paraId="72216BF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Symptom Profiles in Adult Patients with Ependymoma: Report from the Ependymoma Outcomes (Eo) Project</w:t>
            </w:r>
          </w:p>
        </w:tc>
        <w:tc>
          <w:tcPr>
            <w:tcW w:w="568" w:type="dxa"/>
            <w:shd w:val="clear" w:color="auto" w:fill="auto"/>
            <w:vAlign w:val="center"/>
          </w:tcPr>
          <w:p w14:paraId="0737922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32ACF4D8" w14:textId="77777777" w:rsidTr="004C3C90">
        <w:trPr>
          <w:trHeight w:val="20"/>
        </w:trPr>
        <w:tc>
          <w:tcPr>
            <w:tcW w:w="550" w:type="dxa"/>
            <w:shd w:val="clear" w:color="auto" w:fill="auto"/>
            <w:vAlign w:val="center"/>
          </w:tcPr>
          <w:p w14:paraId="6212274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612</w:t>
            </w:r>
          </w:p>
        </w:tc>
        <w:tc>
          <w:tcPr>
            <w:tcW w:w="1071" w:type="dxa"/>
            <w:shd w:val="clear" w:color="auto" w:fill="auto"/>
            <w:vAlign w:val="center"/>
          </w:tcPr>
          <w:p w14:paraId="6D79119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8A4253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Xu H, Choi JW, Nandram</w:t>
            </w:r>
          </w:p>
        </w:tc>
        <w:tc>
          <w:tcPr>
            <w:tcW w:w="7010" w:type="dxa"/>
            <w:shd w:val="clear" w:color="auto" w:fill="auto"/>
            <w:vAlign w:val="center"/>
          </w:tcPr>
          <w:p w14:paraId="2C35AAA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Bayesian Adjustment for an Ascertainment Bias in Human Genetics</w:t>
            </w:r>
          </w:p>
        </w:tc>
        <w:tc>
          <w:tcPr>
            <w:tcW w:w="568" w:type="dxa"/>
            <w:shd w:val="clear" w:color="auto" w:fill="auto"/>
            <w:vAlign w:val="center"/>
          </w:tcPr>
          <w:p w14:paraId="21E03DB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29281A7F" w14:textId="77777777" w:rsidTr="004C3C90">
        <w:trPr>
          <w:trHeight w:val="20"/>
        </w:trPr>
        <w:tc>
          <w:tcPr>
            <w:tcW w:w="550" w:type="dxa"/>
            <w:shd w:val="clear" w:color="auto" w:fill="auto"/>
            <w:vAlign w:val="center"/>
          </w:tcPr>
          <w:p w14:paraId="3039C80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613</w:t>
            </w:r>
          </w:p>
        </w:tc>
        <w:tc>
          <w:tcPr>
            <w:tcW w:w="1071" w:type="dxa"/>
            <w:shd w:val="clear" w:color="auto" w:fill="auto"/>
            <w:vAlign w:val="center"/>
          </w:tcPr>
          <w:p w14:paraId="33BA976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84FC18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Wozniak M, Woynarowski M, Chlebcewicz Szuba W, et al.</w:t>
            </w:r>
          </w:p>
        </w:tc>
        <w:tc>
          <w:tcPr>
            <w:tcW w:w="7010" w:type="dxa"/>
            <w:shd w:val="clear" w:color="auto" w:fill="auto"/>
            <w:vAlign w:val="center"/>
          </w:tcPr>
          <w:p w14:paraId="46C05A3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Burden of Pediatric Autoimmune Hepatitis. Epidemiological Snap Shot from Selected Center in Poland</w:t>
            </w:r>
          </w:p>
        </w:tc>
        <w:tc>
          <w:tcPr>
            <w:tcW w:w="568" w:type="dxa"/>
            <w:shd w:val="clear" w:color="auto" w:fill="auto"/>
            <w:vAlign w:val="center"/>
          </w:tcPr>
          <w:p w14:paraId="5C50F73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375F8E5F" w14:textId="77777777" w:rsidTr="004C3C90">
        <w:trPr>
          <w:trHeight w:val="20"/>
        </w:trPr>
        <w:tc>
          <w:tcPr>
            <w:tcW w:w="550" w:type="dxa"/>
            <w:shd w:val="clear" w:color="auto" w:fill="auto"/>
            <w:vAlign w:val="center"/>
          </w:tcPr>
          <w:p w14:paraId="028D521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614</w:t>
            </w:r>
          </w:p>
        </w:tc>
        <w:tc>
          <w:tcPr>
            <w:tcW w:w="1071" w:type="dxa"/>
            <w:shd w:val="clear" w:color="auto" w:fill="auto"/>
            <w:vAlign w:val="center"/>
          </w:tcPr>
          <w:p w14:paraId="029392B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270B6E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Tsuchiya-Suzuki A, Yazaki M, Nakamura A, Yamazaki K, Agematsu K, Matsuda M, Ikeda S</w:t>
            </w:r>
          </w:p>
        </w:tc>
        <w:tc>
          <w:tcPr>
            <w:tcW w:w="7010" w:type="dxa"/>
            <w:shd w:val="clear" w:color="auto" w:fill="auto"/>
            <w:vAlign w:val="center"/>
          </w:tcPr>
          <w:p w14:paraId="6925716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and Genetic Features of Familial Mediterranean Fever in Japan</w:t>
            </w:r>
          </w:p>
        </w:tc>
        <w:tc>
          <w:tcPr>
            <w:tcW w:w="568" w:type="dxa"/>
            <w:shd w:val="clear" w:color="auto" w:fill="auto"/>
            <w:vAlign w:val="center"/>
          </w:tcPr>
          <w:p w14:paraId="5C7CB60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28494C70" w14:textId="77777777" w:rsidTr="004C3C90">
        <w:trPr>
          <w:trHeight w:val="20"/>
        </w:trPr>
        <w:tc>
          <w:tcPr>
            <w:tcW w:w="550" w:type="dxa"/>
            <w:shd w:val="clear" w:color="auto" w:fill="auto"/>
            <w:vAlign w:val="center"/>
          </w:tcPr>
          <w:p w14:paraId="67E5A0F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615</w:t>
            </w:r>
          </w:p>
        </w:tc>
        <w:tc>
          <w:tcPr>
            <w:tcW w:w="1071" w:type="dxa"/>
            <w:shd w:val="clear" w:color="auto" w:fill="auto"/>
            <w:vAlign w:val="center"/>
          </w:tcPr>
          <w:p w14:paraId="6F5CDE0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8BE722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Craig F, Thomas K, Layfield C, Ingram J, Muller S, Ismail MA, et al.</w:t>
            </w:r>
          </w:p>
        </w:tc>
        <w:tc>
          <w:tcPr>
            <w:tcW w:w="7010" w:type="dxa"/>
            <w:shd w:val="clear" w:color="auto" w:fill="auto"/>
            <w:vAlign w:val="center"/>
          </w:tcPr>
          <w:p w14:paraId="1D2E4A9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Management of Pyoderma Gangrenosum by U.K. Dermatologists: A Pilot Study to Inform a Trial</w:t>
            </w:r>
          </w:p>
        </w:tc>
        <w:tc>
          <w:tcPr>
            <w:tcW w:w="568" w:type="dxa"/>
            <w:shd w:val="clear" w:color="auto" w:fill="auto"/>
            <w:vAlign w:val="center"/>
          </w:tcPr>
          <w:p w14:paraId="13F139F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5C1467EE" w14:textId="77777777" w:rsidTr="004C3C90">
        <w:trPr>
          <w:trHeight w:val="20"/>
        </w:trPr>
        <w:tc>
          <w:tcPr>
            <w:tcW w:w="550" w:type="dxa"/>
            <w:shd w:val="clear" w:color="auto" w:fill="auto"/>
            <w:vAlign w:val="center"/>
          </w:tcPr>
          <w:p w14:paraId="1F0635C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616</w:t>
            </w:r>
          </w:p>
        </w:tc>
        <w:tc>
          <w:tcPr>
            <w:tcW w:w="1071" w:type="dxa"/>
            <w:shd w:val="clear" w:color="auto" w:fill="auto"/>
            <w:vAlign w:val="center"/>
          </w:tcPr>
          <w:p w14:paraId="4C4941D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16FEAAA" w14:textId="77777777" w:rsidR="004C3C90" w:rsidRPr="004C3C90" w:rsidRDefault="004C3C90" w:rsidP="004C3C90">
            <w:pPr>
              <w:pStyle w:val="1"/>
              <w:keepNext w:val="0"/>
              <w:keepLines w:val="0"/>
              <w:pBdr>
                <w:top w:val="none" w:sz="0" w:space="18" w:color="auto"/>
                <w:bottom w:val="none" w:sz="0" w:space="18" w:color="auto"/>
                <w:between w:val="none" w:sz="0" w:space="18" w:color="auto"/>
              </w:pBdr>
              <w:shd w:val="clear" w:color="auto" w:fill="FFFFFF"/>
              <w:spacing w:before="0" w:line="240" w:lineRule="auto"/>
              <w:rPr>
                <w:rFonts w:ascii="Times New Roman" w:eastAsia="Times New Roman" w:hAnsi="Times New Roman" w:cs="Times New Roman"/>
                <w:color w:val="auto"/>
                <w:sz w:val="20"/>
                <w:szCs w:val="20"/>
              </w:rPr>
            </w:pPr>
            <w:bookmarkStart w:id="4" w:name="_heading=h.7cft8oq92gat" w:colFirst="0" w:colLast="0"/>
            <w:bookmarkEnd w:id="4"/>
            <w:r w:rsidRPr="004C3C90">
              <w:rPr>
                <w:rFonts w:ascii="Times New Roman" w:eastAsia="Times New Roman" w:hAnsi="Times New Roman" w:cs="Times New Roman"/>
                <w:color w:val="auto"/>
                <w:sz w:val="20"/>
                <w:szCs w:val="20"/>
              </w:rPr>
              <w:t>Axelsson A, Jasen E</w:t>
            </w:r>
          </w:p>
        </w:tc>
        <w:tc>
          <w:tcPr>
            <w:tcW w:w="7010" w:type="dxa"/>
            <w:shd w:val="clear" w:color="auto" w:fill="auto"/>
            <w:vAlign w:val="center"/>
          </w:tcPr>
          <w:p w14:paraId="2D8A448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Necrotizing Fasciitis - a Report on Incidence and Mortality in Denmark in the Years 2005-2007 and a Review of Literature</w:t>
            </w:r>
          </w:p>
        </w:tc>
        <w:tc>
          <w:tcPr>
            <w:tcW w:w="568" w:type="dxa"/>
            <w:shd w:val="clear" w:color="auto" w:fill="auto"/>
            <w:vAlign w:val="center"/>
          </w:tcPr>
          <w:p w14:paraId="2C733DB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60B807BE" w14:textId="77777777" w:rsidTr="004C3C90">
        <w:trPr>
          <w:trHeight w:val="20"/>
        </w:trPr>
        <w:tc>
          <w:tcPr>
            <w:tcW w:w="550" w:type="dxa"/>
            <w:shd w:val="clear" w:color="auto" w:fill="auto"/>
            <w:vAlign w:val="center"/>
          </w:tcPr>
          <w:p w14:paraId="15E4015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617</w:t>
            </w:r>
          </w:p>
        </w:tc>
        <w:tc>
          <w:tcPr>
            <w:tcW w:w="1071" w:type="dxa"/>
            <w:shd w:val="clear" w:color="auto" w:fill="auto"/>
            <w:vAlign w:val="center"/>
          </w:tcPr>
          <w:p w14:paraId="6714EF7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933F8FB" w14:textId="77777777" w:rsidR="004C3C90" w:rsidRPr="004C3C90" w:rsidRDefault="004C3C90" w:rsidP="004C3C90">
            <w:pPr>
              <w:pStyle w:val="1"/>
              <w:keepNext w:val="0"/>
              <w:keepLines w:val="0"/>
              <w:pBdr>
                <w:top w:val="none" w:sz="0" w:space="18" w:color="auto"/>
                <w:bottom w:val="none" w:sz="0" w:space="18" w:color="auto"/>
                <w:between w:val="none" w:sz="0" w:space="18" w:color="auto"/>
              </w:pBdr>
              <w:shd w:val="clear" w:color="auto" w:fill="FFFFFF"/>
              <w:spacing w:before="0" w:line="240" w:lineRule="auto"/>
              <w:rPr>
                <w:rFonts w:ascii="Times New Roman" w:eastAsia="Times New Roman" w:hAnsi="Times New Roman" w:cs="Times New Roman"/>
                <w:color w:val="auto"/>
                <w:sz w:val="20"/>
                <w:szCs w:val="20"/>
              </w:rPr>
            </w:pPr>
            <w:bookmarkStart w:id="5" w:name="_heading=h.wz8a5djfi8wt" w:colFirst="0" w:colLast="0"/>
            <w:bookmarkEnd w:id="5"/>
            <w:r w:rsidRPr="004C3C90">
              <w:rPr>
                <w:rFonts w:ascii="Times New Roman" w:eastAsia="Times New Roman" w:hAnsi="Times New Roman" w:cs="Times New Roman"/>
                <w:color w:val="auto"/>
                <w:sz w:val="20"/>
                <w:szCs w:val="20"/>
              </w:rPr>
              <w:t>Park YB, Lee SD, Kim HJ, Lee SM</w:t>
            </w:r>
          </w:p>
        </w:tc>
        <w:tc>
          <w:tcPr>
            <w:tcW w:w="7010" w:type="dxa"/>
            <w:shd w:val="clear" w:color="auto" w:fill="auto"/>
            <w:vAlign w:val="center"/>
          </w:tcPr>
          <w:p w14:paraId="49E390F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Pulmonary Arterial Hypertension in Korea. Results from a National Registry; Preliminary Data</w:t>
            </w:r>
          </w:p>
        </w:tc>
        <w:tc>
          <w:tcPr>
            <w:tcW w:w="568" w:type="dxa"/>
            <w:shd w:val="clear" w:color="auto" w:fill="auto"/>
            <w:vAlign w:val="center"/>
          </w:tcPr>
          <w:p w14:paraId="3A3D677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535CFDD0" w14:textId="77777777" w:rsidTr="004C3C90">
        <w:trPr>
          <w:trHeight w:val="20"/>
        </w:trPr>
        <w:tc>
          <w:tcPr>
            <w:tcW w:w="550" w:type="dxa"/>
            <w:shd w:val="clear" w:color="auto" w:fill="auto"/>
            <w:vAlign w:val="center"/>
          </w:tcPr>
          <w:p w14:paraId="0F0DDBF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618</w:t>
            </w:r>
          </w:p>
        </w:tc>
        <w:tc>
          <w:tcPr>
            <w:tcW w:w="1071" w:type="dxa"/>
            <w:shd w:val="clear" w:color="auto" w:fill="auto"/>
            <w:vAlign w:val="center"/>
          </w:tcPr>
          <w:p w14:paraId="21BD5C3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886912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Bastani P, Pourmohamadi K, Karimi M</w:t>
            </w:r>
          </w:p>
        </w:tc>
        <w:tc>
          <w:tcPr>
            <w:tcW w:w="7010" w:type="dxa"/>
            <w:shd w:val="clear" w:color="auto" w:fill="auto"/>
            <w:vAlign w:val="center"/>
          </w:tcPr>
          <w:p w14:paraId="5D7A63D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Quality of Life in Hemophilia Complicated by Inhibitors</w:t>
            </w:r>
          </w:p>
        </w:tc>
        <w:tc>
          <w:tcPr>
            <w:tcW w:w="568" w:type="dxa"/>
            <w:shd w:val="clear" w:color="auto" w:fill="auto"/>
            <w:vAlign w:val="center"/>
          </w:tcPr>
          <w:p w14:paraId="3B5552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612BF748" w14:textId="77777777" w:rsidTr="004C3C90">
        <w:trPr>
          <w:trHeight w:val="20"/>
        </w:trPr>
        <w:tc>
          <w:tcPr>
            <w:tcW w:w="550" w:type="dxa"/>
            <w:shd w:val="clear" w:color="auto" w:fill="auto"/>
            <w:vAlign w:val="center"/>
          </w:tcPr>
          <w:p w14:paraId="3181E8D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619</w:t>
            </w:r>
          </w:p>
        </w:tc>
        <w:tc>
          <w:tcPr>
            <w:tcW w:w="1071" w:type="dxa"/>
            <w:shd w:val="clear" w:color="auto" w:fill="auto"/>
            <w:vAlign w:val="center"/>
          </w:tcPr>
          <w:p w14:paraId="5FCF00A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3592AD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Li H, Geng L, Guo H, Qiao J</w:t>
            </w:r>
          </w:p>
        </w:tc>
        <w:tc>
          <w:tcPr>
            <w:tcW w:w="7010" w:type="dxa"/>
            <w:shd w:val="clear" w:color="auto" w:fill="auto"/>
            <w:vAlign w:val="center"/>
          </w:tcPr>
          <w:p w14:paraId="2ECD2C9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Risk Factors for Vaginal Intraepithelial Neoplasia in China</w:t>
            </w:r>
          </w:p>
        </w:tc>
        <w:tc>
          <w:tcPr>
            <w:tcW w:w="568" w:type="dxa"/>
            <w:shd w:val="clear" w:color="auto" w:fill="auto"/>
            <w:vAlign w:val="center"/>
          </w:tcPr>
          <w:p w14:paraId="1035207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202966D4" w14:textId="77777777" w:rsidTr="004C3C90">
        <w:trPr>
          <w:trHeight w:val="20"/>
        </w:trPr>
        <w:tc>
          <w:tcPr>
            <w:tcW w:w="550" w:type="dxa"/>
            <w:shd w:val="clear" w:color="auto" w:fill="auto"/>
            <w:vAlign w:val="center"/>
          </w:tcPr>
          <w:p w14:paraId="6EBA74D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620</w:t>
            </w:r>
          </w:p>
        </w:tc>
        <w:tc>
          <w:tcPr>
            <w:tcW w:w="1071" w:type="dxa"/>
            <w:shd w:val="clear" w:color="auto" w:fill="auto"/>
            <w:vAlign w:val="center"/>
          </w:tcPr>
          <w:p w14:paraId="0222888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1DD2E5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Woynarowski M, Woźniak M,</w:t>
            </w:r>
          </w:p>
          <w:p w14:paraId="1D46898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Pawłowska M, et al.</w:t>
            </w:r>
          </w:p>
        </w:tc>
        <w:tc>
          <w:tcPr>
            <w:tcW w:w="7010" w:type="dxa"/>
            <w:shd w:val="clear" w:color="auto" w:fill="auto"/>
            <w:vAlign w:val="center"/>
          </w:tcPr>
          <w:p w14:paraId="3617086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Autoimmune Hepatitis in Polish Children: Healthcare Facilities, Epidemiology, and Standards of Care Assessed by a Pediatric Autoimmune Hepatitis Group</w:t>
            </w:r>
          </w:p>
        </w:tc>
        <w:tc>
          <w:tcPr>
            <w:tcW w:w="568" w:type="dxa"/>
            <w:shd w:val="clear" w:color="auto" w:fill="auto"/>
            <w:vAlign w:val="center"/>
          </w:tcPr>
          <w:p w14:paraId="2CAA667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2008</w:t>
            </w:r>
          </w:p>
        </w:tc>
      </w:tr>
      <w:tr w:rsidR="004C3C90" w:rsidRPr="004C3C90" w14:paraId="73A125CB" w14:textId="77777777" w:rsidTr="004C3C90">
        <w:trPr>
          <w:trHeight w:val="20"/>
        </w:trPr>
        <w:tc>
          <w:tcPr>
            <w:tcW w:w="550" w:type="dxa"/>
            <w:shd w:val="clear" w:color="auto" w:fill="auto"/>
            <w:vAlign w:val="center"/>
          </w:tcPr>
          <w:p w14:paraId="6F5AA21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621</w:t>
            </w:r>
          </w:p>
        </w:tc>
        <w:tc>
          <w:tcPr>
            <w:tcW w:w="1071" w:type="dxa"/>
            <w:shd w:val="clear" w:color="auto" w:fill="auto"/>
            <w:vAlign w:val="center"/>
          </w:tcPr>
          <w:p w14:paraId="030831D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C6D63B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Stych B, Dobrovolny D. Familial cold auto-inflammatory syndrome (FCAS): </w:t>
            </w:r>
            <w:r w:rsidRPr="004C3C90">
              <w:rPr>
                <w:rFonts w:ascii="Times New Roman" w:eastAsia="Times New Roman" w:hAnsi="Times New Roman" w:cs="Times New Roman"/>
                <w:sz w:val="20"/>
                <w:szCs w:val="20"/>
                <w:highlight w:val="white"/>
              </w:rPr>
              <w:lastRenderedPageBreak/>
              <w:t>characterization of symptomatology and impact on patients' lives</w:t>
            </w:r>
          </w:p>
        </w:tc>
        <w:tc>
          <w:tcPr>
            <w:tcW w:w="7010" w:type="dxa"/>
            <w:shd w:val="clear" w:color="auto" w:fill="auto"/>
            <w:vAlign w:val="center"/>
          </w:tcPr>
          <w:p w14:paraId="3B97566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lastRenderedPageBreak/>
              <w:t>Familial Cold Auto-Inflammatory Syndrome (Fcas): Characterization of Symptomatology and Impact on Patients' Lives</w:t>
            </w:r>
          </w:p>
        </w:tc>
        <w:tc>
          <w:tcPr>
            <w:tcW w:w="568" w:type="dxa"/>
            <w:shd w:val="clear" w:color="auto" w:fill="auto"/>
            <w:vAlign w:val="center"/>
          </w:tcPr>
          <w:p w14:paraId="37DB503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2008</w:t>
            </w:r>
          </w:p>
        </w:tc>
      </w:tr>
      <w:tr w:rsidR="004C3C90" w:rsidRPr="004C3C90" w14:paraId="7A751EF3" w14:textId="77777777" w:rsidTr="004C3C90">
        <w:trPr>
          <w:trHeight w:val="20"/>
        </w:trPr>
        <w:tc>
          <w:tcPr>
            <w:tcW w:w="550" w:type="dxa"/>
            <w:shd w:val="clear" w:color="auto" w:fill="auto"/>
            <w:vAlign w:val="center"/>
          </w:tcPr>
          <w:p w14:paraId="0833D87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622</w:t>
            </w:r>
          </w:p>
        </w:tc>
        <w:tc>
          <w:tcPr>
            <w:tcW w:w="1071" w:type="dxa"/>
            <w:shd w:val="clear" w:color="auto" w:fill="auto"/>
            <w:vAlign w:val="center"/>
          </w:tcPr>
          <w:p w14:paraId="4803AFC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07B7D1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Mehta A, Ginsberg L; FOS Investigators. Natural history of the cerebrovascular complications of Fabry disease. Acta Paediatr Suppl</w:t>
            </w:r>
          </w:p>
        </w:tc>
        <w:tc>
          <w:tcPr>
            <w:tcW w:w="7010" w:type="dxa"/>
            <w:shd w:val="clear" w:color="auto" w:fill="auto"/>
            <w:vAlign w:val="center"/>
          </w:tcPr>
          <w:p w14:paraId="2C7B021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Natural History of the Cerebrovascular Complications of Fabry Disease</w:t>
            </w:r>
          </w:p>
        </w:tc>
        <w:tc>
          <w:tcPr>
            <w:tcW w:w="568" w:type="dxa"/>
            <w:shd w:val="clear" w:color="auto" w:fill="auto"/>
            <w:vAlign w:val="center"/>
          </w:tcPr>
          <w:p w14:paraId="060B4C2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2005</w:t>
            </w:r>
          </w:p>
        </w:tc>
      </w:tr>
      <w:tr w:rsidR="004C3C90" w:rsidRPr="004C3C90" w14:paraId="3159E462" w14:textId="77777777" w:rsidTr="004C3C90">
        <w:trPr>
          <w:trHeight w:val="20"/>
        </w:trPr>
        <w:tc>
          <w:tcPr>
            <w:tcW w:w="550" w:type="dxa"/>
            <w:shd w:val="clear" w:color="auto" w:fill="auto"/>
            <w:vAlign w:val="center"/>
          </w:tcPr>
          <w:p w14:paraId="7A31459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623</w:t>
            </w:r>
          </w:p>
        </w:tc>
        <w:tc>
          <w:tcPr>
            <w:tcW w:w="1071" w:type="dxa"/>
            <w:shd w:val="clear" w:color="auto" w:fill="auto"/>
            <w:vAlign w:val="center"/>
          </w:tcPr>
          <w:p w14:paraId="4F48834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BE0521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Williams PH</w:t>
            </w:r>
          </w:p>
        </w:tc>
        <w:tc>
          <w:tcPr>
            <w:tcW w:w="7010" w:type="dxa"/>
            <w:shd w:val="clear" w:color="auto" w:fill="auto"/>
            <w:vAlign w:val="center"/>
          </w:tcPr>
          <w:p w14:paraId="57BB2C4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Perceptions and values regarding DNA contribution to genetic biobanks: survey design, generation and testing</w:t>
            </w:r>
          </w:p>
        </w:tc>
        <w:tc>
          <w:tcPr>
            <w:tcW w:w="568" w:type="dxa"/>
            <w:shd w:val="clear" w:color="auto" w:fill="auto"/>
            <w:vAlign w:val="center"/>
          </w:tcPr>
          <w:p w14:paraId="429D8DE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0CD6159E" w14:textId="77777777" w:rsidTr="004C3C90">
        <w:trPr>
          <w:trHeight w:val="20"/>
        </w:trPr>
        <w:tc>
          <w:tcPr>
            <w:tcW w:w="550" w:type="dxa"/>
            <w:shd w:val="clear" w:color="auto" w:fill="auto"/>
            <w:vAlign w:val="center"/>
          </w:tcPr>
          <w:p w14:paraId="609B5B0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624</w:t>
            </w:r>
          </w:p>
        </w:tc>
        <w:tc>
          <w:tcPr>
            <w:tcW w:w="1071" w:type="dxa"/>
            <w:shd w:val="clear" w:color="auto" w:fill="auto"/>
            <w:vAlign w:val="center"/>
          </w:tcPr>
          <w:p w14:paraId="43008DD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74F1B1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Shimon I, Badiu C, Bossowski A, Doknic M, Dzivite-Krisane I, Hána V, et al. </w:t>
            </w:r>
          </w:p>
        </w:tc>
        <w:tc>
          <w:tcPr>
            <w:tcW w:w="7010" w:type="dxa"/>
            <w:shd w:val="clear" w:color="auto" w:fill="auto"/>
            <w:vAlign w:val="center"/>
          </w:tcPr>
          <w:p w14:paraId="00CF505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Adult Growth Hormone Deficiency in Cee Region: Heterogeneity of the Patient Pathway</w:t>
            </w:r>
          </w:p>
        </w:tc>
        <w:tc>
          <w:tcPr>
            <w:tcW w:w="568" w:type="dxa"/>
            <w:shd w:val="clear" w:color="auto" w:fill="auto"/>
            <w:vAlign w:val="center"/>
          </w:tcPr>
          <w:p w14:paraId="2C49232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4389BAC" w14:textId="77777777" w:rsidTr="004C3C90">
        <w:trPr>
          <w:trHeight w:val="20"/>
        </w:trPr>
        <w:tc>
          <w:tcPr>
            <w:tcW w:w="550" w:type="dxa"/>
            <w:shd w:val="clear" w:color="auto" w:fill="auto"/>
            <w:vAlign w:val="center"/>
          </w:tcPr>
          <w:p w14:paraId="0C07FED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625</w:t>
            </w:r>
          </w:p>
        </w:tc>
        <w:tc>
          <w:tcPr>
            <w:tcW w:w="1071" w:type="dxa"/>
            <w:shd w:val="clear" w:color="auto" w:fill="auto"/>
            <w:vAlign w:val="center"/>
          </w:tcPr>
          <w:p w14:paraId="29C8554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57CA52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Kambouchner M, Emile JF, Copin MC, Coulomb-Lherminé A, Sabourin JC, Della Valle V, </w:t>
            </w:r>
            <w:r w:rsidRPr="004C3C90">
              <w:rPr>
                <w:rFonts w:ascii="Times New Roman" w:eastAsia="Times New Roman" w:hAnsi="Times New Roman" w:cs="Times New Roman"/>
                <w:sz w:val="20"/>
                <w:szCs w:val="20"/>
                <w:highlight w:val="white"/>
              </w:rPr>
              <w:t xml:space="preserve">et al. </w:t>
            </w:r>
          </w:p>
        </w:tc>
        <w:tc>
          <w:tcPr>
            <w:tcW w:w="7010" w:type="dxa"/>
            <w:shd w:val="clear" w:color="auto" w:fill="auto"/>
            <w:vAlign w:val="center"/>
          </w:tcPr>
          <w:p w14:paraId="19D994C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Childhood Pulmonary Langerhans Cell Histiocytosis: A Comprehensive Clinical-Histopathological and Brafv600e Mutation Study from the French National Cohort</w:t>
            </w:r>
          </w:p>
        </w:tc>
        <w:tc>
          <w:tcPr>
            <w:tcW w:w="568" w:type="dxa"/>
            <w:shd w:val="clear" w:color="auto" w:fill="auto"/>
            <w:vAlign w:val="center"/>
          </w:tcPr>
          <w:p w14:paraId="4B2CE42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29B7CDA7" w14:textId="77777777" w:rsidTr="004C3C90">
        <w:trPr>
          <w:trHeight w:val="20"/>
        </w:trPr>
        <w:tc>
          <w:tcPr>
            <w:tcW w:w="550" w:type="dxa"/>
            <w:shd w:val="clear" w:color="auto" w:fill="auto"/>
            <w:vAlign w:val="center"/>
          </w:tcPr>
          <w:p w14:paraId="5AB8D0D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626</w:t>
            </w:r>
          </w:p>
        </w:tc>
        <w:tc>
          <w:tcPr>
            <w:tcW w:w="1071" w:type="dxa"/>
            <w:shd w:val="clear" w:color="auto" w:fill="auto"/>
            <w:vAlign w:val="center"/>
          </w:tcPr>
          <w:p w14:paraId="7F30297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5B3628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Chorostowska-Wynimko J, Wencker M, Horváth I</w:t>
            </w:r>
          </w:p>
        </w:tc>
        <w:tc>
          <w:tcPr>
            <w:tcW w:w="7010" w:type="dxa"/>
            <w:shd w:val="clear" w:color="auto" w:fill="auto"/>
            <w:vAlign w:val="center"/>
          </w:tcPr>
          <w:p w14:paraId="7DD83DD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Importance of Effective Registries in Pulmonary Diseases and How to Optimize Their Output</w:t>
            </w:r>
          </w:p>
        </w:tc>
        <w:tc>
          <w:tcPr>
            <w:tcW w:w="568" w:type="dxa"/>
            <w:shd w:val="clear" w:color="auto" w:fill="auto"/>
            <w:vAlign w:val="center"/>
          </w:tcPr>
          <w:p w14:paraId="6BC96F1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4A0240B0" w14:textId="77777777" w:rsidTr="004C3C90">
        <w:trPr>
          <w:trHeight w:val="20"/>
        </w:trPr>
        <w:tc>
          <w:tcPr>
            <w:tcW w:w="550" w:type="dxa"/>
            <w:shd w:val="clear" w:color="auto" w:fill="auto"/>
            <w:vAlign w:val="center"/>
          </w:tcPr>
          <w:p w14:paraId="0B5942B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627</w:t>
            </w:r>
          </w:p>
        </w:tc>
        <w:tc>
          <w:tcPr>
            <w:tcW w:w="1071" w:type="dxa"/>
            <w:shd w:val="clear" w:color="auto" w:fill="auto"/>
            <w:vAlign w:val="center"/>
          </w:tcPr>
          <w:p w14:paraId="7A61C93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4710F2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Buka I, Hervouet-Zeiber C</w:t>
            </w:r>
          </w:p>
        </w:tc>
        <w:tc>
          <w:tcPr>
            <w:tcW w:w="7010" w:type="dxa"/>
            <w:shd w:val="clear" w:color="auto" w:fill="auto"/>
            <w:vAlign w:val="center"/>
          </w:tcPr>
          <w:p w14:paraId="50604D9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Lead Toxicity with a New Focus: Addressing Low-Level Lead Exposure in Canadian Children</w:t>
            </w:r>
          </w:p>
        </w:tc>
        <w:tc>
          <w:tcPr>
            <w:tcW w:w="568" w:type="dxa"/>
            <w:shd w:val="clear" w:color="auto" w:fill="auto"/>
            <w:vAlign w:val="center"/>
          </w:tcPr>
          <w:p w14:paraId="198CCF8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9159E7E" w14:textId="77777777" w:rsidTr="004C3C90">
        <w:trPr>
          <w:trHeight w:val="20"/>
        </w:trPr>
        <w:tc>
          <w:tcPr>
            <w:tcW w:w="550" w:type="dxa"/>
            <w:shd w:val="clear" w:color="auto" w:fill="auto"/>
            <w:vAlign w:val="center"/>
          </w:tcPr>
          <w:p w14:paraId="5378873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628</w:t>
            </w:r>
          </w:p>
        </w:tc>
        <w:tc>
          <w:tcPr>
            <w:tcW w:w="1071" w:type="dxa"/>
            <w:shd w:val="clear" w:color="auto" w:fill="auto"/>
            <w:vAlign w:val="center"/>
          </w:tcPr>
          <w:p w14:paraId="51E721D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B091F8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Oehrlein EM, Love TR, Anyanwu C, Hanna ML, Kraska J, Perfetto EM</w:t>
            </w:r>
          </w:p>
        </w:tc>
        <w:tc>
          <w:tcPr>
            <w:tcW w:w="7010" w:type="dxa"/>
            <w:shd w:val="clear" w:color="auto" w:fill="auto"/>
            <w:vAlign w:val="center"/>
          </w:tcPr>
          <w:p w14:paraId="180C28C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Multi-Method Patient-Engagement Approach: A Case Example from a Pcori-Funded Training Project</w:t>
            </w:r>
          </w:p>
        </w:tc>
        <w:tc>
          <w:tcPr>
            <w:tcW w:w="568" w:type="dxa"/>
            <w:shd w:val="clear" w:color="auto" w:fill="auto"/>
            <w:vAlign w:val="center"/>
          </w:tcPr>
          <w:p w14:paraId="2585623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5E9C5DE7" w14:textId="77777777" w:rsidTr="004C3C90">
        <w:trPr>
          <w:trHeight w:val="20"/>
        </w:trPr>
        <w:tc>
          <w:tcPr>
            <w:tcW w:w="550" w:type="dxa"/>
            <w:shd w:val="clear" w:color="auto" w:fill="auto"/>
            <w:vAlign w:val="center"/>
          </w:tcPr>
          <w:p w14:paraId="1D6DF85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629</w:t>
            </w:r>
          </w:p>
        </w:tc>
        <w:tc>
          <w:tcPr>
            <w:tcW w:w="1071" w:type="dxa"/>
            <w:shd w:val="clear" w:color="auto" w:fill="auto"/>
            <w:vAlign w:val="center"/>
          </w:tcPr>
          <w:p w14:paraId="1EDC7CF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BB2F06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Torreggiani S, Torcoletti M, Campos-Xavier B, Baldo F, Agostoni C, Superti-Furga A, et al. </w:t>
            </w:r>
          </w:p>
        </w:tc>
        <w:tc>
          <w:tcPr>
            <w:tcW w:w="7010" w:type="dxa"/>
            <w:shd w:val="clear" w:color="auto" w:fill="auto"/>
            <w:vAlign w:val="center"/>
          </w:tcPr>
          <w:p w14:paraId="6ABCEBF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Progressive Pseudorheumatoid Dysplasia: A Rare Childhood Disease</w:t>
            </w:r>
          </w:p>
        </w:tc>
        <w:tc>
          <w:tcPr>
            <w:tcW w:w="568" w:type="dxa"/>
            <w:shd w:val="clear" w:color="auto" w:fill="auto"/>
            <w:vAlign w:val="center"/>
          </w:tcPr>
          <w:p w14:paraId="6CB45E8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5F770322" w14:textId="77777777" w:rsidTr="004C3C90">
        <w:trPr>
          <w:trHeight w:val="20"/>
        </w:trPr>
        <w:tc>
          <w:tcPr>
            <w:tcW w:w="550" w:type="dxa"/>
            <w:shd w:val="clear" w:color="auto" w:fill="auto"/>
            <w:vAlign w:val="center"/>
          </w:tcPr>
          <w:p w14:paraId="2FCB4B8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630</w:t>
            </w:r>
          </w:p>
        </w:tc>
        <w:tc>
          <w:tcPr>
            <w:tcW w:w="1071" w:type="dxa"/>
            <w:shd w:val="clear" w:color="auto" w:fill="auto"/>
            <w:vAlign w:val="center"/>
          </w:tcPr>
          <w:p w14:paraId="251E118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D932F7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Sahay KM, Smith T, Conway KM, Romitti PA, Lamb MM, Andrews J, et al. </w:t>
            </w:r>
          </w:p>
        </w:tc>
        <w:tc>
          <w:tcPr>
            <w:tcW w:w="7010" w:type="dxa"/>
            <w:shd w:val="clear" w:color="auto" w:fill="auto"/>
            <w:vAlign w:val="center"/>
          </w:tcPr>
          <w:p w14:paraId="62902C9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Review of Md Star Net's Research Contributions to Pediatric-Onset Dystrophinopathy in the United States; 2002-2017</w:t>
            </w:r>
          </w:p>
        </w:tc>
        <w:tc>
          <w:tcPr>
            <w:tcW w:w="568" w:type="dxa"/>
            <w:shd w:val="clear" w:color="auto" w:fill="auto"/>
            <w:vAlign w:val="center"/>
          </w:tcPr>
          <w:p w14:paraId="500B603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59233313" w14:textId="77777777" w:rsidTr="004C3C90">
        <w:trPr>
          <w:trHeight w:val="20"/>
        </w:trPr>
        <w:tc>
          <w:tcPr>
            <w:tcW w:w="550" w:type="dxa"/>
            <w:shd w:val="clear" w:color="auto" w:fill="auto"/>
            <w:vAlign w:val="center"/>
          </w:tcPr>
          <w:p w14:paraId="73C0116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631</w:t>
            </w:r>
          </w:p>
        </w:tc>
        <w:tc>
          <w:tcPr>
            <w:tcW w:w="1071" w:type="dxa"/>
            <w:shd w:val="clear" w:color="auto" w:fill="auto"/>
            <w:vAlign w:val="center"/>
          </w:tcPr>
          <w:p w14:paraId="2A69A04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135715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Powell P, Kreuter M, Wijsenbeek-Lourens M</w:t>
            </w:r>
          </w:p>
        </w:tc>
        <w:tc>
          <w:tcPr>
            <w:tcW w:w="7010" w:type="dxa"/>
            <w:shd w:val="clear" w:color="auto" w:fill="auto"/>
            <w:vAlign w:val="center"/>
          </w:tcPr>
          <w:p w14:paraId="6A4927D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Where Are the Gaps in Education in the Field of Rare Lung Disease? Perspectives from the Ern-Lung Educational Programme Survey</w:t>
            </w:r>
          </w:p>
        </w:tc>
        <w:tc>
          <w:tcPr>
            <w:tcW w:w="568" w:type="dxa"/>
            <w:shd w:val="clear" w:color="auto" w:fill="auto"/>
            <w:vAlign w:val="center"/>
          </w:tcPr>
          <w:p w14:paraId="138B114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4B9E2B55" w14:textId="77777777" w:rsidTr="004C3C90">
        <w:trPr>
          <w:trHeight w:val="20"/>
        </w:trPr>
        <w:tc>
          <w:tcPr>
            <w:tcW w:w="550" w:type="dxa"/>
            <w:shd w:val="clear" w:color="auto" w:fill="auto"/>
            <w:vAlign w:val="center"/>
          </w:tcPr>
          <w:p w14:paraId="366B4F0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632</w:t>
            </w:r>
          </w:p>
        </w:tc>
        <w:tc>
          <w:tcPr>
            <w:tcW w:w="1071" w:type="dxa"/>
            <w:shd w:val="clear" w:color="auto" w:fill="auto"/>
            <w:vAlign w:val="center"/>
          </w:tcPr>
          <w:p w14:paraId="4DC35AF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A85A20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Rice JB, White AG, Scarpati LM, Wan GJ, Nelson WW</w:t>
            </w:r>
          </w:p>
        </w:tc>
        <w:tc>
          <w:tcPr>
            <w:tcW w:w="7010" w:type="dxa"/>
            <w:shd w:val="clear" w:color="auto" w:fill="auto"/>
            <w:vAlign w:val="center"/>
          </w:tcPr>
          <w:p w14:paraId="53A4C5E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Burden of Non-Infectious Intraocular Inflammatory Eye Diseases: A Systematic Literature Review</w:t>
            </w:r>
          </w:p>
        </w:tc>
        <w:tc>
          <w:tcPr>
            <w:tcW w:w="568" w:type="dxa"/>
            <w:shd w:val="clear" w:color="auto" w:fill="auto"/>
            <w:vAlign w:val="center"/>
          </w:tcPr>
          <w:p w14:paraId="7348D19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DA38B9E" w14:textId="77777777" w:rsidTr="004C3C90">
        <w:trPr>
          <w:trHeight w:val="20"/>
        </w:trPr>
        <w:tc>
          <w:tcPr>
            <w:tcW w:w="550" w:type="dxa"/>
            <w:shd w:val="clear" w:color="auto" w:fill="auto"/>
            <w:vAlign w:val="center"/>
          </w:tcPr>
          <w:p w14:paraId="0DF137D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633</w:t>
            </w:r>
          </w:p>
        </w:tc>
        <w:tc>
          <w:tcPr>
            <w:tcW w:w="1071" w:type="dxa"/>
            <w:shd w:val="clear" w:color="auto" w:fill="auto"/>
            <w:vAlign w:val="center"/>
          </w:tcPr>
          <w:p w14:paraId="79F721E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8DC274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Liu KX, Prajapati VH, Liang MG, Mulliken JB, Lee MS</w:t>
            </w:r>
          </w:p>
        </w:tc>
        <w:tc>
          <w:tcPr>
            <w:tcW w:w="7010" w:type="dxa"/>
            <w:shd w:val="clear" w:color="auto" w:fill="auto"/>
            <w:vAlign w:val="center"/>
          </w:tcPr>
          <w:p w14:paraId="50DBCDF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Cross-Sectional Survey of Long-Term Outcomes for Patients with Diffuse Capillary Malformation with Overgrowth</w:t>
            </w:r>
          </w:p>
        </w:tc>
        <w:tc>
          <w:tcPr>
            <w:tcW w:w="568" w:type="dxa"/>
            <w:shd w:val="clear" w:color="auto" w:fill="auto"/>
            <w:vAlign w:val="center"/>
          </w:tcPr>
          <w:p w14:paraId="1B78A01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2B500C26" w14:textId="77777777" w:rsidTr="004C3C90">
        <w:trPr>
          <w:trHeight w:val="20"/>
        </w:trPr>
        <w:tc>
          <w:tcPr>
            <w:tcW w:w="550" w:type="dxa"/>
            <w:shd w:val="clear" w:color="auto" w:fill="auto"/>
            <w:vAlign w:val="center"/>
          </w:tcPr>
          <w:p w14:paraId="06301BB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634</w:t>
            </w:r>
          </w:p>
        </w:tc>
        <w:tc>
          <w:tcPr>
            <w:tcW w:w="1071" w:type="dxa"/>
            <w:shd w:val="clear" w:color="auto" w:fill="auto"/>
            <w:vAlign w:val="center"/>
          </w:tcPr>
          <w:p w14:paraId="7EA51ED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F9DF22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Cardarelli WJ</w:t>
            </w:r>
          </w:p>
        </w:tc>
        <w:tc>
          <w:tcPr>
            <w:tcW w:w="7010" w:type="dxa"/>
            <w:shd w:val="clear" w:color="auto" w:fill="auto"/>
            <w:vAlign w:val="center"/>
          </w:tcPr>
          <w:p w14:paraId="095EC0E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Economic Burden Limiting Proper Healthcare Delivery, Management, and Improvement of Patient Outcomes</w:t>
            </w:r>
          </w:p>
        </w:tc>
        <w:tc>
          <w:tcPr>
            <w:tcW w:w="568" w:type="dxa"/>
            <w:shd w:val="clear" w:color="auto" w:fill="auto"/>
            <w:vAlign w:val="center"/>
          </w:tcPr>
          <w:p w14:paraId="131BC48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346ED8D5" w14:textId="77777777" w:rsidTr="004C3C90">
        <w:trPr>
          <w:trHeight w:val="20"/>
        </w:trPr>
        <w:tc>
          <w:tcPr>
            <w:tcW w:w="550" w:type="dxa"/>
            <w:shd w:val="clear" w:color="auto" w:fill="auto"/>
            <w:vAlign w:val="center"/>
          </w:tcPr>
          <w:p w14:paraId="38EEC6C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635</w:t>
            </w:r>
          </w:p>
        </w:tc>
        <w:tc>
          <w:tcPr>
            <w:tcW w:w="1071" w:type="dxa"/>
            <w:shd w:val="clear" w:color="auto" w:fill="auto"/>
            <w:vAlign w:val="center"/>
          </w:tcPr>
          <w:p w14:paraId="3B4B8F6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CC8A86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Swoboda KJ, Nery FC</w:t>
            </w:r>
          </w:p>
        </w:tc>
        <w:tc>
          <w:tcPr>
            <w:tcW w:w="7010" w:type="dxa"/>
            <w:shd w:val="clear" w:color="auto" w:fill="auto"/>
            <w:vAlign w:val="center"/>
          </w:tcPr>
          <w:p w14:paraId="18F220D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Harnessing the Power of the Patient Perspective for Rare Disease Therapeutics</w:t>
            </w:r>
          </w:p>
        </w:tc>
        <w:tc>
          <w:tcPr>
            <w:tcW w:w="568" w:type="dxa"/>
            <w:shd w:val="clear" w:color="auto" w:fill="auto"/>
            <w:vAlign w:val="center"/>
          </w:tcPr>
          <w:p w14:paraId="1BE17C6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157F0AEC" w14:textId="77777777" w:rsidTr="004C3C90">
        <w:trPr>
          <w:trHeight w:val="20"/>
        </w:trPr>
        <w:tc>
          <w:tcPr>
            <w:tcW w:w="550" w:type="dxa"/>
            <w:shd w:val="clear" w:color="auto" w:fill="auto"/>
            <w:vAlign w:val="center"/>
          </w:tcPr>
          <w:p w14:paraId="1B81338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636</w:t>
            </w:r>
          </w:p>
        </w:tc>
        <w:tc>
          <w:tcPr>
            <w:tcW w:w="1071" w:type="dxa"/>
            <w:shd w:val="clear" w:color="auto" w:fill="auto"/>
            <w:vAlign w:val="center"/>
          </w:tcPr>
          <w:p w14:paraId="46A38FB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BCC99F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Knoble N, Nayroles G, Cheng C, Arnould B</w:t>
            </w:r>
          </w:p>
        </w:tc>
        <w:tc>
          <w:tcPr>
            <w:tcW w:w="7010" w:type="dxa"/>
            <w:shd w:val="clear" w:color="auto" w:fill="auto"/>
            <w:vAlign w:val="center"/>
          </w:tcPr>
          <w:p w14:paraId="433AC38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Illustration of Patient-Reported Outcome Challenges and Solutions in Rare Diseases: A Systematic Review in Cushing's Syndrome</w:t>
            </w:r>
          </w:p>
        </w:tc>
        <w:tc>
          <w:tcPr>
            <w:tcW w:w="568" w:type="dxa"/>
            <w:shd w:val="clear" w:color="auto" w:fill="auto"/>
            <w:vAlign w:val="center"/>
          </w:tcPr>
          <w:p w14:paraId="406C4AD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122A1A85" w14:textId="77777777" w:rsidTr="004C3C90">
        <w:trPr>
          <w:trHeight w:val="20"/>
        </w:trPr>
        <w:tc>
          <w:tcPr>
            <w:tcW w:w="550" w:type="dxa"/>
            <w:shd w:val="clear" w:color="auto" w:fill="auto"/>
            <w:vAlign w:val="center"/>
          </w:tcPr>
          <w:p w14:paraId="45D2AEC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637</w:t>
            </w:r>
          </w:p>
        </w:tc>
        <w:tc>
          <w:tcPr>
            <w:tcW w:w="1071" w:type="dxa"/>
            <w:shd w:val="clear" w:color="auto" w:fill="auto"/>
            <w:vAlign w:val="center"/>
          </w:tcPr>
          <w:p w14:paraId="3E8857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FA1B8B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Hiremath G, Kodroff E, Strobel MJ, Scott M, Book W, Reidy C, et al. </w:t>
            </w:r>
          </w:p>
        </w:tc>
        <w:tc>
          <w:tcPr>
            <w:tcW w:w="7010" w:type="dxa"/>
            <w:shd w:val="clear" w:color="auto" w:fill="auto"/>
            <w:vAlign w:val="center"/>
          </w:tcPr>
          <w:p w14:paraId="4A386FB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Individuals Affected by Eosinophilic Gastrointestinal Disorders Have Complex Unmet Needs and Frequently Experience Unique Barriers to Care</w:t>
            </w:r>
          </w:p>
        </w:tc>
        <w:tc>
          <w:tcPr>
            <w:tcW w:w="568" w:type="dxa"/>
            <w:shd w:val="clear" w:color="auto" w:fill="auto"/>
            <w:vAlign w:val="center"/>
          </w:tcPr>
          <w:p w14:paraId="7221B5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1682C1C0" w14:textId="77777777" w:rsidTr="004C3C90">
        <w:trPr>
          <w:trHeight w:val="20"/>
        </w:trPr>
        <w:tc>
          <w:tcPr>
            <w:tcW w:w="550" w:type="dxa"/>
            <w:shd w:val="clear" w:color="auto" w:fill="auto"/>
            <w:vAlign w:val="center"/>
          </w:tcPr>
          <w:p w14:paraId="74481F7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638</w:t>
            </w:r>
          </w:p>
        </w:tc>
        <w:tc>
          <w:tcPr>
            <w:tcW w:w="1071" w:type="dxa"/>
            <w:shd w:val="clear" w:color="auto" w:fill="auto"/>
            <w:vAlign w:val="center"/>
          </w:tcPr>
          <w:p w14:paraId="0DEC903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7667D5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Birn CS</w:t>
            </w:r>
          </w:p>
        </w:tc>
        <w:tc>
          <w:tcPr>
            <w:tcW w:w="7010" w:type="dxa"/>
            <w:shd w:val="clear" w:color="auto" w:fill="auto"/>
            <w:vAlign w:val="center"/>
          </w:tcPr>
          <w:p w14:paraId="41E3D5F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Mastocytosis</w:t>
            </w:r>
          </w:p>
        </w:tc>
        <w:tc>
          <w:tcPr>
            <w:tcW w:w="568" w:type="dxa"/>
            <w:shd w:val="clear" w:color="auto" w:fill="auto"/>
            <w:vAlign w:val="center"/>
          </w:tcPr>
          <w:p w14:paraId="5C9335C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2A033723" w14:textId="77777777" w:rsidTr="004C3C90">
        <w:trPr>
          <w:trHeight w:val="20"/>
        </w:trPr>
        <w:tc>
          <w:tcPr>
            <w:tcW w:w="550" w:type="dxa"/>
            <w:shd w:val="clear" w:color="auto" w:fill="auto"/>
            <w:vAlign w:val="center"/>
          </w:tcPr>
          <w:p w14:paraId="314FADE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639</w:t>
            </w:r>
          </w:p>
        </w:tc>
        <w:tc>
          <w:tcPr>
            <w:tcW w:w="1071" w:type="dxa"/>
            <w:shd w:val="clear" w:color="auto" w:fill="auto"/>
            <w:vAlign w:val="center"/>
          </w:tcPr>
          <w:p w14:paraId="58CF57E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56B07D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Slade A, Isa F, Kyte D, Pankhurst T, Kerecuk L, Ferguson J, et al. </w:t>
            </w:r>
          </w:p>
        </w:tc>
        <w:tc>
          <w:tcPr>
            <w:tcW w:w="7010" w:type="dxa"/>
            <w:shd w:val="clear" w:color="auto" w:fill="auto"/>
            <w:vAlign w:val="center"/>
          </w:tcPr>
          <w:p w14:paraId="16197AC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 Reported Outcome Measures in Rare Diseases: A Narrative Review</w:t>
            </w:r>
          </w:p>
        </w:tc>
        <w:tc>
          <w:tcPr>
            <w:tcW w:w="568" w:type="dxa"/>
            <w:shd w:val="clear" w:color="auto" w:fill="auto"/>
            <w:vAlign w:val="center"/>
          </w:tcPr>
          <w:p w14:paraId="6A8922A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404104A" w14:textId="77777777" w:rsidTr="004C3C90">
        <w:trPr>
          <w:trHeight w:val="20"/>
        </w:trPr>
        <w:tc>
          <w:tcPr>
            <w:tcW w:w="550" w:type="dxa"/>
            <w:shd w:val="clear" w:color="auto" w:fill="auto"/>
            <w:vAlign w:val="center"/>
          </w:tcPr>
          <w:p w14:paraId="586704B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640</w:t>
            </w:r>
          </w:p>
        </w:tc>
        <w:tc>
          <w:tcPr>
            <w:tcW w:w="1071" w:type="dxa"/>
            <w:shd w:val="clear" w:color="auto" w:fill="auto"/>
            <w:vAlign w:val="center"/>
          </w:tcPr>
          <w:p w14:paraId="032CD9D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AAED70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Honoré C, Atallah V, Mir O, Orbach D, Ferron G, LePéchoux C, et al. </w:t>
            </w:r>
          </w:p>
        </w:tc>
        <w:tc>
          <w:tcPr>
            <w:tcW w:w="7010" w:type="dxa"/>
            <w:shd w:val="clear" w:color="auto" w:fill="auto"/>
            <w:vAlign w:val="center"/>
          </w:tcPr>
          <w:p w14:paraId="507B853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Abdominal Desmoplastic Small Round Cell Tumor without Extraperitoneal Metastases: Is There a Benefit for Hipec after Macroscopically Complete Cytoreductive Surgery?</w:t>
            </w:r>
          </w:p>
        </w:tc>
        <w:tc>
          <w:tcPr>
            <w:tcW w:w="568" w:type="dxa"/>
            <w:shd w:val="clear" w:color="auto" w:fill="auto"/>
            <w:vAlign w:val="center"/>
          </w:tcPr>
          <w:p w14:paraId="2DB2EB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C119BA6" w14:textId="77777777" w:rsidTr="004C3C90">
        <w:trPr>
          <w:trHeight w:val="20"/>
        </w:trPr>
        <w:tc>
          <w:tcPr>
            <w:tcW w:w="550" w:type="dxa"/>
            <w:shd w:val="clear" w:color="auto" w:fill="auto"/>
            <w:vAlign w:val="center"/>
          </w:tcPr>
          <w:p w14:paraId="6AF1AEF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641</w:t>
            </w:r>
          </w:p>
        </w:tc>
        <w:tc>
          <w:tcPr>
            <w:tcW w:w="1071" w:type="dxa"/>
            <w:shd w:val="clear" w:color="auto" w:fill="auto"/>
            <w:vAlign w:val="center"/>
          </w:tcPr>
          <w:p w14:paraId="54D2098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8C46B1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Bellutti Enders F, Bader-Meunier B, Baildam E, et al. </w:t>
            </w:r>
          </w:p>
        </w:tc>
        <w:tc>
          <w:tcPr>
            <w:tcW w:w="7010" w:type="dxa"/>
            <w:shd w:val="clear" w:color="auto" w:fill="auto"/>
            <w:vAlign w:val="center"/>
          </w:tcPr>
          <w:p w14:paraId="424E270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Consensus-Based Recommendations for the Management of Juvenile Dermatomyositis</w:t>
            </w:r>
          </w:p>
        </w:tc>
        <w:tc>
          <w:tcPr>
            <w:tcW w:w="568" w:type="dxa"/>
            <w:shd w:val="clear" w:color="auto" w:fill="auto"/>
            <w:vAlign w:val="center"/>
          </w:tcPr>
          <w:p w14:paraId="4B3C1C2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2E81758A" w14:textId="77777777" w:rsidTr="004C3C90">
        <w:trPr>
          <w:trHeight w:val="20"/>
        </w:trPr>
        <w:tc>
          <w:tcPr>
            <w:tcW w:w="550" w:type="dxa"/>
            <w:shd w:val="clear" w:color="auto" w:fill="auto"/>
            <w:vAlign w:val="center"/>
          </w:tcPr>
          <w:p w14:paraId="2A8D1D1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642</w:t>
            </w:r>
          </w:p>
        </w:tc>
        <w:tc>
          <w:tcPr>
            <w:tcW w:w="1071" w:type="dxa"/>
            <w:shd w:val="clear" w:color="auto" w:fill="auto"/>
            <w:vAlign w:val="center"/>
          </w:tcPr>
          <w:p w14:paraId="02A13F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F1612D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Acaster S</w:t>
            </w:r>
          </w:p>
        </w:tc>
        <w:tc>
          <w:tcPr>
            <w:tcW w:w="7010" w:type="dxa"/>
            <w:shd w:val="clear" w:color="auto" w:fill="auto"/>
            <w:vAlign w:val="center"/>
          </w:tcPr>
          <w:p w14:paraId="0CDDA74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Patient-Reported Outcome and Observer-Reported Outcome Assessment in Rare Disease Trials</w:t>
            </w:r>
          </w:p>
        </w:tc>
        <w:tc>
          <w:tcPr>
            <w:tcW w:w="568" w:type="dxa"/>
            <w:shd w:val="clear" w:color="auto" w:fill="auto"/>
            <w:vAlign w:val="center"/>
          </w:tcPr>
          <w:p w14:paraId="2E66882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33C79F69" w14:textId="77777777" w:rsidTr="004C3C90">
        <w:trPr>
          <w:trHeight w:val="20"/>
        </w:trPr>
        <w:tc>
          <w:tcPr>
            <w:tcW w:w="550" w:type="dxa"/>
            <w:shd w:val="clear" w:color="auto" w:fill="auto"/>
            <w:vAlign w:val="center"/>
          </w:tcPr>
          <w:p w14:paraId="37870C4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643</w:t>
            </w:r>
          </w:p>
        </w:tc>
        <w:tc>
          <w:tcPr>
            <w:tcW w:w="1071" w:type="dxa"/>
            <w:shd w:val="clear" w:color="auto" w:fill="auto"/>
            <w:vAlign w:val="center"/>
          </w:tcPr>
          <w:p w14:paraId="52EE847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35BA09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Tadisina KK, Lin AY</w:t>
            </w:r>
          </w:p>
        </w:tc>
        <w:tc>
          <w:tcPr>
            <w:tcW w:w="7010" w:type="dxa"/>
            <w:shd w:val="clear" w:color="auto" w:fill="auto"/>
            <w:vAlign w:val="center"/>
          </w:tcPr>
          <w:p w14:paraId="0D2BB96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Squamosal Craniosynostosis: Defining the Phenotype and Indications for Surgical Management</w:t>
            </w:r>
          </w:p>
        </w:tc>
        <w:tc>
          <w:tcPr>
            <w:tcW w:w="568" w:type="dxa"/>
            <w:shd w:val="clear" w:color="auto" w:fill="auto"/>
            <w:vAlign w:val="center"/>
          </w:tcPr>
          <w:p w14:paraId="6173D53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0451044E" w14:textId="77777777" w:rsidTr="004C3C90">
        <w:trPr>
          <w:trHeight w:val="20"/>
        </w:trPr>
        <w:tc>
          <w:tcPr>
            <w:tcW w:w="550" w:type="dxa"/>
            <w:shd w:val="clear" w:color="auto" w:fill="auto"/>
            <w:vAlign w:val="center"/>
          </w:tcPr>
          <w:p w14:paraId="0C3B3F5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644</w:t>
            </w:r>
          </w:p>
        </w:tc>
        <w:tc>
          <w:tcPr>
            <w:tcW w:w="1071" w:type="dxa"/>
            <w:shd w:val="clear" w:color="auto" w:fill="auto"/>
            <w:vAlign w:val="center"/>
          </w:tcPr>
          <w:p w14:paraId="57FA797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F12002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Muenzer J, Jones SA, Tylki-Szymańska A, Harmatz P, Mendelsohn NJ, Guffon N, </w:t>
            </w:r>
          </w:p>
        </w:tc>
        <w:tc>
          <w:tcPr>
            <w:tcW w:w="7010" w:type="dxa"/>
            <w:shd w:val="clear" w:color="auto" w:fill="auto"/>
            <w:vAlign w:val="center"/>
          </w:tcPr>
          <w:p w14:paraId="309BB32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Ten Years of the Hunter Outcome Survey (Hos): Insights, Achievements, and Lessons Learned from a Global Patient Registry</w:t>
            </w:r>
          </w:p>
        </w:tc>
        <w:tc>
          <w:tcPr>
            <w:tcW w:w="568" w:type="dxa"/>
            <w:shd w:val="clear" w:color="auto" w:fill="auto"/>
            <w:vAlign w:val="center"/>
          </w:tcPr>
          <w:p w14:paraId="6035A03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2D518145" w14:textId="77777777" w:rsidTr="004C3C90">
        <w:trPr>
          <w:trHeight w:val="20"/>
        </w:trPr>
        <w:tc>
          <w:tcPr>
            <w:tcW w:w="550" w:type="dxa"/>
            <w:shd w:val="clear" w:color="auto" w:fill="auto"/>
            <w:vAlign w:val="center"/>
          </w:tcPr>
          <w:p w14:paraId="331EC40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645</w:t>
            </w:r>
          </w:p>
        </w:tc>
        <w:tc>
          <w:tcPr>
            <w:tcW w:w="1071" w:type="dxa"/>
            <w:shd w:val="clear" w:color="auto" w:fill="auto"/>
            <w:vAlign w:val="center"/>
          </w:tcPr>
          <w:p w14:paraId="3E533A6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9F35C0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Pope JE</w:t>
            </w:r>
          </w:p>
        </w:tc>
        <w:tc>
          <w:tcPr>
            <w:tcW w:w="7010" w:type="dxa"/>
            <w:shd w:val="clear" w:color="auto" w:fill="auto"/>
            <w:vAlign w:val="center"/>
          </w:tcPr>
          <w:p w14:paraId="281F3D2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Trial Methodology in Scleroderma: Avoiding a Shot in the Dark</w:t>
            </w:r>
          </w:p>
        </w:tc>
        <w:tc>
          <w:tcPr>
            <w:tcW w:w="568" w:type="dxa"/>
            <w:shd w:val="clear" w:color="auto" w:fill="auto"/>
            <w:vAlign w:val="center"/>
          </w:tcPr>
          <w:p w14:paraId="5179161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99998BA" w14:textId="77777777" w:rsidTr="004C3C90">
        <w:trPr>
          <w:trHeight w:val="20"/>
        </w:trPr>
        <w:tc>
          <w:tcPr>
            <w:tcW w:w="550" w:type="dxa"/>
            <w:shd w:val="clear" w:color="auto" w:fill="auto"/>
            <w:vAlign w:val="center"/>
          </w:tcPr>
          <w:p w14:paraId="2AD8F2C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646</w:t>
            </w:r>
          </w:p>
        </w:tc>
        <w:tc>
          <w:tcPr>
            <w:tcW w:w="1071" w:type="dxa"/>
            <w:shd w:val="clear" w:color="auto" w:fill="auto"/>
            <w:vAlign w:val="center"/>
          </w:tcPr>
          <w:p w14:paraId="5FE6BDC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20B039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anonymous</w:t>
            </w:r>
          </w:p>
        </w:tc>
        <w:tc>
          <w:tcPr>
            <w:tcW w:w="7010" w:type="dxa"/>
            <w:shd w:val="clear" w:color="auto" w:fill="auto"/>
            <w:vAlign w:val="center"/>
          </w:tcPr>
          <w:p w14:paraId="6B9657B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What's Happening. Rare Disease Caregiving Study</w:t>
            </w:r>
          </w:p>
        </w:tc>
        <w:tc>
          <w:tcPr>
            <w:tcW w:w="568" w:type="dxa"/>
            <w:shd w:val="clear" w:color="auto" w:fill="auto"/>
            <w:vAlign w:val="center"/>
          </w:tcPr>
          <w:p w14:paraId="01B0758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73FB1777" w14:textId="77777777" w:rsidTr="004C3C90">
        <w:trPr>
          <w:trHeight w:val="20"/>
        </w:trPr>
        <w:tc>
          <w:tcPr>
            <w:tcW w:w="550" w:type="dxa"/>
            <w:shd w:val="clear" w:color="auto" w:fill="auto"/>
            <w:vAlign w:val="center"/>
          </w:tcPr>
          <w:p w14:paraId="44850BD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647</w:t>
            </w:r>
          </w:p>
        </w:tc>
        <w:tc>
          <w:tcPr>
            <w:tcW w:w="1071" w:type="dxa"/>
            <w:shd w:val="clear" w:color="auto" w:fill="auto"/>
            <w:vAlign w:val="center"/>
          </w:tcPr>
          <w:p w14:paraId="3F24E42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552190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Balasubramaniam GS, Arenas-Hernandez M, Escuredo E, Fairbanks L, Marinaki T, Mapplebeck S, Sheaff M, Almond MK</w:t>
            </w:r>
          </w:p>
        </w:tc>
        <w:tc>
          <w:tcPr>
            <w:tcW w:w="7010" w:type="dxa"/>
            <w:shd w:val="clear" w:color="auto" w:fill="auto"/>
            <w:vAlign w:val="center"/>
          </w:tcPr>
          <w:p w14:paraId="39968EA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Adenine Phosphoribosyltransferase Deficiency in the United Kingdom: Two Novel Mutations and a Cross-Sectional Survey</w:t>
            </w:r>
          </w:p>
        </w:tc>
        <w:tc>
          <w:tcPr>
            <w:tcW w:w="568" w:type="dxa"/>
            <w:shd w:val="clear" w:color="auto" w:fill="auto"/>
            <w:vAlign w:val="center"/>
          </w:tcPr>
          <w:p w14:paraId="5FEBCBE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7BB8A406" w14:textId="77777777" w:rsidTr="004C3C90">
        <w:trPr>
          <w:trHeight w:val="20"/>
        </w:trPr>
        <w:tc>
          <w:tcPr>
            <w:tcW w:w="550" w:type="dxa"/>
            <w:shd w:val="clear" w:color="auto" w:fill="auto"/>
            <w:vAlign w:val="center"/>
          </w:tcPr>
          <w:p w14:paraId="02C01E4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648</w:t>
            </w:r>
          </w:p>
        </w:tc>
        <w:tc>
          <w:tcPr>
            <w:tcW w:w="1071" w:type="dxa"/>
            <w:shd w:val="clear" w:color="auto" w:fill="auto"/>
            <w:vAlign w:val="center"/>
          </w:tcPr>
          <w:p w14:paraId="1F57435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1C04D5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Rüther A, Elstein D, Wong-Rieger D, Guyatt G</w:t>
            </w:r>
          </w:p>
        </w:tc>
        <w:tc>
          <w:tcPr>
            <w:tcW w:w="7010" w:type="dxa"/>
            <w:shd w:val="clear" w:color="auto" w:fill="auto"/>
            <w:vAlign w:val="center"/>
          </w:tcPr>
          <w:p w14:paraId="7964959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Aspects of Patient Reported Outcomes in Rare Diseases: A Discussion Paper</w:t>
            </w:r>
          </w:p>
        </w:tc>
        <w:tc>
          <w:tcPr>
            <w:tcW w:w="568" w:type="dxa"/>
            <w:shd w:val="clear" w:color="auto" w:fill="auto"/>
            <w:vAlign w:val="center"/>
          </w:tcPr>
          <w:p w14:paraId="22CBB3A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43EAC780" w14:textId="77777777" w:rsidTr="004C3C90">
        <w:trPr>
          <w:trHeight w:val="20"/>
        </w:trPr>
        <w:tc>
          <w:tcPr>
            <w:tcW w:w="550" w:type="dxa"/>
            <w:shd w:val="clear" w:color="auto" w:fill="auto"/>
            <w:vAlign w:val="center"/>
          </w:tcPr>
          <w:p w14:paraId="7579728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649</w:t>
            </w:r>
          </w:p>
        </w:tc>
        <w:tc>
          <w:tcPr>
            <w:tcW w:w="1071" w:type="dxa"/>
            <w:shd w:val="clear" w:color="auto" w:fill="auto"/>
            <w:vAlign w:val="center"/>
          </w:tcPr>
          <w:p w14:paraId="4F2B010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FD24F1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Okubo Y, Yokose T, Motohashi O, Miyagi Y, Yoshioka E, Suzuki M, Washimi K, Kawachi K, Nito M, Nemoto T, Shibuya K, Kameda Y</w:t>
            </w:r>
          </w:p>
        </w:tc>
        <w:tc>
          <w:tcPr>
            <w:tcW w:w="7010" w:type="dxa"/>
            <w:shd w:val="clear" w:color="auto" w:fill="auto"/>
            <w:vAlign w:val="center"/>
          </w:tcPr>
          <w:p w14:paraId="0231FDE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Duodenal Rare Neuroendocrine Tumor: Clinicopathological Characteristics of Patients with Gangliocytic Paraganglioma</w:t>
            </w:r>
          </w:p>
        </w:tc>
        <w:tc>
          <w:tcPr>
            <w:tcW w:w="568" w:type="dxa"/>
            <w:shd w:val="clear" w:color="auto" w:fill="auto"/>
            <w:vAlign w:val="center"/>
          </w:tcPr>
          <w:p w14:paraId="52E55B4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38A0C9F8" w14:textId="77777777" w:rsidTr="004C3C90">
        <w:trPr>
          <w:trHeight w:val="20"/>
        </w:trPr>
        <w:tc>
          <w:tcPr>
            <w:tcW w:w="550" w:type="dxa"/>
            <w:shd w:val="clear" w:color="auto" w:fill="auto"/>
            <w:vAlign w:val="center"/>
          </w:tcPr>
          <w:p w14:paraId="20F43FC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650</w:t>
            </w:r>
          </w:p>
        </w:tc>
        <w:tc>
          <w:tcPr>
            <w:tcW w:w="1071" w:type="dxa"/>
            <w:shd w:val="clear" w:color="auto" w:fill="auto"/>
            <w:vAlign w:val="center"/>
          </w:tcPr>
          <w:p w14:paraId="553FC40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A5041B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Kitzinger HB, van Schoonhoven J, Schmitt R, Hacker S, Karle B.</w:t>
            </w:r>
          </w:p>
        </w:tc>
        <w:tc>
          <w:tcPr>
            <w:tcW w:w="7010" w:type="dxa"/>
            <w:shd w:val="clear" w:color="auto" w:fill="auto"/>
            <w:vAlign w:val="center"/>
          </w:tcPr>
          <w:p w14:paraId="43F60F6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Hypothenar Hammer Syndrome: Long-Term Results after Vascular Reconstruction</w:t>
            </w:r>
          </w:p>
        </w:tc>
        <w:tc>
          <w:tcPr>
            <w:tcW w:w="568" w:type="dxa"/>
            <w:shd w:val="clear" w:color="auto" w:fill="auto"/>
            <w:vAlign w:val="center"/>
          </w:tcPr>
          <w:p w14:paraId="51B8C66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0E609BFE" w14:textId="77777777" w:rsidTr="004C3C90">
        <w:trPr>
          <w:trHeight w:val="20"/>
        </w:trPr>
        <w:tc>
          <w:tcPr>
            <w:tcW w:w="550" w:type="dxa"/>
            <w:shd w:val="clear" w:color="auto" w:fill="auto"/>
            <w:vAlign w:val="center"/>
          </w:tcPr>
          <w:p w14:paraId="0B70F36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651</w:t>
            </w:r>
          </w:p>
        </w:tc>
        <w:tc>
          <w:tcPr>
            <w:tcW w:w="1071" w:type="dxa"/>
            <w:shd w:val="clear" w:color="auto" w:fill="auto"/>
            <w:vAlign w:val="center"/>
          </w:tcPr>
          <w:p w14:paraId="07378F9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98D4CE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Davies W</w:t>
            </w:r>
          </w:p>
        </w:tc>
        <w:tc>
          <w:tcPr>
            <w:tcW w:w="7010" w:type="dxa"/>
            <w:shd w:val="clear" w:color="auto" w:fill="auto"/>
            <w:vAlign w:val="center"/>
          </w:tcPr>
          <w:p w14:paraId="3CCC361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Insights into Rare Diseases from Social Media Surveys</w:t>
            </w:r>
          </w:p>
        </w:tc>
        <w:tc>
          <w:tcPr>
            <w:tcW w:w="568" w:type="dxa"/>
            <w:shd w:val="clear" w:color="auto" w:fill="auto"/>
            <w:vAlign w:val="center"/>
          </w:tcPr>
          <w:p w14:paraId="01434FF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495805D9" w14:textId="77777777" w:rsidTr="004C3C90">
        <w:trPr>
          <w:trHeight w:val="20"/>
        </w:trPr>
        <w:tc>
          <w:tcPr>
            <w:tcW w:w="550" w:type="dxa"/>
            <w:shd w:val="clear" w:color="auto" w:fill="auto"/>
            <w:vAlign w:val="center"/>
          </w:tcPr>
          <w:p w14:paraId="2B4D152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652</w:t>
            </w:r>
          </w:p>
        </w:tc>
        <w:tc>
          <w:tcPr>
            <w:tcW w:w="1071" w:type="dxa"/>
            <w:shd w:val="clear" w:color="auto" w:fill="auto"/>
            <w:vAlign w:val="center"/>
          </w:tcPr>
          <w:p w14:paraId="473128C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3F67E4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Klein D</w:t>
            </w:r>
          </w:p>
        </w:tc>
        <w:tc>
          <w:tcPr>
            <w:tcW w:w="7010" w:type="dxa"/>
            <w:shd w:val="clear" w:color="auto" w:fill="auto"/>
            <w:vAlign w:val="center"/>
          </w:tcPr>
          <w:p w14:paraId="62571E1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 Introduction to the Patient Access Network Foundation and Ajmc Collaborative Supplement</w:t>
            </w:r>
          </w:p>
        </w:tc>
        <w:tc>
          <w:tcPr>
            <w:tcW w:w="568" w:type="dxa"/>
            <w:shd w:val="clear" w:color="auto" w:fill="auto"/>
            <w:vAlign w:val="center"/>
          </w:tcPr>
          <w:p w14:paraId="432A505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5EF3BCE4" w14:textId="77777777" w:rsidTr="004C3C90">
        <w:trPr>
          <w:trHeight w:val="20"/>
        </w:trPr>
        <w:tc>
          <w:tcPr>
            <w:tcW w:w="550" w:type="dxa"/>
            <w:shd w:val="clear" w:color="auto" w:fill="auto"/>
            <w:vAlign w:val="center"/>
          </w:tcPr>
          <w:p w14:paraId="50E5282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653</w:t>
            </w:r>
          </w:p>
        </w:tc>
        <w:tc>
          <w:tcPr>
            <w:tcW w:w="1071" w:type="dxa"/>
            <w:shd w:val="clear" w:color="auto" w:fill="auto"/>
            <w:vAlign w:val="center"/>
          </w:tcPr>
          <w:p w14:paraId="0243381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7CB99D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Johnston BC, Miller PA, Agarwal A, et al. </w:t>
            </w:r>
          </w:p>
        </w:tc>
        <w:tc>
          <w:tcPr>
            <w:tcW w:w="7010" w:type="dxa"/>
            <w:shd w:val="clear" w:color="auto" w:fill="auto"/>
            <w:vAlign w:val="center"/>
          </w:tcPr>
          <w:p w14:paraId="08DA35B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Limited Responsiveness Related to the Minimal Important Difference of Patient-Reported Outcomes in Rare Diseases</w:t>
            </w:r>
          </w:p>
        </w:tc>
        <w:tc>
          <w:tcPr>
            <w:tcW w:w="568" w:type="dxa"/>
            <w:shd w:val="clear" w:color="auto" w:fill="auto"/>
            <w:vAlign w:val="center"/>
          </w:tcPr>
          <w:p w14:paraId="364A643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4B0156E0" w14:textId="77777777" w:rsidTr="004C3C90">
        <w:trPr>
          <w:trHeight w:val="20"/>
        </w:trPr>
        <w:tc>
          <w:tcPr>
            <w:tcW w:w="550" w:type="dxa"/>
            <w:shd w:val="clear" w:color="auto" w:fill="auto"/>
            <w:vAlign w:val="center"/>
          </w:tcPr>
          <w:p w14:paraId="47A25D0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654</w:t>
            </w:r>
          </w:p>
        </w:tc>
        <w:tc>
          <w:tcPr>
            <w:tcW w:w="1071" w:type="dxa"/>
            <w:shd w:val="clear" w:color="auto" w:fill="auto"/>
            <w:vAlign w:val="center"/>
          </w:tcPr>
          <w:p w14:paraId="3AD7CC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3CB621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Garau R</w:t>
            </w:r>
          </w:p>
        </w:tc>
        <w:tc>
          <w:tcPr>
            <w:tcW w:w="7010" w:type="dxa"/>
            <w:shd w:val="clear" w:color="auto" w:fill="auto"/>
            <w:vAlign w:val="center"/>
          </w:tcPr>
          <w:p w14:paraId="2C7F186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Medical Experience of a Patient with a Rare Disease and Her Family</w:t>
            </w:r>
          </w:p>
        </w:tc>
        <w:tc>
          <w:tcPr>
            <w:tcW w:w="568" w:type="dxa"/>
            <w:shd w:val="clear" w:color="auto" w:fill="auto"/>
            <w:vAlign w:val="center"/>
          </w:tcPr>
          <w:p w14:paraId="22D7C73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5497266A" w14:textId="77777777" w:rsidTr="004C3C90">
        <w:trPr>
          <w:trHeight w:val="20"/>
        </w:trPr>
        <w:tc>
          <w:tcPr>
            <w:tcW w:w="550" w:type="dxa"/>
            <w:shd w:val="clear" w:color="auto" w:fill="auto"/>
            <w:vAlign w:val="center"/>
          </w:tcPr>
          <w:p w14:paraId="0D6EB26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655</w:t>
            </w:r>
          </w:p>
        </w:tc>
        <w:tc>
          <w:tcPr>
            <w:tcW w:w="1071" w:type="dxa"/>
            <w:shd w:val="clear" w:color="auto" w:fill="auto"/>
            <w:vAlign w:val="center"/>
          </w:tcPr>
          <w:p w14:paraId="6AC004B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382E49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Bronstein MG, Kakkis ED</w:t>
            </w:r>
          </w:p>
        </w:tc>
        <w:tc>
          <w:tcPr>
            <w:tcW w:w="7010" w:type="dxa"/>
            <w:shd w:val="clear" w:color="auto" w:fill="auto"/>
            <w:vAlign w:val="center"/>
          </w:tcPr>
          <w:p w14:paraId="2F890A9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Patients as Key Partners in Rare Disease Drug Development</w:t>
            </w:r>
          </w:p>
        </w:tc>
        <w:tc>
          <w:tcPr>
            <w:tcW w:w="568" w:type="dxa"/>
            <w:shd w:val="clear" w:color="auto" w:fill="auto"/>
            <w:vAlign w:val="center"/>
          </w:tcPr>
          <w:p w14:paraId="37690FF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6D2A9F31" w14:textId="77777777" w:rsidTr="004C3C90">
        <w:trPr>
          <w:trHeight w:val="20"/>
        </w:trPr>
        <w:tc>
          <w:tcPr>
            <w:tcW w:w="550" w:type="dxa"/>
            <w:shd w:val="clear" w:color="auto" w:fill="auto"/>
            <w:vAlign w:val="center"/>
          </w:tcPr>
          <w:p w14:paraId="45A9919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656</w:t>
            </w:r>
          </w:p>
        </w:tc>
        <w:tc>
          <w:tcPr>
            <w:tcW w:w="1071" w:type="dxa"/>
            <w:shd w:val="clear" w:color="auto" w:fill="auto"/>
            <w:vAlign w:val="center"/>
          </w:tcPr>
          <w:p w14:paraId="15441D7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12B012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Johnson J, Adams-Spink G, Arndt T, Wijeratne D, Heyhoe J, Taylor P</w:t>
            </w:r>
          </w:p>
        </w:tc>
        <w:tc>
          <w:tcPr>
            <w:tcW w:w="7010" w:type="dxa"/>
            <w:shd w:val="clear" w:color="auto" w:fill="auto"/>
            <w:vAlign w:val="center"/>
          </w:tcPr>
          <w:p w14:paraId="19D7DB0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Providing Family-Centred Care for Rare Diseases in Maternity Services: Parent Satisfaction and Preferences When Dysmelia Is Identified</w:t>
            </w:r>
          </w:p>
        </w:tc>
        <w:tc>
          <w:tcPr>
            <w:tcW w:w="568" w:type="dxa"/>
            <w:shd w:val="clear" w:color="auto" w:fill="auto"/>
            <w:vAlign w:val="center"/>
          </w:tcPr>
          <w:p w14:paraId="08F9AB3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37245127" w14:textId="77777777" w:rsidTr="004C3C90">
        <w:trPr>
          <w:trHeight w:val="20"/>
        </w:trPr>
        <w:tc>
          <w:tcPr>
            <w:tcW w:w="550" w:type="dxa"/>
            <w:shd w:val="clear" w:color="auto" w:fill="auto"/>
            <w:vAlign w:val="center"/>
          </w:tcPr>
          <w:p w14:paraId="172A13D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657</w:t>
            </w:r>
          </w:p>
        </w:tc>
        <w:tc>
          <w:tcPr>
            <w:tcW w:w="1071" w:type="dxa"/>
            <w:shd w:val="clear" w:color="auto" w:fill="auto"/>
            <w:vAlign w:val="center"/>
          </w:tcPr>
          <w:p w14:paraId="4446D38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C2DA80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Zion YC, Pappadopulos E, Wajnrajch M, Rosenbaum H</w:t>
            </w:r>
          </w:p>
        </w:tc>
        <w:tc>
          <w:tcPr>
            <w:tcW w:w="7010" w:type="dxa"/>
            <w:shd w:val="clear" w:color="auto" w:fill="auto"/>
            <w:vAlign w:val="center"/>
          </w:tcPr>
          <w:p w14:paraId="2E93E10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Rethinking Fatigue in Gaucher Disease</w:t>
            </w:r>
          </w:p>
        </w:tc>
        <w:tc>
          <w:tcPr>
            <w:tcW w:w="568" w:type="dxa"/>
            <w:shd w:val="clear" w:color="auto" w:fill="auto"/>
            <w:vAlign w:val="center"/>
          </w:tcPr>
          <w:p w14:paraId="7A2D4E5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22C044F8" w14:textId="77777777" w:rsidTr="004C3C90">
        <w:trPr>
          <w:trHeight w:val="20"/>
        </w:trPr>
        <w:tc>
          <w:tcPr>
            <w:tcW w:w="550" w:type="dxa"/>
            <w:shd w:val="clear" w:color="auto" w:fill="auto"/>
            <w:vAlign w:val="center"/>
          </w:tcPr>
          <w:p w14:paraId="074A195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658</w:t>
            </w:r>
          </w:p>
        </w:tc>
        <w:tc>
          <w:tcPr>
            <w:tcW w:w="1071" w:type="dxa"/>
            <w:shd w:val="clear" w:color="auto" w:fill="auto"/>
            <w:vAlign w:val="center"/>
          </w:tcPr>
          <w:p w14:paraId="40B9EB3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781EFC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Yoneva T, Rashkov R</w:t>
            </w:r>
          </w:p>
        </w:tc>
        <w:tc>
          <w:tcPr>
            <w:tcW w:w="7010" w:type="dxa"/>
            <w:shd w:val="clear" w:color="auto" w:fill="auto"/>
            <w:vAlign w:val="center"/>
          </w:tcPr>
          <w:p w14:paraId="0ED7973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Rituximab in Treatment of Anca-Associated Vasculitis</w:t>
            </w:r>
          </w:p>
        </w:tc>
        <w:tc>
          <w:tcPr>
            <w:tcW w:w="568" w:type="dxa"/>
            <w:shd w:val="clear" w:color="auto" w:fill="auto"/>
            <w:vAlign w:val="center"/>
          </w:tcPr>
          <w:p w14:paraId="7FD17D4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45F7B657" w14:textId="77777777" w:rsidTr="004C3C90">
        <w:trPr>
          <w:trHeight w:val="20"/>
        </w:trPr>
        <w:tc>
          <w:tcPr>
            <w:tcW w:w="550" w:type="dxa"/>
            <w:shd w:val="clear" w:color="auto" w:fill="auto"/>
            <w:vAlign w:val="center"/>
          </w:tcPr>
          <w:p w14:paraId="4522A3D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659</w:t>
            </w:r>
          </w:p>
        </w:tc>
        <w:tc>
          <w:tcPr>
            <w:tcW w:w="1071" w:type="dxa"/>
            <w:shd w:val="clear" w:color="auto" w:fill="auto"/>
            <w:vAlign w:val="center"/>
          </w:tcPr>
          <w:p w14:paraId="5CF4C02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47C8FD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Ito T, Lee L, Hijioka M, Kawabe K, Kato M, Nakamura K, et al. </w:t>
            </w:r>
          </w:p>
        </w:tc>
        <w:tc>
          <w:tcPr>
            <w:tcW w:w="7010" w:type="dxa"/>
            <w:shd w:val="clear" w:color="auto" w:fill="auto"/>
            <w:vAlign w:val="center"/>
          </w:tcPr>
          <w:p w14:paraId="29A694E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up-to-Date Review of Epidemiological Pancreatic Neuroendocrine Tumors in Japan</w:t>
            </w:r>
          </w:p>
        </w:tc>
        <w:tc>
          <w:tcPr>
            <w:tcW w:w="568" w:type="dxa"/>
            <w:shd w:val="clear" w:color="auto" w:fill="auto"/>
            <w:vAlign w:val="center"/>
          </w:tcPr>
          <w:p w14:paraId="76AC2AE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5CAD9AAD" w14:textId="77777777" w:rsidTr="004C3C90">
        <w:trPr>
          <w:trHeight w:val="20"/>
        </w:trPr>
        <w:tc>
          <w:tcPr>
            <w:tcW w:w="550" w:type="dxa"/>
            <w:shd w:val="clear" w:color="auto" w:fill="auto"/>
            <w:vAlign w:val="center"/>
          </w:tcPr>
          <w:p w14:paraId="4B1B055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660</w:t>
            </w:r>
          </w:p>
        </w:tc>
        <w:tc>
          <w:tcPr>
            <w:tcW w:w="1071" w:type="dxa"/>
            <w:shd w:val="clear" w:color="auto" w:fill="auto"/>
            <w:vAlign w:val="center"/>
          </w:tcPr>
          <w:p w14:paraId="66A8BD5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2755BB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Wang RT, Nelson SF</w:t>
            </w:r>
          </w:p>
        </w:tc>
        <w:tc>
          <w:tcPr>
            <w:tcW w:w="7010" w:type="dxa"/>
            <w:shd w:val="clear" w:color="auto" w:fill="auto"/>
            <w:vAlign w:val="center"/>
          </w:tcPr>
          <w:p w14:paraId="1B4B9D6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What Can Duchenne Connect Teach Us About Treating Duchenne Muscular Dystrophy?</w:t>
            </w:r>
          </w:p>
        </w:tc>
        <w:tc>
          <w:tcPr>
            <w:tcW w:w="568" w:type="dxa"/>
            <w:shd w:val="clear" w:color="auto" w:fill="auto"/>
            <w:vAlign w:val="center"/>
          </w:tcPr>
          <w:p w14:paraId="3EE119F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75ABE352" w14:textId="77777777" w:rsidTr="004C3C90">
        <w:trPr>
          <w:trHeight w:val="20"/>
        </w:trPr>
        <w:tc>
          <w:tcPr>
            <w:tcW w:w="550" w:type="dxa"/>
            <w:shd w:val="clear" w:color="auto" w:fill="auto"/>
            <w:vAlign w:val="center"/>
          </w:tcPr>
          <w:p w14:paraId="0B13D46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661</w:t>
            </w:r>
          </w:p>
        </w:tc>
        <w:tc>
          <w:tcPr>
            <w:tcW w:w="1071" w:type="dxa"/>
            <w:shd w:val="clear" w:color="auto" w:fill="auto"/>
            <w:vAlign w:val="center"/>
          </w:tcPr>
          <w:p w14:paraId="12C899C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4BF8A9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Mitsubuchi H, Nakamura K, Matsumoto S, Endo F</w:t>
            </w:r>
          </w:p>
        </w:tc>
        <w:tc>
          <w:tcPr>
            <w:tcW w:w="7010" w:type="dxa"/>
            <w:shd w:val="clear" w:color="auto" w:fill="auto"/>
            <w:vAlign w:val="center"/>
          </w:tcPr>
          <w:p w14:paraId="3335421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Biochemical and Clinical Features of Hereditary Hyperprolinemia</w:t>
            </w:r>
          </w:p>
        </w:tc>
        <w:tc>
          <w:tcPr>
            <w:tcW w:w="568" w:type="dxa"/>
            <w:shd w:val="clear" w:color="auto" w:fill="auto"/>
            <w:vAlign w:val="center"/>
          </w:tcPr>
          <w:p w14:paraId="1D342C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1DBB738D" w14:textId="77777777" w:rsidTr="004C3C90">
        <w:trPr>
          <w:trHeight w:val="20"/>
        </w:trPr>
        <w:tc>
          <w:tcPr>
            <w:tcW w:w="550" w:type="dxa"/>
            <w:shd w:val="clear" w:color="auto" w:fill="auto"/>
            <w:vAlign w:val="center"/>
          </w:tcPr>
          <w:p w14:paraId="5E3CCA9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662</w:t>
            </w:r>
          </w:p>
        </w:tc>
        <w:tc>
          <w:tcPr>
            <w:tcW w:w="1071" w:type="dxa"/>
            <w:shd w:val="clear" w:color="auto" w:fill="auto"/>
            <w:vAlign w:val="center"/>
          </w:tcPr>
          <w:p w14:paraId="5D34917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4BD6C2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Barnes KT, Smith BJ, Lynch CF, Gupta A</w:t>
            </w:r>
          </w:p>
        </w:tc>
        <w:tc>
          <w:tcPr>
            <w:tcW w:w="7010" w:type="dxa"/>
            <w:shd w:val="clear" w:color="auto" w:fill="auto"/>
            <w:vAlign w:val="center"/>
          </w:tcPr>
          <w:p w14:paraId="31EBF46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Obesity and Invasive Penile Cancer</w:t>
            </w:r>
          </w:p>
        </w:tc>
        <w:tc>
          <w:tcPr>
            <w:tcW w:w="568" w:type="dxa"/>
            <w:shd w:val="clear" w:color="auto" w:fill="auto"/>
            <w:vAlign w:val="center"/>
          </w:tcPr>
          <w:p w14:paraId="440C0F8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4F1DB3AD" w14:textId="77777777" w:rsidTr="004C3C90">
        <w:trPr>
          <w:trHeight w:val="20"/>
        </w:trPr>
        <w:tc>
          <w:tcPr>
            <w:tcW w:w="550" w:type="dxa"/>
            <w:shd w:val="clear" w:color="auto" w:fill="auto"/>
            <w:vAlign w:val="center"/>
          </w:tcPr>
          <w:p w14:paraId="3B4C97B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663</w:t>
            </w:r>
          </w:p>
        </w:tc>
        <w:tc>
          <w:tcPr>
            <w:tcW w:w="1071" w:type="dxa"/>
            <w:shd w:val="clear" w:color="auto" w:fill="auto"/>
            <w:vAlign w:val="center"/>
          </w:tcPr>
          <w:p w14:paraId="04659A8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8E7073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Ohga S, Kang D, Kinjo T, Ochiai M, Doi T, Ishimura M, et al. </w:t>
            </w:r>
          </w:p>
        </w:tc>
        <w:tc>
          <w:tcPr>
            <w:tcW w:w="7010" w:type="dxa"/>
            <w:shd w:val="clear" w:color="auto" w:fill="auto"/>
            <w:vAlign w:val="center"/>
          </w:tcPr>
          <w:p w14:paraId="620C835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Paediatric Presentation and Outcome of Congenital Protein C Deficiency in Japan</w:t>
            </w:r>
          </w:p>
        </w:tc>
        <w:tc>
          <w:tcPr>
            <w:tcW w:w="568" w:type="dxa"/>
            <w:shd w:val="clear" w:color="auto" w:fill="auto"/>
            <w:vAlign w:val="center"/>
          </w:tcPr>
          <w:p w14:paraId="1517DA4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51F75768" w14:textId="77777777" w:rsidTr="004C3C90">
        <w:trPr>
          <w:trHeight w:val="20"/>
        </w:trPr>
        <w:tc>
          <w:tcPr>
            <w:tcW w:w="550" w:type="dxa"/>
            <w:shd w:val="clear" w:color="auto" w:fill="auto"/>
            <w:vAlign w:val="center"/>
          </w:tcPr>
          <w:p w14:paraId="4182E48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664</w:t>
            </w:r>
          </w:p>
        </w:tc>
        <w:tc>
          <w:tcPr>
            <w:tcW w:w="1071" w:type="dxa"/>
            <w:shd w:val="clear" w:color="auto" w:fill="auto"/>
            <w:vAlign w:val="center"/>
          </w:tcPr>
          <w:p w14:paraId="5586632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F9724B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Lundberg IE, Svensson J</w:t>
            </w:r>
          </w:p>
        </w:tc>
        <w:tc>
          <w:tcPr>
            <w:tcW w:w="7010" w:type="dxa"/>
            <w:shd w:val="clear" w:color="auto" w:fill="auto"/>
            <w:vAlign w:val="center"/>
          </w:tcPr>
          <w:p w14:paraId="04684DE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Registries in Idiopathic Inflammatory Myopathies</w:t>
            </w:r>
          </w:p>
        </w:tc>
        <w:tc>
          <w:tcPr>
            <w:tcW w:w="568" w:type="dxa"/>
            <w:shd w:val="clear" w:color="auto" w:fill="auto"/>
            <w:vAlign w:val="center"/>
          </w:tcPr>
          <w:p w14:paraId="3080A2E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4825BF8E" w14:textId="77777777" w:rsidTr="004C3C90">
        <w:trPr>
          <w:trHeight w:val="20"/>
        </w:trPr>
        <w:tc>
          <w:tcPr>
            <w:tcW w:w="550" w:type="dxa"/>
            <w:shd w:val="clear" w:color="auto" w:fill="auto"/>
            <w:vAlign w:val="center"/>
          </w:tcPr>
          <w:p w14:paraId="18E10D8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665</w:t>
            </w:r>
          </w:p>
        </w:tc>
        <w:tc>
          <w:tcPr>
            <w:tcW w:w="1071" w:type="dxa"/>
            <w:shd w:val="clear" w:color="auto" w:fill="auto"/>
            <w:vAlign w:val="center"/>
          </w:tcPr>
          <w:p w14:paraId="0CD1626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7B8687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Zeniya M, Takahashi H</w:t>
            </w:r>
          </w:p>
        </w:tc>
        <w:tc>
          <w:tcPr>
            <w:tcW w:w="7010" w:type="dxa"/>
            <w:shd w:val="clear" w:color="auto" w:fill="auto"/>
            <w:vAlign w:val="center"/>
          </w:tcPr>
          <w:p w14:paraId="588BE09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Characteristics of Autoimmune Hepatitis in the Asia-Pacific Region: Historical Review</w:t>
            </w:r>
          </w:p>
        </w:tc>
        <w:tc>
          <w:tcPr>
            <w:tcW w:w="568" w:type="dxa"/>
            <w:shd w:val="clear" w:color="auto" w:fill="auto"/>
            <w:vAlign w:val="center"/>
          </w:tcPr>
          <w:p w14:paraId="0934C2E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20BCACE9" w14:textId="77777777" w:rsidTr="004C3C90">
        <w:trPr>
          <w:trHeight w:val="20"/>
        </w:trPr>
        <w:tc>
          <w:tcPr>
            <w:tcW w:w="550" w:type="dxa"/>
            <w:shd w:val="clear" w:color="auto" w:fill="auto"/>
            <w:vAlign w:val="center"/>
          </w:tcPr>
          <w:p w14:paraId="6B3287C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666</w:t>
            </w:r>
          </w:p>
        </w:tc>
        <w:tc>
          <w:tcPr>
            <w:tcW w:w="1071" w:type="dxa"/>
            <w:shd w:val="clear" w:color="auto" w:fill="auto"/>
            <w:vAlign w:val="center"/>
          </w:tcPr>
          <w:p w14:paraId="0C9075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CF69C9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Riedl M</w:t>
            </w:r>
          </w:p>
        </w:tc>
        <w:tc>
          <w:tcPr>
            <w:tcW w:w="7010" w:type="dxa"/>
            <w:shd w:val="clear" w:color="auto" w:fill="auto"/>
            <w:vAlign w:val="center"/>
          </w:tcPr>
          <w:p w14:paraId="3BE2F2B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Hereditary Angioedema Therapies in the United States: Movement toward an International Treatment Consensus</w:t>
            </w:r>
          </w:p>
        </w:tc>
        <w:tc>
          <w:tcPr>
            <w:tcW w:w="568" w:type="dxa"/>
            <w:shd w:val="clear" w:color="auto" w:fill="auto"/>
            <w:vAlign w:val="center"/>
          </w:tcPr>
          <w:p w14:paraId="0C868C2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7605BEFF" w14:textId="77777777" w:rsidTr="004C3C90">
        <w:trPr>
          <w:trHeight w:val="20"/>
        </w:trPr>
        <w:tc>
          <w:tcPr>
            <w:tcW w:w="550" w:type="dxa"/>
            <w:shd w:val="clear" w:color="auto" w:fill="auto"/>
            <w:vAlign w:val="center"/>
          </w:tcPr>
          <w:p w14:paraId="0142253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667</w:t>
            </w:r>
          </w:p>
        </w:tc>
        <w:tc>
          <w:tcPr>
            <w:tcW w:w="1071" w:type="dxa"/>
            <w:shd w:val="clear" w:color="auto" w:fill="auto"/>
            <w:vAlign w:val="center"/>
          </w:tcPr>
          <w:p w14:paraId="619A55C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8DA2A0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Fasanello RA, Vu TM</w:t>
            </w:r>
          </w:p>
        </w:tc>
        <w:tc>
          <w:tcPr>
            <w:tcW w:w="7010" w:type="dxa"/>
            <w:shd w:val="clear" w:color="auto" w:fill="auto"/>
            <w:vAlign w:val="center"/>
          </w:tcPr>
          <w:p w14:paraId="648B5FA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Paradoxical Hyponatremia and Polyurodipsia in a Patient with Lithium-Induced Nephrogenic Diabetes Insipidus</w:t>
            </w:r>
          </w:p>
        </w:tc>
        <w:tc>
          <w:tcPr>
            <w:tcW w:w="568" w:type="dxa"/>
            <w:shd w:val="clear" w:color="auto" w:fill="auto"/>
            <w:vAlign w:val="center"/>
          </w:tcPr>
          <w:p w14:paraId="51E269E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0932D527" w14:textId="77777777" w:rsidTr="004C3C90">
        <w:trPr>
          <w:trHeight w:val="20"/>
        </w:trPr>
        <w:tc>
          <w:tcPr>
            <w:tcW w:w="550" w:type="dxa"/>
            <w:shd w:val="clear" w:color="auto" w:fill="auto"/>
            <w:vAlign w:val="center"/>
          </w:tcPr>
          <w:p w14:paraId="557D350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668</w:t>
            </w:r>
          </w:p>
        </w:tc>
        <w:tc>
          <w:tcPr>
            <w:tcW w:w="1071" w:type="dxa"/>
            <w:shd w:val="clear" w:color="auto" w:fill="auto"/>
            <w:vAlign w:val="center"/>
          </w:tcPr>
          <w:p w14:paraId="3F68E34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5E4E7E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Mihai B, Mihai C, Cijevschi-Prelipcean C, Lăcătuşu C</w:t>
            </w:r>
          </w:p>
        </w:tc>
        <w:tc>
          <w:tcPr>
            <w:tcW w:w="7010" w:type="dxa"/>
            <w:shd w:val="clear" w:color="auto" w:fill="auto"/>
            <w:vAlign w:val="center"/>
          </w:tcPr>
          <w:p w14:paraId="29A2389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Rare Types of Diabetes Mellitus</w:t>
            </w:r>
          </w:p>
        </w:tc>
        <w:tc>
          <w:tcPr>
            <w:tcW w:w="568" w:type="dxa"/>
            <w:shd w:val="clear" w:color="auto" w:fill="auto"/>
            <w:vAlign w:val="center"/>
          </w:tcPr>
          <w:p w14:paraId="4F624D0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3A45C3B7" w14:textId="77777777" w:rsidTr="004C3C90">
        <w:trPr>
          <w:trHeight w:val="20"/>
        </w:trPr>
        <w:tc>
          <w:tcPr>
            <w:tcW w:w="550" w:type="dxa"/>
            <w:shd w:val="clear" w:color="auto" w:fill="auto"/>
            <w:vAlign w:val="center"/>
          </w:tcPr>
          <w:p w14:paraId="7E27DC1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669</w:t>
            </w:r>
          </w:p>
        </w:tc>
        <w:tc>
          <w:tcPr>
            <w:tcW w:w="1071" w:type="dxa"/>
            <w:shd w:val="clear" w:color="auto" w:fill="auto"/>
            <w:vAlign w:val="center"/>
          </w:tcPr>
          <w:p w14:paraId="5A33043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234C1A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Langenbruch AK, Augustin M, Granström S, Kluwe L, Mautner VF</w:t>
            </w:r>
          </w:p>
        </w:tc>
        <w:tc>
          <w:tcPr>
            <w:tcW w:w="7010" w:type="dxa"/>
            <w:shd w:val="clear" w:color="auto" w:fill="auto"/>
            <w:vAlign w:val="center"/>
          </w:tcPr>
          <w:p w14:paraId="6CF665E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and Healthcare Status of Patients with Neurofibromatosis Type 1</w:t>
            </w:r>
          </w:p>
        </w:tc>
        <w:tc>
          <w:tcPr>
            <w:tcW w:w="568" w:type="dxa"/>
            <w:shd w:val="clear" w:color="auto" w:fill="auto"/>
            <w:vAlign w:val="center"/>
          </w:tcPr>
          <w:p w14:paraId="43AF61B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6F6A0FB6" w14:textId="77777777" w:rsidTr="004C3C90">
        <w:trPr>
          <w:trHeight w:val="20"/>
        </w:trPr>
        <w:tc>
          <w:tcPr>
            <w:tcW w:w="550" w:type="dxa"/>
            <w:shd w:val="clear" w:color="auto" w:fill="auto"/>
            <w:vAlign w:val="center"/>
          </w:tcPr>
          <w:p w14:paraId="2172097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670</w:t>
            </w:r>
          </w:p>
        </w:tc>
        <w:tc>
          <w:tcPr>
            <w:tcW w:w="1071" w:type="dxa"/>
            <w:shd w:val="clear" w:color="auto" w:fill="auto"/>
            <w:vAlign w:val="center"/>
          </w:tcPr>
          <w:p w14:paraId="2EE1E6B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B5D7F3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Farkas H, Varga L</w:t>
            </w:r>
          </w:p>
        </w:tc>
        <w:tc>
          <w:tcPr>
            <w:tcW w:w="7010" w:type="dxa"/>
            <w:shd w:val="clear" w:color="auto" w:fill="auto"/>
            <w:vAlign w:val="center"/>
          </w:tcPr>
          <w:p w14:paraId="3CE6D87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Ecallantide Is a Novel Treatment for Attacks of Hereditary Angioedema Due to C1 Inhibitor Deficiency</w:t>
            </w:r>
          </w:p>
        </w:tc>
        <w:tc>
          <w:tcPr>
            <w:tcW w:w="568" w:type="dxa"/>
            <w:shd w:val="clear" w:color="auto" w:fill="auto"/>
            <w:vAlign w:val="center"/>
          </w:tcPr>
          <w:p w14:paraId="7F0B4BD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6800B366" w14:textId="77777777" w:rsidTr="004C3C90">
        <w:trPr>
          <w:trHeight w:val="20"/>
        </w:trPr>
        <w:tc>
          <w:tcPr>
            <w:tcW w:w="550" w:type="dxa"/>
            <w:shd w:val="clear" w:color="auto" w:fill="auto"/>
            <w:vAlign w:val="center"/>
          </w:tcPr>
          <w:p w14:paraId="52E99C6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671</w:t>
            </w:r>
          </w:p>
        </w:tc>
        <w:tc>
          <w:tcPr>
            <w:tcW w:w="1071" w:type="dxa"/>
            <w:shd w:val="clear" w:color="auto" w:fill="auto"/>
            <w:vAlign w:val="center"/>
          </w:tcPr>
          <w:p w14:paraId="6721C2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52DCE5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Toscani M, Riedl M</w:t>
            </w:r>
          </w:p>
        </w:tc>
        <w:tc>
          <w:tcPr>
            <w:tcW w:w="7010" w:type="dxa"/>
            <w:shd w:val="clear" w:color="auto" w:fill="auto"/>
            <w:vAlign w:val="center"/>
          </w:tcPr>
          <w:p w14:paraId="195165D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Meeting the Challenges and Burdens Associated with Hereditary Angioedema</w:t>
            </w:r>
          </w:p>
        </w:tc>
        <w:tc>
          <w:tcPr>
            <w:tcW w:w="568" w:type="dxa"/>
            <w:shd w:val="clear" w:color="auto" w:fill="auto"/>
            <w:vAlign w:val="center"/>
          </w:tcPr>
          <w:p w14:paraId="62BC2C6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63DD1EF2" w14:textId="77777777" w:rsidTr="004C3C90">
        <w:trPr>
          <w:trHeight w:val="20"/>
        </w:trPr>
        <w:tc>
          <w:tcPr>
            <w:tcW w:w="550" w:type="dxa"/>
            <w:shd w:val="clear" w:color="auto" w:fill="auto"/>
            <w:vAlign w:val="center"/>
          </w:tcPr>
          <w:p w14:paraId="7DEF488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672</w:t>
            </w:r>
          </w:p>
        </w:tc>
        <w:tc>
          <w:tcPr>
            <w:tcW w:w="1071" w:type="dxa"/>
            <w:shd w:val="clear" w:color="auto" w:fill="auto"/>
            <w:vAlign w:val="center"/>
          </w:tcPr>
          <w:p w14:paraId="5FBEB2F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1E4B00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Hyde R, Dobrovolny D</w:t>
            </w:r>
          </w:p>
        </w:tc>
        <w:tc>
          <w:tcPr>
            <w:tcW w:w="7010" w:type="dxa"/>
            <w:shd w:val="clear" w:color="auto" w:fill="auto"/>
            <w:vAlign w:val="center"/>
          </w:tcPr>
          <w:p w14:paraId="2D41F7E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Orphan Drug Pricing and Payer Management in the United States: Are We Approaching the Tipping Point?</w:t>
            </w:r>
          </w:p>
        </w:tc>
        <w:tc>
          <w:tcPr>
            <w:tcW w:w="568" w:type="dxa"/>
            <w:shd w:val="clear" w:color="auto" w:fill="auto"/>
            <w:vAlign w:val="center"/>
          </w:tcPr>
          <w:p w14:paraId="56CF257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619C87C2" w14:textId="77777777" w:rsidTr="004C3C90">
        <w:trPr>
          <w:trHeight w:val="20"/>
        </w:trPr>
        <w:tc>
          <w:tcPr>
            <w:tcW w:w="550" w:type="dxa"/>
            <w:shd w:val="clear" w:color="auto" w:fill="auto"/>
            <w:vAlign w:val="center"/>
          </w:tcPr>
          <w:p w14:paraId="34F9062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673</w:t>
            </w:r>
          </w:p>
        </w:tc>
        <w:tc>
          <w:tcPr>
            <w:tcW w:w="1071" w:type="dxa"/>
            <w:shd w:val="clear" w:color="auto" w:fill="auto"/>
            <w:vAlign w:val="center"/>
          </w:tcPr>
          <w:p w14:paraId="506DD0A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FEA38E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Soucie JM, McAlister S, McClellan A, Oakley M, Su Y</w:t>
            </w:r>
          </w:p>
        </w:tc>
        <w:tc>
          <w:tcPr>
            <w:tcW w:w="7010" w:type="dxa"/>
            <w:shd w:val="clear" w:color="auto" w:fill="auto"/>
            <w:vAlign w:val="center"/>
          </w:tcPr>
          <w:p w14:paraId="77961CD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Universal Data Collection Surveillance System for Rare Bleeding Disorders</w:t>
            </w:r>
          </w:p>
        </w:tc>
        <w:tc>
          <w:tcPr>
            <w:tcW w:w="568" w:type="dxa"/>
            <w:shd w:val="clear" w:color="auto" w:fill="auto"/>
            <w:vAlign w:val="center"/>
          </w:tcPr>
          <w:p w14:paraId="54DDF21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2B7C8B8E" w14:textId="77777777" w:rsidTr="004C3C90">
        <w:trPr>
          <w:trHeight w:val="20"/>
        </w:trPr>
        <w:tc>
          <w:tcPr>
            <w:tcW w:w="550" w:type="dxa"/>
            <w:shd w:val="clear" w:color="auto" w:fill="auto"/>
            <w:vAlign w:val="center"/>
          </w:tcPr>
          <w:p w14:paraId="4D111AE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674</w:t>
            </w:r>
          </w:p>
        </w:tc>
        <w:tc>
          <w:tcPr>
            <w:tcW w:w="1071" w:type="dxa"/>
            <w:shd w:val="clear" w:color="auto" w:fill="auto"/>
            <w:vAlign w:val="center"/>
          </w:tcPr>
          <w:p w14:paraId="244212A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5D3028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Harmston N, Filsell W, Stumpf MP</w:t>
            </w:r>
          </w:p>
        </w:tc>
        <w:tc>
          <w:tcPr>
            <w:tcW w:w="7010" w:type="dxa"/>
            <w:shd w:val="clear" w:color="auto" w:fill="auto"/>
            <w:vAlign w:val="center"/>
          </w:tcPr>
          <w:p w14:paraId="5B15287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What the Papers Say: Text Mining for Genomics and Systems Biology</w:t>
            </w:r>
          </w:p>
        </w:tc>
        <w:tc>
          <w:tcPr>
            <w:tcW w:w="568" w:type="dxa"/>
            <w:shd w:val="clear" w:color="auto" w:fill="auto"/>
            <w:vAlign w:val="center"/>
          </w:tcPr>
          <w:p w14:paraId="55BF6B1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614326C2" w14:textId="77777777" w:rsidTr="004C3C90">
        <w:trPr>
          <w:trHeight w:val="20"/>
        </w:trPr>
        <w:tc>
          <w:tcPr>
            <w:tcW w:w="550" w:type="dxa"/>
            <w:shd w:val="clear" w:color="auto" w:fill="auto"/>
            <w:vAlign w:val="center"/>
          </w:tcPr>
          <w:p w14:paraId="6402888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675</w:t>
            </w:r>
          </w:p>
        </w:tc>
        <w:tc>
          <w:tcPr>
            <w:tcW w:w="1071" w:type="dxa"/>
            <w:shd w:val="clear" w:color="auto" w:fill="auto"/>
            <w:vAlign w:val="center"/>
          </w:tcPr>
          <w:p w14:paraId="503C508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4EA085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L</w:t>
            </w:r>
          </w:p>
        </w:tc>
        <w:tc>
          <w:tcPr>
            <w:tcW w:w="7010" w:type="dxa"/>
            <w:shd w:val="clear" w:color="auto" w:fill="auto"/>
            <w:vAlign w:val="center"/>
          </w:tcPr>
          <w:p w14:paraId="114E950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Listening to Patients with Rare Diseases</w:t>
            </w:r>
          </w:p>
        </w:tc>
        <w:tc>
          <w:tcPr>
            <w:tcW w:w="568" w:type="dxa"/>
            <w:shd w:val="clear" w:color="auto" w:fill="auto"/>
            <w:vAlign w:val="center"/>
          </w:tcPr>
          <w:p w14:paraId="0EB8C3F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3F287202" w14:textId="77777777" w:rsidTr="004C3C90">
        <w:trPr>
          <w:trHeight w:val="20"/>
        </w:trPr>
        <w:tc>
          <w:tcPr>
            <w:tcW w:w="550" w:type="dxa"/>
            <w:shd w:val="clear" w:color="auto" w:fill="auto"/>
            <w:vAlign w:val="center"/>
          </w:tcPr>
          <w:p w14:paraId="6832D19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676</w:t>
            </w:r>
          </w:p>
        </w:tc>
        <w:tc>
          <w:tcPr>
            <w:tcW w:w="1071" w:type="dxa"/>
            <w:shd w:val="clear" w:color="auto" w:fill="auto"/>
            <w:vAlign w:val="center"/>
          </w:tcPr>
          <w:p w14:paraId="00A07EE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830477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Valla DC</w:t>
            </w:r>
          </w:p>
        </w:tc>
        <w:tc>
          <w:tcPr>
            <w:tcW w:w="7010" w:type="dxa"/>
            <w:shd w:val="clear" w:color="auto" w:fill="auto"/>
            <w:vAlign w:val="center"/>
          </w:tcPr>
          <w:p w14:paraId="5F32963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Primary Budd-Chiari Syndrome</w:t>
            </w:r>
          </w:p>
        </w:tc>
        <w:tc>
          <w:tcPr>
            <w:tcW w:w="568" w:type="dxa"/>
            <w:shd w:val="clear" w:color="auto" w:fill="auto"/>
            <w:vAlign w:val="center"/>
          </w:tcPr>
          <w:p w14:paraId="32BAB11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4ED80D6C" w14:textId="77777777" w:rsidTr="004C3C90">
        <w:trPr>
          <w:trHeight w:val="20"/>
        </w:trPr>
        <w:tc>
          <w:tcPr>
            <w:tcW w:w="550" w:type="dxa"/>
            <w:shd w:val="clear" w:color="auto" w:fill="auto"/>
            <w:vAlign w:val="center"/>
          </w:tcPr>
          <w:p w14:paraId="0DAA887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677</w:t>
            </w:r>
          </w:p>
        </w:tc>
        <w:tc>
          <w:tcPr>
            <w:tcW w:w="1071" w:type="dxa"/>
            <w:shd w:val="clear" w:color="auto" w:fill="auto"/>
            <w:vAlign w:val="center"/>
          </w:tcPr>
          <w:p w14:paraId="62426A5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8F56F8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Ford T</w:t>
            </w:r>
          </w:p>
        </w:tc>
        <w:tc>
          <w:tcPr>
            <w:tcW w:w="7010" w:type="dxa"/>
            <w:shd w:val="clear" w:color="auto" w:fill="auto"/>
            <w:vAlign w:val="center"/>
          </w:tcPr>
          <w:p w14:paraId="6AC4808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Practitioner Review: How Can Epidemiology Help Us Plan and Deliver Effective Child and Adolescent Mental Health Services?</w:t>
            </w:r>
          </w:p>
        </w:tc>
        <w:tc>
          <w:tcPr>
            <w:tcW w:w="568" w:type="dxa"/>
            <w:shd w:val="clear" w:color="auto" w:fill="auto"/>
            <w:vAlign w:val="center"/>
          </w:tcPr>
          <w:p w14:paraId="0F83D03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2008</w:t>
            </w:r>
          </w:p>
        </w:tc>
      </w:tr>
      <w:tr w:rsidR="004C3C90" w:rsidRPr="004C3C90" w14:paraId="1143BD25" w14:textId="77777777" w:rsidTr="004C3C90">
        <w:trPr>
          <w:trHeight w:val="20"/>
        </w:trPr>
        <w:tc>
          <w:tcPr>
            <w:tcW w:w="550" w:type="dxa"/>
            <w:shd w:val="clear" w:color="auto" w:fill="auto"/>
            <w:vAlign w:val="center"/>
          </w:tcPr>
          <w:p w14:paraId="5187C59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678</w:t>
            </w:r>
          </w:p>
        </w:tc>
        <w:tc>
          <w:tcPr>
            <w:tcW w:w="1071" w:type="dxa"/>
            <w:shd w:val="clear" w:color="auto" w:fill="auto"/>
            <w:vAlign w:val="center"/>
          </w:tcPr>
          <w:p w14:paraId="60B43E7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DCE65A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Heinemann U, Krasnianski A, Meissner B, Gloeckner SF, Kretzschmar HA, Zerr I.</w:t>
            </w:r>
          </w:p>
        </w:tc>
        <w:tc>
          <w:tcPr>
            <w:tcW w:w="7010" w:type="dxa"/>
            <w:shd w:val="clear" w:color="auto" w:fill="auto"/>
            <w:vAlign w:val="center"/>
          </w:tcPr>
          <w:p w14:paraId="721E978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Molecular Subtype-Specific Clinical Diagnosis of Prion Diseases</w:t>
            </w:r>
          </w:p>
        </w:tc>
        <w:tc>
          <w:tcPr>
            <w:tcW w:w="568" w:type="dxa"/>
            <w:shd w:val="clear" w:color="auto" w:fill="auto"/>
            <w:vAlign w:val="center"/>
          </w:tcPr>
          <w:p w14:paraId="1AA6EFA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2007</w:t>
            </w:r>
          </w:p>
        </w:tc>
      </w:tr>
      <w:tr w:rsidR="004C3C90" w:rsidRPr="004C3C90" w14:paraId="38B4844A" w14:textId="77777777" w:rsidTr="004C3C90">
        <w:trPr>
          <w:trHeight w:val="20"/>
        </w:trPr>
        <w:tc>
          <w:tcPr>
            <w:tcW w:w="550" w:type="dxa"/>
            <w:shd w:val="clear" w:color="auto" w:fill="auto"/>
            <w:vAlign w:val="center"/>
          </w:tcPr>
          <w:p w14:paraId="6EBBFD1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679</w:t>
            </w:r>
          </w:p>
        </w:tc>
        <w:tc>
          <w:tcPr>
            <w:tcW w:w="1071" w:type="dxa"/>
            <w:shd w:val="clear" w:color="auto" w:fill="auto"/>
            <w:vAlign w:val="center"/>
          </w:tcPr>
          <w:p w14:paraId="3CEA6F7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8C2328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Shirazi MA, Silver AL, Stankiewicz JA.</w:t>
            </w:r>
          </w:p>
        </w:tc>
        <w:tc>
          <w:tcPr>
            <w:tcW w:w="7010" w:type="dxa"/>
            <w:shd w:val="clear" w:color="auto" w:fill="auto"/>
            <w:vAlign w:val="center"/>
          </w:tcPr>
          <w:p w14:paraId="1D18E47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Surgical Outcomes Following the Endoscopic Modified Lothrop Procedure</w:t>
            </w:r>
          </w:p>
        </w:tc>
        <w:tc>
          <w:tcPr>
            <w:tcW w:w="568" w:type="dxa"/>
            <w:shd w:val="clear" w:color="auto" w:fill="auto"/>
            <w:vAlign w:val="center"/>
          </w:tcPr>
          <w:p w14:paraId="5F00B1D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2007</w:t>
            </w:r>
          </w:p>
        </w:tc>
      </w:tr>
      <w:tr w:rsidR="004C3C90" w:rsidRPr="004C3C90" w14:paraId="195BF5AA" w14:textId="77777777" w:rsidTr="004C3C90">
        <w:trPr>
          <w:trHeight w:val="20"/>
        </w:trPr>
        <w:tc>
          <w:tcPr>
            <w:tcW w:w="550" w:type="dxa"/>
            <w:shd w:val="clear" w:color="auto" w:fill="auto"/>
            <w:vAlign w:val="center"/>
          </w:tcPr>
          <w:p w14:paraId="0043E14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680</w:t>
            </w:r>
          </w:p>
        </w:tc>
        <w:tc>
          <w:tcPr>
            <w:tcW w:w="1071" w:type="dxa"/>
            <w:shd w:val="clear" w:color="auto" w:fill="auto"/>
            <w:vAlign w:val="center"/>
          </w:tcPr>
          <w:p w14:paraId="472624D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D5FB02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Plaxe SC</w:t>
            </w:r>
          </w:p>
        </w:tc>
        <w:tc>
          <w:tcPr>
            <w:tcW w:w="7010" w:type="dxa"/>
            <w:shd w:val="clear" w:color="auto" w:fill="auto"/>
            <w:vAlign w:val="center"/>
          </w:tcPr>
          <w:p w14:paraId="7AF5E04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Chasing Zebras: The Study and Treatment of Rare Diseases</w:t>
            </w:r>
          </w:p>
        </w:tc>
        <w:tc>
          <w:tcPr>
            <w:tcW w:w="568" w:type="dxa"/>
            <w:shd w:val="clear" w:color="auto" w:fill="auto"/>
            <w:vAlign w:val="center"/>
          </w:tcPr>
          <w:p w14:paraId="45A9ACE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2006</w:t>
            </w:r>
          </w:p>
        </w:tc>
      </w:tr>
      <w:tr w:rsidR="004C3C90" w:rsidRPr="004C3C90" w14:paraId="27D85A09" w14:textId="77777777" w:rsidTr="004C3C90">
        <w:trPr>
          <w:trHeight w:val="20"/>
        </w:trPr>
        <w:tc>
          <w:tcPr>
            <w:tcW w:w="550" w:type="dxa"/>
            <w:shd w:val="clear" w:color="auto" w:fill="auto"/>
            <w:vAlign w:val="center"/>
          </w:tcPr>
          <w:p w14:paraId="77EC2E0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681</w:t>
            </w:r>
          </w:p>
        </w:tc>
        <w:tc>
          <w:tcPr>
            <w:tcW w:w="1071" w:type="dxa"/>
            <w:shd w:val="clear" w:color="auto" w:fill="auto"/>
            <w:vAlign w:val="center"/>
          </w:tcPr>
          <w:p w14:paraId="3AADE5D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C57E86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Ganguli M</w:t>
            </w:r>
          </w:p>
        </w:tc>
        <w:tc>
          <w:tcPr>
            <w:tcW w:w="7010" w:type="dxa"/>
            <w:shd w:val="clear" w:color="auto" w:fill="auto"/>
            <w:vAlign w:val="center"/>
          </w:tcPr>
          <w:p w14:paraId="137AF20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Mild Cognitive Impairment and the 7 Uses of Epidemiology</w:t>
            </w:r>
          </w:p>
        </w:tc>
        <w:tc>
          <w:tcPr>
            <w:tcW w:w="568" w:type="dxa"/>
            <w:shd w:val="clear" w:color="auto" w:fill="auto"/>
            <w:vAlign w:val="center"/>
          </w:tcPr>
          <w:p w14:paraId="6EA4157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2006</w:t>
            </w:r>
          </w:p>
        </w:tc>
      </w:tr>
      <w:tr w:rsidR="004C3C90" w:rsidRPr="004C3C90" w14:paraId="34234E8C" w14:textId="77777777" w:rsidTr="004C3C90">
        <w:trPr>
          <w:trHeight w:val="20"/>
        </w:trPr>
        <w:tc>
          <w:tcPr>
            <w:tcW w:w="550" w:type="dxa"/>
            <w:shd w:val="clear" w:color="auto" w:fill="auto"/>
            <w:vAlign w:val="center"/>
          </w:tcPr>
          <w:p w14:paraId="3202E30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682</w:t>
            </w:r>
          </w:p>
        </w:tc>
        <w:tc>
          <w:tcPr>
            <w:tcW w:w="1071" w:type="dxa"/>
            <w:shd w:val="clear" w:color="auto" w:fill="auto"/>
            <w:vAlign w:val="center"/>
          </w:tcPr>
          <w:p w14:paraId="33CBB87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97086E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Bolla M, van Poppel H, Collette L, van Cangh P, Vekemans K, Da Pozzo L, et al. </w:t>
            </w:r>
          </w:p>
        </w:tc>
        <w:tc>
          <w:tcPr>
            <w:tcW w:w="7010" w:type="dxa"/>
            <w:shd w:val="clear" w:color="auto" w:fill="auto"/>
            <w:vAlign w:val="center"/>
          </w:tcPr>
          <w:p w14:paraId="5CF4CF7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Postoperative Radiotherapy after Radical Prostatectomy: A Randomised Controlled Trial (Eortc Trial 22911)</w:t>
            </w:r>
          </w:p>
        </w:tc>
        <w:tc>
          <w:tcPr>
            <w:tcW w:w="568" w:type="dxa"/>
            <w:shd w:val="clear" w:color="auto" w:fill="auto"/>
            <w:vAlign w:val="center"/>
          </w:tcPr>
          <w:p w14:paraId="36C8103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2006</w:t>
            </w:r>
          </w:p>
        </w:tc>
      </w:tr>
      <w:tr w:rsidR="004C3C90" w:rsidRPr="004C3C90" w14:paraId="0FD15F84" w14:textId="77777777" w:rsidTr="004C3C90">
        <w:trPr>
          <w:trHeight w:val="20"/>
        </w:trPr>
        <w:tc>
          <w:tcPr>
            <w:tcW w:w="550" w:type="dxa"/>
            <w:shd w:val="clear" w:color="auto" w:fill="auto"/>
            <w:vAlign w:val="center"/>
          </w:tcPr>
          <w:p w14:paraId="498923A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683</w:t>
            </w:r>
          </w:p>
        </w:tc>
        <w:tc>
          <w:tcPr>
            <w:tcW w:w="1071" w:type="dxa"/>
            <w:shd w:val="clear" w:color="auto" w:fill="auto"/>
            <w:vAlign w:val="center"/>
          </w:tcPr>
          <w:p w14:paraId="2D29B2D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3BF58B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Senior TP, Knight AW</w:t>
            </w:r>
          </w:p>
        </w:tc>
        <w:tc>
          <w:tcPr>
            <w:tcW w:w="7010" w:type="dxa"/>
            <w:shd w:val="clear" w:color="auto" w:fill="auto"/>
            <w:vAlign w:val="center"/>
          </w:tcPr>
          <w:p w14:paraId="4EBA760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Rare Diseases Need a Generic Approach [5]</w:t>
            </w:r>
          </w:p>
        </w:tc>
        <w:tc>
          <w:tcPr>
            <w:tcW w:w="568" w:type="dxa"/>
            <w:shd w:val="clear" w:color="auto" w:fill="auto"/>
            <w:vAlign w:val="center"/>
          </w:tcPr>
          <w:p w14:paraId="624F1B2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2006</w:t>
            </w:r>
          </w:p>
        </w:tc>
      </w:tr>
      <w:tr w:rsidR="004C3C90" w:rsidRPr="004C3C90" w14:paraId="2B871C8C" w14:textId="77777777" w:rsidTr="004C3C90">
        <w:trPr>
          <w:trHeight w:val="20"/>
        </w:trPr>
        <w:tc>
          <w:tcPr>
            <w:tcW w:w="550" w:type="dxa"/>
            <w:shd w:val="clear" w:color="auto" w:fill="auto"/>
            <w:vAlign w:val="center"/>
          </w:tcPr>
          <w:p w14:paraId="6E4A153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684</w:t>
            </w:r>
          </w:p>
        </w:tc>
        <w:tc>
          <w:tcPr>
            <w:tcW w:w="1071" w:type="dxa"/>
            <w:shd w:val="clear" w:color="auto" w:fill="auto"/>
            <w:vAlign w:val="center"/>
          </w:tcPr>
          <w:p w14:paraId="2B1C6C5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C74462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Finger PT</w:t>
            </w:r>
          </w:p>
        </w:tc>
        <w:tc>
          <w:tcPr>
            <w:tcW w:w="7010" w:type="dxa"/>
            <w:shd w:val="clear" w:color="auto" w:fill="auto"/>
            <w:vAlign w:val="center"/>
          </w:tcPr>
          <w:p w14:paraId="13B4212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Topical Mitomycin Chemotherapy for Malignant Conjunctival and Corneal Neoplasia</w:t>
            </w:r>
          </w:p>
        </w:tc>
        <w:tc>
          <w:tcPr>
            <w:tcW w:w="568" w:type="dxa"/>
            <w:shd w:val="clear" w:color="auto" w:fill="auto"/>
            <w:vAlign w:val="center"/>
          </w:tcPr>
          <w:p w14:paraId="0067DC9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2006</w:t>
            </w:r>
          </w:p>
        </w:tc>
      </w:tr>
      <w:tr w:rsidR="004C3C90" w:rsidRPr="004C3C90" w14:paraId="283EAD16" w14:textId="77777777" w:rsidTr="004C3C90">
        <w:trPr>
          <w:trHeight w:val="20"/>
        </w:trPr>
        <w:tc>
          <w:tcPr>
            <w:tcW w:w="550" w:type="dxa"/>
            <w:shd w:val="clear" w:color="auto" w:fill="auto"/>
            <w:vAlign w:val="center"/>
          </w:tcPr>
          <w:p w14:paraId="795EF27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685</w:t>
            </w:r>
          </w:p>
        </w:tc>
        <w:tc>
          <w:tcPr>
            <w:tcW w:w="1071" w:type="dxa"/>
            <w:shd w:val="clear" w:color="auto" w:fill="auto"/>
            <w:vAlign w:val="center"/>
          </w:tcPr>
          <w:p w14:paraId="4A888BA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362905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Foot B, Stanford M, Rahi J, Thompson J</w:t>
            </w:r>
          </w:p>
        </w:tc>
        <w:tc>
          <w:tcPr>
            <w:tcW w:w="7010" w:type="dxa"/>
            <w:shd w:val="clear" w:color="auto" w:fill="auto"/>
            <w:vAlign w:val="center"/>
          </w:tcPr>
          <w:p w14:paraId="2748FB9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British Ophthalmological Surveillance Unit: An Evaluation of the First 3 Years</w:t>
            </w:r>
          </w:p>
        </w:tc>
        <w:tc>
          <w:tcPr>
            <w:tcW w:w="568" w:type="dxa"/>
            <w:shd w:val="clear" w:color="auto" w:fill="auto"/>
            <w:vAlign w:val="center"/>
          </w:tcPr>
          <w:p w14:paraId="35E834C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2003</w:t>
            </w:r>
          </w:p>
        </w:tc>
      </w:tr>
      <w:tr w:rsidR="004C3C90" w:rsidRPr="004C3C90" w14:paraId="05DE470C" w14:textId="77777777" w:rsidTr="004C3C90">
        <w:trPr>
          <w:trHeight w:val="20"/>
        </w:trPr>
        <w:tc>
          <w:tcPr>
            <w:tcW w:w="550" w:type="dxa"/>
            <w:shd w:val="clear" w:color="auto" w:fill="auto"/>
            <w:vAlign w:val="center"/>
          </w:tcPr>
          <w:p w14:paraId="0782EE3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686</w:t>
            </w:r>
          </w:p>
        </w:tc>
        <w:tc>
          <w:tcPr>
            <w:tcW w:w="1071" w:type="dxa"/>
            <w:shd w:val="clear" w:color="auto" w:fill="auto"/>
            <w:vAlign w:val="center"/>
          </w:tcPr>
          <w:p w14:paraId="44F8DFC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AAD0F6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Akalan N, Ozgen T</w:t>
            </w:r>
          </w:p>
        </w:tc>
        <w:tc>
          <w:tcPr>
            <w:tcW w:w="7010" w:type="dxa"/>
            <w:shd w:val="clear" w:color="auto" w:fill="auto"/>
            <w:vAlign w:val="center"/>
          </w:tcPr>
          <w:p w14:paraId="7C3410B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Infection as a Cause of Spinal Cord Compression: A Review of 36 Spinal Epidural Abscess Cases</w:t>
            </w:r>
          </w:p>
        </w:tc>
        <w:tc>
          <w:tcPr>
            <w:tcW w:w="568" w:type="dxa"/>
            <w:shd w:val="clear" w:color="auto" w:fill="auto"/>
            <w:vAlign w:val="center"/>
          </w:tcPr>
          <w:p w14:paraId="747349A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2000</w:t>
            </w:r>
          </w:p>
        </w:tc>
      </w:tr>
      <w:tr w:rsidR="004C3C90" w:rsidRPr="004C3C90" w14:paraId="67D725C3" w14:textId="77777777" w:rsidTr="004C3C90">
        <w:trPr>
          <w:trHeight w:val="20"/>
        </w:trPr>
        <w:tc>
          <w:tcPr>
            <w:tcW w:w="550" w:type="dxa"/>
            <w:shd w:val="clear" w:color="auto" w:fill="auto"/>
            <w:vAlign w:val="center"/>
          </w:tcPr>
          <w:p w14:paraId="3B5838B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687</w:t>
            </w:r>
          </w:p>
        </w:tc>
        <w:tc>
          <w:tcPr>
            <w:tcW w:w="1071" w:type="dxa"/>
            <w:shd w:val="clear" w:color="auto" w:fill="auto"/>
            <w:vAlign w:val="center"/>
          </w:tcPr>
          <w:p w14:paraId="428424B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281335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Papoz L, Balkau B, Lellouch J</w:t>
            </w:r>
          </w:p>
        </w:tc>
        <w:tc>
          <w:tcPr>
            <w:tcW w:w="7010" w:type="dxa"/>
            <w:shd w:val="clear" w:color="auto" w:fill="auto"/>
            <w:vAlign w:val="center"/>
          </w:tcPr>
          <w:p w14:paraId="119C10B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Case Counting in Epidemiology: Limitations of Methods Based on Multiple Data Sources</w:t>
            </w:r>
          </w:p>
        </w:tc>
        <w:tc>
          <w:tcPr>
            <w:tcW w:w="568" w:type="dxa"/>
            <w:shd w:val="clear" w:color="auto" w:fill="auto"/>
            <w:vAlign w:val="center"/>
          </w:tcPr>
          <w:p w14:paraId="2B39EA1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1996</w:t>
            </w:r>
          </w:p>
        </w:tc>
      </w:tr>
      <w:tr w:rsidR="004C3C90" w:rsidRPr="004C3C90" w14:paraId="1F76C781" w14:textId="77777777" w:rsidTr="004C3C90">
        <w:trPr>
          <w:trHeight w:val="20"/>
        </w:trPr>
        <w:tc>
          <w:tcPr>
            <w:tcW w:w="550" w:type="dxa"/>
            <w:shd w:val="clear" w:color="auto" w:fill="auto"/>
            <w:vAlign w:val="center"/>
          </w:tcPr>
          <w:p w14:paraId="43D091C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688</w:t>
            </w:r>
          </w:p>
        </w:tc>
        <w:tc>
          <w:tcPr>
            <w:tcW w:w="1071" w:type="dxa"/>
            <w:shd w:val="clear" w:color="auto" w:fill="auto"/>
            <w:vAlign w:val="center"/>
          </w:tcPr>
          <w:p w14:paraId="3374E3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64B29F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Dickinson CJ</w:t>
            </w:r>
          </w:p>
        </w:tc>
        <w:tc>
          <w:tcPr>
            <w:tcW w:w="7010" w:type="dxa"/>
            <w:shd w:val="clear" w:color="auto" w:fill="auto"/>
            <w:vAlign w:val="center"/>
          </w:tcPr>
          <w:p w14:paraId="2C94A41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Research in the Nhs Today</w:t>
            </w:r>
          </w:p>
        </w:tc>
        <w:tc>
          <w:tcPr>
            <w:tcW w:w="568" w:type="dxa"/>
            <w:shd w:val="clear" w:color="auto" w:fill="auto"/>
            <w:vAlign w:val="center"/>
          </w:tcPr>
          <w:p w14:paraId="5D68FB1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1994</w:t>
            </w:r>
          </w:p>
        </w:tc>
      </w:tr>
      <w:tr w:rsidR="004C3C90" w:rsidRPr="004C3C90" w14:paraId="53DB9D25" w14:textId="77777777" w:rsidTr="004C3C90">
        <w:trPr>
          <w:trHeight w:val="20"/>
        </w:trPr>
        <w:tc>
          <w:tcPr>
            <w:tcW w:w="550" w:type="dxa"/>
            <w:shd w:val="clear" w:color="auto" w:fill="auto"/>
            <w:vAlign w:val="center"/>
          </w:tcPr>
          <w:p w14:paraId="2AD0614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689</w:t>
            </w:r>
          </w:p>
        </w:tc>
        <w:tc>
          <w:tcPr>
            <w:tcW w:w="1071" w:type="dxa"/>
            <w:shd w:val="clear" w:color="auto" w:fill="auto"/>
            <w:vAlign w:val="center"/>
          </w:tcPr>
          <w:p w14:paraId="1730AA3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0FF26D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Dans PE, Vernon T, Russell B</w:t>
            </w:r>
          </w:p>
        </w:tc>
        <w:tc>
          <w:tcPr>
            <w:tcW w:w="7010" w:type="dxa"/>
            <w:shd w:val="clear" w:color="auto" w:fill="auto"/>
            <w:vAlign w:val="center"/>
          </w:tcPr>
          <w:p w14:paraId="17821A0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Cerebrospinal Fluid Serology - Is Its Routine Use Justifiable?</w:t>
            </w:r>
          </w:p>
        </w:tc>
        <w:tc>
          <w:tcPr>
            <w:tcW w:w="568" w:type="dxa"/>
            <w:shd w:val="clear" w:color="auto" w:fill="auto"/>
            <w:vAlign w:val="center"/>
          </w:tcPr>
          <w:p w14:paraId="752CD45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1977</w:t>
            </w:r>
          </w:p>
        </w:tc>
      </w:tr>
      <w:tr w:rsidR="004C3C90" w:rsidRPr="004C3C90" w14:paraId="360A78F0" w14:textId="77777777" w:rsidTr="004C3C90">
        <w:trPr>
          <w:trHeight w:val="20"/>
        </w:trPr>
        <w:tc>
          <w:tcPr>
            <w:tcW w:w="550" w:type="dxa"/>
            <w:shd w:val="clear" w:color="auto" w:fill="auto"/>
            <w:vAlign w:val="center"/>
          </w:tcPr>
          <w:p w14:paraId="2B28787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690</w:t>
            </w:r>
          </w:p>
        </w:tc>
        <w:tc>
          <w:tcPr>
            <w:tcW w:w="1071" w:type="dxa"/>
            <w:shd w:val="clear" w:color="auto" w:fill="auto"/>
            <w:vAlign w:val="center"/>
          </w:tcPr>
          <w:p w14:paraId="4AA2803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71E8C8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Borocco C, Ballot-Schmit C, Ackermann O, et al. </w:t>
            </w:r>
          </w:p>
        </w:tc>
        <w:tc>
          <w:tcPr>
            <w:tcW w:w="7010" w:type="dxa"/>
            <w:shd w:val="clear" w:color="auto" w:fill="auto"/>
            <w:vAlign w:val="center"/>
          </w:tcPr>
          <w:p w14:paraId="4A023E9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French Paediatric Cohort of Castleman Disease: A Retrospective Report of 23 Patients</w:t>
            </w:r>
          </w:p>
        </w:tc>
        <w:tc>
          <w:tcPr>
            <w:tcW w:w="568" w:type="dxa"/>
            <w:shd w:val="clear" w:color="auto" w:fill="auto"/>
            <w:vAlign w:val="center"/>
          </w:tcPr>
          <w:p w14:paraId="5327B9A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6962CEE7" w14:textId="77777777" w:rsidTr="004C3C90">
        <w:trPr>
          <w:trHeight w:val="20"/>
        </w:trPr>
        <w:tc>
          <w:tcPr>
            <w:tcW w:w="550" w:type="dxa"/>
            <w:shd w:val="clear" w:color="auto" w:fill="auto"/>
            <w:vAlign w:val="center"/>
          </w:tcPr>
          <w:p w14:paraId="4ACE624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691</w:t>
            </w:r>
          </w:p>
        </w:tc>
        <w:tc>
          <w:tcPr>
            <w:tcW w:w="1071" w:type="dxa"/>
            <w:shd w:val="clear" w:color="auto" w:fill="auto"/>
            <w:vAlign w:val="center"/>
          </w:tcPr>
          <w:p w14:paraId="6A9D4ED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FE6F43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Ghaffari-Rafi A, Horak RD, Miles DT, Eum KS, Jahanmir J</w:t>
            </w:r>
          </w:p>
        </w:tc>
        <w:tc>
          <w:tcPr>
            <w:tcW w:w="7010" w:type="dxa"/>
            <w:shd w:val="clear" w:color="auto" w:fill="auto"/>
            <w:vAlign w:val="center"/>
          </w:tcPr>
          <w:p w14:paraId="4A338E7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Case Report on Fear of Falling Syndrome: A Debilitating but Curable Gait Disorder</w:t>
            </w:r>
          </w:p>
        </w:tc>
        <w:tc>
          <w:tcPr>
            <w:tcW w:w="568" w:type="dxa"/>
            <w:shd w:val="clear" w:color="auto" w:fill="auto"/>
            <w:vAlign w:val="center"/>
          </w:tcPr>
          <w:p w14:paraId="36EE273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53CD49A5" w14:textId="77777777" w:rsidTr="004C3C90">
        <w:trPr>
          <w:trHeight w:val="20"/>
        </w:trPr>
        <w:tc>
          <w:tcPr>
            <w:tcW w:w="550" w:type="dxa"/>
            <w:shd w:val="clear" w:color="auto" w:fill="auto"/>
            <w:vAlign w:val="center"/>
          </w:tcPr>
          <w:p w14:paraId="0EA86C0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692</w:t>
            </w:r>
          </w:p>
        </w:tc>
        <w:tc>
          <w:tcPr>
            <w:tcW w:w="1071" w:type="dxa"/>
            <w:shd w:val="clear" w:color="auto" w:fill="auto"/>
            <w:vAlign w:val="center"/>
          </w:tcPr>
          <w:p w14:paraId="6E4528E6"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w:t>
            </w:r>
          </w:p>
        </w:tc>
        <w:tc>
          <w:tcPr>
            <w:tcW w:w="3741" w:type="dxa"/>
            <w:shd w:val="clear" w:color="auto" w:fill="auto"/>
            <w:vAlign w:val="center"/>
          </w:tcPr>
          <w:p w14:paraId="6E3EF005" w14:textId="77777777" w:rsidR="004C3C90" w:rsidRPr="004C3C90" w:rsidRDefault="004C3C90" w:rsidP="004C3C90">
            <w:pPr>
              <w:spacing w:line="240" w:lineRule="auto"/>
              <w:rPr>
                <w:rFonts w:ascii="Times New Roman" w:eastAsia="Times New Roman" w:hAnsi="Times New Roman" w:cs="Times New Roman"/>
                <w:sz w:val="20"/>
                <w:szCs w:val="20"/>
                <w:highlight w:val="white"/>
              </w:rPr>
            </w:pPr>
            <w:r w:rsidRPr="004C3C90">
              <w:rPr>
                <w:rFonts w:ascii="Times New Roman" w:eastAsia="Times New Roman" w:hAnsi="Times New Roman" w:cs="Times New Roman"/>
                <w:sz w:val="20"/>
                <w:szCs w:val="20"/>
                <w:highlight w:val="white"/>
              </w:rPr>
              <w:t>Chen CH, Sun CH</w:t>
            </w:r>
          </w:p>
        </w:tc>
        <w:tc>
          <w:tcPr>
            <w:tcW w:w="7010" w:type="dxa"/>
            <w:shd w:val="clear" w:color="auto" w:fill="auto"/>
            <w:vAlign w:val="center"/>
          </w:tcPr>
          <w:p w14:paraId="7F8AE26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Multifocal Head and Neck Amyloidosis as a Diagnostic Clue of Systemic Lupus Erythematosus (Sle): A Case Report</w:t>
            </w:r>
          </w:p>
        </w:tc>
        <w:tc>
          <w:tcPr>
            <w:tcW w:w="568" w:type="dxa"/>
            <w:shd w:val="clear" w:color="auto" w:fill="auto"/>
            <w:vAlign w:val="center"/>
          </w:tcPr>
          <w:p w14:paraId="0E1B991B"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2019</w:t>
            </w:r>
          </w:p>
        </w:tc>
      </w:tr>
      <w:tr w:rsidR="004C3C90" w:rsidRPr="004C3C90" w14:paraId="5FC8DD50" w14:textId="77777777" w:rsidTr="004C3C90">
        <w:trPr>
          <w:trHeight w:val="20"/>
        </w:trPr>
        <w:tc>
          <w:tcPr>
            <w:tcW w:w="550" w:type="dxa"/>
            <w:shd w:val="clear" w:color="auto" w:fill="auto"/>
            <w:vAlign w:val="center"/>
          </w:tcPr>
          <w:p w14:paraId="058F188F" w14:textId="77777777" w:rsidR="004C3C90" w:rsidRPr="004C3C90" w:rsidRDefault="004C3C90" w:rsidP="004C3C90">
            <w:pPr>
              <w:spacing w:line="240" w:lineRule="auto"/>
              <w:jc w:val="center"/>
              <w:rPr>
                <w:rFonts w:ascii="Times New Roman" w:hAnsi="Times New Roman" w:cs="Times New Roman"/>
                <w:b/>
                <w:sz w:val="20"/>
                <w:szCs w:val="20"/>
              </w:rPr>
            </w:pPr>
            <w:r w:rsidRPr="004C3C90">
              <w:rPr>
                <w:rFonts w:ascii="Times New Roman" w:hAnsi="Times New Roman" w:cs="Times New Roman"/>
                <w:b/>
                <w:sz w:val="20"/>
                <w:szCs w:val="20"/>
              </w:rPr>
              <w:t>693</w:t>
            </w:r>
          </w:p>
        </w:tc>
        <w:tc>
          <w:tcPr>
            <w:tcW w:w="1071" w:type="dxa"/>
            <w:shd w:val="clear" w:color="auto" w:fill="auto"/>
            <w:vAlign w:val="center"/>
          </w:tcPr>
          <w:p w14:paraId="5DADE2B7"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w:t>
            </w:r>
          </w:p>
        </w:tc>
        <w:tc>
          <w:tcPr>
            <w:tcW w:w="3741" w:type="dxa"/>
            <w:shd w:val="clear" w:color="auto" w:fill="auto"/>
            <w:vAlign w:val="center"/>
          </w:tcPr>
          <w:p w14:paraId="72DF6C3B" w14:textId="77777777" w:rsidR="004C3C90" w:rsidRPr="004C3C90" w:rsidRDefault="004C3C90" w:rsidP="004C3C90">
            <w:pPr>
              <w:spacing w:line="240" w:lineRule="auto"/>
              <w:rPr>
                <w:rFonts w:ascii="Times New Roman" w:eastAsia="Times New Roman" w:hAnsi="Times New Roman" w:cs="Times New Roman"/>
                <w:sz w:val="20"/>
                <w:szCs w:val="20"/>
                <w:highlight w:val="white"/>
              </w:rPr>
            </w:pPr>
            <w:r w:rsidRPr="004C3C90">
              <w:rPr>
                <w:rFonts w:ascii="Times New Roman" w:eastAsia="Times New Roman" w:hAnsi="Times New Roman" w:cs="Times New Roman"/>
                <w:sz w:val="20"/>
                <w:szCs w:val="20"/>
                <w:highlight w:val="white"/>
              </w:rPr>
              <w:t>Nezafati S, Yazdani J, Shahi S, Mehryari M, Hajmohammadi E</w:t>
            </w:r>
          </w:p>
        </w:tc>
        <w:tc>
          <w:tcPr>
            <w:tcW w:w="7010" w:type="dxa"/>
            <w:shd w:val="clear" w:color="auto" w:fill="auto"/>
            <w:vAlign w:val="center"/>
          </w:tcPr>
          <w:p w14:paraId="004806E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Outcome of Surgery as Sole Treatment of Eosinophilic Granuloma of Jaws</w:t>
            </w:r>
          </w:p>
        </w:tc>
        <w:tc>
          <w:tcPr>
            <w:tcW w:w="568" w:type="dxa"/>
            <w:shd w:val="clear" w:color="auto" w:fill="auto"/>
            <w:vAlign w:val="center"/>
          </w:tcPr>
          <w:p w14:paraId="663D7BF2"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2019</w:t>
            </w:r>
          </w:p>
        </w:tc>
      </w:tr>
      <w:tr w:rsidR="004C3C90" w:rsidRPr="004C3C90" w14:paraId="66ACE743" w14:textId="77777777" w:rsidTr="004C3C90">
        <w:trPr>
          <w:trHeight w:val="20"/>
        </w:trPr>
        <w:tc>
          <w:tcPr>
            <w:tcW w:w="550" w:type="dxa"/>
            <w:shd w:val="clear" w:color="auto" w:fill="auto"/>
            <w:vAlign w:val="center"/>
          </w:tcPr>
          <w:p w14:paraId="37DF2B97" w14:textId="77777777" w:rsidR="004C3C90" w:rsidRPr="004C3C90" w:rsidRDefault="004C3C90" w:rsidP="004C3C90">
            <w:pPr>
              <w:spacing w:line="240" w:lineRule="auto"/>
              <w:jc w:val="center"/>
              <w:rPr>
                <w:rFonts w:ascii="Times New Roman" w:hAnsi="Times New Roman" w:cs="Times New Roman"/>
                <w:b/>
                <w:sz w:val="20"/>
                <w:szCs w:val="20"/>
              </w:rPr>
            </w:pPr>
            <w:r w:rsidRPr="004C3C90">
              <w:rPr>
                <w:rFonts w:ascii="Times New Roman" w:hAnsi="Times New Roman" w:cs="Times New Roman"/>
                <w:b/>
                <w:sz w:val="20"/>
                <w:szCs w:val="20"/>
              </w:rPr>
              <w:t>694</w:t>
            </w:r>
          </w:p>
        </w:tc>
        <w:tc>
          <w:tcPr>
            <w:tcW w:w="1071" w:type="dxa"/>
            <w:shd w:val="clear" w:color="auto" w:fill="auto"/>
            <w:vAlign w:val="center"/>
          </w:tcPr>
          <w:p w14:paraId="07981E6B"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w:t>
            </w:r>
          </w:p>
        </w:tc>
        <w:tc>
          <w:tcPr>
            <w:tcW w:w="3741" w:type="dxa"/>
            <w:shd w:val="clear" w:color="auto" w:fill="auto"/>
            <w:vAlign w:val="center"/>
          </w:tcPr>
          <w:p w14:paraId="71D3AB30" w14:textId="77777777" w:rsidR="004C3C90" w:rsidRPr="004C3C90" w:rsidRDefault="004C3C90" w:rsidP="004C3C90">
            <w:pPr>
              <w:spacing w:line="240" w:lineRule="auto"/>
              <w:rPr>
                <w:rFonts w:ascii="Times New Roman" w:eastAsia="Times New Roman" w:hAnsi="Times New Roman" w:cs="Times New Roman"/>
                <w:sz w:val="20"/>
                <w:szCs w:val="20"/>
                <w:highlight w:val="white"/>
              </w:rPr>
            </w:pPr>
            <w:r w:rsidRPr="004C3C90">
              <w:rPr>
                <w:rFonts w:ascii="Times New Roman" w:eastAsia="Times New Roman" w:hAnsi="Times New Roman" w:cs="Times New Roman"/>
                <w:sz w:val="20"/>
                <w:szCs w:val="20"/>
                <w:highlight w:val="white"/>
              </w:rPr>
              <w:t>Prihantono P, Palinggi E, Haryasena H, Hamdani W, Binekada IMC</w:t>
            </w:r>
          </w:p>
        </w:tc>
        <w:tc>
          <w:tcPr>
            <w:tcW w:w="7010" w:type="dxa"/>
            <w:shd w:val="clear" w:color="auto" w:fill="auto"/>
            <w:vAlign w:val="center"/>
          </w:tcPr>
          <w:p w14:paraId="605B32B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Surgical Treatment for Parathyroid Adenoma: A Case Report</w:t>
            </w:r>
          </w:p>
        </w:tc>
        <w:tc>
          <w:tcPr>
            <w:tcW w:w="568" w:type="dxa"/>
            <w:shd w:val="clear" w:color="auto" w:fill="auto"/>
            <w:vAlign w:val="center"/>
          </w:tcPr>
          <w:p w14:paraId="25B688DA"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2019</w:t>
            </w:r>
          </w:p>
        </w:tc>
      </w:tr>
      <w:tr w:rsidR="004C3C90" w:rsidRPr="004C3C90" w14:paraId="6E031C1F" w14:textId="77777777" w:rsidTr="004C3C90">
        <w:trPr>
          <w:trHeight w:val="20"/>
        </w:trPr>
        <w:tc>
          <w:tcPr>
            <w:tcW w:w="550" w:type="dxa"/>
            <w:shd w:val="clear" w:color="auto" w:fill="auto"/>
            <w:vAlign w:val="center"/>
          </w:tcPr>
          <w:p w14:paraId="1230EDE7" w14:textId="77777777" w:rsidR="004C3C90" w:rsidRPr="004C3C90" w:rsidRDefault="004C3C90" w:rsidP="004C3C90">
            <w:pPr>
              <w:spacing w:line="240" w:lineRule="auto"/>
              <w:jc w:val="center"/>
              <w:rPr>
                <w:rFonts w:ascii="Times New Roman" w:hAnsi="Times New Roman" w:cs="Times New Roman"/>
                <w:b/>
                <w:sz w:val="20"/>
                <w:szCs w:val="20"/>
              </w:rPr>
            </w:pPr>
            <w:r w:rsidRPr="004C3C90">
              <w:rPr>
                <w:rFonts w:ascii="Times New Roman" w:hAnsi="Times New Roman" w:cs="Times New Roman"/>
                <w:b/>
                <w:sz w:val="20"/>
                <w:szCs w:val="20"/>
              </w:rPr>
              <w:t>695</w:t>
            </w:r>
          </w:p>
        </w:tc>
        <w:tc>
          <w:tcPr>
            <w:tcW w:w="1071" w:type="dxa"/>
            <w:shd w:val="clear" w:color="auto" w:fill="auto"/>
            <w:vAlign w:val="center"/>
          </w:tcPr>
          <w:p w14:paraId="7A23745B"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w:t>
            </w:r>
          </w:p>
        </w:tc>
        <w:tc>
          <w:tcPr>
            <w:tcW w:w="3741" w:type="dxa"/>
            <w:shd w:val="clear" w:color="auto" w:fill="auto"/>
            <w:vAlign w:val="center"/>
          </w:tcPr>
          <w:p w14:paraId="3D33C52A" w14:textId="77777777" w:rsidR="004C3C90" w:rsidRPr="004C3C90" w:rsidRDefault="004C3C90" w:rsidP="004C3C90">
            <w:pPr>
              <w:spacing w:line="240" w:lineRule="auto"/>
              <w:rPr>
                <w:rFonts w:ascii="Times New Roman" w:eastAsia="Times New Roman" w:hAnsi="Times New Roman" w:cs="Times New Roman"/>
                <w:sz w:val="20"/>
                <w:szCs w:val="20"/>
                <w:highlight w:val="white"/>
              </w:rPr>
            </w:pPr>
            <w:r w:rsidRPr="004C3C90">
              <w:rPr>
                <w:rFonts w:ascii="Times New Roman" w:hAnsi="Times New Roman" w:cs="Times New Roman"/>
                <w:sz w:val="20"/>
                <w:szCs w:val="20"/>
                <w:shd w:val="clear" w:color="auto" w:fill="FFFFFF"/>
              </w:rPr>
              <w:t xml:space="preserve">Riva G, Girolami I, Luchini C, Villanova M, Valotto G, Cima L, et al. </w:t>
            </w:r>
          </w:p>
        </w:tc>
        <w:tc>
          <w:tcPr>
            <w:tcW w:w="7010" w:type="dxa"/>
            <w:shd w:val="clear" w:color="auto" w:fill="auto"/>
            <w:vAlign w:val="center"/>
          </w:tcPr>
          <w:p w14:paraId="061FAAB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Tracheobronchopathia Osteochondroplastica: A Case Report Illustrating the Importance of Multilevel Workup Clinical, Endoscopic and Histological Assessment in Diagnosis of an Uncommon Disease</w:t>
            </w:r>
          </w:p>
        </w:tc>
        <w:tc>
          <w:tcPr>
            <w:tcW w:w="568" w:type="dxa"/>
            <w:shd w:val="clear" w:color="auto" w:fill="auto"/>
            <w:vAlign w:val="center"/>
          </w:tcPr>
          <w:p w14:paraId="07E4C26A"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2019</w:t>
            </w:r>
          </w:p>
        </w:tc>
      </w:tr>
      <w:tr w:rsidR="004C3C90" w:rsidRPr="004C3C90" w14:paraId="682CD0D2" w14:textId="77777777" w:rsidTr="004C3C90">
        <w:trPr>
          <w:trHeight w:val="20"/>
        </w:trPr>
        <w:tc>
          <w:tcPr>
            <w:tcW w:w="550" w:type="dxa"/>
            <w:shd w:val="clear" w:color="auto" w:fill="auto"/>
            <w:vAlign w:val="center"/>
          </w:tcPr>
          <w:p w14:paraId="085AB346" w14:textId="77777777" w:rsidR="004C3C90" w:rsidRPr="004C3C90" w:rsidRDefault="004C3C90" w:rsidP="004C3C90">
            <w:pPr>
              <w:spacing w:line="240" w:lineRule="auto"/>
              <w:jc w:val="center"/>
              <w:rPr>
                <w:rFonts w:ascii="Times New Roman" w:hAnsi="Times New Roman" w:cs="Times New Roman"/>
                <w:b/>
                <w:sz w:val="20"/>
                <w:szCs w:val="20"/>
              </w:rPr>
            </w:pPr>
            <w:r w:rsidRPr="004C3C90">
              <w:rPr>
                <w:rFonts w:ascii="Times New Roman" w:hAnsi="Times New Roman" w:cs="Times New Roman"/>
                <w:b/>
                <w:sz w:val="20"/>
                <w:szCs w:val="20"/>
              </w:rPr>
              <w:t>696</w:t>
            </w:r>
          </w:p>
        </w:tc>
        <w:tc>
          <w:tcPr>
            <w:tcW w:w="1071" w:type="dxa"/>
            <w:shd w:val="clear" w:color="auto" w:fill="auto"/>
            <w:vAlign w:val="center"/>
          </w:tcPr>
          <w:p w14:paraId="1A9C2806"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w:t>
            </w:r>
          </w:p>
        </w:tc>
        <w:tc>
          <w:tcPr>
            <w:tcW w:w="3741" w:type="dxa"/>
            <w:shd w:val="clear" w:color="auto" w:fill="auto"/>
            <w:vAlign w:val="center"/>
          </w:tcPr>
          <w:p w14:paraId="73B82C5E" w14:textId="77777777" w:rsidR="004C3C90" w:rsidRPr="004C3C90" w:rsidRDefault="004C3C90" w:rsidP="004C3C90">
            <w:pPr>
              <w:spacing w:line="240" w:lineRule="auto"/>
              <w:rPr>
                <w:rFonts w:ascii="Times New Roman" w:eastAsia="Times New Roman" w:hAnsi="Times New Roman" w:cs="Times New Roman"/>
                <w:sz w:val="20"/>
                <w:szCs w:val="20"/>
                <w:highlight w:val="white"/>
              </w:rPr>
            </w:pPr>
            <w:r w:rsidRPr="004C3C90">
              <w:rPr>
                <w:rFonts w:ascii="Times New Roman" w:hAnsi="Times New Roman" w:cs="Times New Roman"/>
                <w:sz w:val="20"/>
                <w:szCs w:val="20"/>
                <w:shd w:val="clear" w:color="auto" w:fill="FFFFFF"/>
              </w:rPr>
              <w:t xml:space="preserve">Bian S, Chen H, Wang L, Fei Y, Yang Y, Peng L, et al. </w:t>
            </w:r>
          </w:p>
        </w:tc>
        <w:tc>
          <w:tcPr>
            <w:tcW w:w="7010" w:type="dxa"/>
            <w:shd w:val="clear" w:color="auto" w:fill="auto"/>
            <w:vAlign w:val="center"/>
          </w:tcPr>
          <w:p w14:paraId="7B8B093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Cardiac Involvement in Patients with Primary Biliary Cholangitis: A 14-Year Longitudinal Survey-Based Study</w:t>
            </w:r>
          </w:p>
        </w:tc>
        <w:tc>
          <w:tcPr>
            <w:tcW w:w="568" w:type="dxa"/>
            <w:shd w:val="clear" w:color="auto" w:fill="auto"/>
            <w:vAlign w:val="center"/>
          </w:tcPr>
          <w:p w14:paraId="1FED2839"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2018</w:t>
            </w:r>
          </w:p>
        </w:tc>
      </w:tr>
      <w:tr w:rsidR="004C3C90" w:rsidRPr="004C3C90" w14:paraId="692628C4" w14:textId="77777777" w:rsidTr="004C3C90">
        <w:trPr>
          <w:trHeight w:val="20"/>
        </w:trPr>
        <w:tc>
          <w:tcPr>
            <w:tcW w:w="550" w:type="dxa"/>
            <w:shd w:val="clear" w:color="auto" w:fill="auto"/>
            <w:vAlign w:val="center"/>
          </w:tcPr>
          <w:p w14:paraId="1A53F862" w14:textId="77777777" w:rsidR="004C3C90" w:rsidRPr="004C3C90" w:rsidRDefault="004C3C90" w:rsidP="004C3C90">
            <w:pPr>
              <w:spacing w:line="240" w:lineRule="auto"/>
              <w:jc w:val="center"/>
              <w:rPr>
                <w:rFonts w:ascii="Times New Roman" w:hAnsi="Times New Roman" w:cs="Times New Roman"/>
                <w:b/>
                <w:sz w:val="20"/>
                <w:szCs w:val="20"/>
              </w:rPr>
            </w:pPr>
            <w:r w:rsidRPr="004C3C90">
              <w:rPr>
                <w:rFonts w:ascii="Times New Roman" w:hAnsi="Times New Roman" w:cs="Times New Roman"/>
                <w:b/>
                <w:sz w:val="20"/>
                <w:szCs w:val="20"/>
              </w:rPr>
              <w:t>697</w:t>
            </w:r>
          </w:p>
        </w:tc>
        <w:tc>
          <w:tcPr>
            <w:tcW w:w="1071" w:type="dxa"/>
            <w:shd w:val="clear" w:color="auto" w:fill="auto"/>
            <w:vAlign w:val="center"/>
          </w:tcPr>
          <w:p w14:paraId="226C9741"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w:t>
            </w:r>
          </w:p>
        </w:tc>
        <w:tc>
          <w:tcPr>
            <w:tcW w:w="3741" w:type="dxa"/>
            <w:shd w:val="clear" w:color="auto" w:fill="auto"/>
            <w:vAlign w:val="center"/>
          </w:tcPr>
          <w:p w14:paraId="3AF34F50" w14:textId="77777777" w:rsidR="004C3C90" w:rsidRPr="004C3C90" w:rsidRDefault="004C3C90" w:rsidP="004C3C90">
            <w:pPr>
              <w:spacing w:line="240" w:lineRule="auto"/>
              <w:rPr>
                <w:rFonts w:ascii="Times New Roman" w:eastAsia="Times New Roman" w:hAnsi="Times New Roman" w:cs="Times New Roman"/>
                <w:sz w:val="20"/>
                <w:szCs w:val="20"/>
                <w:highlight w:val="white"/>
              </w:rPr>
            </w:pPr>
            <w:r w:rsidRPr="004C3C90">
              <w:rPr>
                <w:rFonts w:ascii="Times New Roman" w:eastAsia="Times New Roman" w:hAnsi="Times New Roman" w:cs="Times New Roman"/>
                <w:sz w:val="20"/>
                <w:szCs w:val="20"/>
                <w:highlight w:val="white"/>
              </w:rPr>
              <w:t>Silveira MAD, Seguro AC, da Silva JB, et al.</w:t>
            </w:r>
          </w:p>
        </w:tc>
        <w:tc>
          <w:tcPr>
            <w:tcW w:w="7010" w:type="dxa"/>
            <w:shd w:val="clear" w:color="auto" w:fill="auto"/>
            <w:vAlign w:val="center"/>
          </w:tcPr>
          <w:p w14:paraId="23367A7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Chronic Hyponatremia Due to the Syndrome of Inappropriate Antidiuresis (Siad) in an Adult Woman with Corpus Callosum Agenesis (Cca)</w:t>
            </w:r>
          </w:p>
        </w:tc>
        <w:tc>
          <w:tcPr>
            <w:tcW w:w="568" w:type="dxa"/>
            <w:shd w:val="clear" w:color="auto" w:fill="auto"/>
            <w:vAlign w:val="center"/>
          </w:tcPr>
          <w:p w14:paraId="7C050F3A"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2018</w:t>
            </w:r>
          </w:p>
        </w:tc>
      </w:tr>
      <w:tr w:rsidR="004C3C90" w:rsidRPr="004C3C90" w14:paraId="363F5FA9" w14:textId="77777777" w:rsidTr="004C3C90">
        <w:trPr>
          <w:trHeight w:val="20"/>
        </w:trPr>
        <w:tc>
          <w:tcPr>
            <w:tcW w:w="550" w:type="dxa"/>
            <w:shd w:val="clear" w:color="auto" w:fill="auto"/>
            <w:vAlign w:val="center"/>
          </w:tcPr>
          <w:p w14:paraId="77F6DB6A" w14:textId="77777777" w:rsidR="004C3C90" w:rsidRPr="004C3C90" w:rsidRDefault="004C3C90" w:rsidP="004C3C90">
            <w:pPr>
              <w:spacing w:line="240" w:lineRule="auto"/>
              <w:jc w:val="center"/>
              <w:rPr>
                <w:rFonts w:ascii="Times New Roman" w:hAnsi="Times New Roman" w:cs="Times New Roman"/>
                <w:b/>
                <w:sz w:val="20"/>
                <w:szCs w:val="20"/>
              </w:rPr>
            </w:pPr>
            <w:r w:rsidRPr="004C3C90">
              <w:rPr>
                <w:rFonts w:ascii="Times New Roman" w:hAnsi="Times New Roman" w:cs="Times New Roman"/>
                <w:b/>
                <w:sz w:val="20"/>
                <w:szCs w:val="20"/>
              </w:rPr>
              <w:t>698</w:t>
            </w:r>
          </w:p>
        </w:tc>
        <w:tc>
          <w:tcPr>
            <w:tcW w:w="1071" w:type="dxa"/>
            <w:shd w:val="clear" w:color="auto" w:fill="auto"/>
            <w:vAlign w:val="center"/>
          </w:tcPr>
          <w:p w14:paraId="544C6725"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w:t>
            </w:r>
          </w:p>
        </w:tc>
        <w:tc>
          <w:tcPr>
            <w:tcW w:w="3741" w:type="dxa"/>
            <w:shd w:val="clear" w:color="auto" w:fill="auto"/>
            <w:vAlign w:val="center"/>
          </w:tcPr>
          <w:p w14:paraId="121DD72D" w14:textId="77777777" w:rsidR="004C3C90" w:rsidRPr="004C3C90" w:rsidRDefault="004C3C90" w:rsidP="004C3C90">
            <w:pPr>
              <w:spacing w:line="240" w:lineRule="auto"/>
              <w:rPr>
                <w:rFonts w:ascii="Times New Roman" w:eastAsia="Times New Roman" w:hAnsi="Times New Roman" w:cs="Times New Roman"/>
                <w:sz w:val="20"/>
                <w:szCs w:val="20"/>
                <w:highlight w:val="white"/>
              </w:rPr>
            </w:pPr>
            <w:r w:rsidRPr="004C3C90">
              <w:rPr>
                <w:rFonts w:ascii="Times New Roman" w:eastAsia="Times New Roman" w:hAnsi="Times New Roman" w:cs="Times New Roman"/>
                <w:sz w:val="20"/>
                <w:szCs w:val="20"/>
                <w:highlight w:val="white"/>
              </w:rPr>
              <w:t>Kim YM, Kang E, Choi JH, Kim GH, Yoo HW, Lee BH</w:t>
            </w:r>
          </w:p>
        </w:tc>
        <w:tc>
          <w:tcPr>
            <w:tcW w:w="7010" w:type="dxa"/>
            <w:shd w:val="clear" w:color="auto" w:fill="auto"/>
            <w:vAlign w:val="center"/>
          </w:tcPr>
          <w:p w14:paraId="1DD49FE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Characteristics and Treatment Outcomes in Camurati-Engelmann Disease</w:t>
            </w:r>
          </w:p>
        </w:tc>
        <w:tc>
          <w:tcPr>
            <w:tcW w:w="568" w:type="dxa"/>
            <w:shd w:val="clear" w:color="auto" w:fill="auto"/>
            <w:vAlign w:val="center"/>
          </w:tcPr>
          <w:p w14:paraId="01084B5A"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2018</w:t>
            </w:r>
          </w:p>
        </w:tc>
      </w:tr>
      <w:tr w:rsidR="004C3C90" w:rsidRPr="004C3C90" w14:paraId="4490DAE6" w14:textId="77777777" w:rsidTr="004C3C90">
        <w:trPr>
          <w:trHeight w:val="20"/>
        </w:trPr>
        <w:tc>
          <w:tcPr>
            <w:tcW w:w="550" w:type="dxa"/>
            <w:shd w:val="clear" w:color="auto" w:fill="auto"/>
            <w:vAlign w:val="center"/>
          </w:tcPr>
          <w:p w14:paraId="3845B76E" w14:textId="77777777" w:rsidR="004C3C90" w:rsidRPr="004C3C90" w:rsidRDefault="004C3C90" w:rsidP="004C3C90">
            <w:pPr>
              <w:spacing w:line="240" w:lineRule="auto"/>
              <w:jc w:val="center"/>
              <w:rPr>
                <w:rFonts w:ascii="Times New Roman" w:hAnsi="Times New Roman" w:cs="Times New Roman"/>
                <w:b/>
                <w:sz w:val="20"/>
                <w:szCs w:val="20"/>
              </w:rPr>
            </w:pPr>
            <w:r w:rsidRPr="004C3C90">
              <w:rPr>
                <w:rFonts w:ascii="Times New Roman" w:hAnsi="Times New Roman" w:cs="Times New Roman"/>
                <w:b/>
                <w:sz w:val="20"/>
                <w:szCs w:val="20"/>
              </w:rPr>
              <w:t>699</w:t>
            </w:r>
          </w:p>
        </w:tc>
        <w:tc>
          <w:tcPr>
            <w:tcW w:w="1071" w:type="dxa"/>
            <w:shd w:val="clear" w:color="auto" w:fill="auto"/>
            <w:vAlign w:val="center"/>
          </w:tcPr>
          <w:p w14:paraId="659ABE84"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4</w:t>
            </w:r>
          </w:p>
        </w:tc>
        <w:tc>
          <w:tcPr>
            <w:tcW w:w="3741" w:type="dxa"/>
            <w:shd w:val="clear" w:color="auto" w:fill="auto"/>
            <w:vAlign w:val="center"/>
          </w:tcPr>
          <w:p w14:paraId="7C8BB9B2" w14:textId="77777777" w:rsidR="004C3C90" w:rsidRPr="004C3C90" w:rsidRDefault="004C3C90" w:rsidP="004C3C90">
            <w:pPr>
              <w:spacing w:line="240" w:lineRule="auto"/>
              <w:rPr>
                <w:rFonts w:ascii="Times New Roman" w:eastAsia="Times New Roman" w:hAnsi="Times New Roman" w:cs="Times New Roman"/>
                <w:sz w:val="20"/>
                <w:szCs w:val="20"/>
                <w:highlight w:val="white"/>
              </w:rPr>
            </w:pPr>
            <w:r w:rsidRPr="004C3C90">
              <w:rPr>
                <w:rFonts w:ascii="Times New Roman" w:eastAsia="Times New Roman" w:hAnsi="Times New Roman" w:cs="Times New Roman"/>
                <w:sz w:val="20"/>
                <w:szCs w:val="20"/>
                <w:highlight w:val="white"/>
              </w:rPr>
              <w:t>Diebels I, Blockhuys M, Willemsen P, Pirenne Y</w:t>
            </w:r>
          </w:p>
        </w:tc>
        <w:tc>
          <w:tcPr>
            <w:tcW w:w="7010" w:type="dxa"/>
            <w:shd w:val="clear" w:color="auto" w:fill="auto"/>
            <w:vAlign w:val="center"/>
          </w:tcPr>
          <w:p w14:paraId="175FE98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Embolization of a Large Progressive Symptomatic Desmoid Tumor in the Rectus Muscle of a Female Patient with Multiple Sclerosis: A Case Report</w:t>
            </w:r>
          </w:p>
        </w:tc>
        <w:tc>
          <w:tcPr>
            <w:tcW w:w="568" w:type="dxa"/>
            <w:shd w:val="clear" w:color="auto" w:fill="auto"/>
            <w:vAlign w:val="center"/>
          </w:tcPr>
          <w:p w14:paraId="558E0634" w14:textId="77777777" w:rsidR="004C3C90" w:rsidRPr="004C3C90" w:rsidRDefault="004C3C90" w:rsidP="004C3C90">
            <w:pPr>
              <w:spacing w:line="240" w:lineRule="auto"/>
              <w:jc w:val="center"/>
              <w:rPr>
                <w:rFonts w:ascii="Times New Roman" w:hAnsi="Times New Roman" w:cs="Times New Roman"/>
                <w:sz w:val="20"/>
                <w:szCs w:val="20"/>
              </w:rPr>
            </w:pPr>
            <w:r w:rsidRPr="004C3C90">
              <w:rPr>
                <w:rFonts w:ascii="Times New Roman" w:hAnsi="Times New Roman" w:cs="Times New Roman"/>
                <w:sz w:val="20"/>
                <w:szCs w:val="20"/>
              </w:rPr>
              <w:t>2018</w:t>
            </w:r>
          </w:p>
        </w:tc>
      </w:tr>
      <w:tr w:rsidR="004C3C90" w:rsidRPr="004C3C90" w14:paraId="5E72C73B" w14:textId="77777777" w:rsidTr="004C3C90">
        <w:trPr>
          <w:trHeight w:val="20"/>
        </w:trPr>
        <w:tc>
          <w:tcPr>
            <w:tcW w:w="550" w:type="dxa"/>
            <w:shd w:val="clear" w:color="auto" w:fill="auto"/>
            <w:vAlign w:val="center"/>
          </w:tcPr>
          <w:p w14:paraId="042A738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700</w:t>
            </w:r>
          </w:p>
        </w:tc>
        <w:tc>
          <w:tcPr>
            <w:tcW w:w="1071" w:type="dxa"/>
            <w:shd w:val="clear" w:color="auto" w:fill="auto"/>
            <w:vAlign w:val="center"/>
          </w:tcPr>
          <w:p w14:paraId="6B9E26C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D42975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Najem CE, Springer J, Prayson R, Culver DA, Fernandez J, Tavee J, et al. </w:t>
            </w:r>
          </w:p>
        </w:tc>
        <w:tc>
          <w:tcPr>
            <w:tcW w:w="7010" w:type="dxa"/>
            <w:shd w:val="clear" w:color="auto" w:fill="auto"/>
            <w:vAlign w:val="center"/>
          </w:tcPr>
          <w:p w14:paraId="6EB549A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Intra Cranial Granulomatous Disease in Common Variable Immunodeficiency: Case Series and Review of the Literature</w:t>
            </w:r>
          </w:p>
        </w:tc>
        <w:tc>
          <w:tcPr>
            <w:tcW w:w="568" w:type="dxa"/>
            <w:shd w:val="clear" w:color="auto" w:fill="auto"/>
            <w:vAlign w:val="center"/>
          </w:tcPr>
          <w:p w14:paraId="3BD7BCC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6790DEC3" w14:textId="77777777" w:rsidTr="004C3C90">
        <w:trPr>
          <w:trHeight w:val="20"/>
        </w:trPr>
        <w:tc>
          <w:tcPr>
            <w:tcW w:w="550" w:type="dxa"/>
            <w:shd w:val="clear" w:color="auto" w:fill="auto"/>
            <w:vAlign w:val="center"/>
          </w:tcPr>
          <w:p w14:paraId="74521C9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701</w:t>
            </w:r>
          </w:p>
        </w:tc>
        <w:tc>
          <w:tcPr>
            <w:tcW w:w="1071" w:type="dxa"/>
            <w:shd w:val="clear" w:color="auto" w:fill="auto"/>
            <w:vAlign w:val="center"/>
          </w:tcPr>
          <w:p w14:paraId="0D1EC35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03994C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Fukayama M, Miyagaki T, Akamata K, Suzuki S, Tanaka M, Sato S</w:t>
            </w:r>
          </w:p>
        </w:tc>
        <w:tc>
          <w:tcPr>
            <w:tcW w:w="7010" w:type="dxa"/>
            <w:shd w:val="clear" w:color="auto" w:fill="auto"/>
            <w:vAlign w:val="center"/>
          </w:tcPr>
          <w:p w14:paraId="6C0DC03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Japanese Familial Anetoderma: A Report of Two Cases and Review of the Published Work</w:t>
            </w:r>
          </w:p>
        </w:tc>
        <w:tc>
          <w:tcPr>
            <w:tcW w:w="568" w:type="dxa"/>
            <w:shd w:val="clear" w:color="auto" w:fill="auto"/>
            <w:vAlign w:val="center"/>
          </w:tcPr>
          <w:p w14:paraId="66946FC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09F02FCA" w14:textId="77777777" w:rsidTr="004C3C90">
        <w:trPr>
          <w:trHeight w:val="20"/>
        </w:trPr>
        <w:tc>
          <w:tcPr>
            <w:tcW w:w="550" w:type="dxa"/>
            <w:shd w:val="clear" w:color="auto" w:fill="auto"/>
            <w:vAlign w:val="center"/>
          </w:tcPr>
          <w:p w14:paraId="3BBEC4E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702</w:t>
            </w:r>
          </w:p>
        </w:tc>
        <w:tc>
          <w:tcPr>
            <w:tcW w:w="1071" w:type="dxa"/>
            <w:shd w:val="clear" w:color="auto" w:fill="auto"/>
            <w:vAlign w:val="center"/>
          </w:tcPr>
          <w:p w14:paraId="209447C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3936FA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Agaimy A, Fonseca I, Martins C, et al. </w:t>
            </w:r>
          </w:p>
        </w:tc>
        <w:tc>
          <w:tcPr>
            <w:tcW w:w="7010" w:type="dxa"/>
            <w:shd w:val="clear" w:color="auto" w:fill="auto"/>
            <w:vAlign w:val="center"/>
          </w:tcPr>
          <w:p w14:paraId="7A2FD80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Nut Carcinoma of the Salivary Glands: Clinicopathologic and Molecular Analysis of 3 Cases and a Survey of Nut Expression in Salivary Gland Carcinomas</w:t>
            </w:r>
          </w:p>
        </w:tc>
        <w:tc>
          <w:tcPr>
            <w:tcW w:w="568" w:type="dxa"/>
            <w:shd w:val="clear" w:color="auto" w:fill="auto"/>
            <w:vAlign w:val="center"/>
          </w:tcPr>
          <w:p w14:paraId="188037F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02698272" w14:textId="77777777" w:rsidTr="004C3C90">
        <w:trPr>
          <w:trHeight w:val="20"/>
        </w:trPr>
        <w:tc>
          <w:tcPr>
            <w:tcW w:w="550" w:type="dxa"/>
            <w:shd w:val="clear" w:color="auto" w:fill="auto"/>
            <w:vAlign w:val="center"/>
          </w:tcPr>
          <w:p w14:paraId="5E66142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703</w:t>
            </w:r>
          </w:p>
        </w:tc>
        <w:tc>
          <w:tcPr>
            <w:tcW w:w="1071" w:type="dxa"/>
            <w:shd w:val="clear" w:color="auto" w:fill="auto"/>
            <w:vAlign w:val="center"/>
          </w:tcPr>
          <w:p w14:paraId="0D20DA3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061327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Mufty H, Matricali GA, Thomis S</w:t>
            </w:r>
          </w:p>
        </w:tc>
        <w:tc>
          <w:tcPr>
            <w:tcW w:w="7010" w:type="dxa"/>
            <w:shd w:val="clear" w:color="auto" w:fill="auto"/>
            <w:vAlign w:val="center"/>
          </w:tcPr>
          <w:p w14:paraId="6BDA1D6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Venous Malformation as Source of a Tarsal Tunnel Syndrome: Treat the Source or the Cause of the Complaints? A Case Report</w:t>
            </w:r>
          </w:p>
        </w:tc>
        <w:tc>
          <w:tcPr>
            <w:tcW w:w="568" w:type="dxa"/>
            <w:shd w:val="clear" w:color="auto" w:fill="auto"/>
            <w:vAlign w:val="center"/>
          </w:tcPr>
          <w:p w14:paraId="29A6E34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6C15CEEC" w14:textId="77777777" w:rsidTr="004C3C90">
        <w:trPr>
          <w:trHeight w:val="20"/>
        </w:trPr>
        <w:tc>
          <w:tcPr>
            <w:tcW w:w="550" w:type="dxa"/>
            <w:shd w:val="clear" w:color="auto" w:fill="auto"/>
            <w:vAlign w:val="center"/>
          </w:tcPr>
          <w:p w14:paraId="24BE019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704</w:t>
            </w:r>
          </w:p>
        </w:tc>
        <w:tc>
          <w:tcPr>
            <w:tcW w:w="1071" w:type="dxa"/>
            <w:shd w:val="clear" w:color="auto" w:fill="auto"/>
            <w:vAlign w:val="center"/>
          </w:tcPr>
          <w:p w14:paraId="2850D8B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09634C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Mahoney JM, Millonig K</w:t>
            </w:r>
          </w:p>
        </w:tc>
        <w:tc>
          <w:tcPr>
            <w:tcW w:w="7010" w:type="dxa"/>
            <w:shd w:val="clear" w:color="auto" w:fill="auto"/>
            <w:vAlign w:val="center"/>
          </w:tcPr>
          <w:p w14:paraId="5D728EE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Behcet's Disease: A Case Report</w:t>
            </w:r>
          </w:p>
        </w:tc>
        <w:tc>
          <w:tcPr>
            <w:tcW w:w="568" w:type="dxa"/>
            <w:shd w:val="clear" w:color="auto" w:fill="auto"/>
            <w:vAlign w:val="center"/>
          </w:tcPr>
          <w:p w14:paraId="0EE1160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4005311A" w14:textId="77777777" w:rsidTr="004C3C90">
        <w:trPr>
          <w:trHeight w:val="20"/>
        </w:trPr>
        <w:tc>
          <w:tcPr>
            <w:tcW w:w="550" w:type="dxa"/>
            <w:shd w:val="clear" w:color="auto" w:fill="auto"/>
            <w:vAlign w:val="center"/>
          </w:tcPr>
          <w:p w14:paraId="1BB0142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705</w:t>
            </w:r>
          </w:p>
        </w:tc>
        <w:tc>
          <w:tcPr>
            <w:tcW w:w="1071" w:type="dxa"/>
            <w:shd w:val="clear" w:color="auto" w:fill="auto"/>
            <w:vAlign w:val="center"/>
          </w:tcPr>
          <w:p w14:paraId="4D0286C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4F9028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Taisne N, Desnuelle C, Juntas Morales R, et al.</w:t>
            </w:r>
          </w:p>
        </w:tc>
        <w:tc>
          <w:tcPr>
            <w:tcW w:w="7010" w:type="dxa"/>
            <w:shd w:val="clear" w:color="auto" w:fill="auto"/>
            <w:vAlign w:val="center"/>
          </w:tcPr>
          <w:p w14:paraId="0FE3533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Bent Spine Syndrome as the Initial Symptom of Late-Onset Pompe Disease</w:t>
            </w:r>
          </w:p>
        </w:tc>
        <w:tc>
          <w:tcPr>
            <w:tcW w:w="568" w:type="dxa"/>
            <w:shd w:val="clear" w:color="auto" w:fill="auto"/>
            <w:vAlign w:val="center"/>
          </w:tcPr>
          <w:p w14:paraId="1EFBE17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70B87C85" w14:textId="77777777" w:rsidTr="004C3C90">
        <w:trPr>
          <w:trHeight w:val="20"/>
        </w:trPr>
        <w:tc>
          <w:tcPr>
            <w:tcW w:w="550" w:type="dxa"/>
            <w:shd w:val="clear" w:color="auto" w:fill="auto"/>
            <w:vAlign w:val="center"/>
          </w:tcPr>
          <w:p w14:paraId="223985F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706</w:t>
            </w:r>
          </w:p>
        </w:tc>
        <w:tc>
          <w:tcPr>
            <w:tcW w:w="1071" w:type="dxa"/>
            <w:shd w:val="clear" w:color="auto" w:fill="auto"/>
            <w:vAlign w:val="center"/>
          </w:tcPr>
          <w:p w14:paraId="13D6290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9F1D86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Flamm A, Sachdev S, Dufresne F</w:t>
            </w:r>
          </w:p>
        </w:tc>
        <w:tc>
          <w:tcPr>
            <w:tcW w:w="7010" w:type="dxa"/>
            <w:shd w:val="clear" w:color="auto" w:fill="auto"/>
            <w:vAlign w:val="center"/>
          </w:tcPr>
          <w:p w14:paraId="6E06AFF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Gabapentin-Induced Bullous Pemphigoid</w:t>
            </w:r>
          </w:p>
        </w:tc>
        <w:tc>
          <w:tcPr>
            <w:tcW w:w="568" w:type="dxa"/>
            <w:shd w:val="clear" w:color="auto" w:fill="auto"/>
            <w:vAlign w:val="center"/>
          </w:tcPr>
          <w:p w14:paraId="119A8A4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2220558" w14:textId="77777777" w:rsidTr="004C3C90">
        <w:trPr>
          <w:trHeight w:val="20"/>
        </w:trPr>
        <w:tc>
          <w:tcPr>
            <w:tcW w:w="550" w:type="dxa"/>
            <w:shd w:val="clear" w:color="auto" w:fill="auto"/>
            <w:vAlign w:val="center"/>
          </w:tcPr>
          <w:p w14:paraId="708DDE4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707</w:t>
            </w:r>
          </w:p>
        </w:tc>
        <w:tc>
          <w:tcPr>
            <w:tcW w:w="1071" w:type="dxa"/>
            <w:shd w:val="clear" w:color="auto" w:fill="auto"/>
            <w:vAlign w:val="center"/>
          </w:tcPr>
          <w:p w14:paraId="0D94E2E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3D13F5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Agarwal P, Kumar V, Kaushal M, Kumari M, Chaudhary A</w:t>
            </w:r>
          </w:p>
        </w:tc>
        <w:tc>
          <w:tcPr>
            <w:tcW w:w="7010" w:type="dxa"/>
            <w:shd w:val="clear" w:color="auto" w:fill="auto"/>
            <w:vAlign w:val="center"/>
          </w:tcPr>
          <w:p w14:paraId="2D779F6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Indian Visceral Leishmaniasis with Extensive Lymphadenopathy-an Unusual Presentation: A Case Report with Literature Review</w:t>
            </w:r>
          </w:p>
        </w:tc>
        <w:tc>
          <w:tcPr>
            <w:tcW w:w="568" w:type="dxa"/>
            <w:shd w:val="clear" w:color="auto" w:fill="auto"/>
            <w:vAlign w:val="center"/>
          </w:tcPr>
          <w:p w14:paraId="612B387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2F9B5DB" w14:textId="77777777" w:rsidTr="004C3C90">
        <w:trPr>
          <w:trHeight w:val="20"/>
        </w:trPr>
        <w:tc>
          <w:tcPr>
            <w:tcW w:w="550" w:type="dxa"/>
            <w:shd w:val="clear" w:color="auto" w:fill="auto"/>
            <w:vAlign w:val="center"/>
          </w:tcPr>
          <w:p w14:paraId="7E33F22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708</w:t>
            </w:r>
          </w:p>
        </w:tc>
        <w:tc>
          <w:tcPr>
            <w:tcW w:w="1071" w:type="dxa"/>
            <w:shd w:val="clear" w:color="auto" w:fill="auto"/>
            <w:vAlign w:val="center"/>
          </w:tcPr>
          <w:p w14:paraId="29DEE08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6583A7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Shanahan LK, Raines SG, Coggins RL, Moore T, Carnes M, Griffin L</w:t>
            </w:r>
          </w:p>
        </w:tc>
        <w:tc>
          <w:tcPr>
            <w:tcW w:w="7010" w:type="dxa"/>
            <w:shd w:val="clear" w:color="auto" w:fill="auto"/>
            <w:vAlign w:val="center"/>
          </w:tcPr>
          <w:p w14:paraId="61C6B8A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Osteopathic Manipulative Treatment in the Management of Isaacs Syndrome</w:t>
            </w:r>
          </w:p>
        </w:tc>
        <w:tc>
          <w:tcPr>
            <w:tcW w:w="568" w:type="dxa"/>
            <w:shd w:val="clear" w:color="auto" w:fill="auto"/>
            <w:vAlign w:val="center"/>
          </w:tcPr>
          <w:p w14:paraId="1FA6899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C389448" w14:textId="77777777" w:rsidTr="004C3C90">
        <w:trPr>
          <w:trHeight w:val="20"/>
        </w:trPr>
        <w:tc>
          <w:tcPr>
            <w:tcW w:w="550" w:type="dxa"/>
            <w:shd w:val="clear" w:color="auto" w:fill="auto"/>
            <w:vAlign w:val="center"/>
          </w:tcPr>
          <w:p w14:paraId="50C2756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709</w:t>
            </w:r>
          </w:p>
        </w:tc>
        <w:tc>
          <w:tcPr>
            <w:tcW w:w="1071" w:type="dxa"/>
            <w:shd w:val="clear" w:color="auto" w:fill="auto"/>
            <w:vAlign w:val="center"/>
          </w:tcPr>
          <w:p w14:paraId="4F1E473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79E99D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Griffiths A, Patel A, Roth MZ</w:t>
            </w:r>
          </w:p>
        </w:tc>
        <w:tc>
          <w:tcPr>
            <w:tcW w:w="7010" w:type="dxa"/>
            <w:shd w:val="clear" w:color="auto" w:fill="auto"/>
            <w:vAlign w:val="center"/>
          </w:tcPr>
          <w:p w14:paraId="7A80A1E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Polyarteritis Nodosum of the Breast in a Patient with History of Bilateral Augmentation Mammoplasty</w:t>
            </w:r>
          </w:p>
        </w:tc>
        <w:tc>
          <w:tcPr>
            <w:tcW w:w="568" w:type="dxa"/>
            <w:shd w:val="clear" w:color="auto" w:fill="auto"/>
            <w:vAlign w:val="center"/>
          </w:tcPr>
          <w:p w14:paraId="33D0CC4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05F83D10" w14:textId="77777777" w:rsidTr="004C3C90">
        <w:trPr>
          <w:trHeight w:val="20"/>
        </w:trPr>
        <w:tc>
          <w:tcPr>
            <w:tcW w:w="550" w:type="dxa"/>
            <w:shd w:val="clear" w:color="auto" w:fill="auto"/>
            <w:vAlign w:val="center"/>
          </w:tcPr>
          <w:p w14:paraId="519D709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710</w:t>
            </w:r>
          </w:p>
        </w:tc>
        <w:tc>
          <w:tcPr>
            <w:tcW w:w="1071" w:type="dxa"/>
            <w:shd w:val="clear" w:color="auto" w:fill="auto"/>
            <w:vAlign w:val="center"/>
          </w:tcPr>
          <w:p w14:paraId="1FF6049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C1AC84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Chen WT, Huang YC, Peng MC, Wang MC, Lin KP</w:t>
            </w:r>
          </w:p>
        </w:tc>
        <w:tc>
          <w:tcPr>
            <w:tcW w:w="7010" w:type="dxa"/>
            <w:shd w:val="clear" w:color="auto" w:fill="auto"/>
            <w:vAlign w:val="center"/>
          </w:tcPr>
          <w:p w14:paraId="6A8156A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Acute Disseminated Encephalomyelitis after Influenza Vaccination: A Case Report</w:t>
            </w:r>
          </w:p>
        </w:tc>
        <w:tc>
          <w:tcPr>
            <w:tcW w:w="568" w:type="dxa"/>
            <w:shd w:val="clear" w:color="auto" w:fill="auto"/>
            <w:vAlign w:val="center"/>
          </w:tcPr>
          <w:p w14:paraId="7EE72EB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5B16149C" w14:textId="77777777" w:rsidTr="004C3C90">
        <w:trPr>
          <w:trHeight w:val="20"/>
        </w:trPr>
        <w:tc>
          <w:tcPr>
            <w:tcW w:w="550" w:type="dxa"/>
            <w:shd w:val="clear" w:color="auto" w:fill="auto"/>
            <w:vAlign w:val="center"/>
          </w:tcPr>
          <w:p w14:paraId="1F4B37C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711</w:t>
            </w:r>
          </w:p>
        </w:tc>
        <w:tc>
          <w:tcPr>
            <w:tcW w:w="1071" w:type="dxa"/>
            <w:shd w:val="clear" w:color="auto" w:fill="auto"/>
            <w:vAlign w:val="center"/>
          </w:tcPr>
          <w:p w14:paraId="23A874A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090524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Maritati M, Contini C</w:t>
            </w:r>
          </w:p>
        </w:tc>
        <w:tc>
          <w:tcPr>
            <w:tcW w:w="7010" w:type="dxa"/>
            <w:shd w:val="clear" w:color="auto" w:fill="auto"/>
            <w:vAlign w:val="center"/>
          </w:tcPr>
          <w:p w14:paraId="0BB17AA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Case of Leprosy in Italy: A Multifaceted Disease Which Continues to Challenge Medical Doctors</w:t>
            </w:r>
          </w:p>
        </w:tc>
        <w:tc>
          <w:tcPr>
            <w:tcW w:w="568" w:type="dxa"/>
            <w:shd w:val="clear" w:color="auto" w:fill="auto"/>
            <w:vAlign w:val="center"/>
          </w:tcPr>
          <w:p w14:paraId="32BB6B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316ACDA1" w14:textId="77777777" w:rsidTr="004C3C90">
        <w:trPr>
          <w:trHeight w:val="20"/>
        </w:trPr>
        <w:tc>
          <w:tcPr>
            <w:tcW w:w="550" w:type="dxa"/>
            <w:shd w:val="clear" w:color="auto" w:fill="auto"/>
            <w:vAlign w:val="center"/>
          </w:tcPr>
          <w:p w14:paraId="79218BD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712</w:t>
            </w:r>
          </w:p>
        </w:tc>
        <w:tc>
          <w:tcPr>
            <w:tcW w:w="1071" w:type="dxa"/>
            <w:shd w:val="clear" w:color="auto" w:fill="auto"/>
            <w:vAlign w:val="center"/>
          </w:tcPr>
          <w:p w14:paraId="16FEE23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B3A394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Yang CS, Lo CP, Wu MC</w:t>
            </w:r>
          </w:p>
        </w:tc>
        <w:tc>
          <w:tcPr>
            <w:tcW w:w="7010" w:type="dxa"/>
            <w:shd w:val="clear" w:color="auto" w:fill="auto"/>
            <w:vAlign w:val="center"/>
          </w:tcPr>
          <w:p w14:paraId="13B3D04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Ischemic Stroke in a Young Patient with Fahr's Disease: A Case Report</w:t>
            </w:r>
          </w:p>
        </w:tc>
        <w:tc>
          <w:tcPr>
            <w:tcW w:w="568" w:type="dxa"/>
            <w:shd w:val="clear" w:color="auto" w:fill="auto"/>
            <w:vAlign w:val="center"/>
          </w:tcPr>
          <w:p w14:paraId="74490C5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20F2AFC3" w14:textId="77777777" w:rsidTr="004C3C90">
        <w:trPr>
          <w:trHeight w:val="20"/>
        </w:trPr>
        <w:tc>
          <w:tcPr>
            <w:tcW w:w="550" w:type="dxa"/>
            <w:shd w:val="clear" w:color="auto" w:fill="auto"/>
            <w:vAlign w:val="center"/>
          </w:tcPr>
          <w:p w14:paraId="695F6E8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713</w:t>
            </w:r>
          </w:p>
        </w:tc>
        <w:tc>
          <w:tcPr>
            <w:tcW w:w="1071" w:type="dxa"/>
            <w:shd w:val="clear" w:color="auto" w:fill="auto"/>
            <w:vAlign w:val="center"/>
          </w:tcPr>
          <w:p w14:paraId="0D20377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7FCA4D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Yadav S, Chalise S, Chaudhary S, Shah GS, Gupta MK, Mishra OP</w:t>
            </w:r>
          </w:p>
        </w:tc>
        <w:tc>
          <w:tcPr>
            <w:tcW w:w="7010" w:type="dxa"/>
            <w:shd w:val="clear" w:color="auto" w:fill="auto"/>
            <w:vAlign w:val="center"/>
          </w:tcPr>
          <w:p w14:paraId="224C0F4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Osteopetrosis in Two Siblings: Two Case Reports</w:t>
            </w:r>
          </w:p>
        </w:tc>
        <w:tc>
          <w:tcPr>
            <w:tcW w:w="568" w:type="dxa"/>
            <w:shd w:val="clear" w:color="auto" w:fill="auto"/>
            <w:vAlign w:val="center"/>
          </w:tcPr>
          <w:p w14:paraId="5AF26AA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49A42643" w14:textId="77777777" w:rsidTr="004C3C90">
        <w:trPr>
          <w:trHeight w:val="20"/>
        </w:trPr>
        <w:tc>
          <w:tcPr>
            <w:tcW w:w="550" w:type="dxa"/>
            <w:shd w:val="clear" w:color="auto" w:fill="auto"/>
            <w:vAlign w:val="center"/>
          </w:tcPr>
          <w:p w14:paraId="194D819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714</w:t>
            </w:r>
          </w:p>
        </w:tc>
        <w:tc>
          <w:tcPr>
            <w:tcW w:w="1071" w:type="dxa"/>
            <w:shd w:val="clear" w:color="auto" w:fill="auto"/>
            <w:vAlign w:val="center"/>
          </w:tcPr>
          <w:p w14:paraId="4D70543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95BB93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Papis D, Marangoni G</w:t>
            </w:r>
          </w:p>
        </w:tc>
        <w:tc>
          <w:tcPr>
            <w:tcW w:w="7010" w:type="dxa"/>
            <w:shd w:val="clear" w:color="auto" w:fill="auto"/>
            <w:vAlign w:val="center"/>
          </w:tcPr>
          <w:p w14:paraId="7EDC664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Surgical Treatment of Megaduodenum in Familial Visceral Myopathy - Report of a Case and Review of the Literature</w:t>
            </w:r>
          </w:p>
        </w:tc>
        <w:tc>
          <w:tcPr>
            <w:tcW w:w="568" w:type="dxa"/>
            <w:shd w:val="clear" w:color="auto" w:fill="auto"/>
            <w:vAlign w:val="center"/>
          </w:tcPr>
          <w:p w14:paraId="684C13E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3989F4BB" w14:textId="77777777" w:rsidTr="004C3C90">
        <w:trPr>
          <w:trHeight w:val="20"/>
        </w:trPr>
        <w:tc>
          <w:tcPr>
            <w:tcW w:w="550" w:type="dxa"/>
            <w:shd w:val="clear" w:color="auto" w:fill="auto"/>
            <w:vAlign w:val="center"/>
          </w:tcPr>
          <w:p w14:paraId="395CABA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715</w:t>
            </w:r>
          </w:p>
        </w:tc>
        <w:tc>
          <w:tcPr>
            <w:tcW w:w="1071" w:type="dxa"/>
            <w:shd w:val="clear" w:color="auto" w:fill="auto"/>
            <w:vAlign w:val="center"/>
          </w:tcPr>
          <w:p w14:paraId="33324BA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B8C6C8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Erginel B, Gün F, Kocaman H, Çelik A, Salman T</w:t>
            </w:r>
          </w:p>
        </w:tc>
        <w:tc>
          <w:tcPr>
            <w:tcW w:w="7010" w:type="dxa"/>
            <w:shd w:val="clear" w:color="auto" w:fill="auto"/>
            <w:vAlign w:val="center"/>
          </w:tcPr>
          <w:p w14:paraId="452B64D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Three Cases of Triple a Syndrome (Allgrove Syndrome) in Pediatric Surgeons' View</w:t>
            </w:r>
          </w:p>
        </w:tc>
        <w:tc>
          <w:tcPr>
            <w:tcW w:w="568" w:type="dxa"/>
            <w:shd w:val="clear" w:color="auto" w:fill="auto"/>
            <w:vAlign w:val="center"/>
          </w:tcPr>
          <w:p w14:paraId="2CC9172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0BF30B9A" w14:textId="77777777" w:rsidTr="004C3C90">
        <w:trPr>
          <w:trHeight w:val="20"/>
        </w:trPr>
        <w:tc>
          <w:tcPr>
            <w:tcW w:w="550" w:type="dxa"/>
            <w:shd w:val="clear" w:color="auto" w:fill="auto"/>
            <w:vAlign w:val="center"/>
          </w:tcPr>
          <w:p w14:paraId="7C7E814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716</w:t>
            </w:r>
          </w:p>
        </w:tc>
        <w:tc>
          <w:tcPr>
            <w:tcW w:w="1071" w:type="dxa"/>
            <w:shd w:val="clear" w:color="auto" w:fill="auto"/>
            <w:vAlign w:val="center"/>
          </w:tcPr>
          <w:p w14:paraId="1C3338D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4198B0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Tsai CC, Wu MN</w:t>
            </w:r>
          </w:p>
        </w:tc>
        <w:tc>
          <w:tcPr>
            <w:tcW w:w="7010" w:type="dxa"/>
            <w:shd w:val="clear" w:color="auto" w:fill="auto"/>
            <w:vAlign w:val="center"/>
          </w:tcPr>
          <w:p w14:paraId="12F707A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Frequent Ischemic Stroke as First Manifestation of Occult Colon Cancer: A Rare Case</w:t>
            </w:r>
          </w:p>
        </w:tc>
        <w:tc>
          <w:tcPr>
            <w:tcW w:w="568" w:type="dxa"/>
            <w:shd w:val="clear" w:color="auto" w:fill="auto"/>
            <w:vAlign w:val="center"/>
          </w:tcPr>
          <w:p w14:paraId="29ED341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284741FA" w14:textId="77777777" w:rsidTr="004C3C90">
        <w:trPr>
          <w:trHeight w:val="20"/>
        </w:trPr>
        <w:tc>
          <w:tcPr>
            <w:tcW w:w="550" w:type="dxa"/>
            <w:shd w:val="clear" w:color="auto" w:fill="auto"/>
            <w:vAlign w:val="center"/>
          </w:tcPr>
          <w:p w14:paraId="0610D8D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717</w:t>
            </w:r>
          </w:p>
        </w:tc>
        <w:tc>
          <w:tcPr>
            <w:tcW w:w="1071" w:type="dxa"/>
            <w:shd w:val="clear" w:color="auto" w:fill="auto"/>
            <w:vAlign w:val="center"/>
          </w:tcPr>
          <w:p w14:paraId="4F5C0F1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9BBD4C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Modi J, Kamal J, Eter A, El-Sayegh S, El-Charabaty E</w:t>
            </w:r>
          </w:p>
        </w:tc>
        <w:tc>
          <w:tcPr>
            <w:tcW w:w="7010" w:type="dxa"/>
            <w:shd w:val="clear" w:color="auto" w:fill="auto"/>
            <w:vAlign w:val="center"/>
          </w:tcPr>
          <w:p w14:paraId="55DE8D9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Immunoglobulin D Multiple Myeloma with Rapidly Progressing Renal Failure</w:t>
            </w:r>
          </w:p>
        </w:tc>
        <w:tc>
          <w:tcPr>
            <w:tcW w:w="568" w:type="dxa"/>
            <w:shd w:val="clear" w:color="auto" w:fill="auto"/>
            <w:vAlign w:val="center"/>
          </w:tcPr>
          <w:p w14:paraId="55EAB5A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4E3C6915" w14:textId="77777777" w:rsidTr="004C3C90">
        <w:trPr>
          <w:trHeight w:val="20"/>
        </w:trPr>
        <w:tc>
          <w:tcPr>
            <w:tcW w:w="550" w:type="dxa"/>
            <w:shd w:val="clear" w:color="auto" w:fill="auto"/>
            <w:vAlign w:val="center"/>
          </w:tcPr>
          <w:p w14:paraId="50BACEC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718</w:t>
            </w:r>
          </w:p>
        </w:tc>
        <w:tc>
          <w:tcPr>
            <w:tcW w:w="1071" w:type="dxa"/>
            <w:shd w:val="clear" w:color="auto" w:fill="auto"/>
            <w:vAlign w:val="center"/>
          </w:tcPr>
          <w:p w14:paraId="299BF35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ED3809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Opotowsky AR, Moko LE, Ginns J, et al.</w:t>
            </w:r>
          </w:p>
        </w:tc>
        <w:tc>
          <w:tcPr>
            <w:tcW w:w="7010" w:type="dxa"/>
            <w:shd w:val="clear" w:color="auto" w:fill="auto"/>
            <w:vAlign w:val="center"/>
          </w:tcPr>
          <w:p w14:paraId="72F9D45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Pheochromocytoma and Paraganglioma in Cyanotic Congenital Heart Disease</w:t>
            </w:r>
          </w:p>
        </w:tc>
        <w:tc>
          <w:tcPr>
            <w:tcW w:w="568" w:type="dxa"/>
            <w:shd w:val="clear" w:color="auto" w:fill="auto"/>
            <w:vAlign w:val="center"/>
          </w:tcPr>
          <w:p w14:paraId="7554B8A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4647EC88" w14:textId="77777777" w:rsidTr="004C3C90">
        <w:trPr>
          <w:trHeight w:val="20"/>
        </w:trPr>
        <w:tc>
          <w:tcPr>
            <w:tcW w:w="550" w:type="dxa"/>
            <w:shd w:val="clear" w:color="auto" w:fill="auto"/>
            <w:vAlign w:val="center"/>
          </w:tcPr>
          <w:p w14:paraId="7E982E0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719</w:t>
            </w:r>
          </w:p>
        </w:tc>
        <w:tc>
          <w:tcPr>
            <w:tcW w:w="1071" w:type="dxa"/>
            <w:shd w:val="clear" w:color="auto" w:fill="auto"/>
            <w:vAlign w:val="center"/>
          </w:tcPr>
          <w:p w14:paraId="2F2BD0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EF2B93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Kumar S, Sharma S</w:t>
            </w:r>
          </w:p>
        </w:tc>
        <w:tc>
          <w:tcPr>
            <w:tcW w:w="7010" w:type="dxa"/>
            <w:shd w:val="clear" w:color="auto" w:fill="auto"/>
            <w:vAlign w:val="center"/>
          </w:tcPr>
          <w:p w14:paraId="00B98BA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Polyneuropathy, Organomegaly, Endocrinopathy, M-Protein and Skin Changes (Poems Syndrome): A Paraneoplastic Syndrome</w:t>
            </w:r>
          </w:p>
        </w:tc>
        <w:tc>
          <w:tcPr>
            <w:tcW w:w="568" w:type="dxa"/>
            <w:shd w:val="clear" w:color="auto" w:fill="auto"/>
            <w:vAlign w:val="center"/>
          </w:tcPr>
          <w:p w14:paraId="692EDFA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AF3BEF1" w14:textId="77777777" w:rsidTr="004C3C90">
        <w:trPr>
          <w:trHeight w:val="20"/>
        </w:trPr>
        <w:tc>
          <w:tcPr>
            <w:tcW w:w="550" w:type="dxa"/>
            <w:shd w:val="clear" w:color="auto" w:fill="auto"/>
            <w:vAlign w:val="center"/>
          </w:tcPr>
          <w:p w14:paraId="5049E5F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720</w:t>
            </w:r>
          </w:p>
        </w:tc>
        <w:tc>
          <w:tcPr>
            <w:tcW w:w="1071" w:type="dxa"/>
            <w:shd w:val="clear" w:color="auto" w:fill="auto"/>
            <w:vAlign w:val="center"/>
          </w:tcPr>
          <w:p w14:paraId="3E06FB6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CE8A39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Granvall SA</w:t>
            </w:r>
          </w:p>
        </w:tc>
        <w:tc>
          <w:tcPr>
            <w:tcW w:w="7010" w:type="dxa"/>
            <w:shd w:val="clear" w:color="auto" w:fill="auto"/>
            <w:vAlign w:val="center"/>
          </w:tcPr>
          <w:p w14:paraId="73D8E8F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 Garengeot Hernia: A Unique Surgical Finding</w:t>
            </w:r>
          </w:p>
        </w:tc>
        <w:tc>
          <w:tcPr>
            <w:tcW w:w="568" w:type="dxa"/>
            <w:shd w:val="clear" w:color="auto" w:fill="auto"/>
            <w:vAlign w:val="center"/>
          </w:tcPr>
          <w:p w14:paraId="636F2BE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2FF40C0A" w14:textId="77777777" w:rsidTr="004C3C90">
        <w:trPr>
          <w:trHeight w:val="20"/>
        </w:trPr>
        <w:tc>
          <w:tcPr>
            <w:tcW w:w="550" w:type="dxa"/>
            <w:shd w:val="clear" w:color="auto" w:fill="auto"/>
            <w:vAlign w:val="center"/>
          </w:tcPr>
          <w:p w14:paraId="33F0F9B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721</w:t>
            </w:r>
          </w:p>
        </w:tc>
        <w:tc>
          <w:tcPr>
            <w:tcW w:w="1071" w:type="dxa"/>
            <w:shd w:val="clear" w:color="auto" w:fill="auto"/>
            <w:vAlign w:val="center"/>
          </w:tcPr>
          <w:p w14:paraId="3EA8DD5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F400FB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Tadano S, Kondo T, Watanabe M, Takayashiki N, Shiozawa T, Ohara G,</w:t>
            </w:r>
            <w:r w:rsidRPr="004C3C90">
              <w:rPr>
                <w:rFonts w:ascii="Times New Roman" w:eastAsia="Times New Roman" w:hAnsi="Times New Roman" w:cs="Times New Roman"/>
                <w:sz w:val="20"/>
                <w:szCs w:val="20"/>
                <w:highlight w:val="white"/>
              </w:rPr>
              <w:t xml:space="preserve"> et al. </w:t>
            </w:r>
          </w:p>
        </w:tc>
        <w:tc>
          <w:tcPr>
            <w:tcW w:w="7010" w:type="dxa"/>
            <w:shd w:val="clear" w:color="auto" w:fill="auto"/>
            <w:vAlign w:val="center"/>
          </w:tcPr>
          <w:p w14:paraId="07A8F49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Incidental Esophageal Submucosal Tumor Detection by Chest Radiography: A Case Report</w:t>
            </w:r>
          </w:p>
        </w:tc>
        <w:tc>
          <w:tcPr>
            <w:tcW w:w="568" w:type="dxa"/>
            <w:shd w:val="clear" w:color="auto" w:fill="auto"/>
            <w:vAlign w:val="center"/>
          </w:tcPr>
          <w:p w14:paraId="77BD305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714300FE" w14:textId="77777777" w:rsidTr="004C3C90">
        <w:trPr>
          <w:trHeight w:val="20"/>
        </w:trPr>
        <w:tc>
          <w:tcPr>
            <w:tcW w:w="550" w:type="dxa"/>
            <w:shd w:val="clear" w:color="auto" w:fill="auto"/>
            <w:vAlign w:val="center"/>
          </w:tcPr>
          <w:p w14:paraId="407EA97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722</w:t>
            </w:r>
          </w:p>
        </w:tc>
        <w:tc>
          <w:tcPr>
            <w:tcW w:w="1071" w:type="dxa"/>
            <w:shd w:val="clear" w:color="auto" w:fill="auto"/>
            <w:vAlign w:val="center"/>
          </w:tcPr>
          <w:p w14:paraId="5638C95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B902F5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Dreznik Y, Gutman M, Weiss B, Nevler A</w:t>
            </w:r>
          </w:p>
        </w:tc>
        <w:tc>
          <w:tcPr>
            <w:tcW w:w="7010" w:type="dxa"/>
            <w:shd w:val="clear" w:color="auto" w:fill="auto"/>
            <w:vAlign w:val="center"/>
          </w:tcPr>
          <w:p w14:paraId="45762E8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Mitochondrial Neuro-Gastrointestinal Encephalomyopathy Presenting with Recurrent Bowel Perforations and Intra-Abdominal Abscesses</w:t>
            </w:r>
          </w:p>
        </w:tc>
        <w:tc>
          <w:tcPr>
            <w:tcW w:w="568" w:type="dxa"/>
            <w:shd w:val="clear" w:color="auto" w:fill="auto"/>
            <w:vAlign w:val="center"/>
          </w:tcPr>
          <w:p w14:paraId="61E38A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2E365D51" w14:textId="77777777" w:rsidTr="004C3C90">
        <w:trPr>
          <w:trHeight w:val="20"/>
        </w:trPr>
        <w:tc>
          <w:tcPr>
            <w:tcW w:w="550" w:type="dxa"/>
            <w:shd w:val="clear" w:color="auto" w:fill="auto"/>
            <w:vAlign w:val="center"/>
          </w:tcPr>
          <w:p w14:paraId="3289F85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723</w:t>
            </w:r>
          </w:p>
        </w:tc>
        <w:tc>
          <w:tcPr>
            <w:tcW w:w="1071" w:type="dxa"/>
            <w:shd w:val="clear" w:color="auto" w:fill="auto"/>
            <w:vAlign w:val="center"/>
          </w:tcPr>
          <w:p w14:paraId="720953B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ADD3DB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Schotanus M, van Hout N, Vos D</w:t>
            </w:r>
          </w:p>
        </w:tc>
        <w:tc>
          <w:tcPr>
            <w:tcW w:w="7010" w:type="dxa"/>
            <w:shd w:val="clear" w:color="auto" w:fill="auto"/>
            <w:vAlign w:val="center"/>
          </w:tcPr>
          <w:p w14:paraId="4496669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Pyoderma Gangrenosum of the Hand</w:t>
            </w:r>
          </w:p>
        </w:tc>
        <w:tc>
          <w:tcPr>
            <w:tcW w:w="568" w:type="dxa"/>
            <w:shd w:val="clear" w:color="auto" w:fill="auto"/>
            <w:vAlign w:val="center"/>
          </w:tcPr>
          <w:p w14:paraId="58EA43C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0E4D4AA5" w14:textId="77777777" w:rsidTr="004C3C90">
        <w:trPr>
          <w:trHeight w:val="20"/>
        </w:trPr>
        <w:tc>
          <w:tcPr>
            <w:tcW w:w="550" w:type="dxa"/>
            <w:shd w:val="clear" w:color="auto" w:fill="auto"/>
            <w:vAlign w:val="center"/>
          </w:tcPr>
          <w:p w14:paraId="76A6BF3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724</w:t>
            </w:r>
          </w:p>
        </w:tc>
        <w:tc>
          <w:tcPr>
            <w:tcW w:w="1071" w:type="dxa"/>
            <w:shd w:val="clear" w:color="auto" w:fill="auto"/>
            <w:vAlign w:val="center"/>
          </w:tcPr>
          <w:p w14:paraId="7602BC8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2078A8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Dhinsa BS, Abdul-Jabar HB, Rajkumar S, Kochhar T</w:t>
            </w:r>
          </w:p>
        </w:tc>
        <w:tc>
          <w:tcPr>
            <w:tcW w:w="7010" w:type="dxa"/>
            <w:shd w:val="clear" w:color="auto" w:fill="auto"/>
            <w:vAlign w:val="center"/>
          </w:tcPr>
          <w:p w14:paraId="565AC7F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Rare Case of Primary Psoas Abscess Causing Hip Pain in a Patient with Hip Replacement</w:t>
            </w:r>
          </w:p>
        </w:tc>
        <w:tc>
          <w:tcPr>
            <w:tcW w:w="568" w:type="dxa"/>
            <w:shd w:val="clear" w:color="auto" w:fill="auto"/>
            <w:vAlign w:val="center"/>
          </w:tcPr>
          <w:p w14:paraId="73B5536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5498140F" w14:textId="77777777" w:rsidTr="004C3C90">
        <w:trPr>
          <w:trHeight w:val="20"/>
        </w:trPr>
        <w:tc>
          <w:tcPr>
            <w:tcW w:w="550" w:type="dxa"/>
            <w:shd w:val="clear" w:color="auto" w:fill="auto"/>
            <w:vAlign w:val="center"/>
          </w:tcPr>
          <w:p w14:paraId="463566A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725</w:t>
            </w:r>
          </w:p>
        </w:tc>
        <w:tc>
          <w:tcPr>
            <w:tcW w:w="1071" w:type="dxa"/>
            <w:shd w:val="clear" w:color="auto" w:fill="auto"/>
            <w:vAlign w:val="center"/>
          </w:tcPr>
          <w:p w14:paraId="09AFA57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26B20F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Anoumou MN, Kouame M, Daix T, Yepie A</w:t>
            </w:r>
          </w:p>
        </w:tc>
        <w:tc>
          <w:tcPr>
            <w:tcW w:w="7010" w:type="dxa"/>
            <w:shd w:val="clear" w:color="auto" w:fill="auto"/>
            <w:vAlign w:val="center"/>
          </w:tcPr>
          <w:p w14:paraId="52DD7F8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Tuberculosis Tenosynovitis of the Flexor Tendons in the Wrist: A Case Report</w:t>
            </w:r>
          </w:p>
        </w:tc>
        <w:tc>
          <w:tcPr>
            <w:tcW w:w="568" w:type="dxa"/>
            <w:shd w:val="clear" w:color="auto" w:fill="auto"/>
            <w:vAlign w:val="center"/>
          </w:tcPr>
          <w:p w14:paraId="1672FE7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13D1872C" w14:textId="77777777" w:rsidTr="004C3C90">
        <w:trPr>
          <w:trHeight w:val="20"/>
        </w:trPr>
        <w:tc>
          <w:tcPr>
            <w:tcW w:w="550" w:type="dxa"/>
            <w:shd w:val="clear" w:color="auto" w:fill="auto"/>
            <w:vAlign w:val="center"/>
          </w:tcPr>
          <w:p w14:paraId="6946699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726</w:t>
            </w:r>
          </w:p>
        </w:tc>
        <w:tc>
          <w:tcPr>
            <w:tcW w:w="1071" w:type="dxa"/>
            <w:shd w:val="clear" w:color="auto" w:fill="auto"/>
            <w:vAlign w:val="center"/>
          </w:tcPr>
          <w:p w14:paraId="4D4D1C5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245440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Gajendra S, Gupta R, Gupta R, Kumar L</w:t>
            </w:r>
          </w:p>
        </w:tc>
        <w:tc>
          <w:tcPr>
            <w:tcW w:w="7010" w:type="dxa"/>
            <w:shd w:val="clear" w:color="auto" w:fill="auto"/>
            <w:vAlign w:val="center"/>
          </w:tcPr>
          <w:p w14:paraId="56503F4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Coexistence of Scleroderma with Multiple Myeloma: A Rare Association</w:t>
            </w:r>
          </w:p>
        </w:tc>
        <w:tc>
          <w:tcPr>
            <w:tcW w:w="568" w:type="dxa"/>
            <w:shd w:val="clear" w:color="auto" w:fill="auto"/>
            <w:vAlign w:val="center"/>
          </w:tcPr>
          <w:p w14:paraId="5F9936A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61235C14" w14:textId="77777777" w:rsidTr="004C3C90">
        <w:trPr>
          <w:trHeight w:val="20"/>
        </w:trPr>
        <w:tc>
          <w:tcPr>
            <w:tcW w:w="550" w:type="dxa"/>
            <w:shd w:val="clear" w:color="auto" w:fill="auto"/>
            <w:vAlign w:val="center"/>
          </w:tcPr>
          <w:p w14:paraId="683B5DC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727</w:t>
            </w:r>
          </w:p>
        </w:tc>
        <w:tc>
          <w:tcPr>
            <w:tcW w:w="1071" w:type="dxa"/>
            <w:shd w:val="clear" w:color="auto" w:fill="auto"/>
            <w:vAlign w:val="center"/>
          </w:tcPr>
          <w:p w14:paraId="488A71D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23F16D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Bavisetty S, Grody WW, Yazdani S</w:t>
            </w:r>
          </w:p>
        </w:tc>
        <w:tc>
          <w:tcPr>
            <w:tcW w:w="7010" w:type="dxa"/>
            <w:shd w:val="clear" w:color="auto" w:fill="auto"/>
            <w:vAlign w:val="center"/>
          </w:tcPr>
          <w:p w14:paraId="495ACFC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Emergence of Pediatric Rare Diseases: Review of Present Policies and Opportunities for Improvement</w:t>
            </w:r>
          </w:p>
        </w:tc>
        <w:tc>
          <w:tcPr>
            <w:tcW w:w="568" w:type="dxa"/>
            <w:shd w:val="clear" w:color="auto" w:fill="auto"/>
            <w:vAlign w:val="center"/>
          </w:tcPr>
          <w:p w14:paraId="3BE1D13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0AD1C4EB" w14:textId="77777777" w:rsidTr="004C3C90">
        <w:trPr>
          <w:trHeight w:val="20"/>
        </w:trPr>
        <w:tc>
          <w:tcPr>
            <w:tcW w:w="550" w:type="dxa"/>
            <w:shd w:val="clear" w:color="auto" w:fill="auto"/>
            <w:vAlign w:val="center"/>
          </w:tcPr>
          <w:p w14:paraId="2490613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728</w:t>
            </w:r>
          </w:p>
        </w:tc>
        <w:tc>
          <w:tcPr>
            <w:tcW w:w="1071" w:type="dxa"/>
            <w:shd w:val="clear" w:color="auto" w:fill="auto"/>
            <w:vAlign w:val="center"/>
          </w:tcPr>
          <w:p w14:paraId="51EDDDF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D69DB1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Asencio-Egea MA, Huertas-Vaquero M, Carranza-González R, et al. </w:t>
            </w:r>
          </w:p>
        </w:tc>
        <w:tc>
          <w:tcPr>
            <w:tcW w:w="7010" w:type="dxa"/>
            <w:shd w:val="clear" w:color="auto" w:fill="auto"/>
            <w:vAlign w:val="center"/>
          </w:tcPr>
          <w:p w14:paraId="5106292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Endogenous Endophthalmitis: Case Report and Brief Review of a Serious Ocular Disease</w:t>
            </w:r>
          </w:p>
        </w:tc>
        <w:tc>
          <w:tcPr>
            <w:tcW w:w="568" w:type="dxa"/>
            <w:shd w:val="clear" w:color="auto" w:fill="auto"/>
            <w:vAlign w:val="center"/>
          </w:tcPr>
          <w:p w14:paraId="7466121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18E04223" w14:textId="77777777" w:rsidTr="004C3C90">
        <w:trPr>
          <w:trHeight w:val="20"/>
        </w:trPr>
        <w:tc>
          <w:tcPr>
            <w:tcW w:w="550" w:type="dxa"/>
            <w:shd w:val="clear" w:color="auto" w:fill="auto"/>
            <w:vAlign w:val="center"/>
          </w:tcPr>
          <w:p w14:paraId="2C7C31E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729</w:t>
            </w:r>
          </w:p>
        </w:tc>
        <w:tc>
          <w:tcPr>
            <w:tcW w:w="1071" w:type="dxa"/>
            <w:shd w:val="clear" w:color="auto" w:fill="auto"/>
            <w:vAlign w:val="center"/>
          </w:tcPr>
          <w:p w14:paraId="33925BA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0D30A7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Veeravagu A, Lad SP, Camara-Quintana JQ, Jiang B, Shuer L</w:t>
            </w:r>
          </w:p>
        </w:tc>
        <w:tc>
          <w:tcPr>
            <w:tcW w:w="7010" w:type="dxa"/>
            <w:shd w:val="clear" w:color="auto" w:fill="auto"/>
            <w:vAlign w:val="center"/>
          </w:tcPr>
          <w:p w14:paraId="0B45F15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Neurosurgical Interventions for Spondyloepiphyseal Dysplasia Congenita: Clinical Presentation and Assessment of the Literature</w:t>
            </w:r>
          </w:p>
        </w:tc>
        <w:tc>
          <w:tcPr>
            <w:tcW w:w="568" w:type="dxa"/>
            <w:shd w:val="clear" w:color="auto" w:fill="auto"/>
            <w:vAlign w:val="center"/>
          </w:tcPr>
          <w:p w14:paraId="15487C9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635F0CBF" w14:textId="77777777" w:rsidTr="004C3C90">
        <w:trPr>
          <w:trHeight w:val="20"/>
        </w:trPr>
        <w:tc>
          <w:tcPr>
            <w:tcW w:w="550" w:type="dxa"/>
            <w:shd w:val="clear" w:color="auto" w:fill="auto"/>
            <w:vAlign w:val="center"/>
          </w:tcPr>
          <w:p w14:paraId="6E5602A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730</w:t>
            </w:r>
          </w:p>
        </w:tc>
        <w:tc>
          <w:tcPr>
            <w:tcW w:w="1071" w:type="dxa"/>
            <w:shd w:val="clear" w:color="auto" w:fill="auto"/>
            <w:vAlign w:val="center"/>
          </w:tcPr>
          <w:p w14:paraId="74B13EA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EBE43B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Alayli MB, Sanjad SA</w:t>
            </w:r>
          </w:p>
        </w:tc>
        <w:tc>
          <w:tcPr>
            <w:tcW w:w="7010" w:type="dxa"/>
            <w:shd w:val="clear" w:color="auto" w:fill="auto"/>
            <w:vAlign w:val="center"/>
          </w:tcPr>
          <w:p w14:paraId="7437DD3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Severe Hypoalphalipoproteinaemia in a Child with Acute Post-Streptococcal Glomerulonephritis (Apsgn)</w:t>
            </w:r>
          </w:p>
        </w:tc>
        <w:tc>
          <w:tcPr>
            <w:tcW w:w="568" w:type="dxa"/>
            <w:shd w:val="clear" w:color="auto" w:fill="auto"/>
            <w:vAlign w:val="center"/>
          </w:tcPr>
          <w:p w14:paraId="1E2DF00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5DA0D3AB" w14:textId="77777777" w:rsidTr="004C3C90">
        <w:trPr>
          <w:trHeight w:val="20"/>
        </w:trPr>
        <w:tc>
          <w:tcPr>
            <w:tcW w:w="550" w:type="dxa"/>
            <w:shd w:val="clear" w:color="auto" w:fill="auto"/>
            <w:vAlign w:val="center"/>
          </w:tcPr>
          <w:p w14:paraId="5078D60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731</w:t>
            </w:r>
          </w:p>
        </w:tc>
        <w:tc>
          <w:tcPr>
            <w:tcW w:w="1071" w:type="dxa"/>
            <w:shd w:val="clear" w:color="auto" w:fill="auto"/>
            <w:vAlign w:val="center"/>
          </w:tcPr>
          <w:p w14:paraId="46B8825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F6C563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Kunin N, Gancel CH, Foret A, Gayet C, Letoquart JP, Daaboul M</w:t>
            </w:r>
          </w:p>
        </w:tc>
        <w:tc>
          <w:tcPr>
            <w:tcW w:w="7010" w:type="dxa"/>
            <w:shd w:val="clear" w:color="auto" w:fill="auto"/>
            <w:vAlign w:val="center"/>
          </w:tcPr>
          <w:p w14:paraId="6A3427F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Transiliac Hernia after Bone Graft</w:t>
            </w:r>
          </w:p>
        </w:tc>
        <w:tc>
          <w:tcPr>
            <w:tcW w:w="568" w:type="dxa"/>
            <w:shd w:val="clear" w:color="auto" w:fill="auto"/>
            <w:vAlign w:val="center"/>
          </w:tcPr>
          <w:p w14:paraId="6DEDFA1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2FB0D422" w14:textId="77777777" w:rsidTr="004C3C90">
        <w:trPr>
          <w:trHeight w:val="20"/>
        </w:trPr>
        <w:tc>
          <w:tcPr>
            <w:tcW w:w="550" w:type="dxa"/>
            <w:shd w:val="clear" w:color="auto" w:fill="auto"/>
            <w:vAlign w:val="center"/>
          </w:tcPr>
          <w:p w14:paraId="7DE53CA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732</w:t>
            </w:r>
          </w:p>
        </w:tc>
        <w:tc>
          <w:tcPr>
            <w:tcW w:w="1071" w:type="dxa"/>
            <w:shd w:val="clear" w:color="auto" w:fill="auto"/>
            <w:vAlign w:val="center"/>
          </w:tcPr>
          <w:p w14:paraId="5E55DF3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F60179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Mitu F, Turcanu AM</w:t>
            </w:r>
          </w:p>
        </w:tc>
        <w:tc>
          <w:tcPr>
            <w:tcW w:w="7010" w:type="dxa"/>
            <w:shd w:val="clear" w:color="auto" w:fill="auto"/>
            <w:vAlign w:val="center"/>
          </w:tcPr>
          <w:p w14:paraId="4474FB6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Chronic Venous Insufficiency Stage V Ceap Secondary to Hereditary Thrombophilia at a Young Man</w:t>
            </w:r>
          </w:p>
        </w:tc>
        <w:tc>
          <w:tcPr>
            <w:tcW w:w="568" w:type="dxa"/>
            <w:shd w:val="clear" w:color="auto" w:fill="auto"/>
            <w:vAlign w:val="center"/>
          </w:tcPr>
          <w:p w14:paraId="56DE781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08438060" w14:textId="77777777" w:rsidTr="004C3C90">
        <w:trPr>
          <w:trHeight w:val="20"/>
        </w:trPr>
        <w:tc>
          <w:tcPr>
            <w:tcW w:w="550" w:type="dxa"/>
            <w:shd w:val="clear" w:color="auto" w:fill="auto"/>
            <w:vAlign w:val="center"/>
          </w:tcPr>
          <w:p w14:paraId="2DC6D96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733</w:t>
            </w:r>
          </w:p>
        </w:tc>
        <w:tc>
          <w:tcPr>
            <w:tcW w:w="1071" w:type="dxa"/>
            <w:shd w:val="clear" w:color="auto" w:fill="auto"/>
            <w:vAlign w:val="center"/>
          </w:tcPr>
          <w:p w14:paraId="408FB92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4BE305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Costantinides F, Luzzati R, Tognetto D, Bazzocchi G, Biasotto M, Tirelli GC</w:t>
            </w:r>
          </w:p>
        </w:tc>
        <w:tc>
          <w:tcPr>
            <w:tcW w:w="7010" w:type="dxa"/>
            <w:shd w:val="clear" w:color="auto" w:fill="auto"/>
            <w:vAlign w:val="center"/>
          </w:tcPr>
          <w:p w14:paraId="6F5104B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Rapidly Progressing Subperiosteal Orbital Abscess: An Unexpected Complication of a Group-a Streptococcal Pharyngitis in a Healthy Young Patient</w:t>
            </w:r>
          </w:p>
        </w:tc>
        <w:tc>
          <w:tcPr>
            <w:tcW w:w="568" w:type="dxa"/>
            <w:shd w:val="clear" w:color="auto" w:fill="auto"/>
            <w:vAlign w:val="center"/>
          </w:tcPr>
          <w:p w14:paraId="122DF6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54EBC1C1" w14:textId="77777777" w:rsidTr="004C3C90">
        <w:trPr>
          <w:trHeight w:val="20"/>
        </w:trPr>
        <w:tc>
          <w:tcPr>
            <w:tcW w:w="550" w:type="dxa"/>
            <w:shd w:val="clear" w:color="auto" w:fill="auto"/>
            <w:vAlign w:val="center"/>
          </w:tcPr>
          <w:p w14:paraId="20A0879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734</w:t>
            </w:r>
          </w:p>
        </w:tc>
        <w:tc>
          <w:tcPr>
            <w:tcW w:w="1071" w:type="dxa"/>
            <w:shd w:val="clear" w:color="auto" w:fill="auto"/>
            <w:vAlign w:val="center"/>
          </w:tcPr>
          <w:p w14:paraId="497E85D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5E18F1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Gupta M, Verma R, Garg RK, Singh M</w:t>
            </w:r>
          </w:p>
        </w:tc>
        <w:tc>
          <w:tcPr>
            <w:tcW w:w="7010" w:type="dxa"/>
            <w:shd w:val="clear" w:color="auto" w:fill="auto"/>
            <w:vAlign w:val="center"/>
          </w:tcPr>
          <w:p w14:paraId="093AC36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 Unusual Case of Poems Syndrome</w:t>
            </w:r>
          </w:p>
        </w:tc>
        <w:tc>
          <w:tcPr>
            <w:tcW w:w="568" w:type="dxa"/>
            <w:shd w:val="clear" w:color="auto" w:fill="auto"/>
            <w:vAlign w:val="center"/>
          </w:tcPr>
          <w:p w14:paraId="2E67887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0BD31910" w14:textId="77777777" w:rsidTr="004C3C90">
        <w:trPr>
          <w:trHeight w:val="20"/>
        </w:trPr>
        <w:tc>
          <w:tcPr>
            <w:tcW w:w="550" w:type="dxa"/>
            <w:shd w:val="clear" w:color="auto" w:fill="auto"/>
            <w:vAlign w:val="center"/>
          </w:tcPr>
          <w:p w14:paraId="7374F89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735</w:t>
            </w:r>
          </w:p>
        </w:tc>
        <w:tc>
          <w:tcPr>
            <w:tcW w:w="1071" w:type="dxa"/>
            <w:shd w:val="clear" w:color="auto" w:fill="auto"/>
            <w:vAlign w:val="center"/>
          </w:tcPr>
          <w:p w14:paraId="697236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DB26CE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Goujon-Bellec S, Demoury C, Guyot-Goubin A, Hémon D, Clavel J</w:t>
            </w:r>
          </w:p>
        </w:tc>
        <w:tc>
          <w:tcPr>
            <w:tcW w:w="7010" w:type="dxa"/>
            <w:shd w:val="clear" w:color="auto" w:fill="auto"/>
            <w:vAlign w:val="center"/>
          </w:tcPr>
          <w:p w14:paraId="2109B4D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Detection of Clusters of a Rare Disease over a Large Territory: Performance of Cluster Detection Methods</w:t>
            </w:r>
          </w:p>
        </w:tc>
        <w:tc>
          <w:tcPr>
            <w:tcW w:w="568" w:type="dxa"/>
            <w:shd w:val="clear" w:color="auto" w:fill="auto"/>
            <w:vAlign w:val="center"/>
          </w:tcPr>
          <w:p w14:paraId="0C6B4F6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7BF3BFAB" w14:textId="77777777" w:rsidTr="004C3C90">
        <w:trPr>
          <w:trHeight w:val="20"/>
        </w:trPr>
        <w:tc>
          <w:tcPr>
            <w:tcW w:w="550" w:type="dxa"/>
            <w:shd w:val="clear" w:color="auto" w:fill="auto"/>
            <w:vAlign w:val="center"/>
          </w:tcPr>
          <w:p w14:paraId="3C75361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736</w:t>
            </w:r>
          </w:p>
        </w:tc>
        <w:tc>
          <w:tcPr>
            <w:tcW w:w="1071" w:type="dxa"/>
            <w:shd w:val="clear" w:color="auto" w:fill="auto"/>
            <w:vAlign w:val="center"/>
          </w:tcPr>
          <w:p w14:paraId="77A8911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8D38B9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Al-Haggar M, Sakamoto O, Shaltout A, El-Hawary A, Wahba Y, Abdel-Hadi D</w:t>
            </w:r>
          </w:p>
        </w:tc>
        <w:tc>
          <w:tcPr>
            <w:tcW w:w="7010" w:type="dxa"/>
            <w:shd w:val="clear" w:color="auto" w:fill="auto"/>
            <w:vAlign w:val="center"/>
          </w:tcPr>
          <w:p w14:paraId="069F883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Fanconi Bickel Syndrome: Novel Mutations in Glut 2 Gene Causing a Distinguished Form of Renal Tubular Acidosis in Two Unrelated Egyptian Families</w:t>
            </w:r>
          </w:p>
        </w:tc>
        <w:tc>
          <w:tcPr>
            <w:tcW w:w="568" w:type="dxa"/>
            <w:shd w:val="clear" w:color="auto" w:fill="auto"/>
            <w:vAlign w:val="center"/>
          </w:tcPr>
          <w:p w14:paraId="31393D5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0397D35D" w14:textId="77777777" w:rsidTr="004C3C90">
        <w:trPr>
          <w:trHeight w:val="20"/>
        </w:trPr>
        <w:tc>
          <w:tcPr>
            <w:tcW w:w="550" w:type="dxa"/>
            <w:shd w:val="clear" w:color="auto" w:fill="auto"/>
            <w:vAlign w:val="center"/>
          </w:tcPr>
          <w:p w14:paraId="510D0DB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737</w:t>
            </w:r>
          </w:p>
        </w:tc>
        <w:tc>
          <w:tcPr>
            <w:tcW w:w="1071" w:type="dxa"/>
            <w:shd w:val="clear" w:color="auto" w:fill="auto"/>
            <w:vAlign w:val="center"/>
          </w:tcPr>
          <w:p w14:paraId="7CD4E6F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EAEAE9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Miyakoshi N, Hongo M, Kasukawa Y, Misawa A, Shimada Y</w:t>
            </w:r>
          </w:p>
        </w:tc>
        <w:tc>
          <w:tcPr>
            <w:tcW w:w="7010" w:type="dxa"/>
            <w:shd w:val="clear" w:color="auto" w:fill="auto"/>
            <w:vAlign w:val="center"/>
          </w:tcPr>
          <w:p w14:paraId="5E6C845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Bilateral and Symmetric C1-C2 Dumbbell Ganglioneuromas Associated with Neurofibromatosis Type 1 Causing Severe Spinal Cord Compression</w:t>
            </w:r>
          </w:p>
        </w:tc>
        <w:tc>
          <w:tcPr>
            <w:tcW w:w="568" w:type="dxa"/>
            <w:shd w:val="clear" w:color="auto" w:fill="auto"/>
            <w:vAlign w:val="center"/>
          </w:tcPr>
          <w:p w14:paraId="041DBAE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2DDCBC00" w14:textId="77777777" w:rsidTr="004C3C90">
        <w:trPr>
          <w:trHeight w:val="20"/>
        </w:trPr>
        <w:tc>
          <w:tcPr>
            <w:tcW w:w="550" w:type="dxa"/>
            <w:shd w:val="clear" w:color="auto" w:fill="auto"/>
            <w:vAlign w:val="center"/>
          </w:tcPr>
          <w:p w14:paraId="7294470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738</w:t>
            </w:r>
          </w:p>
        </w:tc>
        <w:tc>
          <w:tcPr>
            <w:tcW w:w="1071" w:type="dxa"/>
            <w:shd w:val="clear" w:color="auto" w:fill="auto"/>
            <w:vAlign w:val="center"/>
          </w:tcPr>
          <w:p w14:paraId="3D76239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83F894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Sullivan S</w:t>
            </w:r>
          </w:p>
        </w:tc>
        <w:tc>
          <w:tcPr>
            <w:tcW w:w="7010" w:type="dxa"/>
            <w:shd w:val="clear" w:color="auto" w:fill="auto"/>
            <w:vAlign w:val="center"/>
          </w:tcPr>
          <w:p w14:paraId="38816E1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Cannabinoid Hyperemesis</w:t>
            </w:r>
          </w:p>
        </w:tc>
        <w:tc>
          <w:tcPr>
            <w:tcW w:w="568" w:type="dxa"/>
            <w:shd w:val="clear" w:color="auto" w:fill="auto"/>
            <w:vAlign w:val="center"/>
          </w:tcPr>
          <w:p w14:paraId="586821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4127D574" w14:textId="77777777" w:rsidTr="004C3C90">
        <w:trPr>
          <w:trHeight w:val="20"/>
        </w:trPr>
        <w:tc>
          <w:tcPr>
            <w:tcW w:w="550" w:type="dxa"/>
            <w:shd w:val="clear" w:color="auto" w:fill="auto"/>
            <w:vAlign w:val="center"/>
          </w:tcPr>
          <w:p w14:paraId="08251D4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739</w:t>
            </w:r>
          </w:p>
        </w:tc>
        <w:tc>
          <w:tcPr>
            <w:tcW w:w="1071" w:type="dxa"/>
            <w:shd w:val="clear" w:color="auto" w:fill="auto"/>
            <w:vAlign w:val="center"/>
          </w:tcPr>
          <w:p w14:paraId="12E1C98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AFCD62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Isreb S, Alem F, Smith D</w:t>
            </w:r>
          </w:p>
        </w:tc>
        <w:tc>
          <w:tcPr>
            <w:tcW w:w="7010" w:type="dxa"/>
            <w:shd w:val="clear" w:color="auto" w:fill="auto"/>
            <w:vAlign w:val="center"/>
          </w:tcPr>
          <w:p w14:paraId="50B039A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Left Thyroid Hemiagenesis in a Patient with Primary Hyperparathyroidism</w:t>
            </w:r>
          </w:p>
        </w:tc>
        <w:tc>
          <w:tcPr>
            <w:tcW w:w="568" w:type="dxa"/>
            <w:shd w:val="clear" w:color="auto" w:fill="auto"/>
            <w:vAlign w:val="center"/>
          </w:tcPr>
          <w:p w14:paraId="13A1CC5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3F83DDFE" w14:textId="77777777" w:rsidTr="004C3C90">
        <w:trPr>
          <w:trHeight w:val="20"/>
        </w:trPr>
        <w:tc>
          <w:tcPr>
            <w:tcW w:w="550" w:type="dxa"/>
            <w:shd w:val="clear" w:color="auto" w:fill="auto"/>
            <w:vAlign w:val="center"/>
          </w:tcPr>
          <w:p w14:paraId="3034AC6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740</w:t>
            </w:r>
          </w:p>
        </w:tc>
        <w:tc>
          <w:tcPr>
            <w:tcW w:w="1071" w:type="dxa"/>
            <w:shd w:val="clear" w:color="auto" w:fill="auto"/>
            <w:vAlign w:val="center"/>
          </w:tcPr>
          <w:p w14:paraId="6FC7403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9F7526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Hausbrandt PA, Leithner A, Beham A, Bodo K, Raith J, Windhager R</w:t>
            </w:r>
          </w:p>
        </w:tc>
        <w:tc>
          <w:tcPr>
            <w:tcW w:w="7010" w:type="dxa"/>
            <w:shd w:val="clear" w:color="auto" w:fill="auto"/>
            <w:vAlign w:val="center"/>
          </w:tcPr>
          <w:p w14:paraId="3021EE5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Rare Case of Infantile Myofibromatosis and Review of Literature</w:t>
            </w:r>
          </w:p>
        </w:tc>
        <w:tc>
          <w:tcPr>
            <w:tcW w:w="568" w:type="dxa"/>
            <w:shd w:val="clear" w:color="auto" w:fill="auto"/>
            <w:vAlign w:val="center"/>
          </w:tcPr>
          <w:p w14:paraId="20C1A28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101D29A8" w14:textId="77777777" w:rsidTr="004C3C90">
        <w:trPr>
          <w:trHeight w:val="20"/>
        </w:trPr>
        <w:tc>
          <w:tcPr>
            <w:tcW w:w="550" w:type="dxa"/>
            <w:shd w:val="clear" w:color="auto" w:fill="auto"/>
            <w:vAlign w:val="center"/>
          </w:tcPr>
          <w:p w14:paraId="40E83CC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741</w:t>
            </w:r>
          </w:p>
        </w:tc>
        <w:tc>
          <w:tcPr>
            <w:tcW w:w="1071" w:type="dxa"/>
            <w:shd w:val="clear" w:color="auto" w:fill="auto"/>
            <w:vAlign w:val="center"/>
          </w:tcPr>
          <w:p w14:paraId="2870808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EFF738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Shenoy MM, Gopa K, Girisha BS, Pinto J, Shetty V</w:t>
            </w:r>
          </w:p>
        </w:tc>
        <w:tc>
          <w:tcPr>
            <w:tcW w:w="7010" w:type="dxa"/>
            <w:shd w:val="clear" w:color="auto" w:fill="auto"/>
            <w:vAlign w:val="center"/>
          </w:tcPr>
          <w:p w14:paraId="29004D5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Ellis-Van Creveld Syndrome (Chondro-Ectodermal Dysplasia) in Two Siblings</w:t>
            </w:r>
          </w:p>
        </w:tc>
        <w:tc>
          <w:tcPr>
            <w:tcW w:w="568" w:type="dxa"/>
            <w:shd w:val="clear" w:color="auto" w:fill="auto"/>
            <w:vAlign w:val="center"/>
          </w:tcPr>
          <w:p w14:paraId="0BA33B0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2008</w:t>
            </w:r>
          </w:p>
        </w:tc>
      </w:tr>
      <w:tr w:rsidR="004C3C90" w:rsidRPr="004C3C90" w14:paraId="48837465" w14:textId="77777777" w:rsidTr="004C3C90">
        <w:trPr>
          <w:trHeight w:val="20"/>
        </w:trPr>
        <w:tc>
          <w:tcPr>
            <w:tcW w:w="550" w:type="dxa"/>
            <w:shd w:val="clear" w:color="auto" w:fill="auto"/>
            <w:vAlign w:val="center"/>
          </w:tcPr>
          <w:p w14:paraId="49D3D3E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742</w:t>
            </w:r>
          </w:p>
        </w:tc>
        <w:tc>
          <w:tcPr>
            <w:tcW w:w="1071" w:type="dxa"/>
            <w:shd w:val="clear" w:color="auto" w:fill="auto"/>
            <w:vAlign w:val="center"/>
          </w:tcPr>
          <w:p w14:paraId="5E74C51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0B904F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Borrás-Blasco J, Gracia-Perez A, Nuñez-Cornejo C, et al.</w:t>
            </w:r>
          </w:p>
        </w:tc>
        <w:tc>
          <w:tcPr>
            <w:tcW w:w="7010" w:type="dxa"/>
            <w:shd w:val="clear" w:color="auto" w:fill="auto"/>
            <w:vAlign w:val="center"/>
          </w:tcPr>
          <w:p w14:paraId="14FFCE1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Exacerbation of Psoriatic Skin Lesions in a Patient with Psoriatic Arthritis Receiving Adalimumab</w:t>
            </w:r>
          </w:p>
        </w:tc>
        <w:tc>
          <w:tcPr>
            <w:tcW w:w="568" w:type="dxa"/>
            <w:shd w:val="clear" w:color="auto" w:fill="auto"/>
            <w:vAlign w:val="center"/>
          </w:tcPr>
          <w:p w14:paraId="349162A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2008</w:t>
            </w:r>
          </w:p>
        </w:tc>
      </w:tr>
      <w:tr w:rsidR="004C3C90" w:rsidRPr="004C3C90" w14:paraId="6CF7E221" w14:textId="77777777" w:rsidTr="004C3C90">
        <w:trPr>
          <w:trHeight w:val="20"/>
        </w:trPr>
        <w:tc>
          <w:tcPr>
            <w:tcW w:w="550" w:type="dxa"/>
            <w:shd w:val="clear" w:color="auto" w:fill="auto"/>
            <w:vAlign w:val="center"/>
          </w:tcPr>
          <w:p w14:paraId="76150F9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743</w:t>
            </w:r>
          </w:p>
        </w:tc>
        <w:tc>
          <w:tcPr>
            <w:tcW w:w="1071" w:type="dxa"/>
            <w:shd w:val="clear" w:color="auto" w:fill="auto"/>
            <w:vAlign w:val="center"/>
          </w:tcPr>
          <w:p w14:paraId="2104304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8BE045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Lin CJ, Chang SP, Ke YY, Chiu HY, Tsao LY, Chen M</w:t>
            </w:r>
          </w:p>
        </w:tc>
        <w:tc>
          <w:tcPr>
            <w:tcW w:w="7010" w:type="dxa"/>
            <w:shd w:val="clear" w:color="auto" w:fill="auto"/>
            <w:vAlign w:val="center"/>
          </w:tcPr>
          <w:p w14:paraId="6CBA506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Phenotype and Genotype of Two Taiwanese Cystic Fibrosis Siblings and a Survey of Delta F508 in East Asians</w:t>
            </w:r>
          </w:p>
        </w:tc>
        <w:tc>
          <w:tcPr>
            <w:tcW w:w="568" w:type="dxa"/>
            <w:shd w:val="clear" w:color="auto" w:fill="auto"/>
            <w:vAlign w:val="center"/>
          </w:tcPr>
          <w:p w14:paraId="42AC745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2008</w:t>
            </w:r>
          </w:p>
        </w:tc>
      </w:tr>
      <w:tr w:rsidR="004C3C90" w:rsidRPr="004C3C90" w14:paraId="2140E5AA" w14:textId="77777777" w:rsidTr="004C3C90">
        <w:trPr>
          <w:trHeight w:val="20"/>
        </w:trPr>
        <w:tc>
          <w:tcPr>
            <w:tcW w:w="550" w:type="dxa"/>
            <w:shd w:val="clear" w:color="auto" w:fill="auto"/>
            <w:vAlign w:val="center"/>
          </w:tcPr>
          <w:p w14:paraId="7CAAF27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744</w:t>
            </w:r>
          </w:p>
        </w:tc>
        <w:tc>
          <w:tcPr>
            <w:tcW w:w="1071" w:type="dxa"/>
            <w:shd w:val="clear" w:color="auto" w:fill="auto"/>
            <w:vAlign w:val="center"/>
          </w:tcPr>
          <w:p w14:paraId="452591D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D586BE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Yiotakis I, Eleftheriadou A, Giotakis E, Manolopoulos L, Ferekidou E, Kandiloros D</w:t>
            </w:r>
          </w:p>
        </w:tc>
        <w:tc>
          <w:tcPr>
            <w:tcW w:w="7010" w:type="dxa"/>
            <w:shd w:val="clear" w:color="auto" w:fill="auto"/>
            <w:vAlign w:val="center"/>
          </w:tcPr>
          <w:p w14:paraId="54312AE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Resection of Giant Ethmoid Osteoma with Orbital and Skull Base Extension Followed by Duraplasty</w:t>
            </w:r>
          </w:p>
        </w:tc>
        <w:tc>
          <w:tcPr>
            <w:tcW w:w="568" w:type="dxa"/>
            <w:shd w:val="clear" w:color="auto" w:fill="auto"/>
            <w:vAlign w:val="center"/>
          </w:tcPr>
          <w:p w14:paraId="7D46D40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2008</w:t>
            </w:r>
          </w:p>
        </w:tc>
      </w:tr>
      <w:tr w:rsidR="004C3C90" w:rsidRPr="004C3C90" w14:paraId="3C684229" w14:textId="77777777" w:rsidTr="004C3C90">
        <w:trPr>
          <w:trHeight w:val="20"/>
        </w:trPr>
        <w:tc>
          <w:tcPr>
            <w:tcW w:w="550" w:type="dxa"/>
            <w:shd w:val="clear" w:color="auto" w:fill="auto"/>
            <w:vAlign w:val="center"/>
          </w:tcPr>
          <w:p w14:paraId="51B76B6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745</w:t>
            </w:r>
          </w:p>
        </w:tc>
        <w:tc>
          <w:tcPr>
            <w:tcW w:w="1071" w:type="dxa"/>
            <w:shd w:val="clear" w:color="auto" w:fill="auto"/>
            <w:vAlign w:val="center"/>
          </w:tcPr>
          <w:p w14:paraId="04A0DEB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A8CA2B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Famularo G, Minisola G, De Simone C</w:t>
            </w:r>
          </w:p>
        </w:tc>
        <w:tc>
          <w:tcPr>
            <w:tcW w:w="7010" w:type="dxa"/>
            <w:shd w:val="clear" w:color="auto" w:fill="auto"/>
            <w:vAlign w:val="center"/>
          </w:tcPr>
          <w:p w14:paraId="704C167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Rupture of the Spleen after Colonoscopy. A Life-Threatening Complication</w:t>
            </w:r>
          </w:p>
        </w:tc>
        <w:tc>
          <w:tcPr>
            <w:tcW w:w="568" w:type="dxa"/>
            <w:shd w:val="clear" w:color="auto" w:fill="auto"/>
            <w:vAlign w:val="center"/>
          </w:tcPr>
          <w:p w14:paraId="320672A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2008</w:t>
            </w:r>
          </w:p>
        </w:tc>
      </w:tr>
      <w:tr w:rsidR="004C3C90" w:rsidRPr="004C3C90" w14:paraId="3636CE04" w14:textId="77777777" w:rsidTr="004C3C90">
        <w:trPr>
          <w:trHeight w:val="20"/>
        </w:trPr>
        <w:tc>
          <w:tcPr>
            <w:tcW w:w="550" w:type="dxa"/>
            <w:shd w:val="clear" w:color="auto" w:fill="auto"/>
            <w:vAlign w:val="center"/>
          </w:tcPr>
          <w:p w14:paraId="06BEF72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746</w:t>
            </w:r>
          </w:p>
        </w:tc>
        <w:tc>
          <w:tcPr>
            <w:tcW w:w="1071" w:type="dxa"/>
            <w:shd w:val="clear" w:color="auto" w:fill="auto"/>
            <w:vAlign w:val="center"/>
          </w:tcPr>
          <w:p w14:paraId="671CB8A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3E5F4C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Taziarova M, Holeckova K, Lesnakova A, Sladeckova V, Bartkovjak M, Seckova S, et al. </w:t>
            </w:r>
          </w:p>
        </w:tc>
        <w:tc>
          <w:tcPr>
            <w:tcW w:w="7010" w:type="dxa"/>
            <w:shd w:val="clear" w:color="auto" w:fill="auto"/>
            <w:vAlign w:val="center"/>
          </w:tcPr>
          <w:p w14:paraId="37EC630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Gram-Negative Bacillary Community Acquired Meningitis Is Not a Rare Entity in Last Two Decades</w:t>
            </w:r>
          </w:p>
        </w:tc>
        <w:tc>
          <w:tcPr>
            <w:tcW w:w="568" w:type="dxa"/>
            <w:shd w:val="clear" w:color="auto" w:fill="auto"/>
            <w:vAlign w:val="center"/>
          </w:tcPr>
          <w:p w14:paraId="029F597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2007</w:t>
            </w:r>
          </w:p>
        </w:tc>
      </w:tr>
      <w:tr w:rsidR="004C3C90" w:rsidRPr="004C3C90" w14:paraId="6C04F58B" w14:textId="77777777" w:rsidTr="004C3C90">
        <w:trPr>
          <w:trHeight w:val="20"/>
        </w:trPr>
        <w:tc>
          <w:tcPr>
            <w:tcW w:w="550" w:type="dxa"/>
            <w:shd w:val="clear" w:color="auto" w:fill="auto"/>
            <w:vAlign w:val="center"/>
          </w:tcPr>
          <w:p w14:paraId="6F8A4F5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747</w:t>
            </w:r>
          </w:p>
        </w:tc>
        <w:tc>
          <w:tcPr>
            <w:tcW w:w="1071" w:type="dxa"/>
            <w:shd w:val="clear" w:color="auto" w:fill="auto"/>
            <w:vAlign w:val="center"/>
          </w:tcPr>
          <w:p w14:paraId="2813807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F33715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Mokhtar GA, Yazdi H, Mai KT</w:t>
            </w:r>
          </w:p>
        </w:tc>
        <w:tc>
          <w:tcPr>
            <w:tcW w:w="7010" w:type="dxa"/>
            <w:shd w:val="clear" w:color="auto" w:fill="auto"/>
            <w:vAlign w:val="center"/>
          </w:tcPr>
          <w:p w14:paraId="43905EA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Cytopathology of Extramedullary Plasmacytoma of the Bladder: A Case Report</w:t>
            </w:r>
          </w:p>
        </w:tc>
        <w:tc>
          <w:tcPr>
            <w:tcW w:w="568" w:type="dxa"/>
            <w:shd w:val="clear" w:color="auto" w:fill="auto"/>
            <w:vAlign w:val="center"/>
          </w:tcPr>
          <w:p w14:paraId="148C78D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2006</w:t>
            </w:r>
          </w:p>
        </w:tc>
      </w:tr>
      <w:tr w:rsidR="004C3C90" w:rsidRPr="004C3C90" w14:paraId="48807F99" w14:textId="77777777" w:rsidTr="004C3C90">
        <w:trPr>
          <w:trHeight w:val="20"/>
        </w:trPr>
        <w:tc>
          <w:tcPr>
            <w:tcW w:w="550" w:type="dxa"/>
            <w:shd w:val="clear" w:color="auto" w:fill="auto"/>
            <w:vAlign w:val="center"/>
          </w:tcPr>
          <w:p w14:paraId="154CD81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748</w:t>
            </w:r>
          </w:p>
        </w:tc>
        <w:tc>
          <w:tcPr>
            <w:tcW w:w="1071" w:type="dxa"/>
            <w:shd w:val="clear" w:color="auto" w:fill="auto"/>
            <w:vAlign w:val="center"/>
          </w:tcPr>
          <w:p w14:paraId="400B01A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14A99C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Bosch X, Guilabert A</w:t>
            </w:r>
          </w:p>
        </w:tc>
        <w:tc>
          <w:tcPr>
            <w:tcW w:w="7010" w:type="dxa"/>
            <w:shd w:val="clear" w:color="auto" w:fill="auto"/>
            <w:vAlign w:val="center"/>
          </w:tcPr>
          <w:p w14:paraId="25FAB07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Kikuchi-Fujimoto Disease</w:t>
            </w:r>
          </w:p>
        </w:tc>
        <w:tc>
          <w:tcPr>
            <w:tcW w:w="568" w:type="dxa"/>
            <w:shd w:val="clear" w:color="auto" w:fill="auto"/>
            <w:vAlign w:val="center"/>
          </w:tcPr>
          <w:p w14:paraId="1D5106D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2006</w:t>
            </w:r>
          </w:p>
        </w:tc>
      </w:tr>
      <w:tr w:rsidR="004C3C90" w:rsidRPr="004C3C90" w14:paraId="6F131E67" w14:textId="77777777" w:rsidTr="004C3C90">
        <w:trPr>
          <w:trHeight w:val="20"/>
        </w:trPr>
        <w:tc>
          <w:tcPr>
            <w:tcW w:w="550" w:type="dxa"/>
            <w:shd w:val="clear" w:color="auto" w:fill="auto"/>
            <w:vAlign w:val="center"/>
          </w:tcPr>
          <w:p w14:paraId="04ABDAB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749</w:t>
            </w:r>
          </w:p>
        </w:tc>
        <w:tc>
          <w:tcPr>
            <w:tcW w:w="1071" w:type="dxa"/>
            <w:shd w:val="clear" w:color="auto" w:fill="auto"/>
            <w:vAlign w:val="center"/>
          </w:tcPr>
          <w:p w14:paraId="4FF2CDF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0D43FA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Lagrotteria DD, Tsang B, Elavathil LJ, Tomlinson CW</w:t>
            </w:r>
          </w:p>
        </w:tc>
        <w:tc>
          <w:tcPr>
            <w:tcW w:w="7010" w:type="dxa"/>
            <w:shd w:val="clear" w:color="auto" w:fill="auto"/>
            <w:vAlign w:val="center"/>
          </w:tcPr>
          <w:p w14:paraId="599A584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Case of Primary Malignant Pericardial Mesothelioma</w:t>
            </w:r>
          </w:p>
        </w:tc>
        <w:tc>
          <w:tcPr>
            <w:tcW w:w="568" w:type="dxa"/>
            <w:shd w:val="clear" w:color="auto" w:fill="auto"/>
            <w:vAlign w:val="center"/>
          </w:tcPr>
          <w:p w14:paraId="1139BCF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2005</w:t>
            </w:r>
          </w:p>
        </w:tc>
      </w:tr>
      <w:tr w:rsidR="004C3C90" w:rsidRPr="004C3C90" w14:paraId="6ADFB7DB" w14:textId="77777777" w:rsidTr="004C3C90">
        <w:trPr>
          <w:trHeight w:val="20"/>
        </w:trPr>
        <w:tc>
          <w:tcPr>
            <w:tcW w:w="550" w:type="dxa"/>
            <w:shd w:val="clear" w:color="auto" w:fill="auto"/>
            <w:vAlign w:val="center"/>
          </w:tcPr>
          <w:p w14:paraId="4B824AF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750</w:t>
            </w:r>
          </w:p>
        </w:tc>
        <w:tc>
          <w:tcPr>
            <w:tcW w:w="1071" w:type="dxa"/>
            <w:shd w:val="clear" w:color="auto" w:fill="auto"/>
            <w:vAlign w:val="center"/>
          </w:tcPr>
          <w:p w14:paraId="608358D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9F54D1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Geneviève D, Amiel J, Viot G, Le Merrer M, Sanlaville D, Urtizberea A, et al.</w:t>
            </w:r>
          </w:p>
        </w:tc>
        <w:tc>
          <w:tcPr>
            <w:tcW w:w="7010" w:type="dxa"/>
            <w:shd w:val="clear" w:color="auto" w:fill="auto"/>
            <w:vAlign w:val="center"/>
          </w:tcPr>
          <w:p w14:paraId="429C0CC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Atypical Findings in Kabuki Syndrome: Report of 8 Patients in a Series of 20 and Review of the Literature</w:t>
            </w:r>
          </w:p>
        </w:tc>
        <w:tc>
          <w:tcPr>
            <w:tcW w:w="568" w:type="dxa"/>
            <w:shd w:val="clear" w:color="auto" w:fill="auto"/>
            <w:vAlign w:val="center"/>
          </w:tcPr>
          <w:p w14:paraId="77A4084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2004</w:t>
            </w:r>
          </w:p>
        </w:tc>
      </w:tr>
      <w:tr w:rsidR="004C3C90" w:rsidRPr="004C3C90" w14:paraId="4633E890" w14:textId="77777777" w:rsidTr="004C3C90">
        <w:trPr>
          <w:trHeight w:val="20"/>
        </w:trPr>
        <w:tc>
          <w:tcPr>
            <w:tcW w:w="550" w:type="dxa"/>
            <w:shd w:val="clear" w:color="auto" w:fill="auto"/>
            <w:vAlign w:val="center"/>
          </w:tcPr>
          <w:p w14:paraId="239D41D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751</w:t>
            </w:r>
          </w:p>
        </w:tc>
        <w:tc>
          <w:tcPr>
            <w:tcW w:w="1071" w:type="dxa"/>
            <w:shd w:val="clear" w:color="auto" w:fill="auto"/>
            <w:vAlign w:val="center"/>
          </w:tcPr>
          <w:p w14:paraId="62F2F97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E5944D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Beck M, Ricci R, Widmer U, Dehout F, de Lorenzo AG, Kampmann C, et al. </w:t>
            </w:r>
          </w:p>
        </w:tc>
        <w:tc>
          <w:tcPr>
            <w:tcW w:w="7010" w:type="dxa"/>
            <w:shd w:val="clear" w:color="auto" w:fill="auto"/>
            <w:vAlign w:val="center"/>
          </w:tcPr>
          <w:p w14:paraId="61B1BFB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Fabry Disease: Overall Effects of Agalsidase Alfa Treatment</w:t>
            </w:r>
          </w:p>
        </w:tc>
        <w:tc>
          <w:tcPr>
            <w:tcW w:w="568" w:type="dxa"/>
            <w:shd w:val="clear" w:color="auto" w:fill="auto"/>
            <w:vAlign w:val="center"/>
          </w:tcPr>
          <w:p w14:paraId="7B13EB3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2004</w:t>
            </w:r>
          </w:p>
        </w:tc>
      </w:tr>
      <w:tr w:rsidR="004C3C90" w:rsidRPr="004C3C90" w14:paraId="1ADBDC0F" w14:textId="77777777" w:rsidTr="004C3C90">
        <w:trPr>
          <w:trHeight w:val="20"/>
        </w:trPr>
        <w:tc>
          <w:tcPr>
            <w:tcW w:w="550" w:type="dxa"/>
            <w:shd w:val="clear" w:color="auto" w:fill="auto"/>
            <w:vAlign w:val="center"/>
          </w:tcPr>
          <w:p w14:paraId="506DA3B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752</w:t>
            </w:r>
          </w:p>
        </w:tc>
        <w:tc>
          <w:tcPr>
            <w:tcW w:w="1071" w:type="dxa"/>
            <w:shd w:val="clear" w:color="auto" w:fill="auto"/>
            <w:vAlign w:val="center"/>
          </w:tcPr>
          <w:p w14:paraId="192EA7A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DE29B65" w14:textId="77777777" w:rsidR="004C3C90" w:rsidRPr="004C3C90" w:rsidRDefault="004C3C90" w:rsidP="004C3C90">
            <w:pPr>
              <w:numPr>
                <w:ilvl w:val="0"/>
                <w:numId w:val="6"/>
              </w:numPr>
              <w:shd w:val="clear" w:color="auto" w:fill="FFFFFF"/>
              <w:spacing w:line="240" w:lineRule="auto"/>
              <w:ind w:left="0" w:right="60"/>
              <w:textAlignment w:val="baseline"/>
              <w:rPr>
                <w:rFonts w:ascii="Times New Roman" w:eastAsia="굴림" w:hAnsi="Times New Roman" w:cs="Times New Roman"/>
                <w:sz w:val="20"/>
                <w:szCs w:val="20"/>
                <w:lang w:val="en-US"/>
              </w:rPr>
            </w:pPr>
            <w:r w:rsidRPr="004C3C90">
              <w:rPr>
                <w:rFonts w:ascii="Times New Roman" w:eastAsia="굴림" w:hAnsi="Times New Roman" w:cs="Times New Roman"/>
                <w:sz w:val="20"/>
                <w:szCs w:val="20"/>
                <w:bdr w:val="none" w:sz="0" w:space="0" w:color="auto" w:frame="1"/>
                <w:lang w:val="en-US"/>
              </w:rPr>
              <w:t>Kantarci M, Ogul H,</w:t>
            </w:r>
            <w:r w:rsidRPr="004C3C90">
              <w:rPr>
                <w:rFonts w:ascii="Times New Roman" w:eastAsia="굴림" w:hAnsi="Times New Roman" w:cs="Times New Roman"/>
                <w:sz w:val="20"/>
                <w:szCs w:val="20"/>
                <w:lang w:val="en-US"/>
              </w:rPr>
              <w:t xml:space="preserve"> </w:t>
            </w:r>
            <w:r w:rsidRPr="004C3C90">
              <w:rPr>
                <w:rFonts w:ascii="Times New Roman" w:eastAsia="굴림" w:hAnsi="Times New Roman" w:cs="Times New Roman"/>
                <w:sz w:val="20"/>
                <w:szCs w:val="20"/>
                <w:bdr w:val="none" w:sz="0" w:space="0" w:color="auto" w:frame="1"/>
                <w:lang w:val="en-US"/>
              </w:rPr>
              <w:t>Bayraktutan U</w:t>
            </w:r>
          </w:p>
          <w:p w14:paraId="6970307B" w14:textId="77777777" w:rsidR="004C3C90" w:rsidRPr="004C3C90" w:rsidRDefault="004C3C90" w:rsidP="004C3C90">
            <w:pPr>
              <w:spacing w:line="240" w:lineRule="auto"/>
              <w:rPr>
                <w:rFonts w:ascii="Times New Roman" w:eastAsia="Times New Roman" w:hAnsi="Times New Roman" w:cs="Times New Roman"/>
                <w:sz w:val="20"/>
                <w:szCs w:val="20"/>
              </w:rPr>
            </w:pPr>
          </w:p>
        </w:tc>
        <w:tc>
          <w:tcPr>
            <w:tcW w:w="7010" w:type="dxa"/>
            <w:shd w:val="clear" w:color="auto" w:fill="auto"/>
            <w:vAlign w:val="center"/>
          </w:tcPr>
          <w:p w14:paraId="1000C0C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Intracerebral Alveolar Echinococcosis</w:t>
            </w:r>
          </w:p>
        </w:tc>
        <w:tc>
          <w:tcPr>
            <w:tcW w:w="568" w:type="dxa"/>
            <w:shd w:val="clear" w:color="auto" w:fill="auto"/>
            <w:vAlign w:val="center"/>
          </w:tcPr>
          <w:p w14:paraId="07EFF02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2003</w:t>
            </w:r>
          </w:p>
        </w:tc>
      </w:tr>
      <w:tr w:rsidR="004C3C90" w:rsidRPr="004C3C90" w14:paraId="75FCEEA9" w14:textId="77777777" w:rsidTr="004C3C90">
        <w:trPr>
          <w:trHeight w:val="20"/>
        </w:trPr>
        <w:tc>
          <w:tcPr>
            <w:tcW w:w="550" w:type="dxa"/>
            <w:shd w:val="clear" w:color="auto" w:fill="auto"/>
            <w:vAlign w:val="center"/>
          </w:tcPr>
          <w:p w14:paraId="7F95FC8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753</w:t>
            </w:r>
          </w:p>
        </w:tc>
        <w:tc>
          <w:tcPr>
            <w:tcW w:w="1071" w:type="dxa"/>
            <w:shd w:val="clear" w:color="auto" w:fill="auto"/>
            <w:vAlign w:val="center"/>
          </w:tcPr>
          <w:p w14:paraId="380568B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28DF0D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Wu KL, Changchien CS, Kuo CM, Chuah SK, Chiu YC, Kuo CH.</w:t>
            </w:r>
          </w:p>
        </w:tc>
        <w:tc>
          <w:tcPr>
            <w:tcW w:w="7010" w:type="dxa"/>
            <w:shd w:val="clear" w:color="auto" w:fill="auto"/>
            <w:vAlign w:val="center"/>
          </w:tcPr>
          <w:p w14:paraId="5A5D5E3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Caroli's Disease - a Report of Two Siblings</w:t>
            </w:r>
          </w:p>
        </w:tc>
        <w:tc>
          <w:tcPr>
            <w:tcW w:w="568" w:type="dxa"/>
            <w:shd w:val="clear" w:color="auto" w:fill="auto"/>
            <w:vAlign w:val="center"/>
          </w:tcPr>
          <w:p w14:paraId="4AF361D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2002</w:t>
            </w:r>
          </w:p>
        </w:tc>
      </w:tr>
      <w:tr w:rsidR="004C3C90" w:rsidRPr="004C3C90" w14:paraId="14E6AEC6" w14:textId="77777777" w:rsidTr="004C3C90">
        <w:trPr>
          <w:trHeight w:val="20"/>
        </w:trPr>
        <w:tc>
          <w:tcPr>
            <w:tcW w:w="550" w:type="dxa"/>
            <w:shd w:val="clear" w:color="auto" w:fill="auto"/>
            <w:vAlign w:val="center"/>
          </w:tcPr>
          <w:p w14:paraId="035CB1C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754</w:t>
            </w:r>
          </w:p>
        </w:tc>
        <w:tc>
          <w:tcPr>
            <w:tcW w:w="1071" w:type="dxa"/>
            <w:shd w:val="clear" w:color="auto" w:fill="auto"/>
            <w:vAlign w:val="center"/>
          </w:tcPr>
          <w:p w14:paraId="161CAD7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53721A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Squarcione S, Prete A, Vellucci L</w:t>
            </w:r>
          </w:p>
        </w:tc>
        <w:tc>
          <w:tcPr>
            <w:tcW w:w="7010" w:type="dxa"/>
            <w:shd w:val="clear" w:color="auto" w:fill="auto"/>
            <w:vAlign w:val="center"/>
          </w:tcPr>
          <w:p w14:paraId="0F127D0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Botulism Surveillance in Italy: 1992-1996</w:t>
            </w:r>
          </w:p>
        </w:tc>
        <w:tc>
          <w:tcPr>
            <w:tcW w:w="568" w:type="dxa"/>
            <w:shd w:val="clear" w:color="auto" w:fill="auto"/>
            <w:vAlign w:val="center"/>
          </w:tcPr>
          <w:p w14:paraId="53523C7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1999</w:t>
            </w:r>
          </w:p>
        </w:tc>
      </w:tr>
      <w:tr w:rsidR="004C3C90" w:rsidRPr="004C3C90" w14:paraId="03EDA787" w14:textId="77777777" w:rsidTr="004C3C90">
        <w:trPr>
          <w:trHeight w:val="20"/>
        </w:trPr>
        <w:tc>
          <w:tcPr>
            <w:tcW w:w="550" w:type="dxa"/>
            <w:shd w:val="clear" w:color="auto" w:fill="auto"/>
            <w:vAlign w:val="center"/>
          </w:tcPr>
          <w:p w14:paraId="70CB99F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755</w:t>
            </w:r>
          </w:p>
        </w:tc>
        <w:tc>
          <w:tcPr>
            <w:tcW w:w="1071" w:type="dxa"/>
            <w:shd w:val="clear" w:color="auto" w:fill="auto"/>
            <w:vAlign w:val="center"/>
          </w:tcPr>
          <w:p w14:paraId="4DDEE09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A59DEE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Manfredi R, Donzelli C, Talò S, Guzmán SM, Chiodo F</w:t>
            </w:r>
          </w:p>
        </w:tc>
        <w:tc>
          <w:tcPr>
            <w:tcW w:w="7010" w:type="dxa"/>
            <w:shd w:val="clear" w:color="auto" w:fill="auto"/>
            <w:vAlign w:val="center"/>
          </w:tcPr>
          <w:p w14:paraId="64CA62D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Typhoid Fever and Hiv Infection: A Rare Disease Association in Industrialized Countries</w:t>
            </w:r>
          </w:p>
        </w:tc>
        <w:tc>
          <w:tcPr>
            <w:tcW w:w="568" w:type="dxa"/>
            <w:shd w:val="clear" w:color="auto" w:fill="auto"/>
            <w:vAlign w:val="center"/>
          </w:tcPr>
          <w:p w14:paraId="433FDC2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1998</w:t>
            </w:r>
          </w:p>
        </w:tc>
      </w:tr>
      <w:tr w:rsidR="004C3C90" w:rsidRPr="004C3C90" w14:paraId="4B04D3F2" w14:textId="77777777" w:rsidTr="004C3C90">
        <w:trPr>
          <w:trHeight w:val="20"/>
        </w:trPr>
        <w:tc>
          <w:tcPr>
            <w:tcW w:w="550" w:type="dxa"/>
            <w:shd w:val="clear" w:color="auto" w:fill="auto"/>
            <w:vAlign w:val="center"/>
          </w:tcPr>
          <w:p w14:paraId="4F4093F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756</w:t>
            </w:r>
          </w:p>
        </w:tc>
        <w:tc>
          <w:tcPr>
            <w:tcW w:w="1071" w:type="dxa"/>
            <w:shd w:val="clear" w:color="auto" w:fill="auto"/>
            <w:vAlign w:val="center"/>
          </w:tcPr>
          <w:p w14:paraId="7B799E8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3C4AB6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Mircea PA, Valean S, Pop S, et al.</w:t>
            </w:r>
          </w:p>
        </w:tc>
        <w:tc>
          <w:tcPr>
            <w:tcW w:w="7010" w:type="dxa"/>
            <w:shd w:val="clear" w:color="auto" w:fill="auto"/>
            <w:vAlign w:val="center"/>
          </w:tcPr>
          <w:p w14:paraId="2AEFF44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Giant Gastric Trichobezoar</w:t>
            </w:r>
          </w:p>
        </w:tc>
        <w:tc>
          <w:tcPr>
            <w:tcW w:w="568" w:type="dxa"/>
            <w:shd w:val="clear" w:color="auto" w:fill="auto"/>
            <w:vAlign w:val="center"/>
          </w:tcPr>
          <w:p w14:paraId="527AC5D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1997</w:t>
            </w:r>
          </w:p>
        </w:tc>
      </w:tr>
      <w:tr w:rsidR="004C3C90" w:rsidRPr="004C3C90" w14:paraId="326B56C4" w14:textId="77777777" w:rsidTr="004C3C90">
        <w:trPr>
          <w:trHeight w:val="20"/>
        </w:trPr>
        <w:tc>
          <w:tcPr>
            <w:tcW w:w="550" w:type="dxa"/>
            <w:shd w:val="clear" w:color="auto" w:fill="auto"/>
            <w:vAlign w:val="center"/>
          </w:tcPr>
          <w:p w14:paraId="1343DB0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757</w:t>
            </w:r>
          </w:p>
        </w:tc>
        <w:tc>
          <w:tcPr>
            <w:tcW w:w="1071" w:type="dxa"/>
            <w:shd w:val="clear" w:color="auto" w:fill="auto"/>
            <w:vAlign w:val="center"/>
          </w:tcPr>
          <w:p w14:paraId="2D35AB6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EFC5EE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St-Germain G, Murray G, Duperval R</w:t>
            </w:r>
          </w:p>
        </w:tc>
        <w:tc>
          <w:tcPr>
            <w:tcW w:w="7010" w:type="dxa"/>
            <w:shd w:val="clear" w:color="auto" w:fill="auto"/>
            <w:vAlign w:val="center"/>
          </w:tcPr>
          <w:p w14:paraId="32D2E79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Blastomycosis in Quebec (1981-90): Report of 23 Cases and Review of Published Cases from Quebec</w:t>
            </w:r>
          </w:p>
        </w:tc>
        <w:tc>
          <w:tcPr>
            <w:tcW w:w="568" w:type="dxa"/>
            <w:shd w:val="clear" w:color="auto" w:fill="auto"/>
            <w:vAlign w:val="center"/>
          </w:tcPr>
          <w:p w14:paraId="600B73E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1993</w:t>
            </w:r>
          </w:p>
        </w:tc>
      </w:tr>
      <w:tr w:rsidR="004C3C90" w:rsidRPr="004C3C90" w14:paraId="4FE3CA65" w14:textId="77777777" w:rsidTr="004C3C90">
        <w:trPr>
          <w:trHeight w:val="20"/>
        </w:trPr>
        <w:tc>
          <w:tcPr>
            <w:tcW w:w="550" w:type="dxa"/>
            <w:shd w:val="clear" w:color="auto" w:fill="auto"/>
            <w:vAlign w:val="center"/>
          </w:tcPr>
          <w:p w14:paraId="5AEC66D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758</w:t>
            </w:r>
          </w:p>
        </w:tc>
        <w:tc>
          <w:tcPr>
            <w:tcW w:w="1071" w:type="dxa"/>
            <w:shd w:val="clear" w:color="auto" w:fill="auto"/>
            <w:vAlign w:val="center"/>
          </w:tcPr>
          <w:p w14:paraId="3A32CE9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A2CCB2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O'Connor TP, Wade TP, Sunwoo YC, Reimers HJ, Palmer DC, Silverberg AB, et al. </w:t>
            </w:r>
          </w:p>
        </w:tc>
        <w:tc>
          <w:tcPr>
            <w:tcW w:w="7010" w:type="dxa"/>
            <w:shd w:val="clear" w:color="auto" w:fill="auto"/>
            <w:vAlign w:val="center"/>
          </w:tcPr>
          <w:p w14:paraId="33797B0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Small Cell Undifferentiated Carcinoma of the Pancreas: Report of a Patient with Tumor Marker Studies</w:t>
            </w:r>
          </w:p>
        </w:tc>
        <w:tc>
          <w:tcPr>
            <w:tcW w:w="568" w:type="dxa"/>
            <w:shd w:val="clear" w:color="auto" w:fill="auto"/>
            <w:vAlign w:val="center"/>
          </w:tcPr>
          <w:p w14:paraId="567133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1992</w:t>
            </w:r>
          </w:p>
        </w:tc>
      </w:tr>
      <w:tr w:rsidR="004C3C90" w:rsidRPr="004C3C90" w14:paraId="35C08C69" w14:textId="77777777" w:rsidTr="004C3C90">
        <w:trPr>
          <w:trHeight w:val="20"/>
        </w:trPr>
        <w:tc>
          <w:tcPr>
            <w:tcW w:w="550" w:type="dxa"/>
            <w:shd w:val="clear" w:color="auto" w:fill="auto"/>
            <w:vAlign w:val="center"/>
          </w:tcPr>
          <w:p w14:paraId="70D876F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759</w:t>
            </w:r>
          </w:p>
        </w:tc>
        <w:tc>
          <w:tcPr>
            <w:tcW w:w="1071" w:type="dxa"/>
            <w:shd w:val="clear" w:color="auto" w:fill="auto"/>
            <w:vAlign w:val="center"/>
          </w:tcPr>
          <w:p w14:paraId="3B586E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AA4060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Satoh S, Shirane R, Yoshimoto T</w:t>
            </w:r>
          </w:p>
        </w:tc>
        <w:tc>
          <w:tcPr>
            <w:tcW w:w="7010" w:type="dxa"/>
            <w:shd w:val="clear" w:color="auto" w:fill="auto"/>
            <w:vAlign w:val="center"/>
          </w:tcPr>
          <w:p w14:paraId="1187765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Survey of Ischemic Cerebrovascular Disease in Children in a District of Japan</w:t>
            </w:r>
          </w:p>
        </w:tc>
        <w:tc>
          <w:tcPr>
            <w:tcW w:w="568" w:type="dxa"/>
            <w:shd w:val="clear" w:color="auto" w:fill="auto"/>
            <w:vAlign w:val="center"/>
          </w:tcPr>
          <w:p w14:paraId="14D4760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1991</w:t>
            </w:r>
          </w:p>
        </w:tc>
      </w:tr>
      <w:tr w:rsidR="004C3C90" w:rsidRPr="004C3C90" w14:paraId="08059ABD" w14:textId="77777777" w:rsidTr="004C3C90">
        <w:trPr>
          <w:trHeight w:val="20"/>
        </w:trPr>
        <w:tc>
          <w:tcPr>
            <w:tcW w:w="550" w:type="dxa"/>
            <w:shd w:val="clear" w:color="auto" w:fill="auto"/>
            <w:vAlign w:val="center"/>
          </w:tcPr>
          <w:p w14:paraId="36D775E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760</w:t>
            </w:r>
          </w:p>
        </w:tc>
        <w:tc>
          <w:tcPr>
            <w:tcW w:w="1071" w:type="dxa"/>
            <w:shd w:val="clear" w:color="auto" w:fill="auto"/>
            <w:vAlign w:val="center"/>
          </w:tcPr>
          <w:p w14:paraId="02D21B7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1759A0C" w14:textId="77777777" w:rsidR="004C3C90" w:rsidRPr="004C3C90" w:rsidRDefault="004C3C90" w:rsidP="004C3C90">
            <w:pPr>
              <w:spacing w:line="240" w:lineRule="auto"/>
              <w:rPr>
                <w:rFonts w:ascii="Times New Roman" w:eastAsia="Times New Roman" w:hAnsi="Times New Roman" w:cs="Times New Roman"/>
                <w:sz w:val="20"/>
                <w:szCs w:val="20"/>
                <w:highlight w:val="white"/>
              </w:rPr>
            </w:pPr>
            <w:r w:rsidRPr="004C3C90">
              <w:rPr>
                <w:rFonts w:ascii="Times New Roman" w:eastAsia="Times New Roman" w:hAnsi="Times New Roman" w:cs="Times New Roman"/>
                <w:sz w:val="20"/>
                <w:szCs w:val="20"/>
                <w:highlight w:val="white"/>
              </w:rPr>
              <w:t>Harjula ALJ, Harjola P-T, Heikkilä L, Somer T, Nordling S</w:t>
            </w:r>
          </w:p>
        </w:tc>
        <w:tc>
          <w:tcPr>
            <w:tcW w:w="7010" w:type="dxa"/>
            <w:shd w:val="clear" w:color="auto" w:fill="auto"/>
            <w:vAlign w:val="center"/>
          </w:tcPr>
          <w:p w14:paraId="27A3A01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Aortic and Ureteral Obstruction Associated with Retroperitoneal Fibrosis and Arteritis. A Case Report and Literature Survey</w:t>
            </w:r>
          </w:p>
        </w:tc>
        <w:tc>
          <w:tcPr>
            <w:tcW w:w="568" w:type="dxa"/>
            <w:shd w:val="clear" w:color="auto" w:fill="auto"/>
            <w:vAlign w:val="center"/>
          </w:tcPr>
          <w:p w14:paraId="4B40979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1985</w:t>
            </w:r>
          </w:p>
        </w:tc>
      </w:tr>
      <w:tr w:rsidR="004C3C90" w:rsidRPr="004C3C90" w14:paraId="7CFA24A9" w14:textId="77777777" w:rsidTr="004C3C90">
        <w:trPr>
          <w:trHeight w:val="20"/>
        </w:trPr>
        <w:tc>
          <w:tcPr>
            <w:tcW w:w="550" w:type="dxa"/>
            <w:shd w:val="clear" w:color="auto" w:fill="auto"/>
            <w:vAlign w:val="center"/>
          </w:tcPr>
          <w:p w14:paraId="5A0DEE5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761</w:t>
            </w:r>
          </w:p>
        </w:tc>
        <w:tc>
          <w:tcPr>
            <w:tcW w:w="1071" w:type="dxa"/>
            <w:shd w:val="clear" w:color="auto" w:fill="auto"/>
            <w:vAlign w:val="center"/>
          </w:tcPr>
          <w:p w14:paraId="637C995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E1307A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Eroglu M, Taneli NN</w:t>
            </w:r>
          </w:p>
        </w:tc>
        <w:tc>
          <w:tcPr>
            <w:tcW w:w="7010" w:type="dxa"/>
            <w:shd w:val="clear" w:color="auto" w:fill="auto"/>
            <w:vAlign w:val="center"/>
          </w:tcPr>
          <w:p w14:paraId="7B1A61B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Congenital Hyperphosphatasia (Juvenile Paget's Disease). Eleven Years' Follow up of Three Sisters</w:t>
            </w:r>
          </w:p>
        </w:tc>
        <w:tc>
          <w:tcPr>
            <w:tcW w:w="568" w:type="dxa"/>
            <w:shd w:val="clear" w:color="auto" w:fill="auto"/>
            <w:vAlign w:val="center"/>
          </w:tcPr>
          <w:p w14:paraId="3E23C2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1977</w:t>
            </w:r>
          </w:p>
        </w:tc>
      </w:tr>
      <w:tr w:rsidR="004C3C90" w:rsidRPr="004C3C90" w14:paraId="2F9E6B96" w14:textId="77777777" w:rsidTr="004C3C90">
        <w:trPr>
          <w:trHeight w:val="20"/>
        </w:trPr>
        <w:tc>
          <w:tcPr>
            <w:tcW w:w="550" w:type="dxa"/>
            <w:shd w:val="clear" w:color="auto" w:fill="auto"/>
            <w:vAlign w:val="center"/>
          </w:tcPr>
          <w:p w14:paraId="235D5F6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762</w:t>
            </w:r>
          </w:p>
        </w:tc>
        <w:tc>
          <w:tcPr>
            <w:tcW w:w="1071" w:type="dxa"/>
            <w:shd w:val="clear" w:color="auto" w:fill="auto"/>
            <w:vAlign w:val="center"/>
          </w:tcPr>
          <w:p w14:paraId="5022D88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3D882A9" w14:textId="77777777" w:rsidR="004C3C90" w:rsidRPr="004C3C90" w:rsidRDefault="004C3C90" w:rsidP="004C3C90">
            <w:pPr>
              <w:spacing w:line="240" w:lineRule="auto"/>
              <w:rPr>
                <w:rFonts w:ascii="Times New Roman" w:eastAsia="Times New Roman" w:hAnsi="Times New Roman" w:cs="Times New Roman"/>
                <w:sz w:val="20"/>
                <w:szCs w:val="20"/>
                <w:highlight w:val="white"/>
              </w:rPr>
            </w:pPr>
            <w:r w:rsidRPr="004C3C90">
              <w:rPr>
                <w:rFonts w:ascii="Times New Roman" w:eastAsia="Times New Roman" w:hAnsi="Times New Roman" w:cs="Times New Roman"/>
                <w:sz w:val="20"/>
                <w:szCs w:val="20"/>
                <w:highlight w:val="white"/>
              </w:rPr>
              <w:t>Quemeneur AS, Trocello JM, Ea HK, Woimant F, Lioté F</w:t>
            </w:r>
          </w:p>
        </w:tc>
        <w:tc>
          <w:tcPr>
            <w:tcW w:w="7010" w:type="dxa"/>
            <w:shd w:val="clear" w:color="auto" w:fill="auto"/>
            <w:vAlign w:val="center"/>
          </w:tcPr>
          <w:p w14:paraId="0419774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Musculoskeletal Conditions Associated with Wilson's Disease</w:t>
            </w:r>
          </w:p>
        </w:tc>
        <w:tc>
          <w:tcPr>
            <w:tcW w:w="568" w:type="dxa"/>
            <w:shd w:val="clear" w:color="auto" w:fill="auto"/>
            <w:vAlign w:val="center"/>
          </w:tcPr>
          <w:p w14:paraId="60015EC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79EFBA18" w14:textId="77777777" w:rsidTr="004C3C90">
        <w:trPr>
          <w:trHeight w:val="20"/>
        </w:trPr>
        <w:tc>
          <w:tcPr>
            <w:tcW w:w="550" w:type="dxa"/>
            <w:shd w:val="clear" w:color="auto" w:fill="auto"/>
            <w:vAlign w:val="center"/>
          </w:tcPr>
          <w:p w14:paraId="6B922B2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763</w:t>
            </w:r>
          </w:p>
        </w:tc>
        <w:tc>
          <w:tcPr>
            <w:tcW w:w="1071" w:type="dxa"/>
            <w:shd w:val="clear" w:color="auto" w:fill="auto"/>
            <w:vAlign w:val="center"/>
          </w:tcPr>
          <w:p w14:paraId="618EC3A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CF4859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Hirota Y, Suwanai H, Yamauchi T, Kadowaki T</w:t>
            </w:r>
          </w:p>
        </w:tc>
        <w:tc>
          <w:tcPr>
            <w:tcW w:w="7010" w:type="dxa"/>
            <w:shd w:val="clear" w:color="auto" w:fill="auto"/>
            <w:vAlign w:val="center"/>
          </w:tcPr>
          <w:p w14:paraId="0BB65E0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Features of Type B Insulin Resistance in Japanese Patients: Case Report and Survey-Based Case Series Study</w:t>
            </w:r>
          </w:p>
        </w:tc>
        <w:tc>
          <w:tcPr>
            <w:tcW w:w="568" w:type="dxa"/>
            <w:shd w:val="clear" w:color="auto" w:fill="auto"/>
            <w:vAlign w:val="center"/>
          </w:tcPr>
          <w:p w14:paraId="6E4220C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058ED7EB" w14:textId="77777777" w:rsidTr="004C3C90">
        <w:trPr>
          <w:trHeight w:val="20"/>
        </w:trPr>
        <w:tc>
          <w:tcPr>
            <w:tcW w:w="550" w:type="dxa"/>
            <w:shd w:val="clear" w:color="auto" w:fill="auto"/>
            <w:vAlign w:val="center"/>
          </w:tcPr>
          <w:p w14:paraId="7CC3223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764</w:t>
            </w:r>
          </w:p>
        </w:tc>
        <w:tc>
          <w:tcPr>
            <w:tcW w:w="1071" w:type="dxa"/>
            <w:shd w:val="clear" w:color="auto" w:fill="auto"/>
            <w:vAlign w:val="center"/>
          </w:tcPr>
          <w:p w14:paraId="6505007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BF060C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Kazi DS, Bellows BK, Baron SJ, Shen C, Cohen DJ, Spertus JA, et al. </w:t>
            </w:r>
          </w:p>
        </w:tc>
        <w:tc>
          <w:tcPr>
            <w:tcW w:w="7010" w:type="dxa"/>
            <w:shd w:val="clear" w:color="auto" w:fill="auto"/>
            <w:vAlign w:val="center"/>
          </w:tcPr>
          <w:p w14:paraId="1FBE647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Cost-Effectiveness of Tafamidis Therapy for Transthyretin Amyloid Cardiomyopathy</w:t>
            </w:r>
          </w:p>
        </w:tc>
        <w:tc>
          <w:tcPr>
            <w:tcW w:w="568" w:type="dxa"/>
            <w:shd w:val="clear" w:color="auto" w:fill="auto"/>
            <w:vAlign w:val="center"/>
          </w:tcPr>
          <w:p w14:paraId="662070A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67F21823" w14:textId="77777777" w:rsidTr="004C3C90">
        <w:trPr>
          <w:trHeight w:val="20"/>
        </w:trPr>
        <w:tc>
          <w:tcPr>
            <w:tcW w:w="550" w:type="dxa"/>
            <w:shd w:val="clear" w:color="auto" w:fill="auto"/>
            <w:vAlign w:val="center"/>
          </w:tcPr>
          <w:p w14:paraId="53FE01A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765</w:t>
            </w:r>
          </w:p>
        </w:tc>
        <w:tc>
          <w:tcPr>
            <w:tcW w:w="1071" w:type="dxa"/>
            <w:shd w:val="clear" w:color="auto" w:fill="auto"/>
            <w:vAlign w:val="center"/>
          </w:tcPr>
          <w:p w14:paraId="52922EB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D182F6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Guthrie S</w:t>
            </w:r>
          </w:p>
        </w:tc>
        <w:tc>
          <w:tcPr>
            <w:tcW w:w="7010" w:type="dxa"/>
            <w:shd w:val="clear" w:color="auto" w:fill="auto"/>
            <w:vAlign w:val="center"/>
          </w:tcPr>
          <w:p w14:paraId="33DE557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Improvement in Quality of Life in Patients with Hereditary Transthyretin Amyloidosis with Polyneuropathy and Cardiomyopathy Treated with Inotersen in the Phase 3 Study Neuro-Ttr</w:t>
            </w:r>
          </w:p>
        </w:tc>
        <w:tc>
          <w:tcPr>
            <w:tcW w:w="568" w:type="dxa"/>
            <w:shd w:val="clear" w:color="auto" w:fill="auto"/>
            <w:vAlign w:val="center"/>
          </w:tcPr>
          <w:p w14:paraId="7382473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6479F2C2" w14:textId="77777777" w:rsidTr="004C3C90">
        <w:trPr>
          <w:trHeight w:val="20"/>
        </w:trPr>
        <w:tc>
          <w:tcPr>
            <w:tcW w:w="550" w:type="dxa"/>
            <w:shd w:val="clear" w:color="auto" w:fill="auto"/>
            <w:vAlign w:val="center"/>
          </w:tcPr>
          <w:p w14:paraId="4D94E1F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766</w:t>
            </w:r>
          </w:p>
        </w:tc>
        <w:tc>
          <w:tcPr>
            <w:tcW w:w="1071" w:type="dxa"/>
            <w:shd w:val="clear" w:color="auto" w:fill="auto"/>
            <w:vAlign w:val="center"/>
          </w:tcPr>
          <w:p w14:paraId="63AC8B4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D6718F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Coelho T, Yarlas A, Waddington-Cruz M, White MK, Sikora Kessler A, Lovley A, et al. </w:t>
            </w:r>
          </w:p>
        </w:tc>
        <w:tc>
          <w:tcPr>
            <w:tcW w:w="7010" w:type="dxa"/>
            <w:shd w:val="clear" w:color="auto" w:fill="auto"/>
            <w:vAlign w:val="center"/>
          </w:tcPr>
          <w:p w14:paraId="2736ED6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Inotersen Preserves or Improves Quality of Life in Hereditary Transthyretin Amyloidosis</w:t>
            </w:r>
          </w:p>
        </w:tc>
        <w:tc>
          <w:tcPr>
            <w:tcW w:w="568" w:type="dxa"/>
            <w:shd w:val="clear" w:color="auto" w:fill="auto"/>
            <w:vAlign w:val="center"/>
          </w:tcPr>
          <w:p w14:paraId="013EE23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2A170AF0" w14:textId="77777777" w:rsidTr="004C3C90">
        <w:trPr>
          <w:trHeight w:val="20"/>
        </w:trPr>
        <w:tc>
          <w:tcPr>
            <w:tcW w:w="550" w:type="dxa"/>
            <w:shd w:val="clear" w:color="auto" w:fill="auto"/>
            <w:vAlign w:val="center"/>
          </w:tcPr>
          <w:p w14:paraId="3562E9F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767</w:t>
            </w:r>
          </w:p>
        </w:tc>
        <w:tc>
          <w:tcPr>
            <w:tcW w:w="1071" w:type="dxa"/>
            <w:shd w:val="clear" w:color="auto" w:fill="auto"/>
            <w:vAlign w:val="center"/>
          </w:tcPr>
          <w:p w14:paraId="2EB5DCA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1DFCB0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Shafie AA, Supian A, Ahmad Hassali MA, Ngu LH, Thong MK, Ayob H, et al. </w:t>
            </w:r>
          </w:p>
        </w:tc>
        <w:tc>
          <w:tcPr>
            <w:tcW w:w="7010" w:type="dxa"/>
            <w:shd w:val="clear" w:color="auto" w:fill="auto"/>
            <w:vAlign w:val="center"/>
          </w:tcPr>
          <w:p w14:paraId="517D119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Rare Disease in Malaysia: Challenges and Solutions</w:t>
            </w:r>
          </w:p>
        </w:tc>
        <w:tc>
          <w:tcPr>
            <w:tcW w:w="568" w:type="dxa"/>
            <w:shd w:val="clear" w:color="auto" w:fill="auto"/>
            <w:vAlign w:val="center"/>
          </w:tcPr>
          <w:p w14:paraId="4618378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220BC220" w14:textId="77777777" w:rsidTr="004C3C90">
        <w:trPr>
          <w:trHeight w:val="20"/>
        </w:trPr>
        <w:tc>
          <w:tcPr>
            <w:tcW w:w="550" w:type="dxa"/>
            <w:shd w:val="clear" w:color="auto" w:fill="auto"/>
            <w:vAlign w:val="center"/>
          </w:tcPr>
          <w:p w14:paraId="510B6B4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768</w:t>
            </w:r>
          </w:p>
        </w:tc>
        <w:tc>
          <w:tcPr>
            <w:tcW w:w="1071" w:type="dxa"/>
            <w:shd w:val="clear" w:color="auto" w:fill="auto"/>
            <w:vAlign w:val="center"/>
          </w:tcPr>
          <w:p w14:paraId="3E20928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2A26DA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Cui T, Wang Y, Wang J, Zhang J, Gao Z, Wang Z</w:t>
            </w:r>
          </w:p>
        </w:tc>
        <w:tc>
          <w:tcPr>
            <w:tcW w:w="7010" w:type="dxa"/>
            <w:shd w:val="clear" w:color="auto" w:fill="auto"/>
            <w:vAlign w:val="center"/>
          </w:tcPr>
          <w:p w14:paraId="2C54ADD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Role of Allogeneic Hematopoietic Stem Cell Transplantation and Epstein-Barr Virus Infection on the Treatment for Child Primary Hemophagocytic Lymphohistiocytosis Patients with X-Linked Lymphoproliferative Disease: A Rare Case Report and Family Survey Study</w:t>
            </w:r>
          </w:p>
        </w:tc>
        <w:tc>
          <w:tcPr>
            <w:tcW w:w="568" w:type="dxa"/>
            <w:shd w:val="clear" w:color="auto" w:fill="auto"/>
            <w:vAlign w:val="center"/>
          </w:tcPr>
          <w:p w14:paraId="479E616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5A16801A" w14:textId="77777777" w:rsidTr="004C3C90">
        <w:trPr>
          <w:trHeight w:val="20"/>
        </w:trPr>
        <w:tc>
          <w:tcPr>
            <w:tcW w:w="550" w:type="dxa"/>
            <w:shd w:val="clear" w:color="auto" w:fill="auto"/>
            <w:vAlign w:val="center"/>
          </w:tcPr>
          <w:p w14:paraId="38231C5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769</w:t>
            </w:r>
          </w:p>
        </w:tc>
        <w:tc>
          <w:tcPr>
            <w:tcW w:w="1071" w:type="dxa"/>
            <w:shd w:val="clear" w:color="auto" w:fill="auto"/>
            <w:vAlign w:val="center"/>
          </w:tcPr>
          <w:p w14:paraId="36022F5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CDEBCE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Louie A, Meyerle C, Francomano C, Srikumaran D, Merali F, Doyle JJ, et al.</w:t>
            </w:r>
          </w:p>
        </w:tc>
        <w:tc>
          <w:tcPr>
            <w:tcW w:w="7010" w:type="dxa"/>
            <w:shd w:val="clear" w:color="auto" w:fill="auto"/>
            <w:vAlign w:val="center"/>
          </w:tcPr>
          <w:p w14:paraId="5801A86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Survey of Ehlers-Danlos Patients' Ophthalmic Surgery Experiences</w:t>
            </w:r>
          </w:p>
        </w:tc>
        <w:tc>
          <w:tcPr>
            <w:tcW w:w="568" w:type="dxa"/>
            <w:shd w:val="clear" w:color="auto" w:fill="auto"/>
            <w:vAlign w:val="center"/>
          </w:tcPr>
          <w:p w14:paraId="52A68A5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1450ED3B" w14:textId="77777777" w:rsidTr="004C3C90">
        <w:trPr>
          <w:trHeight w:val="20"/>
        </w:trPr>
        <w:tc>
          <w:tcPr>
            <w:tcW w:w="550" w:type="dxa"/>
            <w:shd w:val="clear" w:color="auto" w:fill="auto"/>
            <w:vAlign w:val="center"/>
          </w:tcPr>
          <w:p w14:paraId="2C3D446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770</w:t>
            </w:r>
          </w:p>
        </w:tc>
        <w:tc>
          <w:tcPr>
            <w:tcW w:w="1071" w:type="dxa"/>
            <w:shd w:val="clear" w:color="auto" w:fill="auto"/>
            <w:vAlign w:val="center"/>
          </w:tcPr>
          <w:p w14:paraId="45751C6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8CF42C2" w14:textId="77777777" w:rsidR="004C3C90" w:rsidRPr="004C3C90" w:rsidRDefault="004C3C90" w:rsidP="004C3C90">
            <w:pPr>
              <w:rPr>
                <w:rFonts w:ascii="Times New Roman" w:hAnsi="Times New Roman" w:cs="Times New Roman"/>
                <w:sz w:val="20"/>
                <w:szCs w:val="20"/>
              </w:rPr>
            </w:pPr>
            <w:r w:rsidRPr="004C3C90">
              <w:rPr>
                <w:rFonts w:ascii="Times New Roman" w:hAnsi="Times New Roman" w:cs="Times New Roman"/>
                <w:sz w:val="20"/>
                <w:szCs w:val="20"/>
              </w:rPr>
              <w:t xml:space="preserve">Thombs B.D, Kwakkenbos L, Carrier M.-E, Bourgeault A, Tao L, Harb S, et al. </w:t>
            </w:r>
          </w:p>
        </w:tc>
        <w:tc>
          <w:tcPr>
            <w:tcW w:w="7010" w:type="dxa"/>
            <w:shd w:val="clear" w:color="auto" w:fill="auto"/>
            <w:vAlign w:val="center"/>
          </w:tcPr>
          <w:p w14:paraId="0240CDD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Partially Nested RCT to Evaluate the Effectiveness of the Scleroderma Patient-centered Intervention Network COVID-19 Home-isolation Activities Together (SPIN-CHAT) Program to Reduce Anxiety Among At-Risk Scleroderma Patients</w:t>
            </w:r>
          </w:p>
        </w:tc>
        <w:tc>
          <w:tcPr>
            <w:tcW w:w="568" w:type="dxa"/>
            <w:shd w:val="clear" w:color="auto" w:fill="auto"/>
            <w:vAlign w:val="center"/>
          </w:tcPr>
          <w:p w14:paraId="0B248D6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29BF246A" w14:textId="77777777" w:rsidTr="004C3C90">
        <w:trPr>
          <w:trHeight w:val="20"/>
        </w:trPr>
        <w:tc>
          <w:tcPr>
            <w:tcW w:w="550" w:type="dxa"/>
            <w:shd w:val="clear" w:color="auto" w:fill="auto"/>
            <w:vAlign w:val="center"/>
          </w:tcPr>
          <w:p w14:paraId="7FA9A7D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771</w:t>
            </w:r>
          </w:p>
        </w:tc>
        <w:tc>
          <w:tcPr>
            <w:tcW w:w="1071" w:type="dxa"/>
            <w:shd w:val="clear" w:color="auto" w:fill="auto"/>
            <w:vAlign w:val="center"/>
          </w:tcPr>
          <w:p w14:paraId="2A99F07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EABBEC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Dillard D</w:t>
            </w:r>
          </w:p>
        </w:tc>
        <w:tc>
          <w:tcPr>
            <w:tcW w:w="7010" w:type="dxa"/>
            <w:shd w:val="clear" w:color="auto" w:fill="auto"/>
            <w:vAlign w:val="center"/>
          </w:tcPr>
          <w:p w14:paraId="4DC3C50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Blood Pressure-Improving Control among Alaska Native People" (Bp-Ican)</w:t>
            </w:r>
          </w:p>
        </w:tc>
        <w:tc>
          <w:tcPr>
            <w:tcW w:w="568" w:type="dxa"/>
            <w:shd w:val="clear" w:color="auto" w:fill="auto"/>
            <w:vAlign w:val="center"/>
          </w:tcPr>
          <w:p w14:paraId="6A6B198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414B5DEE" w14:textId="77777777" w:rsidTr="004C3C90">
        <w:trPr>
          <w:trHeight w:val="20"/>
        </w:trPr>
        <w:tc>
          <w:tcPr>
            <w:tcW w:w="550" w:type="dxa"/>
            <w:shd w:val="clear" w:color="auto" w:fill="auto"/>
            <w:vAlign w:val="center"/>
          </w:tcPr>
          <w:p w14:paraId="24E4BE3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772</w:t>
            </w:r>
          </w:p>
        </w:tc>
        <w:tc>
          <w:tcPr>
            <w:tcW w:w="1071" w:type="dxa"/>
            <w:shd w:val="clear" w:color="auto" w:fill="auto"/>
            <w:vAlign w:val="center"/>
          </w:tcPr>
          <w:p w14:paraId="7662174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C24BE3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Hureaux M, Ashton E, Dahan K, Houillier P, Blanchard A, Cormier C, et al. </w:t>
            </w:r>
          </w:p>
        </w:tc>
        <w:tc>
          <w:tcPr>
            <w:tcW w:w="7010" w:type="dxa"/>
            <w:shd w:val="clear" w:color="auto" w:fill="auto"/>
            <w:vAlign w:val="center"/>
          </w:tcPr>
          <w:p w14:paraId="18A2045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High-Throughput Sequencing Contributes to the Diagnosis of Tubulopathies and Familial Hypercalcemia Hypocalciuria in Adults</w:t>
            </w:r>
          </w:p>
        </w:tc>
        <w:tc>
          <w:tcPr>
            <w:tcW w:w="568" w:type="dxa"/>
            <w:shd w:val="clear" w:color="auto" w:fill="auto"/>
            <w:vAlign w:val="center"/>
          </w:tcPr>
          <w:p w14:paraId="1A8D7E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2565605" w14:textId="77777777" w:rsidTr="004C3C90">
        <w:trPr>
          <w:trHeight w:val="20"/>
        </w:trPr>
        <w:tc>
          <w:tcPr>
            <w:tcW w:w="550" w:type="dxa"/>
            <w:shd w:val="clear" w:color="auto" w:fill="auto"/>
            <w:vAlign w:val="center"/>
          </w:tcPr>
          <w:p w14:paraId="035F5BC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773</w:t>
            </w:r>
          </w:p>
        </w:tc>
        <w:tc>
          <w:tcPr>
            <w:tcW w:w="1071" w:type="dxa"/>
            <w:shd w:val="clear" w:color="auto" w:fill="auto"/>
            <w:vAlign w:val="center"/>
          </w:tcPr>
          <w:p w14:paraId="7C501BA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842EC3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Cooper J</w:t>
            </w:r>
          </w:p>
        </w:tc>
        <w:tc>
          <w:tcPr>
            <w:tcW w:w="7010" w:type="dxa"/>
            <w:shd w:val="clear" w:color="auto" w:fill="auto"/>
            <w:vAlign w:val="center"/>
          </w:tcPr>
          <w:p w14:paraId="2A6D5D6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Hyperbaric Oxygen for Carbon Monoxide Induced Chronic Encephalopathy</w:t>
            </w:r>
          </w:p>
        </w:tc>
        <w:tc>
          <w:tcPr>
            <w:tcW w:w="568" w:type="dxa"/>
            <w:shd w:val="clear" w:color="auto" w:fill="auto"/>
            <w:vAlign w:val="center"/>
          </w:tcPr>
          <w:p w14:paraId="40A4838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2FFB6E8F" w14:textId="77777777" w:rsidTr="004C3C90">
        <w:trPr>
          <w:trHeight w:val="20"/>
        </w:trPr>
        <w:tc>
          <w:tcPr>
            <w:tcW w:w="550" w:type="dxa"/>
            <w:shd w:val="clear" w:color="auto" w:fill="auto"/>
            <w:vAlign w:val="center"/>
          </w:tcPr>
          <w:p w14:paraId="452EA2F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774</w:t>
            </w:r>
          </w:p>
        </w:tc>
        <w:tc>
          <w:tcPr>
            <w:tcW w:w="1071" w:type="dxa"/>
            <w:shd w:val="clear" w:color="auto" w:fill="auto"/>
            <w:vAlign w:val="center"/>
          </w:tcPr>
          <w:p w14:paraId="292F54A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7CE35A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Dal-Ré R, Avendaño-Solà C, de Boer A, James SK, Rosendaal FR, Stephens R, et al. </w:t>
            </w:r>
          </w:p>
        </w:tc>
        <w:tc>
          <w:tcPr>
            <w:tcW w:w="7010" w:type="dxa"/>
            <w:shd w:val="clear" w:color="auto" w:fill="auto"/>
            <w:vAlign w:val="center"/>
          </w:tcPr>
          <w:p w14:paraId="5CECEBA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Limited Number of Medicines Pragmatic Trials Had Potential for Waived Informed Consent Following the 2016 Cioms Ethical Guidelines</w:t>
            </w:r>
          </w:p>
        </w:tc>
        <w:tc>
          <w:tcPr>
            <w:tcW w:w="568" w:type="dxa"/>
            <w:shd w:val="clear" w:color="auto" w:fill="auto"/>
            <w:vAlign w:val="center"/>
          </w:tcPr>
          <w:p w14:paraId="081886E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AC0DE48" w14:textId="77777777" w:rsidTr="004C3C90">
        <w:trPr>
          <w:trHeight w:val="20"/>
        </w:trPr>
        <w:tc>
          <w:tcPr>
            <w:tcW w:w="550" w:type="dxa"/>
            <w:shd w:val="clear" w:color="auto" w:fill="auto"/>
            <w:vAlign w:val="center"/>
          </w:tcPr>
          <w:p w14:paraId="5BCD315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775</w:t>
            </w:r>
          </w:p>
        </w:tc>
        <w:tc>
          <w:tcPr>
            <w:tcW w:w="1071" w:type="dxa"/>
            <w:shd w:val="clear" w:color="auto" w:fill="auto"/>
            <w:vAlign w:val="center"/>
          </w:tcPr>
          <w:p w14:paraId="69EB158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AA5889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Salman J, Ius F, Sommer W, Siemeni T, Fleissner F, Alhadidi H, et al. </w:t>
            </w:r>
          </w:p>
        </w:tc>
        <w:tc>
          <w:tcPr>
            <w:tcW w:w="7010" w:type="dxa"/>
            <w:shd w:val="clear" w:color="auto" w:fill="auto"/>
            <w:vAlign w:val="center"/>
          </w:tcPr>
          <w:p w14:paraId="3B773EE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Long-Term Results of Bilateral Lung Transplantation in Patients with End-Stage Pulmonary Lymphangioleiomyomatosis</w:t>
            </w:r>
          </w:p>
        </w:tc>
        <w:tc>
          <w:tcPr>
            <w:tcW w:w="568" w:type="dxa"/>
            <w:shd w:val="clear" w:color="auto" w:fill="auto"/>
            <w:vAlign w:val="center"/>
          </w:tcPr>
          <w:p w14:paraId="68B45F8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7CC53EB9" w14:textId="77777777" w:rsidTr="004C3C90">
        <w:trPr>
          <w:trHeight w:val="20"/>
        </w:trPr>
        <w:tc>
          <w:tcPr>
            <w:tcW w:w="550" w:type="dxa"/>
            <w:shd w:val="clear" w:color="auto" w:fill="auto"/>
            <w:vAlign w:val="center"/>
          </w:tcPr>
          <w:p w14:paraId="041C6B1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776</w:t>
            </w:r>
          </w:p>
        </w:tc>
        <w:tc>
          <w:tcPr>
            <w:tcW w:w="1071" w:type="dxa"/>
            <w:shd w:val="clear" w:color="auto" w:fill="auto"/>
            <w:vAlign w:val="center"/>
          </w:tcPr>
          <w:p w14:paraId="5146142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87FBCC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Galvão CRC, Cavalcante PMA, Olinda R, Graciani Z, Zatz M, Kok F, et al. </w:t>
            </w:r>
          </w:p>
        </w:tc>
        <w:tc>
          <w:tcPr>
            <w:tcW w:w="7010" w:type="dxa"/>
            <w:shd w:val="clear" w:color="auto" w:fill="auto"/>
            <w:vAlign w:val="center"/>
          </w:tcPr>
          <w:p w14:paraId="27795F3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Motor Impairment in a Rare Form of Spastic Paraplegia (Spoan Syndrome): A 10-Year Follow-Up</w:t>
            </w:r>
          </w:p>
        </w:tc>
        <w:tc>
          <w:tcPr>
            <w:tcW w:w="568" w:type="dxa"/>
            <w:shd w:val="clear" w:color="auto" w:fill="auto"/>
            <w:vAlign w:val="center"/>
          </w:tcPr>
          <w:p w14:paraId="764629F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56EB3FCF" w14:textId="77777777" w:rsidTr="004C3C90">
        <w:trPr>
          <w:trHeight w:val="20"/>
        </w:trPr>
        <w:tc>
          <w:tcPr>
            <w:tcW w:w="550" w:type="dxa"/>
            <w:shd w:val="clear" w:color="auto" w:fill="auto"/>
            <w:vAlign w:val="center"/>
          </w:tcPr>
          <w:p w14:paraId="3604366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777</w:t>
            </w:r>
          </w:p>
        </w:tc>
        <w:tc>
          <w:tcPr>
            <w:tcW w:w="1071" w:type="dxa"/>
            <w:shd w:val="clear" w:color="auto" w:fill="auto"/>
            <w:vAlign w:val="center"/>
          </w:tcPr>
          <w:p w14:paraId="5AA8806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D53184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Greenberg BM, Krishnan C, Harder L</w:t>
            </w:r>
          </w:p>
        </w:tc>
        <w:tc>
          <w:tcPr>
            <w:tcW w:w="7010" w:type="dxa"/>
            <w:shd w:val="clear" w:color="auto" w:fill="auto"/>
            <w:vAlign w:val="center"/>
          </w:tcPr>
          <w:p w14:paraId="47D8523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New Onset Transverse Myelitis Diagnostic Accuracy and Patient Experiences</w:t>
            </w:r>
          </w:p>
        </w:tc>
        <w:tc>
          <w:tcPr>
            <w:tcW w:w="568" w:type="dxa"/>
            <w:shd w:val="clear" w:color="auto" w:fill="auto"/>
            <w:vAlign w:val="center"/>
          </w:tcPr>
          <w:p w14:paraId="50D6AE5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72F7375" w14:textId="77777777" w:rsidTr="004C3C90">
        <w:trPr>
          <w:trHeight w:val="20"/>
        </w:trPr>
        <w:tc>
          <w:tcPr>
            <w:tcW w:w="550" w:type="dxa"/>
            <w:shd w:val="clear" w:color="auto" w:fill="auto"/>
            <w:vAlign w:val="center"/>
          </w:tcPr>
          <w:p w14:paraId="19FBB9E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778</w:t>
            </w:r>
          </w:p>
        </w:tc>
        <w:tc>
          <w:tcPr>
            <w:tcW w:w="1071" w:type="dxa"/>
            <w:shd w:val="clear" w:color="auto" w:fill="auto"/>
            <w:vAlign w:val="center"/>
          </w:tcPr>
          <w:p w14:paraId="6916796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E3C32A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Shiraishi H, Yamada K, Oki E, Ishige M, Fukao T, Hamada Y, et al. </w:t>
            </w:r>
          </w:p>
        </w:tc>
        <w:tc>
          <w:tcPr>
            <w:tcW w:w="7010" w:type="dxa"/>
            <w:shd w:val="clear" w:color="auto" w:fill="auto"/>
            <w:vAlign w:val="center"/>
          </w:tcPr>
          <w:p w14:paraId="066FAFB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Open-Label Clinical Trial of Bezafibrate Treatment in Patients with Fatty Acid Oxidation Disorders in Japan; 2nd Report Qol Survey</w:t>
            </w:r>
          </w:p>
        </w:tc>
        <w:tc>
          <w:tcPr>
            <w:tcW w:w="568" w:type="dxa"/>
            <w:shd w:val="clear" w:color="auto" w:fill="auto"/>
            <w:vAlign w:val="center"/>
          </w:tcPr>
          <w:p w14:paraId="05B40BA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0C3FD16" w14:textId="77777777" w:rsidTr="004C3C90">
        <w:trPr>
          <w:trHeight w:val="20"/>
        </w:trPr>
        <w:tc>
          <w:tcPr>
            <w:tcW w:w="550" w:type="dxa"/>
            <w:shd w:val="clear" w:color="auto" w:fill="auto"/>
            <w:vAlign w:val="center"/>
          </w:tcPr>
          <w:p w14:paraId="226D4A6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779</w:t>
            </w:r>
          </w:p>
        </w:tc>
        <w:tc>
          <w:tcPr>
            <w:tcW w:w="1071" w:type="dxa"/>
            <w:shd w:val="clear" w:color="auto" w:fill="auto"/>
            <w:vAlign w:val="center"/>
          </w:tcPr>
          <w:p w14:paraId="55CB8D9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D0464B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Hasker E, Malaviya P, Scholar VK, de Koning P, Singh OP, Kansal S, et al. </w:t>
            </w:r>
          </w:p>
        </w:tc>
        <w:tc>
          <w:tcPr>
            <w:tcW w:w="7010" w:type="dxa"/>
            <w:shd w:val="clear" w:color="auto" w:fill="auto"/>
            <w:vAlign w:val="center"/>
          </w:tcPr>
          <w:p w14:paraId="2C99F3B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Post Kala Azar Dermal Leishmaniasis and Leprosy Prevalence and Distribution in the Muzaffarpur Health and Demographic Surveillance Site</w:t>
            </w:r>
          </w:p>
        </w:tc>
        <w:tc>
          <w:tcPr>
            <w:tcW w:w="568" w:type="dxa"/>
            <w:shd w:val="clear" w:color="auto" w:fill="auto"/>
            <w:vAlign w:val="center"/>
          </w:tcPr>
          <w:p w14:paraId="2928795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909BC5D" w14:textId="77777777" w:rsidTr="004C3C90">
        <w:trPr>
          <w:trHeight w:val="20"/>
        </w:trPr>
        <w:tc>
          <w:tcPr>
            <w:tcW w:w="550" w:type="dxa"/>
            <w:shd w:val="clear" w:color="auto" w:fill="auto"/>
            <w:vAlign w:val="center"/>
          </w:tcPr>
          <w:p w14:paraId="49D0FFD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780</w:t>
            </w:r>
          </w:p>
        </w:tc>
        <w:tc>
          <w:tcPr>
            <w:tcW w:w="1071" w:type="dxa"/>
            <w:shd w:val="clear" w:color="auto" w:fill="auto"/>
            <w:vAlign w:val="center"/>
          </w:tcPr>
          <w:p w14:paraId="71F3ECE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5D4B8F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Walburn J, Canfield M, Norton S, Sainsbury K, Araújo-Soares V, Foster L, et al. </w:t>
            </w:r>
          </w:p>
        </w:tc>
        <w:tc>
          <w:tcPr>
            <w:tcW w:w="7010" w:type="dxa"/>
            <w:shd w:val="clear" w:color="auto" w:fill="auto"/>
            <w:vAlign w:val="center"/>
          </w:tcPr>
          <w:p w14:paraId="3CC9454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Psychological Correlates of Adherence to Photoprotection in a Rare Disease: International Survey of People with Xeroderma Pigmentosum</w:t>
            </w:r>
          </w:p>
        </w:tc>
        <w:tc>
          <w:tcPr>
            <w:tcW w:w="568" w:type="dxa"/>
            <w:shd w:val="clear" w:color="auto" w:fill="auto"/>
            <w:vAlign w:val="center"/>
          </w:tcPr>
          <w:p w14:paraId="1073BBA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BC01A29" w14:textId="77777777" w:rsidTr="004C3C90">
        <w:trPr>
          <w:trHeight w:val="20"/>
        </w:trPr>
        <w:tc>
          <w:tcPr>
            <w:tcW w:w="550" w:type="dxa"/>
            <w:shd w:val="clear" w:color="auto" w:fill="auto"/>
            <w:vAlign w:val="center"/>
          </w:tcPr>
          <w:p w14:paraId="558BDEA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781</w:t>
            </w:r>
          </w:p>
        </w:tc>
        <w:tc>
          <w:tcPr>
            <w:tcW w:w="1071" w:type="dxa"/>
            <w:shd w:val="clear" w:color="auto" w:fill="auto"/>
            <w:vAlign w:val="center"/>
          </w:tcPr>
          <w:p w14:paraId="71E88BB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1450BC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Thombs BD</w:t>
            </w:r>
          </w:p>
        </w:tc>
        <w:tc>
          <w:tcPr>
            <w:tcW w:w="7010" w:type="dxa"/>
            <w:shd w:val="clear" w:color="auto" w:fill="auto"/>
            <w:vAlign w:val="center"/>
          </w:tcPr>
          <w:p w14:paraId="50E0B2F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Spin - Scleroderma Support Group Leader Education Program Trial (Spin-Ssled)</w:t>
            </w:r>
          </w:p>
        </w:tc>
        <w:tc>
          <w:tcPr>
            <w:tcW w:w="568" w:type="dxa"/>
            <w:shd w:val="clear" w:color="auto" w:fill="auto"/>
            <w:vAlign w:val="center"/>
          </w:tcPr>
          <w:p w14:paraId="573EB55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2EB7EA08" w14:textId="77777777" w:rsidTr="004C3C90">
        <w:trPr>
          <w:trHeight w:val="20"/>
        </w:trPr>
        <w:tc>
          <w:tcPr>
            <w:tcW w:w="550" w:type="dxa"/>
            <w:shd w:val="clear" w:color="auto" w:fill="auto"/>
            <w:vAlign w:val="center"/>
          </w:tcPr>
          <w:p w14:paraId="33B84FE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782</w:t>
            </w:r>
          </w:p>
        </w:tc>
        <w:tc>
          <w:tcPr>
            <w:tcW w:w="1071" w:type="dxa"/>
            <w:shd w:val="clear" w:color="auto" w:fill="auto"/>
            <w:vAlign w:val="center"/>
          </w:tcPr>
          <w:p w14:paraId="40DEA69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8AAB06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van der Meijden JC, Kruijshaar ME, Rizopoulos D, van Doorn PA, van der Beek NAME, van der Ploeg AT</w:t>
            </w:r>
          </w:p>
        </w:tc>
        <w:tc>
          <w:tcPr>
            <w:tcW w:w="7010" w:type="dxa"/>
            <w:shd w:val="clear" w:color="auto" w:fill="auto"/>
            <w:vAlign w:val="center"/>
          </w:tcPr>
          <w:p w14:paraId="073D167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Enzyme Replacement Therapy Reduces the Risk for Wheelchair Dependency in Adult Pompe Patients</w:t>
            </w:r>
          </w:p>
        </w:tc>
        <w:tc>
          <w:tcPr>
            <w:tcW w:w="568" w:type="dxa"/>
            <w:shd w:val="clear" w:color="auto" w:fill="auto"/>
            <w:vAlign w:val="center"/>
          </w:tcPr>
          <w:p w14:paraId="4D93809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0A16B190" w14:textId="77777777" w:rsidTr="004C3C90">
        <w:trPr>
          <w:trHeight w:val="20"/>
        </w:trPr>
        <w:tc>
          <w:tcPr>
            <w:tcW w:w="550" w:type="dxa"/>
            <w:shd w:val="clear" w:color="auto" w:fill="auto"/>
            <w:vAlign w:val="center"/>
          </w:tcPr>
          <w:p w14:paraId="609A06F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783</w:t>
            </w:r>
          </w:p>
        </w:tc>
        <w:tc>
          <w:tcPr>
            <w:tcW w:w="1071" w:type="dxa"/>
            <w:shd w:val="clear" w:color="auto" w:fill="auto"/>
            <w:vAlign w:val="center"/>
          </w:tcPr>
          <w:p w14:paraId="1009948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A931F3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Hull University Teaching Hospitals NHS Trust</w:t>
            </w:r>
          </w:p>
        </w:tc>
        <w:tc>
          <w:tcPr>
            <w:tcW w:w="7010" w:type="dxa"/>
            <w:shd w:val="clear" w:color="auto" w:fill="auto"/>
            <w:vAlign w:val="center"/>
          </w:tcPr>
          <w:p w14:paraId="5921283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Feasibility Study of Early Review and Early Cardiac Rehabilitation after Coronary Artery Bypass</w:t>
            </w:r>
          </w:p>
        </w:tc>
        <w:tc>
          <w:tcPr>
            <w:tcW w:w="568" w:type="dxa"/>
            <w:shd w:val="clear" w:color="auto" w:fill="auto"/>
            <w:vAlign w:val="center"/>
          </w:tcPr>
          <w:p w14:paraId="6811B34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64B62909" w14:textId="77777777" w:rsidTr="004C3C90">
        <w:trPr>
          <w:trHeight w:val="20"/>
        </w:trPr>
        <w:tc>
          <w:tcPr>
            <w:tcW w:w="550" w:type="dxa"/>
            <w:shd w:val="clear" w:color="auto" w:fill="auto"/>
            <w:vAlign w:val="center"/>
          </w:tcPr>
          <w:p w14:paraId="23A698D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784</w:t>
            </w:r>
          </w:p>
        </w:tc>
        <w:tc>
          <w:tcPr>
            <w:tcW w:w="1071" w:type="dxa"/>
            <w:shd w:val="clear" w:color="auto" w:fill="auto"/>
            <w:vAlign w:val="center"/>
          </w:tcPr>
          <w:p w14:paraId="4942141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708D79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Wainright C</w:t>
            </w:r>
          </w:p>
        </w:tc>
        <w:tc>
          <w:tcPr>
            <w:tcW w:w="7010" w:type="dxa"/>
            <w:shd w:val="clear" w:color="auto" w:fill="auto"/>
            <w:vAlign w:val="center"/>
          </w:tcPr>
          <w:p w14:paraId="7942DE7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Finding the Optimal Regimen for Mycobacterium Abscessus Treatment (Format)</w:t>
            </w:r>
          </w:p>
        </w:tc>
        <w:tc>
          <w:tcPr>
            <w:tcW w:w="568" w:type="dxa"/>
            <w:shd w:val="clear" w:color="auto" w:fill="auto"/>
            <w:vAlign w:val="center"/>
          </w:tcPr>
          <w:p w14:paraId="155E7B8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1C9219D6" w14:textId="77777777" w:rsidTr="004C3C90">
        <w:trPr>
          <w:trHeight w:val="20"/>
        </w:trPr>
        <w:tc>
          <w:tcPr>
            <w:tcW w:w="550" w:type="dxa"/>
            <w:shd w:val="clear" w:color="auto" w:fill="auto"/>
            <w:vAlign w:val="center"/>
          </w:tcPr>
          <w:p w14:paraId="3B51182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785</w:t>
            </w:r>
          </w:p>
        </w:tc>
        <w:tc>
          <w:tcPr>
            <w:tcW w:w="1071" w:type="dxa"/>
            <w:shd w:val="clear" w:color="auto" w:fill="auto"/>
            <w:vAlign w:val="center"/>
          </w:tcPr>
          <w:p w14:paraId="31199B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E7790C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Boffin N, Swinnen E, Wens J, Urbina M, Van der Heyden J, Van Casteren V</w:t>
            </w:r>
          </w:p>
        </w:tc>
        <w:tc>
          <w:tcPr>
            <w:tcW w:w="7010" w:type="dxa"/>
            <w:shd w:val="clear" w:color="auto" w:fill="auto"/>
            <w:vAlign w:val="center"/>
          </w:tcPr>
          <w:p w14:paraId="0BF8E45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General Practice Care for Patients with Rare Diseases in Belgium. A Cross-Sectional Survey</w:t>
            </w:r>
          </w:p>
        </w:tc>
        <w:tc>
          <w:tcPr>
            <w:tcW w:w="568" w:type="dxa"/>
            <w:shd w:val="clear" w:color="auto" w:fill="auto"/>
            <w:vAlign w:val="center"/>
          </w:tcPr>
          <w:p w14:paraId="665D18E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DD134B7" w14:textId="77777777" w:rsidTr="004C3C90">
        <w:trPr>
          <w:trHeight w:val="20"/>
        </w:trPr>
        <w:tc>
          <w:tcPr>
            <w:tcW w:w="550" w:type="dxa"/>
            <w:shd w:val="clear" w:color="auto" w:fill="auto"/>
            <w:vAlign w:val="center"/>
          </w:tcPr>
          <w:p w14:paraId="2BF5E32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786</w:t>
            </w:r>
          </w:p>
        </w:tc>
        <w:tc>
          <w:tcPr>
            <w:tcW w:w="1071" w:type="dxa"/>
            <w:shd w:val="clear" w:color="auto" w:fill="auto"/>
            <w:vAlign w:val="center"/>
          </w:tcPr>
          <w:p w14:paraId="131778A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67B73D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Shaikh S, Waxler JL, Lee H, Grinke K, Garry J, Pober BR, et al. </w:t>
            </w:r>
          </w:p>
        </w:tc>
        <w:tc>
          <w:tcPr>
            <w:tcW w:w="7010" w:type="dxa"/>
            <w:shd w:val="clear" w:color="auto" w:fill="auto"/>
            <w:vAlign w:val="center"/>
          </w:tcPr>
          <w:p w14:paraId="491786D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Glucose and Lipid Metabolism, Bone Density, and Body Composition in Individuals with Williams Syndrome</w:t>
            </w:r>
          </w:p>
        </w:tc>
        <w:tc>
          <w:tcPr>
            <w:tcW w:w="568" w:type="dxa"/>
            <w:shd w:val="clear" w:color="auto" w:fill="auto"/>
            <w:vAlign w:val="center"/>
          </w:tcPr>
          <w:p w14:paraId="269C1B5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4D2A224" w14:textId="77777777" w:rsidTr="004C3C90">
        <w:trPr>
          <w:trHeight w:val="20"/>
        </w:trPr>
        <w:tc>
          <w:tcPr>
            <w:tcW w:w="550" w:type="dxa"/>
            <w:shd w:val="clear" w:color="auto" w:fill="auto"/>
            <w:vAlign w:val="center"/>
          </w:tcPr>
          <w:p w14:paraId="6DE02A1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787</w:t>
            </w:r>
          </w:p>
        </w:tc>
        <w:tc>
          <w:tcPr>
            <w:tcW w:w="1071" w:type="dxa"/>
            <w:shd w:val="clear" w:color="auto" w:fill="auto"/>
            <w:vAlign w:val="center"/>
          </w:tcPr>
          <w:p w14:paraId="4BBBBDD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C6F13A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Sugie K, Komaki H, Eura N, Shiota T, Onoue K, Tsukaguchi H, et al. </w:t>
            </w:r>
          </w:p>
        </w:tc>
        <w:tc>
          <w:tcPr>
            <w:tcW w:w="7010" w:type="dxa"/>
            <w:shd w:val="clear" w:color="auto" w:fill="auto"/>
            <w:vAlign w:val="center"/>
          </w:tcPr>
          <w:p w14:paraId="4C520E7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Nationwide Survey on Danon Disease in Japan</w:t>
            </w:r>
          </w:p>
        </w:tc>
        <w:tc>
          <w:tcPr>
            <w:tcW w:w="568" w:type="dxa"/>
            <w:shd w:val="clear" w:color="auto" w:fill="auto"/>
            <w:vAlign w:val="center"/>
          </w:tcPr>
          <w:p w14:paraId="0301BD9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30A89FDB" w14:textId="77777777" w:rsidTr="004C3C90">
        <w:trPr>
          <w:trHeight w:val="20"/>
        </w:trPr>
        <w:tc>
          <w:tcPr>
            <w:tcW w:w="550" w:type="dxa"/>
            <w:shd w:val="clear" w:color="auto" w:fill="auto"/>
            <w:vAlign w:val="center"/>
          </w:tcPr>
          <w:p w14:paraId="4FA334F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788</w:t>
            </w:r>
          </w:p>
        </w:tc>
        <w:tc>
          <w:tcPr>
            <w:tcW w:w="1071" w:type="dxa"/>
            <w:shd w:val="clear" w:color="auto" w:fill="auto"/>
            <w:vAlign w:val="center"/>
          </w:tcPr>
          <w:p w14:paraId="4332E7A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2EEC7C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Tingsgaard JK, Henriksen A, Mikkelsen LH, Behrendt N, Melchior LC, Svendsen LB, et al. </w:t>
            </w:r>
          </w:p>
        </w:tc>
        <w:tc>
          <w:tcPr>
            <w:tcW w:w="7010" w:type="dxa"/>
            <w:shd w:val="clear" w:color="auto" w:fill="auto"/>
            <w:vAlign w:val="center"/>
          </w:tcPr>
          <w:p w14:paraId="6D73787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Primary and Secondary Mucosal Melanoma of the Small Intestine – a Clinical, Pathological, and Genetic Nationwide Survey of Danish Patients between 1980 and 2014</w:t>
            </w:r>
          </w:p>
        </w:tc>
        <w:tc>
          <w:tcPr>
            <w:tcW w:w="568" w:type="dxa"/>
            <w:shd w:val="clear" w:color="auto" w:fill="auto"/>
            <w:vAlign w:val="center"/>
          </w:tcPr>
          <w:p w14:paraId="01E105D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01E67E25" w14:textId="77777777" w:rsidTr="004C3C90">
        <w:trPr>
          <w:trHeight w:val="20"/>
        </w:trPr>
        <w:tc>
          <w:tcPr>
            <w:tcW w:w="550" w:type="dxa"/>
            <w:shd w:val="clear" w:color="auto" w:fill="auto"/>
            <w:vAlign w:val="center"/>
          </w:tcPr>
          <w:p w14:paraId="50095D3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789</w:t>
            </w:r>
          </w:p>
        </w:tc>
        <w:tc>
          <w:tcPr>
            <w:tcW w:w="1071" w:type="dxa"/>
            <w:shd w:val="clear" w:color="auto" w:fill="auto"/>
            <w:vAlign w:val="center"/>
          </w:tcPr>
          <w:p w14:paraId="124AE55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E4D484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Manjang B, Hemming K, Bradley C, Ensink J, Martin JT, Sowe J, et al. </w:t>
            </w:r>
          </w:p>
        </w:tc>
        <w:tc>
          <w:tcPr>
            <w:tcW w:w="7010" w:type="dxa"/>
            <w:shd w:val="clear" w:color="auto" w:fill="auto"/>
            <w:vAlign w:val="center"/>
          </w:tcPr>
          <w:p w14:paraId="55DB519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Promoting Hygienic Weaning Food Handling Practices through a Community-Based Programme: Intervention Implementation and Baseline Characteristics for a Cluster Randomised Controlled Trial in Rural Gambia</w:t>
            </w:r>
          </w:p>
        </w:tc>
        <w:tc>
          <w:tcPr>
            <w:tcW w:w="568" w:type="dxa"/>
            <w:shd w:val="clear" w:color="auto" w:fill="auto"/>
            <w:vAlign w:val="center"/>
          </w:tcPr>
          <w:p w14:paraId="59D600B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C11EEB4" w14:textId="77777777" w:rsidTr="004C3C90">
        <w:trPr>
          <w:trHeight w:val="20"/>
        </w:trPr>
        <w:tc>
          <w:tcPr>
            <w:tcW w:w="550" w:type="dxa"/>
            <w:shd w:val="clear" w:color="auto" w:fill="auto"/>
            <w:vAlign w:val="center"/>
          </w:tcPr>
          <w:p w14:paraId="0282091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790</w:t>
            </w:r>
          </w:p>
        </w:tc>
        <w:tc>
          <w:tcPr>
            <w:tcW w:w="1071" w:type="dxa"/>
            <w:shd w:val="clear" w:color="auto" w:fill="auto"/>
            <w:vAlign w:val="center"/>
          </w:tcPr>
          <w:p w14:paraId="51A475C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D48294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Thombs BD, Dyas L, Pépin M, Aguila K, Carrier ME, Tao L, et al. </w:t>
            </w:r>
          </w:p>
        </w:tc>
        <w:tc>
          <w:tcPr>
            <w:tcW w:w="7010" w:type="dxa"/>
            <w:shd w:val="clear" w:color="auto" w:fill="auto"/>
            <w:vAlign w:val="center"/>
          </w:tcPr>
          <w:p w14:paraId="4463C1D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Scleroderma Patient-Centered Intervention Network (Spin) Support Group Leader Education Program Feasibility Trial</w:t>
            </w:r>
          </w:p>
        </w:tc>
        <w:tc>
          <w:tcPr>
            <w:tcW w:w="568" w:type="dxa"/>
            <w:shd w:val="clear" w:color="auto" w:fill="auto"/>
            <w:vAlign w:val="center"/>
          </w:tcPr>
          <w:p w14:paraId="4210080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F3AD0E7" w14:textId="77777777" w:rsidTr="004C3C90">
        <w:trPr>
          <w:trHeight w:val="20"/>
        </w:trPr>
        <w:tc>
          <w:tcPr>
            <w:tcW w:w="550" w:type="dxa"/>
            <w:shd w:val="clear" w:color="auto" w:fill="auto"/>
            <w:vAlign w:val="center"/>
          </w:tcPr>
          <w:p w14:paraId="56FF65A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791</w:t>
            </w:r>
          </w:p>
        </w:tc>
        <w:tc>
          <w:tcPr>
            <w:tcW w:w="1071" w:type="dxa"/>
            <w:shd w:val="clear" w:color="auto" w:fill="auto"/>
            <w:vAlign w:val="center"/>
          </w:tcPr>
          <w:p w14:paraId="1EEA9D3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99F1F8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Cao XX, Tian Z, Lin L, Sun J, Su W, Zhou DB, et al. </w:t>
            </w:r>
          </w:p>
        </w:tc>
        <w:tc>
          <w:tcPr>
            <w:tcW w:w="7010" w:type="dxa"/>
            <w:shd w:val="clear" w:color="auto" w:fill="auto"/>
            <w:vAlign w:val="center"/>
          </w:tcPr>
          <w:p w14:paraId="5888526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Successful Treatment of Type 1 Cryoglobulinemic Vasculitis with Cardiac Involvement</w:t>
            </w:r>
          </w:p>
        </w:tc>
        <w:tc>
          <w:tcPr>
            <w:tcW w:w="568" w:type="dxa"/>
            <w:shd w:val="clear" w:color="auto" w:fill="auto"/>
            <w:vAlign w:val="center"/>
          </w:tcPr>
          <w:p w14:paraId="00CD4E2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32AEB0E4" w14:textId="77777777" w:rsidTr="004C3C90">
        <w:trPr>
          <w:trHeight w:val="20"/>
        </w:trPr>
        <w:tc>
          <w:tcPr>
            <w:tcW w:w="550" w:type="dxa"/>
            <w:shd w:val="clear" w:color="auto" w:fill="auto"/>
            <w:vAlign w:val="center"/>
          </w:tcPr>
          <w:p w14:paraId="6E6D1F5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792</w:t>
            </w:r>
          </w:p>
        </w:tc>
        <w:tc>
          <w:tcPr>
            <w:tcW w:w="1071" w:type="dxa"/>
            <w:shd w:val="clear" w:color="auto" w:fill="auto"/>
            <w:vAlign w:val="center"/>
          </w:tcPr>
          <w:p w14:paraId="6B58F1D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E43F61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Rizio AA, White MK, McCausland KL, Quock TP, Guthrie SD, Yokota M, et al. </w:t>
            </w:r>
          </w:p>
        </w:tc>
        <w:tc>
          <w:tcPr>
            <w:tcW w:w="7010" w:type="dxa"/>
            <w:shd w:val="clear" w:color="auto" w:fill="auto"/>
            <w:vAlign w:val="center"/>
          </w:tcPr>
          <w:p w14:paraId="2045AB5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Treatment Tolerability in Patients with Immunoglobulin Light-Chain Amyloidosis</w:t>
            </w:r>
          </w:p>
        </w:tc>
        <w:tc>
          <w:tcPr>
            <w:tcW w:w="568" w:type="dxa"/>
            <w:shd w:val="clear" w:color="auto" w:fill="auto"/>
            <w:vAlign w:val="center"/>
          </w:tcPr>
          <w:p w14:paraId="2BCB55F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02EB084D" w14:textId="77777777" w:rsidTr="004C3C90">
        <w:trPr>
          <w:trHeight w:val="20"/>
        </w:trPr>
        <w:tc>
          <w:tcPr>
            <w:tcW w:w="550" w:type="dxa"/>
            <w:shd w:val="clear" w:color="auto" w:fill="auto"/>
            <w:vAlign w:val="center"/>
          </w:tcPr>
          <w:p w14:paraId="72C4D67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793</w:t>
            </w:r>
          </w:p>
        </w:tc>
        <w:tc>
          <w:tcPr>
            <w:tcW w:w="1071" w:type="dxa"/>
            <w:shd w:val="clear" w:color="auto" w:fill="auto"/>
            <w:vAlign w:val="center"/>
          </w:tcPr>
          <w:p w14:paraId="0464A9E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4D7344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Wagenhäuser MU, Meyer-Janiszewski YK, Dueppers P, et al.</w:t>
            </w:r>
          </w:p>
        </w:tc>
        <w:tc>
          <w:tcPr>
            <w:tcW w:w="7010" w:type="dxa"/>
            <w:shd w:val="clear" w:color="auto" w:fill="auto"/>
            <w:vAlign w:val="center"/>
          </w:tcPr>
          <w:p w14:paraId="6EFD391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Chronic Mesenteric Ischemia: Patient Outcomes Using Open Surgical Revascularization</w:t>
            </w:r>
          </w:p>
        </w:tc>
        <w:tc>
          <w:tcPr>
            <w:tcW w:w="568" w:type="dxa"/>
            <w:shd w:val="clear" w:color="auto" w:fill="auto"/>
            <w:vAlign w:val="center"/>
          </w:tcPr>
          <w:p w14:paraId="03843B7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085F2917" w14:textId="77777777" w:rsidTr="004C3C90">
        <w:trPr>
          <w:trHeight w:val="20"/>
        </w:trPr>
        <w:tc>
          <w:tcPr>
            <w:tcW w:w="550" w:type="dxa"/>
            <w:shd w:val="clear" w:color="auto" w:fill="auto"/>
            <w:vAlign w:val="center"/>
          </w:tcPr>
          <w:p w14:paraId="0DAA15F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794</w:t>
            </w:r>
          </w:p>
        </w:tc>
        <w:tc>
          <w:tcPr>
            <w:tcW w:w="1071" w:type="dxa"/>
            <w:shd w:val="clear" w:color="auto" w:fill="auto"/>
            <w:vAlign w:val="center"/>
          </w:tcPr>
          <w:p w14:paraId="5118793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2EF52C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Choi JH, Lee BH, Heo SH, Kim GH, Kim YM, Kim DS, et al. </w:t>
            </w:r>
          </w:p>
        </w:tc>
        <w:tc>
          <w:tcPr>
            <w:tcW w:w="7010" w:type="dxa"/>
            <w:shd w:val="clear" w:color="auto" w:fill="auto"/>
            <w:vAlign w:val="center"/>
          </w:tcPr>
          <w:p w14:paraId="22486D2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Characteristics and Mutation Spectrum of Gla in Korean Patients with Fabry Disease by a Nationwide Survey: Underdiagnosis of Late-Onset Phenotype</w:t>
            </w:r>
          </w:p>
        </w:tc>
        <w:tc>
          <w:tcPr>
            <w:tcW w:w="568" w:type="dxa"/>
            <w:shd w:val="clear" w:color="auto" w:fill="auto"/>
            <w:vAlign w:val="center"/>
          </w:tcPr>
          <w:p w14:paraId="4F90FDA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3CEC0AFD" w14:textId="77777777" w:rsidTr="004C3C90">
        <w:trPr>
          <w:trHeight w:val="20"/>
        </w:trPr>
        <w:tc>
          <w:tcPr>
            <w:tcW w:w="550" w:type="dxa"/>
            <w:shd w:val="clear" w:color="auto" w:fill="auto"/>
            <w:vAlign w:val="center"/>
          </w:tcPr>
          <w:p w14:paraId="45B806C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795</w:t>
            </w:r>
          </w:p>
        </w:tc>
        <w:tc>
          <w:tcPr>
            <w:tcW w:w="1071" w:type="dxa"/>
            <w:shd w:val="clear" w:color="auto" w:fill="auto"/>
            <w:vAlign w:val="center"/>
          </w:tcPr>
          <w:p w14:paraId="3FE9260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E64F90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Krause K, Tsianakas A, Wagner N, Fischer J, Weller K, Metz M, et al. </w:t>
            </w:r>
          </w:p>
        </w:tc>
        <w:tc>
          <w:tcPr>
            <w:tcW w:w="7010" w:type="dxa"/>
            <w:shd w:val="clear" w:color="auto" w:fill="auto"/>
            <w:vAlign w:val="center"/>
          </w:tcPr>
          <w:p w14:paraId="32B1EED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Efficacy and Safety of Canakinumab in Schnitzler Syndrome: A multicenter Randomized Placebo-Controlled Study</w:t>
            </w:r>
          </w:p>
        </w:tc>
        <w:tc>
          <w:tcPr>
            <w:tcW w:w="568" w:type="dxa"/>
            <w:shd w:val="clear" w:color="auto" w:fill="auto"/>
            <w:vAlign w:val="center"/>
          </w:tcPr>
          <w:p w14:paraId="6F236BD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317E1BAA" w14:textId="77777777" w:rsidTr="004C3C90">
        <w:trPr>
          <w:trHeight w:val="20"/>
        </w:trPr>
        <w:tc>
          <w:tcPr>
            <w:tcW w:w="550" w:type="dxa"/>
            <w:shd w:val="clear" w:color="auto" w:fill="auto"/>
            <w:vAlign w:val="center"/>
          </w:tcPr>
          <w:p w14:paraId="466E72A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796</w:t>
            </w:r>
          </w:p>
        </w:tc>
        <w:tc>
          <w:tcPr>
            <w:tcW w:w="1071" w:type="dxa"/>
            <w:shd w:val="clear" w:color="auto" w:fill="auto"/>
            <w:vAlign w:val="center"/>
          </w:tcPr>
          <w:p w14:paraId="1630B22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53055D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D'Ambrosi R, Ragone V, Caldarini C, Serra N, Usuelli FG, Facchini RM</w:t>
            </w:r>
          </w:p>
        </w:tc>
        <w:tc>
          <w:tcPr>
            <w:tcW w:w="7010" w:type="dxa"/>
            <w:shd w:val="clear" w:color="auto" w:fill="auto"/>
            <w:vAlign w:val="center"/>
          </w:tcPr>
          <w:p w14:paraId="0A591B3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Impact of Hereditary Multiple Exostoses on Quality of Life, Satisfaction, Global Health Status, and Pain</w:t>
            </w:r>
          </w:p>
        </w:tc>
        <w:tc>
          <w:tcPr>
            <w:tcW w:w="568" w:type="dxa"/>
            <w:shd w:val="clear" w:color="auto" w:fill="auto"/>
            <w:vAlign w:val="center"/>
          </w:tcPr>
          <w:p w14:paraId="177653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1CFE6AAC" w14:textId="77777777" w:rsidTr="004C3C90">
        <w:trPr>
          <w:trHeight w:val="20"/>
        </w:trPr>
        <w:tc>
          <w:tcPr>
            <w:tcW w:w="550" w:type="dxa"/>
            <w:shd w:val="clear" w:color="auto" w:fill="auto"/>
            <w:vAlign w:val="center"/>
          </w:tcPr>
          <w:p w14:paraId="4DF8129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797</w:t>
            </w:r>
          </w:p>
        </w:tc>
        <w:tc>
          <w:tcPr>
            <w:tcW w:w="1071" w:type="dxa"/>
            <w:shd w:val="clear" w:color="auto" w:fill="auto"/>
            <w:vAlign w:val="center"/>
          </w:tcPr>
          <w:p w14:paraId="40ECF4E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D7D276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Isrctn</w:t>
            </w:r>
          </w:p>
        </w:tc>
        <w:tc>
          <w:tcPr>
            <w:tcW w:w="7010" w:type="dxa"/>
            <w:shd w:val="clear" w:color="auto" w:fill="auto"/>
            <w:vAlign w:val="center"/>
          </w:tcPr>
          <w:p w14:paraId="255D653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Patients for Patients – Qualified Peer-Counselling and Self-Management for Patients with Rare Chronic Diseases</w:t>
            </w:r>
          </w:p>
        </w:tc>
        <w:tc>
          <w:tcPr>
            <w:tcW w:w="568" w:type="dxa"/>
            <w:shd w:val="clear" w:color="auto" w:fill="auto"/>
            <w:vAlign w:val="center"/>
          </w:tcPr>
          <w:p w14:paraId="0B0013A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0FEA2492" w14:textId="77777777" w:rsidTr="004C3C90">
        <w:trPr>
          <w:trHeight w:val="20"/>
        </w:trPr>
        <w:tc>
          <w:tcPr>
            <w:tcW w:w="550" w:type="dxa"/>
            <w:shd w:val="clear" w:color="auto" w:fill="auto"/>
            <w:vAlign w:val="center"/>
          </w:tcPr>
          <w:p w14:paraId="674F182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798</w:t>
            </w:r>
          </w:p>
        </w:tc>
        <w:tc>
          <w:tcPr>
            <w:tcW w:w="1071" w:type="dxa"/>
            <w:shd w:val="clear" w:color="auto" w:fill="auto"/>
            <w:vAlign w:val="center"/>
          </w:tcPr>
          <w:p w14:paraId="605DAD6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4D285E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Esposito M, Gimigliano F, Barillari MR, Precenzano F, Ruberto M, Sepe J, et al. </w:t>
            </w:r>
          </w:p>
        </w:tc>
        <w:tc>
          <w:tcPr>
            <w:tcW w:w="7010" w:type="dxa"/>
            <w:shd w:val="clear" w:color="auto" w:fill="auto"/>
            <w:vAlign w:val="center"/>
          </w:tcPr>
          <w:p w14:paraId="1B6823A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Pediatric Selective Mutism Therapy: A Randomized Controlled Trial</w:t>
            </w:r>
          </w:p>
        </w:tc>
        <w:tc>
          <w:tcPr>
            <w:tcW w:w="568" w:type="dxa"/>
            <w:shd w:val="clear" w:color="auto" w:fill="auto"/>
            <w:vAlign w:val="center"/>
          </w:tcPr>
          <w:p w14:paraId="052C4F4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75528F32" w14:textId="77777777" w:rsidTr="004C3C90">
        <w:trPr>
          <w:trHeight w:val="20"/>
        </w:trPr>
        <w:tc>
          <w:tcPr>
            <w:tcW w:w="550" w:type="dxa"/>
            <w:shd w:val="clear" w:color="auto" w:fill="auto"/>
            <w:vAlign w:val="center"/>
          </w:tcPr>
          <w:p w14:paraId="2489BD5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799</w:t>
            </w:r>
          </w:p>
        </w:tc>
        <w:tc>
          <w:tcPr>
            <w:tcW w:w="1071" w:type="dxa"/>
            <w:shd w:val="clear" w:color="auto" w:fill="auto"/>
            <w:vAlign w:val="center"/>
          </w:tcPr>
          <w:p w14:paraId="5331BDA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6464E1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Tabibian JH, Gossard A, El-Youssef M, et al.</w:t>
            </w:r>
          </w:p>
        </w:tc>
        <w:tc>
          <w:tcPr>
            <w:tcW w:w="7010" w:type="dxa"/>
            <w:shd w:val="clear" w:color="auto" w:fill="auto"/>
            <w:vAlign w:val="center"/>
          </w:tcPr>
          <w:p w14:paraId="422FBE8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Prospective Clinical Trial of Rifaximin Therapy for Patients with Primary Sclerosing Cholangitis</w:t>
            </w:r>
          </w:p>
        </w:tc>
        <w:tc>
          <w:tcPr>
            <w:tcW w:w="568" w:type="dxa"/>
            <w:shd w:val="clear" w:color="auto" w:fill="auto"/>
            <w:vAlign w:val="center"/>
          </w:tcPr>
          <w:p w14:paraId="3CADDF0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0AAAB034" w14:textId="77777777" w:rsidTr="004C3C90">
        <w:trPr>
          <w:trHeight w:val="20"/>
        </w:trPr>
        <w:tc>
          <w:tcPr>
            <w:tcW w:w="550" w:type="dxa"/>
            <w:shd w:val="clear" w:color="auto" w:fill="auto"/>
            <w:vAlign w:val="center"/>
          </w:tcPr>
          <w:p w14:paraId="7B4C681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800</w:t>
            </w:r>
          </w:p>
        </w:tc>
        <w:tc>
          <w:tcPr>
            <w:tcW w:w="1071" w:type="dxa"/>
            <w:shd w:val="clear" w:color="auto" w:fill="auto"/>
            <w:vAlign w:val="center"/>
          </w:tcPr>
          <w:p w14:paraId="3D4184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5958B2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Hoenig M, Lagresle-Peyrou C, Pannicke U, Notarangelo LD, Porta F, Gennery AR, et al. </w:t>
            </w:r>
          </w:p>
        </w:tc>
        <w:tc>
          <w:tcPr>
            <w:tcW w:w="7010" w:type="dxa"/>
            <w:shd w:val="clear" w:color="auto" w:fill="auto"/>
            <w:vAlign w:val="center"/>
          </w:tcPr>
          <w:p w14:paraId="2509530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Reticular Dysgenesis: International Survey on Clinical Presentation, Transplantation, and Outcome</w:t>
            </w:r>
          </w:p>
        </w:tc>
        <w:tc>
          <w:tcPr>
            <w:tcW w:w="568" w:type="dxa"/>
            <w:shd w:val="clear" w:color="auto" w:fill="auto"/>
            <w:vAlign w:val="center"/>
          </w:tcPr>
          <w:p w14:paraId="71C416C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4DF41214" w14:textId="77777777" w:rsidTr="004C3C90">
        <w:trPr>
          <w:trHeight w:val="20"/>
        </w:trPr>
        <w:tc>
          <w:tcPr>
            <w:tcW w:w="550" w:type="dxa"/>
            <w:shd w:val="clear" w:color="auto" w:fill="auto"/>
            <w:vAlign w:val="center"/>
          </w:tcPr>
          <w:p w14:paraId="5136818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801</w:t>
            </w:r>
          </w:p>
        </w:tc>
        <w:tc>
          <w:tcPr>
            <w:tcW w:w="1071" w:type="dxa"/>
            <w:shd w:val="clear" w:color="auto" w:fill="auto"/>
            <w:vAlign w:val="center"/>
          </w:tcPr>
          <w:p w14:paraId="3314BC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D987EB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Roghi A, Poggiali E, Cassinerio E, Pedrotti P, Giuditta M, Milazzo A, et al. </w:t>
            </w:r>
          </w:p>
        </w:tc>
        <w:tc>
          <w:tcPr>
            <w:tcW w:w="7010" w:type="dxa"/>
            <w:shd w:val="clear" w:color="auto" w:fill="auto"/>
            <w:vAlign w:val="center"/>
          </w:tcPr>
          <w:p w14:paraId="1E41075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Role of Cardiac Magnetic Resonance in Assessing the Cardiac Involvement in Gaucher Type 1 Patients: Morphological and Functional Evaluations</w:t>
            </w:r>
          </w:p>
        </w:tc>
        <w:tc>
          <w:tcPr>
            <w:tcW w:w="568" w:type="dxa"/>
            <w:shd w:val="clear" w:color="auto" w:fill="auto"/>
            <w:vAlign w:val="center"/>
          </w:tcPr>
          <w:p w14:paraId="3FC399E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E91323B" w14:textId="77777777" w:rsidTr="004C3C90">
        <w:trPr>
          <w:trHeight w:val="20"/>
        </w:trPr>
        <w:tc>
          <w:tcPr>
            <w:tcW w:w="550" w:type="dxa"/>
            <w:shd w:val="clear" w:color="auto" w:fill="auto"/>
            <w:vAlign w:val="center"/>
          </w:tcPr>
          <w:p w14:paraId="276656F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802</w:t>
            </w:r>
          </w:p>
        </w:tc>
        <w:tc>
          <w:tcPr>
            <w:tcW w:w="1071" w:type="dxa"/>
            <w:shd w:val="clear" w:color="auto" w:fill="auto"/>
            <w:vAlign w:val="center"/>
          </w:tcPr>
          <w:p w14:paraId="1C23296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BF949C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Chiu CY, Su SC, Fan WL, Lai SH, Tsai MH, Chen SH, et al. </w:t>
            </w:r>
          </w:p>
        </w:tc>
        <w:tc>
          <w:tcPr>
            <w:tcW w:w="7010" w:type="dxa"/>
            <w:shd w:val="clear" w:color="auto" w:fill="auto"/>
            <w:vAlign w:val="center"/>
          </w:tcPr>
          <w:p w14:paraId="7590824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Whole-Genome Sequencing of a Family with Hereditary Pulmonary Alveolar Proteinosis Identifies a Rare Structural Variant Involving Csf2ra/Crlf2/Il3ra Gene Disruption</w:t>
            </w:r>
          </w:p>
        </w:tc>
        <w:tc>
          <w:tcPr>
            <w:tcW w:w="568" w:type="dxa"/>
            <w:shd w:val="clear" w:color="auto" w:fill="auto"/>
            <w:vAlign w:val="center"/>
          </w:tcPr>
          <w:p w14:paraId="43E2CAF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22A4F5AA" w14:textId="77777777" w:rsidTr="004C3C90">
        <w:trPr>
          <w:trHeight w:val="20"/>
        </w:trPr>
        <w:tc>
          <w:tcPr>
            <w:tcW w:w="550" w:type="dxa"/>
            <w:shd w:val="clear" w:color="auto" w:fill="auto"/>
            <w:vAlign w:val="center"/>
          </w:tcPr>
          <w:p w14:paraId="5340ECB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803</w:t>
            </w:r>
          </w:p>
        </w:tc>
        <w:tc>
          <w:tcPr>
            <w:tcW w:w="1071" w:type="dxa"/>
            <w:shd w:val="clear" w:color="auto" w:fill="auto"/>
            <w:vAlign w:val="center"/>
          </w:tcPr>
          <w:p w14:paraId="7CC69FF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AF3C55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Montaño AM, Lock-Hock N, Steiner RD, Graham BH, Szlago M, Greenstein R, et al. </w:t>
            </w:r>
          </w:p>
        </w:tc>
        <w:tc>
          <w:tcPr>
            <w:tcW w:w="7010" w:type="dxa"/>
            <w:shd w:val="clear" w:color="auto" w:fill="auto"/>
            <w:vAlign w:val="center"/>
          </w:tcPr>
          <w:p w14:paraId="24E7335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Course of Sly Syndrome (Mucopolysaccharidosis Type Vii)</w:t>
            </w:r>
          </w:p>
        </w:tc>
        <w:tc>
          <w:tcPr>
            <w:tcW w:w="568" w:type="dxa"/>
            <w:shd w:val="clear" w:color="auto" w:fill="auto"/>
            <w:vAlign w:val="center"/>
          </w:tcPr>
          <w:p w14:paraId="54AA41A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14D45BAD" w14:textId="77777777" w:rsidTr="004C3C90">
        <w:trPr>
          <w:trHeight w:val="20"/>
        </w:trPr>
        <w:tc>
          <w:tcPr>
            <w:tcW w:w="550" w:type="dxa"/>
            <w:shd w:val="clear" w:color="auto" w:fill="auto"/>
            <w:vAlign w:val="center"/>
          </w:tcPr>
          <w:p w14:paraId="2D71405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804</w:t>
            </w:r>
          </w:p>
        </w:tc>
        <w:tc>
          <w:tcPr>
            <w:tcW w:w="1071" w:type="dxa"/>
            <w:shd w:val="clear" w:color="auto" w:fill="auto"/>
            <w:vAlign w:val="center"/>
          </w:tcPr>
          <w:p w14:paraId="6CBF262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C283F8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Najafi R, Hashemipour M, Mostofizadeh N, Ghazavi M, Nasiri J, Shahsanai A, et al. </w:t>
            </w:r>
          </w:p>
        </w:tc>
        <w:tc>
          <w:tcPr>
            <w:tcW w:w="7010" w:type="dxa"/>
            <w:shd w:val="clear" w:color="auto" w:fill="auto"/>
            <w:vAlign w:val="center"/>
          </w:tcPr>
          <w:p w14:paraId="2F19D3E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Demographic and Clinical Findings in Pediatric Patients Affected by Organic Acidemia</w:t>
            </w:r>
          </w:p>
        </w:tc>
        <w:tc>
          <w:tcPr>
            <w:tcW w:w="568" w:type="dxa"/>
            <w:shd w:val="clear" w:color="auto" w:fill="auto"/>
            <w:vAlign w:val="center"/>
          </w:tcPr>
          <w:p w14:paraId="0CE3A8E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1EF92786" w14:textId="77777777" w:rsidTr="004C3C90">
        <w:trPr>
          <w:trHeight w:val="20"/>
        </w:trPr>
        <w:tc>
          <w:tcPr>
            <w:tcW w:w="550" w:type="dxa"/>
            <w:shd w:val="clear" w:color="auto" w:fill="auto"/>
            <w:vAlign w:val="center"/>
          </w:tcPr>
          <w:p w14:paraId="31CDAB9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805</w:t>
            </w:r>
          </w:p>
        </w:tc>
        <w:tc>
          <w:tcPr>
            <w:tcW w:w="1071" w:type="dxa"/>
            <w:shd w:val="clear" w:color="auto" w:fill="auto"/>
            <w:vAlign w:val="center"/>
          </w:tcPr>
          <w:p w14:paraId="3A3C1B4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EEFCD8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Deroux A, Boccon-Gibod I, Fain O, Pralong P, Ollivier Y, Pagnier A, et al. </w:t>
            </w:r>
          </w:p>
        </w:tc>
        <w:tc>
          <w:tcPr>
            <w:tcW w:w="7010" w:type="dxa"/>
            <w:shd w:val="clear" w:color="auto" w:fill="auto"/>
            <w:vAlign w:val="center"/>
          </w:tcPr>
          <w:p w14:paraId="40ABD61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Hereditary Angioedema with Normal C1 Inhibitor and Factor Xii Mutation: A Series of 57 Patients from the French National Center of Reference for Angioedema</w:t>
            </w:r>
          </w:p>
        </w:tc>
        <w:tc>
          <w:tcPr>
            <w:tcW w:w="568" w:type="dxa"/>
            <w:shd w:val="clear" w:color="auto" w:fill="auto"/>
            <w:vAlign w:val="center"/>
          </w:tcPr>
          <w:p w14:paraId="1B40C6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71B2C17B" w14:textId="77777777" w:rsidTr="004C3C90">
        <w:trPr>
          <w:trHeight w:val="20"/>
        </w:trPr>
        <w:tc>
          <w:tcPr>
            <w:tcW w:w="550" w:type="dxa"/>
            <w:shd w:val="clear" w:color="auto" w:fill="auto"/>
            <w:vAlign w:val="center"/>
          </w:tcPr>
          <w:p w14:paraId="576E0FA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806</w:t>
            </w:r>
          </w:p>
        </w:tc>
        <w:tc>
          <w:tcPr>
            <w:tcW w:w="1071" w:type="dxa"/>
            <w:shd w:val="clear" w:color="auto" w:fill="auto"/>
            <w:vAlign w:val="center"/>
          </w:tcPr>
          <w:p w14:paraId="345A660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B0A2DB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D'Angelo R, Rinaldi R, Carelli V, Boschetti E, Caporali L, Capristo M, et al. </w:t>
            </w:r>
          </w:p>
        </w:tc>
        <w:tc>
          <w:tcPr>
            <w:tcW w:w="7010" w:type="dxa"/>
            <w:shd w:val="clear" w:color="auto" w:fill="auto"/>
            <w:vAlign w:val="center"/>
          </w:tcPr>
          <w:p w14:paraId="2089486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Ita-Mngie: An Italian Regional and National Survey for Mitochondrial Neuro-Gastro-Intestinal Encephalomyopathy</w:t>
            </w:r>
          </w:p>
        </w:tc>
        <w:tc>
          <w:tcPr>
            <w:tcW w:w="568" w:type="dxa"/>
            <w:shd w:val="clear" w:color="auto" w:fill="auto"/>
            <w:vAlign w:val="center"/>
          </w:tcPr>
          <w:p w14:paraId="4DAC9A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50D94C44" w14:textId="77777777" w:rsidTr="004C3C90">
        <w:trPr>
          <w:trHeight w:val="20"/>
        </w:trPr>
        <w:tc>
          <w:tcPr>
            <w:tcW w:w="550" w:type="dxa"/>
            <w:shd w:val="clear" w:color="auto" w:fill="auto"/>
            <w:vAlign w:val="center"/>
          </w:tcPr>
          <w:p w14:paraId="71B581D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807</w:t>
            </w:r>
          </w:p>
        </w:tc>
        <w:tc>
          <w:tcPr>
            <w:tcW w:w="1071" w:type="dxa"/>
            <w:shd w:val="clear" w:color="auto" w:fill="auto"/>
            <w:vAlign w:val="center"/>
          </w:tcPr>
          <w:p w14:paraId="5B43268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A2A6BB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McClure P, Booy D, Katarincic J, Eberson C</w:t>
            </w:r>
          </w:p>
        </w:tc>
        <w:tc>
          <w:tcPr>
            <w:tcW w:w="7010" w:type="dxa"/>
            <w:shd w:val="clear" w:color="auto" w:fill="auto"/>
            <w:vAlign w:val="center"/>
          </w:tcPr>
          <w:p w14:paraId="08729DA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Orthopedic Manifestations of Mobius Syndrome: Case Series and Survey Study</w:t>
            </w:r>
          </w:p>
        </w:tc>
        <w:tc>
          <w:tcPr>
            <w:tcW w:w="568" w:type="dxa"/>
            <w:shd w:val="clear" w:color="auto" w:fill="auto"/>
            <w:vAlign w:val="center"/>
          </w:tcPr>
          <w:p w14:paraId="3015D6A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628D3304" w14:textId="77777777" w:rsidTr="004C3C90">
        <w:trPr>
          <w:trHeight w:val="20"/>
        </w:trPr>
        <w:tc>
          <w:tcPr>
            <w:tcW w:w="550" w:type="dxa"/>
            <w:shd w:val="clear" w:color="auto" w:fill="auto"/>
            <w:vAlign w:val="center"/>
          </w:tcPr>
          <w:p w14:paraId="3B4FA6F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808</w:t>
            </w:r>
          </w:p>
        </w:tc>
        <w:tc>
          <w:tcPr>
            <w:tcW w:w="1071" w:type="dxa"/>
            <w:shd w:val="clear" w:color="auto" w:fill="auto"/>
            <w:vAlign w:val="center"/>
          </w:tcPr>
          <w:p w14:paraId="79C6336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3AE6A5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Lane A, Metcalfe C, Young GJ, Peters TJ, Blazeby J, Avery KN, et al. </w:t>
            </w:r>
          </w:p>
        </w:tc>
        <w:tc>
          <w:tcPr>
            <w:tcW w:w="7010" w:type="dxa"/>
            <w:shd w:val="clear" w:color="auto" w:fill="auto"/>
            <w:vAlign w:val="center"/>
          </w:tcPr>
          <w:p w14:paraId="1532F59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Patient-Reported Outcomes in the Protect Randomized Trial of Clinically Localized Prostate Cancer Treatments: Study Design, and Baseline Urinary, Bowel and Sexual Function and Quality of Life</w:t>
            </w:r>
          </w:p>
        </w:tc>
        <w:tc>
          <w:tcPr>
            <w:tcW w:w="568" w:type="dxa"/>
            <w:shd w:val="clear" w:color="auto" w:fill="auto"/>
            <w:vAlign w:val="center"/>
          </w:tcPr>
          <w:p w14:paraId="5F051F4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7525D424" w14:textId="77777777" w:rsidTr="004C3C90">
        <w:trPr>
          <w:trHeight w:val="20"/>
        </w:trPr>
        <w:tc>
          <w:tcPr>
            <w:tcW w:w="550" w:type="dxa"/>
            <w:shd w:val="clear" w:color="auto" w:fill="auto"/>
            <w:vAlign w:val="center"/>
          </w:tcPr>
          <w:p w14:paraId="5DEB0CF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809</w:t>
            </w:r>
          </w:p>
        </w:tc>
        <w:tc>
          <w:tcPr>
            <w:tcW w:w="1071" w:type="dxa"/>
            <w:shd w:val="clear" w:color="auto" w:fill="auto"/>
            <w:vAlign w:val="center"/>
          </w:tcPr>
          <w:p w14:paraId="1D5CA0B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58E6F8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Umazume K, Suzuki J, Usui Y, Wakabayashi Y, Goto H</w:t>
            </w:r>
          </w:p>
        </w:tc>
        <w:tc>
          <w:tcPr>
            <w:tcW w:w="7010" w:type="dxa"/>
            <w:shd w:val="clear" w:color="auto" w:fill="auto"/>
            <w:vAlign w:val="center"/>
          </w:tcPr>
          <w:p w14:paraId="4459B98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Possible Relation between Lack of Posterior Vitreous Detachment and Severe Endogenous Endophthalmitis</w:t>
            </w:r>
          </w:p>
        </w:tc>
        <w:tc>
          <w:tcPr>
            <w:tcW w:w="568" w:type="dxa"/>
            <w:shd w:val="clear" w:color="auto" w:fill="auto"/>
            <w:vAlign w:val="center"/>
          </w:tcPr>
          <w:p w14:paraId="41304DC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1E49E7EE" w14:textId="77777777" w:rsidTr="004C3C90">
        <w:trPr>
          <w:trHeight w:val="20"/>
        </w:trPr>
        <w:tc>
          <w:tcPr>
            <w:tcW w:w="550" w:type="dxa"/>
            <w:shd w:val="clear" w:color="auto" w:fill="auto"/>
            <w:vAlign w:val="center"/>
          </w:tcPr>
          <w:p w14:paraId="4748500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810</w:t>
            </w:r>
          </w:p>
        </w:tc>
        <w:tc>
          <w:tcPr>
            <w:tcW w:w="1071" w:type="dxa"/>
            <w:shd w:val="clear" w:color="auto" w:fill="auto"/>
            <w:vAlign w:val="center"/>
          </w:tcPr>
          <w:p w14:paraId="3C330C9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D75B8F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Plomp RG, van Lieshout MJS, Joosten KFM, et al. </w:t>
            </w:r>
          </w:p>
        </w:tc>
        <w:tc>
          <w:tcPr>
            <w:tcW w:w="7010" w:type="dxa"/>
            <w:shd w:val="clear" w:color="auto" w:fill="auto"/>
            <w:vAlign w:val="center"/>
          </w:tcPr>
          <w:p w14:paraId="7846C97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Treacher Collins Syndrome: A Systematic Review of Evidence-Based Treatment and Recommendations</w:t>
            </w:r>
          </w:p>
        </w:tc>
        <w:tc>
          <w:tcPr>
            <w:tcW w:w="568" w:type="dxa"/>
            <w:shd w:val="clear" w:color="auto" w:fill="auto"/>
            <w:vAlign w:val="center"/>
          </w:tcPr>
          <w:p w14:paraId="4EAB578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18F84901" w14:textId="77777777" w:rsidTr="004C3C90">
        <w:trPr>
          <w:trHeight w:val="20"/>
        </w:trPr>
        <w:tc>
          <w:tcPr>
            <w:tcW w:w="550" w:type="dxa"/>
            <w:shd w:val="clear" w:color="auto" w:fill="auto"/>
            <w:vAlign w:val="center"/>
          </w:tcPr>
          <w:p w14:paraId="1453620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811</w:t>
            </w:r>
          </w:p>
        </w:tc>
        <w:tc>
          <w:tcPr>
            <w:tcW w:w="1071" w:type="dxa"/>
            <w:shd w:val="clear" w:color="auto" w:fill="auto"/>
            <w:vAlign w:val="center"/>
          </w:tcPr>
          <w:p w14:paraId="5DE4E58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14692A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Lund C, Bjørnvold M, Tuft M, Kostov H, Røsby O, Selmer KK</w:t>
            </w:r>
          </w:p>
        </w:tc>
        <w:tc>
          <w:tcPr>
            <w:tcW w:w="7010" w:type="dxa"/>
            <w:shd w:val="clear" w:color="auto" w:fill="auto"/>
            <w:vAlign w:val="center"/>
          </w:tcPr>
          <w:p w14:paraId="7B761C3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Aicardi Syndrome: An Epidemiologic and Clinical Study in Norway</w:t>
            </w:r>
          </w:p>
        </w:tc>
        <w:tc>
          <w:tcPr>
            <w:tcW w:w="568" w:type="dxa"/>
            <w:shd w:val="clear" w:color="auto" w:fill="auto"/>
            <w:vAlign w:val="center"/>
          </w:tcPr>
          <w:p w14:paraId="7D253F3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04C01A8B" w14:textId="77777777" w:rsidTr="004C3C90">
        <w:trPr>
          <w:trHeight w:val="20"/>
        </w:trPr>
        <w:tc>
          <w:tcPr>
            <w:tcW w:w="550" w:type="dxa"/>
            <w:shd w:val="clear" w:color="auto" w:fill="auto"/>
            <w:vAlign w:val="center"/>
          </w:tcPr>
          <w:p w14:paraId="08155B3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812</w:t>
            </w:r>
          </w:p>
        </w:tc>
        <w:tc>
          <w:tcPr>
            <w:tcW w:w="1071" w:type="dxa"/>
            <w:shd w:val="clear" w:color="auto" w:fill="auto"/>
            <w:vAlign w:val="center"/>
          </w:tcPr>
          <w:p w14:paraId="365A35F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DD5E3E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van Schaarenburg RA, Schejbel L, Truedsson L, Topaloglu R, Al-Mayouf SM, Riordan A, et al. </w:t>
            </w:r>
          </w:p>
        </w:tc>
        <w:tc>
          <w:tcPr>
            <w:tcW w:w="7010" w:type="dxa"/>
            <w:shd w:val="clear" w:color="auto" w:fill="auto"/>
            <w:vAlign w:val="center"/>
          </w:tcPr>
          <w:p w14:paraId="5196041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Marked Variability in Clinical Presentation and Outcome of Patients with C1q Immunodeficiency</w:t>
            </w:r>
          </w:p>
        </w:tc>
        <w:tc>
          <w:tcPr>
            <w:tcW w:w="568" w:type="dxa"/>
            <w:shd w:val="clear" w:color="auto" w:fill="auto"/>
            <w:vAlign w:val="center"/>
          </w:tcPr>
          <w:p w14:paraId="0326DB8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D753B5A" w14:textId="77777777" w:rsidTr="004C3C90">
        <w:trPr>
          <w:trHeight w:val="20"/>
        </w:trPr>
        <w:tc>
          <w:tcPr>
            <w:tcW w:w="550" w:type="dxa"/>
            <w:shd w:val="clear" w:color="auto" w:fill="auto"/>
            <w:vAlign w:val="center"/>
          </w:tcPr>
          <w:p w14:paraId="58C6F3D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813</w:t>
            </w:r>
          </w:p>
        </w:tc>
        <w:tc>
          <w:tcPr>
            <w:tcW w:w="1071" w:type="dxa"/>
            <w:shd w:val="clear" w:color="auto" w:fill="auto"/>
            <w:vAlign w:val="center"/>
          </w:tcPr>
          <w:p w14:paraId="6384F8B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F46D7A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Shumack S</w:t>
            </w:r>
          </w:p>
        </w:tc>
        <w:tc>
          <w:tcPr>
            <w:tcW w:w="7010" w:type="dxa"/>
            <w:shd w:val="clear" w:color="auto" w:fill="auto"/>
            <w:vAlign w:val="center"/>
          </w:tcPr>
          <w:p w14:paraId="5BCB101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Randomised, Double Blind, Placebo Controlled Comparative Trial of Ceramide Cream and Ceramide Cleanser in the Management of Moderate Eczema in Adults</w:t>
            </w:r>
          </w:p>
        </w:tc>
        <w:tc>
          <w:tcPr>
            <w:tcW w:w="568" w:type="dxa"/>
            <w:shd w:val="clear" w:color="auto" w:fill="auto"/>
            <w:vAlign w:val="center"/>
          </w:tcPr>
          <w:p w14:paraId="1834D25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A9EE554" w14:textId="77777777" w:rsidTr="004C3C90">
        <w:trPr>
          <w:trHeight w:val="20"/>
        </w:trPr>
        <w:tc>
          <w:tcPr>
            <w:tcW w:w="550" w:type="dxa"/>
            <w:shd w:val="clear" w:color="auto" w:fill="auto"/>
            <w:vAlign w:val="center"/>
          </w:tcPr>
          <w:p w14:paraId="5572C1F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814</w:t>
            </w:r>
          </w:p>
        </w:tc>
        <w:tc>
          <w:tcPr>
            <w:tcW w:w="1071" w:type="dxa"/>
            <w:shd w:val="clear" w:color="auto" w:fill="auto"/>
            <w:vAlign w:val="center"/>
          </w:tcPr>
          <w:p w14:paraId="2E86F0A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9CAEFB1" w14:textId="77777777" w:rsidR="004C3C90" w:rsidRPr="004C3C90" w:rsidRDefault="004C3C90" w:rsidP="004C3C90">
            <w:pPr>
              <w:shd w:val="clear" w:color="auto" w:fill="FFFFFF"/>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DRKS</w:t>
            </w:r>
          </w:p>
        </w:tc>
        <w:tc>
          <w:tcPr>
            <w:tcW w:w="7010" w:type="dxa"/>
            <w:shd w:val="clear" w:color="auto" w:fill="auto"/>
            <w:vAlign w:val="center"/>
          </w:tcPr>
          <w:p w14:paraId="495A158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Rehabilitation and Individuals with Temporary Disability Pension</w:t>
            </w:r>
          </w:p>
        </w:tc>
        <w:tc>
          <w:tcPr>
            <w:tcW w:w="568" w:type="dxa"/>
            <w:shd w:val="clear" w:color="auto" w:fill="auto"/>
            <w:vAlign w:val="center"/>
          </w:tcPr>
          <w:p w14:paraId="1FF950D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718BC00" w14:textId="77777777" w:rsidTr="004C3C90">
        <w:trPr>
          <w:trHeight w:val="20"/>
        </w:trPr>
        <w:tc>
          <w:tcPr>
            <w:tcW w:w="550" w:type="dxa"/>
            <w:shd w:val="clear" w:color="auto" w:fill="auto"/>
            <w:vAlign w:val="center"/>
          </w:tcPr>
          <w:p w14:paraId="7CD09B3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815</w:t>
            </w:r>
          </w:p>
        </w:tc>
        <w:tc>
          <w:tcPr>
            <w:tcW w:w="1071" w:type="dxa"/>
            <w:shd w:val="clear" w:color="auto" w:fill="auto"/>
            <w:vAlign w:val="center"/>
          </w:tcPr>
          <w:p w14:paraId="69DF3C5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41A814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Fujimoto M, Okada S, Kawashima Y, Nishimura R, Miyahara N, Kawaba Y, et al. </w:t>
            </w:r>
          </w:p>
        </w:tc>
        <w:tc>
          <w:tcPr>
            <w:tcW w:w="7010" w:type="dxa"/>
            <w:shd w:val="clear" w:color="auto" w:fill="auto"/>
            <w:vAlign w:val="center"/>
          </w:tcPr>
          <w:p w14:paraId="77DEC9B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Overview of Nephrogenic Diabetes Insipidus Based on a Nationwide Survey in Japan</w:t>
            </w:r>
          </w:p>
        </w:tc>
        <w:tc>
          <w:tcPr>
            <w:tcW w:w="568" w:type="dxa"/>
            <w:shd w:val="clear" w:color="auto" w:fill="auto"/>
            <w:vAlign w:val="center"/>
          </w:tcPr>
          <w:p w14:paraId="38EEAAB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63DFBF30" w14:textId="77777777" w:rsidTr="004C3C90">
        <w:trPr>
          <w:trHeight w:val="20"/>
        </w:trPr>
        <w:tc>
          <w:tcPr>
            <w:tcW w:w="550" w:type="dxa"/>
            <w:shd w:val="clear" w:color="auto" w:fill="auto"/>
            <w:vAlign w:val="center"/>
          </w:tcPr>
          <w:p w14:paraId="4AF10D5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816</w:t>
            </w:r>
          </w:p>
        </w:tc>
        <w:tc>
          <w:tcPr>
            <w:tcW w:w="1071" w:type="dxa"/>
            <w:shd w:val="clear" w:color="auto" w:fill="auto"/>
            <w:vAlign w:val="center"/>
          </w:tcPr>
          <w:p w14:paraId="1C99851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892BB6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t>
            </w:r>
          </w:p>
          <w:p w14:paraId="402D7E7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Dall’Alba L, Gray M, Williams G, Lowe S</w:t>
            </w:r>
          </w:p>
          <w:p w14:paraId="2C5A9A91" w14:textId="77777777" w:rsidR="004C3C90" w:rsidRPr="004C3C90" w:rsidRDefault="004C3C90" w:rsidP="004C3C90">
            <w:pPr>
              <w:spacing w:line="240" w:lineRule="auto"/>
              <w:rPr>
                <w:rFonts w:ascii="Times New Roman" w:eastAsia="Times New Roman" w:hAnsi="Times New Roman" w:cs="Times New Roman"/>
                <w:sz w:val="20"/>
                <w:szCs w:val="20"/>
              </w:rPr>
            </w:pPr>
          </w:p>
        </w:tc>
        <w:tc>
          <w:tcPr>
            <w:tcW w:w="7010" w:type="dxa"/>
            <w:shd w:val="clear" w:color="auto" w:fill="auto"/>
            <w:vAlign w:val="center"/>
          </w:tcPr>
          <w:p w14:paraId="2AE86AA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Early Intervention in Children (0-6 Years) with a Rare Developmental Disability: The Occupational Therapy Role</w:t>
            </w:r>
          </w:p>
        </w:tc>
        <w:tc>
          <w:tcPr>
            <w:tcW w:w="568" w:type="dxa"/>
            <w:shd w:val="clear" w:color="auto" w:fill="auto"/>
            <w:vAlign w:val="center"/>
          </w:tcPr>
          <w:p w14:paraId="314FF7B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74ACD0A6" w14:textId="77777777" w:rsidTr="004C3C90">
        <w:trPr>
          <w:trHeight w:val="20"/>
        </w:trPr>
        <w:tc>
          <w:tcPr>
            <w:tcW w:w="550" w:type="dxa"/>
            <w:shd w:val="clear" w:color="auto" w:fill="auto"/>
            <w:vAlign w:val="center"/>
          </w:tcPr>
          <w:p w14:paraId="19B670C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817</w:t>
            </w:r>
          </w:p>
        </w:tc>
        <w:tc>
          <w:tcPr>
            <w:tcW w:w="1071" w:type="dxa"/>
            <w:shd w:val="clear" w:color="auto" w:fill="auto"/>
            <w:vAlign w:val="center"/>
          </w:tcPr>
          <w:p w14:paraId="0710473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688340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Retsch-Bogart GZ, Van Dalfsen JM, Marshall BC, et al. </w:t>
            </w:r>
          </w:p>
        </w:tc>
        <w:tc>
          <w:tcPr>
            <w:tcW w:w="7010" w:type="dxa"/>
            <w:shd w:val="clear" w:color="auto" w:fill="auto"/>
            <w:vAlign w:val="center"/>
          </w:tcPr>
          <w:p w14:paraId="024031A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Highly Effective Cystic Fibrosis Clinical Research Teams: Critical Success Factors</w:t>
            </w:r>
          </w:p>
        </w:tc>
        <w:tc>
          <w:tcPr>
            <w:tcW w:w="568" w:type="dxa"/>
            <w:shd w:val="clear" w:color="auto" w:fill="auto"/>
            <w:vAlign w:val="center"/>
          </w:tcPr>
          <w:p w14:paraId="73BEAAD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235467BB" w14:textId="77777777" w:rsidTr="004C3C90">
        <w:trPr>
          <w:trHeight w:val="20"/>
        </w:trPr>
        <w:tc>
          <w:tcPr>
            <w:tcW w:w="550" w:type="dxa"/>
            <w:shd w:val="clear" w:color="auto" w:fill="auto"/>
            <w:vAlign w:val="center"/>
          </w:tcPr>
          <w:p w14:paraId="24CD594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818</w:t>
            </w:r>
          </w:p>
        </w:tc>
        <w:tc>
          <w:tcPr>
            <w:tcW w:w="1071" w:type="dxa"/>
            <w:shd w:val="clear" w:color="auto" w:fill="auto"/>
            <w:vAlign w:val="center"/>
          </w:tcPr>
          <w:p w14:paraId="74E6E51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8EE82B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Abe J, Nakamura K, Nishikomori R, et al. </w:t>
            </w:r>
          </w:p>
        </w:tc>
        <w:tc>
          <w:tcPr>
            <w:tcW w:w="7010" w:type="dxa"/>
            <w:shd w:val="clear" w:color="auto" w:fill="auto"/>
            <w:vAlign w:val="center"/>
          </w:tcPr>
          <w:p w14:paraId="5119492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Nationwide Survey of Aicardi–Goutières Syndrome Patients Identifies a Strong Association between Dominant Trex1 Mutations and Chilblain Lesions: Japanese Cohort Study</w:t>
            </w:r>
          </w:p>
        </w:tc>
        <w:tc>
          <w:tcPr>
            <w:tcW w:w="568" w:type="dxa"/>
            <w:shd w:val="clear" w:color="auto" w:fill="auto"/>
            <w:vAlign w:val="center"/>
          </w:tcPr>
          <w:p w14:paraId="5218FAA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6459B709" w14:textId="77777777" w:rsidTr="004C3C90">
        <w:trPr>
          <w:trHeight w:val="20"/>
        </w:trPr>
        <w:tc>
          <w:tcPr>
            <w:tcW w:w="550" w:type="dxa"/>
            <w:shd w:val="clear" w:color="auto" w:fill="auto"/>
            <w:vAlign w:val="center"/>
          </w:tcPr>
          <w:p w14:paraId="781C37F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819</w:t>
            </w:r>
          </w:p>
        </w:tc>
        <w:tc>
          <w:tcPr>
            <w:tcW w:w="1071" w:type="dxa"/>
            <w:shd w:val="clear" w:color="auto" w:fill="auto"/>
            <w:vAlign w:val="center"/>
          </w:tcPr>
          <w:p w14:paraId="6D9BE00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FEF9DD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Chan AK, Takano A, Hsu AL, Low SY</w:t>
            </w:r>
          </w:p>
        </w:tc>
        <w:tc>
          <w:tcPr>
            <w:tcW w:w="7010" w:type="dxa"/>
            <w:shd w:val="clear" w:color="auto" w:fill="auto"/>
            <w:vAlign w:val="center"/>
          </w:tcPr>
          <w:p w14:paraId="76879E8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Pulmonary Alveolar Proteinosis</w:t>
            </w:r>
          </w:p>
        </w:tc>
        <w:tc>
          <w:tcPr>
            <w:tcW w:w="568" w:type="dxa"/>
            <w:shd w:val="clear" w:color="auto" w:fill="auto"/>
            <w:vAlign w:val="center"/>
          </w:tcPr>
          <w:p w14:paraId="4BD9247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3742ABEB" w14:textId="77777777" w:rsidTr="004C3C90">
        <w:trPr>
          <w:trHeight w:val="20"/>
        </w:trPr>
        <w:tc>
          <w:tcPr>
            <w:tcW w:w="550" w:type="dxa"/>
            <w:shd w:val="clear" w:color="auto" w:fill="auto"/>
            <w:vAlign w:val="center"/>
          </w:tcPr>
          <w:p w14:paraId="60CFB62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820</w:t>
            </w:r>
          </w:p>
        </w:tc>
        <w:tc>
          <w:tcPr>
            <w:tcW w:w="1071" w:type="dxa"/>
            <w:shd w:val="clear" w:color="auto" w:fill="auto"/>
            <w:vAlign w:val="center"/>
          </w:tcPr>
          <w:p w14:paraId="1B8ACC0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6C12F2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Nordenfelt P, Dawson S, Wahlgren CF, Lindfors A, Mallbris L, Björkander J</w:t>
            </w:r>
          </w:p>
        </w:tc>
        <w:tc>
          <w:tcPr>
            <w:tcW w:w="7010" w:type="dxa"/>
            <w:shd w:val="clear" w:color="auto" w:fill="auto"/>
            <w:vAlign w:val="center"/>
          </w:tcPr>
          <w:p w14:paraId="2C3B07D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Quantifying the Burden of Disease and Perceived Health State in Patients with Hereditary Angioedema in Sweden</w:t>
            </w:r>
          </w:p>
        </w:tc>
        <w:tc>
          <w:tcPr>
            <w:tcW w:w="568" w:type="dxa"/>
            <w:shd w:val="clear" w:color="auto" w:fill="auto"/>
            <w:vAlign w:val="center"/>
          </w:tcPr>
          <w:p w14:paraId="6FA8BC0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3D035141" w14:textId="77777777" w:rsidTr="004C3C90">
        <w:trPr>
          <w:trHeight w:val="20"/>
        </w:trPr>
        <w:tc>
          <w:tcPr>
            <w:tcW w:w="550" w:type="dxa"/>
            <w:shd w:val="clear" w:color="auto" w:fill="auto"/>
            <w:vAlign w:val="center"/>
          </w:tcPr>
          <w:p w14:paraId="13CA199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821</w:t>
            </w:r>
          </w:p>
        </w:tc>
        <w:tc>
          <w:tcPr>
            <w:tcW w:w="1071" w:type="dxa"/>
            <w:shd w:val="clear" w:color="auto" w:fill="auto"/>
            <w:vAlign w:val="center"/>
          </w:tcPr>
          <w:p w14:paraId="4B44405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4655A4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Berkouk-Redjimi Y, Belhani MF</w:t>
            </w:r>
          </w:p>
        </w:tc>
        <w:tc>
          <w:tcPr>
            <w:tcW w:w="7010" w:type="dxa"/>
            <w:shd w:val="clear" w:color="auto" w:fill="auto"/>
            <w:vAlign w:val="center"/>
          </w:tcPr>
          <w:p w14:paraId="0F45BF6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Rare Congenital Coagulation Factor Deficiencies: Clinical Manifestations</w:t>
            </w:r>
          </w:p>
        </w:tc>
        <w:tc>
          <w:tcPr>
            <w:tcW w:w="568" w:type="dxa"/>
            <w:shd w:val="clear" w:color="auto" w:fill="auto"/>
            <w:vAlign w:val="center"/>
          </w:tcPr>
          <w:p w14:paraId="01CD535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295145A0" w14:textId="77777777" w:rsidTr="004C3C90">
        <w:trPr>
          <w:trHeight w:val="20"/>
        </w:trPr>
        <w:tc>
          <w:tcPr>
            <w:tcW w:w="550" w:type="dxa"/>
            <w:shd w:val="clear" w:color="auto" w:fill="auto"/>
            <w:vAlign w:val="center"/>
          </w:tcPr>
          <w:p w14:paraId="4350EEE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822</w:t>
            </w:r>
          </w:p>
        </w:tc>
        <w:tc>
          <w:tcPr>
            <w:tcW w:w="1071" w:type="dxa"/>
            <w:shd w:val="clear" w:color="auto" w:fill="auto"/>
            <w:vAlign w:val="center"/>
          </w:tcPr>
          <w:p w14:paraId="12E8E41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B8207B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Walat A, Skoczylas MM, Welnicka A, et al.</w:t>
            </w:r>
          </w:p>
        </w:tc>
        <w:tc>
          <w:tcPr>
            <w:tcW w:w="7010" w:type="dxa"/>
            <w:shd w:val="clear" w:color="auto" w:fill="auto"/>
            <w:vAlign w:val="center"/>
          </w:tcPr>
          <w:p w14:paraId="166FB3E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Szczecin Citizens' Knowledge About Rare Diseases</w:t>
            </w:r>
          </w:p>
        </w:tc>
        <w:tc>
          <w:tcPr>
            <w:tcW w:w="568" w:type="dxa"/>
            <w:shd w:val="clear" w:color="auto" w:fill="auto"/>
            <w:vAlign w:val="center"/>
          </w:tcPr>
          <w:p w14:paraId="5655816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073615A2" w14:textId="77777777" w:rsidTr="004C3C90">
        <w:trPr>
          <w:trHeight w:val="20"/>
        </w:trPr>
        <w:tc>
          <w:tcPr>
            <w:tcW w:w="550" w:type="dxa"/>
            <w:shd w:val="clear" w:color="auto" w:fill="auto"/>
            <w:vAlign w:val="center"/>
          </w:tcPr>
          <w:p w14:paraId="2DE8C75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823</w:t>
            </w:r>
          </w:p>
        </w:tc>
        <w:tc>
          <w:tcPr>
            <w:tcW w:w="1071" w:type="dxa"/>
            <w:shd w:val="clear" w:color="auto" w:fill="auto"/>
            <w:vAlign w:val="center"/>
          </w:tcPr>
          <w:p w14:paraId="56353C7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35E4AF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Stunnenberg BC, Woertman W, Raaphorst J, et al. </w:t>
            </w:r>
          </w:p>
        </w:tc>
        <w:tc>
          <w:tcPr>
            <w:tcW w:w="7010" w:type="dxa"/>
            <w:shd w:val="clear" w:color="auto" w:fill="auto"/>
            <w:vAlign w:val="center"/>
          </w:tcPr>
          <w:p w14:paraId="636FEC5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Combined N-of-1 Trials Mexiletine Vs Placebo in Patients with Non-Dystrophic Myotonia (Ndm)</w:t>
            </w:r>
          </w:p>
        </w:tc>
        <w:tc>
          <w:tcPr>
            <w:tcW w:w="568" w:type="dxa"/>
            <w:shd w:val="clear" w:color="auto" w:fill="auto"/>
            <w:vAlign w:val="center"/>
          </w:tcPr>
          <w:p w14:paraId="57CA4E9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30B197BB" w14:textId="77777777" w:rsidTr="004C3C90">
        <w:trPr>
          <w:trHeight w:val="20"/>
        </w:trPr>
        <w:tc>
          <w:tcPr>
            <w:tcW w:w="550" w:type="dxa"/>
            <w:shd w:val="clear" w:color="auto" w:fill="auto"/>
            <w:vAlign w:val="center"/>
          </w:tcPr>
          <w:p w14:paraId="40E8975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824</w:t>
            </w:r>
          </w:p>
        </w:tc>
        <w:tc>
          <w:tcPr>
            <w:tcW w:w="1071" w:type="dxa"/>
            <w:shd w:val="clear" w:color="auto" w:fill="auto"/>
            <w:vAlign w:val="center"/>
          </w:tcPr>
          <w:p w14:paraId="36035E0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A3B999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Sakushima K, Hida K, Yabe I, Tsuboi S, Uehara R, Sasaki H</w:t>
            </w:r>
          </w:p>
        </w:tc>
        <w:tc>
          <w:tcPr>
            <w:tcW w:w="7010" w:type="dxa"/>
            <w:shd w:val="clear" w:color="auto" w:fill="auto"/>
            <w:vAlign w:val="center"/>
          </w:tcPr>
          <w:p w14:paraId="1B81497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Different Surgical Treatment Techniques Used by Neurosurgeons and Orthopedists for Syringomyelia Caused by Chiari I Malformation in Japan</w:t>
            </w:r>
          </w:p>
        </w:tc>
        <w:tc>
          <w:tcPr>
            <w:tcW w:w="568" w:type="dxa"/>
            <w:shd w:val="clear" w:color="auto" w:fill="auto"/>
            <w:vAlign w:val="center"/>
          </w:tcPr>
          <w:p w14:paraId="49ED53B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59742CAD" w14:textId="77777777" w:rsidTr="004C3C90">
        <w:trPr>
          <w:trHeight w:val="20"/>
        </w:trPr>
        <w:tc>
          <w:tcPr>
            <w:tcW w:w="550" w:type="dxa"/>
            <w:shd w:val="clear" w:color="auto" w:fill="auto"/>
            <w:vAlign w:val="center"/>
          </w:tcPr>
          <w:p w14:paraId="2816AB4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825</w:t>
            </w:r>
          </w:p>
        </w:tc>
        <w:tc>
          <w:tcPr>
            <w:tcW w:w="1071" w:type="dxa"/>
            <w:shd w:val="clear" w:color="auto" w:fill="auto"/>
            <w:vAlign w:val="center"/>
          </w:tcPr>
          <w:p w14:paraId="08B50A6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45BC0F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Hasib Ahmed AI</w:t>
            </w:r>
          </w:p>
        </w:tc>
        <w:tc>
          <w:tcPr>
            <w:tcW w:w="7010" w:type="dxa"/>
            <w:shd w:val="clear" w:color="auto" w:fill="auto"/>
            <w:vAlign w:val="center"/>
          </w:tcPr>
          <w:p w14:paraId="6F06B77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Feasibility of a Trial of Laparoscopic Hysterectomy Versus Laparoscopic Sub-Total Hysterectomy</w:t>
            </w:r>
          </w:p>
        </w:tc>
        <w:tc>
          <w:tcPr>
            <w:tcW w:w="568" w:type="dxa"/>
            <w:shd w:val="clear" w:color="auto" w:fill="auto"/>
            <w:vAlign w:val="center"/>
          </w:tcPr>
          <w:p w14:paraId="6FBA4EF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01DDE647" w14:textId="77777777" w:rsidTr="004C3C90">
        <w:trPr>
          <w:trHeight w:val="20"/>
        </w:trPr>
        <w:tc>
          <w:tcPr>
            <w:tcW w:w="550" w:type="dxa"/>
            <w:shd w:val="clear" w:color="auto" w:fill="auto"/>
            <w:vAlign w:val="center"/>
          </w:tcPr>
          <w:p w14:paraId="58E2C5A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826</w:t>
            </w:r>
          </w:p>
        </w:tc>
        <w:tc>
          <w:tcPr>
            <w:tcW w:w="1071" w:type="dxa"/>
            <w:shd w:val="clear" w:color="auto" w:fill="auto"/>
            <w:vAlign w:val="center"/>
          </w:tcPr>
          <w:p w14:paraId="0EC6A6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5EBE4A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King MJ, Zanella A</w:t>
            </w:r>
          </w:p>
        </w:tc>
        <w:tc>
          <w:tcPr>
            <w:tcW w:w="7010" w:type="dxa"/>
            <w:shd w:val="clear" w:color="auto" w:fill="auto"/>
            <w:vAlign w:val="center"/>
          </w:tcPr>
          <w:p w14:paraId="75B1112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Hereditary Red Cell Membrane Disorders and Laboratory Diagnostic Testing</w:t>
            </w:r>
          </w:p>
        </w:tc>
        <w:tc>
          <w:tcPr>
            <w:tcW w:w="568" w:type="dxa"/>
            <w:shd w:val="clear" w:color="auto" w:fill="auto"/>
            <w:vAlign w:val="center"/>
          </w:tcPr>
          <w:p w14:paraId="24EBB72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712669B2" w14:textId="77777777" w:rsidTr="004C3C90">
        <w:trPr>
          <w:trHeight w:val="20"/>
        </w:trPr>
        <w:tc>
          <w:tcPr>
            <w:tcW w:w="550" w:type="dxa"/>
            <w:shd w:val="clear" w:color="auto" w:fill="auto"/>
            <w:vAlign w:val="center"/>
          </w:tcPr>
          <w:p w14:paraId="38D7F17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827</w:t>
            </w:r>
          </w:p>
        </w:tc>
        <w:tc>
          <w:tcPr>
            <w:tcW w:w="1071" w:type="dxa"/>
            <w:shd w:val="clear" w:color="auto" w:fill="auto"/>
            <w:vAlign w:val="center"/>
          </w:tcPr>
          <w:p w14:paraId="4F57E4A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9EC043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Aboul-Enein F, Seifert-Held T, Mader S, Kuenz B, Lutterotti A, Rauschka H, et al. </w:t>
            </w:r>
          </w:p>
        </w:tc>
        <w:tc>
          <w:tcPr>
            <w:tcW w:w="7010" w:type="dxa"/>
            <w:shd w:val="clear" w:color="auto" w:fill="auto"/>
            <w:vAlign w:val="center"/>
          </w:tcPr>
          <w:p w14:paraId="6E6B274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Neuromyelitis Optica in Austria in 2011: To Bridge the Gap between Neuroepidemiological Research and Practice in a Study Population of 8.4 Million People</w:t>
            </w:r>
          </w:p>
        </w:tc>
        <w:tc>
          <w:tcPr>
            <w:tcW w:w="568" w:type="dxa"/>
            <w:shd w:val="clear" w:color="auto" w:fill="auto"/>
            <w:vAlign w:val="center"/>
          </w:tcPr>
          <w:p w14:paraId="1FCF5CC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66784ABA" w14:textId="77777777" w:rsidTr="004C3C90">
        <w:trPr>
          <w:trHeight w:val="20"/>
        </w:trPr>
        <w:tc>
          <w:tcPr>
            <w:tcW w:w="550" w:type="dxa"/>
            <w:shd w:val="clear" w:color="auto" w:fill="auto"/>
            <w:vAlign w:val="center"/>
          </w:tcPr>
          <w:p w14:paraId="69B1CF1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828</w:t>
            </w:r>
          </w:p>
        </w:tc>
        <w:tc>
          <w:tcPr>
            <w:tcW w:w="1071" w:type="dxa"/>
            <w:shd w:val="clear" w:color="auto" w:fill="auto"/>
            <w:vAlign w:val="center"/>
          </w:tcPr>
          <w:p w14:paraId="6562A84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4DDABF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Hosman AE, Devlin HL, Silva BM, Shovlin CL.</w:t>
            </w:r>
          </w:p>
        </w:tc>
        <w:tc>
          <w:tcPr>
            <w:tcW w:w="7010" w:type="dxa"/>
            <w:shd w:val="clear" w:color="auto" w:fill="auto"/>
            <w:vAlign w:val="center"/>
          </w:tcPr>
          <w:p w14:paraId="171B013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Specific Cancer Rates May Differ in Patients with Hereditary Haemorrhagic Telangiectasia Compared to Controls</w:t>
            </w:r>
          </w:p>
        </w:tc>
        <w:tc>
          <w:tcPr>
            <w:tcW w:w="568" w:type="dxa"/>
            <w:shd w:val="clear" w:color="auto" w:fill="auto"/>
            <w:vAlign w:val="center"/>
          </w:tcPr>
          <w:p w14:paraId="020A76B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7F892407" w14:textId="77777777" w:rsidTr="004C3C90">
        <w:trPr>
          <w:trHeight w:val="20"/>
        </w:trPr>
        <w:tc>
          <w:tcPr>
            <w:tcW w:w="550" w:type="dxa"/>
            <w:shd w:val="clear" w:color="auto" w:fill="auto"/>
            <w:vAlign w:val="center"/>
          </w:tcPr>
          <w:p w14:paraId="2FD7A70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829</w:t>
            </w:r>
          </w:p>
        </w:tc>
        <w:tc>
          <w:tcPr>
            <w:tcW w:w="1071" w:type="dxa"/>
            <w:shd w:val="clear" w:color="auto" w:fill="auto"/>
            <w:vAlign w:val="center"/>
          </w:tcPr>
          <w:p w14:paraId="7F2F7FC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C45ACA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Weintraub D, Duda JE, Carlson K, Luo P, Sagher O, Stern M, et al. </w:t>
            </w:r>
          </w:p>
        </w:tc>
        <w:tc>
          <w:tcPr>
            <w:tcW w:w="7010" w:type="dxa"/>
            <w:shd w:val="clear" w:color="auto" w:fill="auto"/>
            <w:vAlign w:val="center"/>
          </w:tcPr>
          <w:p w14:paraId="77FDD89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Suicide Ideation and Behaviours after Stn and Gpi Dbs Surgery for Parkinson's Disease: Results from a Randomised, Controlled Trial</w:t>
            </w:r>
          </w:p>
        </w:tc>
        <w:tc>
          <w:tcPr>
            <w:tcW w:w="568" w:type="dxa"/>
            <w:shd w:val="clear" w:color="auto" w:fill="auto"/>
            <w:vAlign w:val="center"/>
          </w:tcPr>
          <w:p w14:paraId="606AE2B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2DFB526F" w14:textId="77777777" w:rsidTr="004C3C90">
        <w:trPr>
          <w:trHeight w:val="20"/>
        </w:trPr>
        <w:tc>
          <w:tcPr>
            <w:tcW w:w="550" w:type="dxa"/>
            <w:shd w:val="clear" w:color="auto" w:fill="auto"/>
            <w:vAlign w:val="center"/>
          </w:tcPr>
          <w:p w14:paraId="4B3829A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830</w:t>
            </w:r>
          </w:p>
        </w:tc>
        <w:tc>
          <w:tcPr>
            <w:tcW w:w="1071" w:type="dxa"/>
            <w:shd w:val="clear" w:color="auto" w:fill="auto"/>
            <w:vAlign w:val="center"/>
          </w:tcPr>
          <w:p w14:paraId="44A321D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1553E9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Hamidieh AA, Ansari S, Darbandi B, Soroush A, Arjmandi Rafsanjani K, Alimoghaddam K, et al. </w:t>
            </w:r>
          </w:p>
        </w:tc>
        <w:tc>
          <w:tcPr>
            <w:tcW w:w="7010" w:type="dxa"/>
            <w:shd w:val="clear" w:color="auto" w:fill="auto"/>
            <w:vAlign w:val="center"/>
          </w:tcPr>
          <w:p w14:paraId="7E4E333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Treatment of Children Suffering from Chronic Myelogenous Leukemia: A Comparison of the Result of Treatment with Imatinib Mesylate and Allogeneic Hematopoietic Stem Cell Transplantation</w:t>
            </w:r>
          </w:p>
        </w:tc>
        <w:tc>
          <w:tcPr>
            <w:tcW w:w="568" w:type="dxa"/>
            <w:shd w:val="clear" w:color="auto" w:fill="auto"/>
            <w:vAlign w:val="center"/>
          </w:tcPr>
          <w:p w14:paraId="1910A0F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5F2D0AB9" w14:textId="77777777" w:rsidTr="004C3C90">
        <w:trPr>
          <w:trHeight w:val="20"/>
        </w:trPr>
        <w:tc>
          <w:tcPr>
            <w:tcW w:w="550" w:type="dxa"/>
            <w:shd w:val="clear" w:color="auto" w:fill="auto"/>
            <w:vAlign w:val="center"/>
          </w:tcPr>
          <w:p w14:paraId="1D96431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831</w:t>
            </w:r>
          </w:p>
        </w:tc>
        <w:tc>
          <w:tcPr>
            <w:tcW w:w="1071" w:type="dxa"/>
            <w:shd w:val="clear" w:color="auto" w:fill="auto"/>
            <w:vAlign w:val="center"/>
          </w:tcPr>
          <w:p w14:paraId="2898B03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4ADB05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Giamarellos-Bourboulis EJ</w:t>
            </w:r>
          </w:p>
        </w:tc>
        <w:tc>
          <w:tcPr>
            <w:tcW w:w="7010" w:type="dxa"/>
            <w:shd w:val="clear" w:color="auto" w:fill="auto"/>
            <w:vAlign w:val="center"/>
          </w:tcPr>
          <w:p w14:paraId="1652921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Anakinra in Hidradenitis Suppurativa</w:t>
            </w:r>
          </w:p>
        </w:tc>
        <w:tc>
          <w:tcPr>
            <w:tcW w:w="568" w:type="dxa"/>
            <w:shd w:val="clear" w:color="auto" w:fill="auto"/>
            <w:vAlign w:val="center"/>
          </w:tcPr>
          <w:p w14:paraId="78BBFED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6569DC35" w14:textId="77777777" w:rsidTr="004C3C90">
        <w:trPr>
          <w:trHeight w:val="20"/>
        </w:trPr>
        <w:tc>
          <w:tcPr>
            <w:tcW w:w="550" w:type="dxa"/>
            <w:shd w:val="clear" w:color="auto" w:fill="auto"/>
            <w:vAlign w:val="center"/>
          </w:tcPr>
          <w:p w14:paraId="5E013C1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832</w:t>
            </w:r>
          </w:p>
        </w:tc>
        <w:tc>
          <w:tcPr>
            <w:tcW w:w="1071" w:type="dxa"/>
            <w:shd w:val="clear" w:color="auto" w:fill="auto"/>
            <w:vAlign w:val="center"/>
          </w:tcPr>
          <w:p w14:paraId="706B12D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6BFF10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Bastidas N, Mackay DDJ, Taylor JA, Bartlett SP</w:t>
            </w:r>
          </w:p>
        </w:tc>
        <w:tc>
          <w:tcPr>
            <w:tcW w:w="7010" w:type="dxa"/>
            <w:shd w:val="clear" w:color="auto" w:fill="auto"/>
            <w:vAlign w:val="center"/>
          </w:tcPr>
          <w:p w14:paraId="1C8E17F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Analysis of the Long-Term Outcomes of Nonsyndromic Bicoronal Synostosis</w:t>
            </w:r>
          </w:p>
        </w:tc>
        <w:tc>
          <w:tcPr>
            <w:tcW w:w="568" w:type="dxa"/>
            <w:shd w:val="clear" w:color="auto" w:fill="auto"/>
            <w:vAlign w:val="center"/>
          </w:tcPr>
          <w:p w14:paraId="123A660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51E3B77D" w14:textId="77777777" w:rsidTr="004C3C90">
        <w:trPr>
          <w:trHeight w:val="20"/>
        </w:trPr>
        <w:tc>
          <w:tcPr>
            <w:tcW w:w="550" w:type="dxa"/>
            <w:shd w:val="clear" w:color="auto" w:fill="auto"/>
            <w:vAlign w:val="center"/>
          </w:tcPr>
          <w:p w14:paraId="2931D52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833</w:t>
            </w:r>
          </w:p>
        </w:tc>
        <w:tc>
          <w:tcPr>
            <w:tcW w:w="1071" w:type="dxa"/>
            <w:shd w:val="clear" w:color="auto" w:fill="auto"/>
            <w:vAlign w:val="center"/>
          </w:tcPr>
          <w:p w14:paraId="77CA918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13DE4E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Brandenburg VM, Kramann R, Specht P, Ketteler M</w:t>
            </w:r>
          </w:p>
        </w:tc>
        <w:tc>
          <w:tcPr>
            <w:tcW w:w="7010" w:type="dxa"/>
            <w:shd w:val="clear" w:color="auto" w:fill="auto"/>
            <w:vAlign w:val="center"/>
          </w:tcPr>
          <w:p w14:paraId="2E82308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Calciphylaxis in Ckd and Beyond</w:t>
            </w:r>
          </w:p>
        </w:tc>
        <w:tc>
          <w:tcPr>
            <w:tcW w:w="568" w:type="dxa"/>
            <w:shd w:val="clear" w:color="auto" w:fill="auto"/>
            <w:vAlign w:val="center"/>
          </w:tcPr>
          <w:p w14:paraId="538C8C0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0F49FDA5" w14:textId="77777777" w:rsidTr="004C3C90">
        <w:trPr>
          <w:trHeight w:val="20"/>
        </w:trPr>
        <w:tc>
          <w:tcPr>
            <w:tcW w:w="550" w:type="dxa"/>
            <w:shd w:val="clear" w:color="auto" w:fill="auto"/>
            <w:vAlign w:val="center"/>
          </w:tcPr>
          <w:p w14:paraId="280307E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834</w:t>
            </w:r>
          </w:p>
        </w:tc>
        <w:tc>
          <w:tcPr>
            <w:tcW w:w="1071" w:type="dxa"/>
            <w:shd w:val="clear" w:color="auto" w:fill="auto"/>
            <w:vAlign w:val="center"/>
          </w:tcPr>
          <w:p w14:paraId="1754274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273A54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Lu DF, Moon M, Lanning LD, McCarthy AM, Smith RJ</w:t>
            </w:r>
          </w:p>
        </w:tc>
        <w:tc>
          <w:tcPr>
            <w:tcW w:w="7010" w:type="dxa"/>
            <w:shd w:val="clear" w:color="auto" w:fill="auto"/>
            <w:vAlign w:val="center"/>
          </w:tcPr>
          <w:p w14:paraId="7997C65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Features and Outcomes of 98 Children and Adults with Dense Deposit Disease</w:t>
            </w:r>
          </w:p>
        </w:tc>
        <w:tc>
          <w:tcPr>
            <w:tcW w:w="568" w:type="dxa"/>
            <w:shd w:val="clear" w:color="auto" w:fill="auto"/>
            <w:vAlign w:val="center"/>
          </w:tcPr>
          <w:p w14:paraId="4EA0F0F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598AEA62" w14:textId="77777777" w:rsidTr="004C3C90">
        <w:trPr>
          <w:trHeight w:val="20"/>
        </w:trPr>
        <w:tc>
          <w:tcPr>
            <w:tcW w:w="550" w:type="dxa"/>
            <w:shd w:val="clear" w:color="auto" w:fill="auto"/>
            <w:vAlign w:val="center"/>
          </w:tcPr>
          <w:p w14:paraId="24944D5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835</w:t>
            </w:r>
          </w:p>
        </w:tc>
        <w:tc>
          <w:tcPr>
            <w:tcW w:w="1071" w:type="dxa"/>
            <w:shd w:val="clear" w:color="auto" w:fill="auto"/>
            <w:vAlign w:val="center"/>
          </w:tcPr>
          <w:p w14:paraId="6868483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3A6591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Harms L, Sieb JP, Williams AE, Graham R, Shlaen R, Claus V, et al. </w:t>
            </w:r>
          </w:p>
        </w:tc>
        <w:tc>
          <w:tcPr>
            <w:tcW w:w="7010" w:type="dxa"/>
            <w:shd w:val="clear" w:color="auto" w:fill="auto"/>
            <w:vAlign w:val="center"/>
          </w:tcPr>
          <w:p w14:paraId="1FB59B2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Long-Term Disease History, Clinical Symptoms, Health Status, and Healthcare Utilization in Patients Suffering from Lambert Eaton Myasthenic Syndrome: Results of a Patient Interview Survey in Germany</w:t>
            </w:r>
          </w:p>
        </w:tc>
        <w:tc>
          <w:tcPr>
            <w:tcW w:w="568" w:type="dxa"/>
            <w:shd w:val="clear" w:color="auto" w:fill="auto"/>
            <w:vAlign w:val="center"/>
          </w:tcPr>
          <w:p w14:paraId="150E1D6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3627B635" w14:textId="77777777" w:rsidTr="004C3C90">
        <w:trPr>
          <w:trHeight w:val="20"/>
        </w:trPr>
        <w:tc>
          <w:tcPr>
            <w:tcW w:w="550" w:type="dxa"/>
            <w:shd w:val="clear" w:color="auto" w:fill="auto"/>
            <w:vAlign w:val="center"/>
          </w:tcPr>
          <w:p w14:paraId="414E960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836</w:t>
            </w:r>
          </w:p>
        </w:tc>
        <w:tc>
          <w:tcPr>
            <w:tcW w:w="1071" w:type="dxa"/>
            <w:shd w:val="clear" w:color="auto" w:fill="auto"/>
            <w:vAlign w:val="center"/>
          </w:tcPr>
          <w:p w14:paraId="7EDD8D7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489C82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 </w:t>
            </w:r>
            <w:r w:rsidRPr="004C3C90">
              <w:rPr>
                <w:rFonts w:ascii="Times New Roman" w:eastAsia="Times New Roman" w:hAnsi="Times New Roman" w:cs="Times New Roman"/>
                <w:sz w:val="20"/>
                <w:szCs w:val="20"/>
                <w:highlight w:val="white"/>
              </w:rPr>
              <w:t>Li H, Guo YL, Zhang JX, Qiao J, Geng L</w:t>
            </w:r>
          </w:p>
        </w:tc>
        <w:tc>
          <w:tcPr>
            <w:tcW w:w="7010" w:type="dxa"/>
            <w:shd w:val="clear" w:color="auto" w:fill="auto"/>
            <w:vAlign w:val="center"/>
          </w:tcPr>
          <w:p w14:paraId="04D1698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Risk Factors for the Development of Vaginal Intraepithelial Neoplasia</w:t>
            </w:r>
          </w:p>
        </w:tc>
        <w:tc>
          <w:tcPr>
            <w:tcW w:w="568" w:type="dxa"/>
            <w:shd w:val="clear" w:color="auto" w:fill="auto"/>
            <w:vAlign w:val="center"/>
          </w:tcPr>
          <w:p w14:paraId="70CAFBB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753265EB" w14:textId="77777777" w:rsidTr="004C3C90">
        <w:trPr>
          <w:trHeight w:val="20"/>
        </w:trPr>
        <w:tc>
          <w:tcPr>
            <w:tcW w:w="550" w:type="dxa"/>
            <w:shd w:val="clear" w:color="auto" w:fill="auto"/>
            <w:vAlign w:val="center"/>
          </w:tcPr>
          <w:p w14:paraId="2C85EC8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837</w:t>
            </w:r>
          </w:p>
        </w:tc>
        <w:tc>
          <w:tcPr>
            <w:tcW w:w="1071" w:type="dxa"/>
            <w:shd w:val="clear" w:color="auto" w:fill="auto"/>
            <w:vAlign w:val="center"/>
          </w:tcPr>
          <w:p w14:paraId="28D049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99E4FB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Nct</w:t>
            </w:r>
          </w:p>
        </w:tc>
        <w:tc>
          <w:tcPr>
            <w:tcW w:w="7010" w:type="dxa"/>
            <w:shd w:val="clear" w:color="auto" w:fill="auto"/>
            <w:vAlign w:val="center"/>
          </w:tcPr>
          <w:p w14:paraId="2963F26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Wick Vs. No Wick: Does Method of Closure Affect Rate of Wound Infection?</w:t>
            </w:r>
          </w:p>
        </w:tc>
        <w:tc>
          <w:tcPr>
            <w:tcW w:w="568" w:type="dxa"/>
            <w:shd w:val="clear" w:color="auto" w:fill="auto"/>
            <w:vAlign w:val="center"/>
          </w:tcPr>
          <w:p w14:paraId="7A56F64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59B1BFC8" w14:textId="77777777" w:rsidTr="004C3C90">
        <w:trPr>
          <w:trHeight w:val="20"/>
        </w:trPr>
        <w:tc>
          <w:tcPr>
            <w:tcW w:w="550" w:type="dxa"/>
            <w:shd w:val="clear" w:color="auto" w:fill="auto"/>
            <w:vAlign w:val="center"/>
          </w:tcPr>
          <w:p w14:paraId="297CD2B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838</w:t>
            </w:r>
          </w:p>
        </w:tc>
        <w:tc>
          <w:tcPr>
            <w:tcW w:w="1071" w:type="dxa"/>
            <w:shd w:val="clear" w:color="auto" w:fill="auto"/>
            <w:vAlign w:val="center"/>
          </w:tcPr>
          <w:p w14:paraId="34ABC6E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CFAC71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Piarroux M, Piarroux R, Giorgi R, Knapp J, Bardonnet K, Sudre B, et al. </w:t>
            </w:r>
          </w:p>
        </w:tc>
        <w:tc>
          <w:tcPr>
            <w:tcW w:w="7010" w:type="dxa"/>
            <w:shd w:val="clear" w:color="auto" w:fill="auto"/>
            <w:vAlign w:val="center"/>
          </w:tcPr>
          <w:p w14:paraId="7BB48D2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Features and Evolution of Alveolar Echinococcosis in France from 1982 to 2007: Results of a Survey in 387 Patients</w:t>
            </w:r>
          </w:p>
        </w:tc>
        <w:tc>
          <w:tcPr>
            <w:tcW w:w="568" w:type="dxa"/>
            <w:shd w:val="clear" w:color="auto" w:fill="auto"/>
            <w:vAlign w:val="center"/>
          </w:tcPr>
          <w:p w14:paraId="5897FC2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77F1C21B" w14:textId="77777777" w:rsidTr="004C3C90">
        <w:trPr>
          <w:trHeight w:val="20"/>
        </w:trPr>
        <w:tc>
          <w:tcPr>
            <w:tcW w:w="550" w:type="dxa"/>
            <w:shd w:val="clear" w:color="auto" w:fill="auto"/>
            <w:vAlign w:val="center"/>
          </w:tcPr>
          <w:p w14:paraId="1317446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839</w:t>
            </w:r>
          </w:p>
        </w:tc>
        <w:tc>
          <w:tcPr>
            <w:tcW w:w="1071" w:type="dxa"/>
            <w:shd w:val="clear" w:color="auto" w:fill="auto"/>
            <w:vAlign w:val="center"/>
          </w:tcPr>
          <w:p w14:paraId="7EA8211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309A0D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Isrctn</w:t>
            </w:r>
          </w:p>
        </w:tc>
        <w:tc>
          <w:tcPr>
            <w:tcW w:w="7010" w:type="dxa"/>
            <w:shd w:val="clear" w:color="auto" w:fill="auto"/>
            <w:vAlign w:val="center"/>
          </w:tcPr>
          <w:p w14:paraId="736BD76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Fixed Bearing Lateral Stabilised Djo 3d Knee™ Versus the Finsbury Medial Rotation Knee™ System Versus the Stryker Triathlon® Knee in Primary Total Knee Replacement for Osteoarthritis and Rheumatoid Arthritis</w:t>
            </w:r>
          </w:p>
        </w:tc>
        <w:tc>
          <w:tcPr>
            <w:tcW w:w="568" w:type="dxa"/>
            <w:shd w:val="clear" w:color="auto" w:fill="auto"/>
            <w:vAlign w:val="center"/>
          </w:tcPr>
          <w:p w14:paraId="0B347ED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076E10C4" w14:textId="77777777" w:rsidTr="004C3C90">
        <w:trPr>
          <w:trHeight w:val="20"/>
        </w:trPr>
        <w:tc>
          <w:tcPr>
            <w:tcW w:w="550" w:type="dxa"/>
            <w:shd w:val="clear" w:color="auto" w:fill="auto"/>
            <w:vAlign w:val="center"/>
          </w:tcPr>
          <w:p w14:paraId="10B0902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840</w:t>
            </w:r>
          </w:p>
        </w:tc>
        <w:tc>
          <w:tcPr>
            <w:tcW w:w="1071" w:type="dxa"/>
            <w:shd w:val="clear" w:color="auto" w:fill="auto"/>
            <w:vAlign w:val="center"/>
          </w:tcPr>
          <w:p w14:paraId="6096017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5C2933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Nct</w:t>
            </w:r>
          </w:p>
        </w:tc>
        <w:tc>
          <w:tcPr>
            <w:tcW w:w="7010" w:type="dxa"/>
            <w:shd w:val="clear" w:color="auto" w:fill="auto"/>
            <w:vAlign w:val="center"/>
          </w:tcPr>
          <w:p w14:paraId="449650D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Phenoxybenzamine Versus Doxazosin in Pcc Patients</w:t>
            </w:r>
          </w:p>
        </w:tc>
        <w:tc>
          <w:tcPr>
            <w:tcW w:w="568" w:type="dxa"/>
            <w:shd w:val="clear" w:color="auto" w:fill="auto"/>
            <w:vAlign w:val="center"/>
          </w:tcPr>
          <w:p w14:paraId="55A71F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6CF43BA0" w14:textId="77777777" w:rsidTr="004C3C90">
        <w:trPr>
          <w:trHeight w:val="20"/>
        </w:trPr>
        <w:tc>
          <w:tcPr>
            <w:tcW w:w="550" w:type="dxa"/>
            <w:shd w:val="clear" w:color="auto" w:fill="auto"/>
            <w:vAlign w:val="center"/>
          </w:tcPr>
          <w:p w14:paraId="2485D31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841</w:t>
            </w:r>
          </w:p>
        </w:tc>
        <w:tc>
          <w:tcPr>
            <w:tcW w:w="1071" w:type="dxa"/>
            <w:shd w:val="clear" w:color="auto" w:fill="auto"/>
            <w:vAlign w:val="center"/>
          </w:tcPr>
          <w:p w14:paraId="3D0019C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7E9F43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Kamdar BB, Nandkumar P, Krishnan V, Gamaldo CE, Collop NA</w:t>
            </w:r>
          </w:p>
        </w:tc>
        <w:tc>
          <w:tcPr>
            <w:tcW w:w="7010" w:type="dxa"/>
            <w:shd w:val="clear" w:color="auto" w:fill="auto"/>
            <w:vAlign w:val="center"/>
          </w:tcPr>
          <w:p w14:paraId="754B6ED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Self-Reported Sleep and Breathing Disturbances in Joubert Syndrome</w:t>
            </w:r>
          </w:p>
        </w:tc>
        <w:tc>
          <w:tcPr>
            <w:tcW w:w="568" w:type="dxa"/>
            <w:shd w:val="clear" w:color="auto" w:fill="auto"/>
            <w:vAlign w:val="center"/>
          </w:tcPr>
          <w:p w14:paraId="69E7640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611B0D58" w14:textId="77777777" w:rsidTr="004C3C90">
        <w:trPr>
          <w:trHeight w:val="20"/>
        </w:trPr>
        <w:tc>
          <w:tcPr>
            <w:tcW w:w="550" w:type="dxa"/>
            <w:shd w:val="clear" w:color="auto" w:fill="auto"/>
            <w:vAlign w:val="center"/>
          </w:tcPr>
          <w:p w14:paraId="70A04AF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842</w:t>
            </w:r>
          </w:p>
        </w:tc>
        <w:tc>
          <w:tcPr>
            <w:tcW w:w="1071" w:type="dxa"/>
            <w:shd w:val="clear" w:color="auto" w:fill="auto"/>
            <w:vAlign w:val="center"/>
          </w:tcPr>
          <w:p w14:paraId="506961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5D67DE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Isomoto H, Ohnita K, Yamaguchi N, Fukuda E, Ikeda K, Nishiyama H, et al. </w:t>
            </w:r>
          </w:p>
        </w:tc>
        <w:tc>
          <w:tcPr>
            <w:tcW w:w="7010" w:type="dxa"/>
            <w:shd w:val="clear" w:color="auto" w:fill="auto"/>
            <w:vAlign w:val="center"/>
          </w:tcPr>
          <w:p w14:paraId="40A9BBC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Outcomes of Endoscopic Submucosal Dissection in Elderly Patients with Early Gastric Cancer</w:t>
            </w:r>
          </w:p>
        </w:tc>
        <w:tc>
          <w:tcPr>
            <w:tcW w:w="568" w:type="dxa"/>
            <w:shd w:val="clear" w:color="auto" w:fill="auto"/>
            <w:vAlign w:val="center"/>
          </w:tcPr>
          <w:p w14:paraId="4A956A4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7A2EBB25" w14:textId="77777777" w:rsidTr="004C3C90">
        <w:trPr>
          <w:trHeight w:val="20"/>
        </w:trPr>
        <w:tc>
          <w:tcPr>
            <w:tcW w:w="550" w:type="dxa"/>
            <w:shd w:val="clear" w:color="auto" w:fill="auto"/>
            <w:vAlign w:val="center"/>
          </w:tcPr>
          <w:p w14:paraId="65DBC3D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843</w:t>
            </w:r>
          </w:p>
        </w:tc>
        <w:tc>
          <w:tcPr>
            <w:tcW w:w="1071" w:type="dxa"/>
            <w:shd w:val="clear" w:color="auto" w:fill="auto"/>
            <w:vAlign w:val="center"/>
          </w:tcPr>
          <w:p w14:paraId="3AF58F1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97E1ED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Edener U, Wöllner J, Hehr U, Kohl Z, Schilling S, Kreuz F, et al. </w:t>
            </w:r>
          </w:p>
        </w:tc>
        <w:tc>
          <w:tcPr>
            <w:tcW w:w="7010" w:type="dxa"/>
            <w:shd w:val="clear" w:color="auto" w:fill="auto"/>
            <w:vAlign w:val="center"/>
          </w:tcPr>
          <w:p w14:paraId="7673247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Early Onset and Slow Progression of Sca28, a Rare Dominant Ataxia in a Large Four-Generation Family with a Novel Afg3l2 Mutation</w:t>
            </w:r>
          </w:p>
        </w:tc>
        <w:tc>
          <w:tcPr>
            <w:tcW w:w="568" w:type="dxa"/>
            <w:shd w:val="clear" w:color="auto" w:fill="auto"/>
            <w:vAlign w:val="center"/>
          </w:tcPr>
          <w:p w14:paraId="3A4B6A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6F5473A6" w14:textId="77777777" w:rsidTr="004C3C90">
        <w:trPr>
          <w:trHeight w:val="20"/>
        </w:trPr>
        <w:tc>
          <w:tcPr>
            <w:tcW w:w="550" w:type="dxa"/>
            <w:shd w:val="clear" w:color="auto" w:fill="auto"/>
            <w:vAlign w:val="center"/>
          </w:tcPr>
          <w:p w14:paraId="6DCE744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844</w:t>
            </w:r>
          </w:p>
        </w:tc>
        <w:tc>
          <w:tcPr>
            <w:tcW w:w="1071" w:type="dxa"/>
            <w:shd w:val="clear" w:color="auto" w:fill="auto"/>
            <w:vAlign w:val="center"/>
          </w:tcPr>
          <w:p w14:paraId="244F88C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A3E408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Fearon WF, Bornschein B, Tonino PA, Gothe RM, Bruyne BD, Pijls NH, et al. </w:t>
            </w:r>
          </w:p>
        </w:tc>
        <w:tc>
          <w:tcPr>
            <w:tcW w:w="7010" w:type="dxa"/>
            <w:shd w:val="clear" w:color="auto" w:fill="auto"/>
            <w:vAlign w:val="center"/>
          </w:tcPr>
          <w:p w14:paraId="613E9B3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Economic Evaluation of Fractional Flow Reserve-Guided Percutaneous Coronary Intervention in Patients with Multivessel Disease</w:t>
            </w:r>
          </w:p>
        </w:tc>
        <w:tc>
          <w:tcPr>
            <w:tcW w:w="568" w:type="dxa"/>
            <w:shd w:val="clear" w:color="auto" w:fill="auto"/>
            <w:vAlign w:val="center"/>
          </w:tcPr>
          <w:p w14:paraId="39D65A5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71CE9216" w14:textId="77777777" w:rsidTr="004C3C90">
        <w:trPr>
          <w:trHeight w:val="20"/>
        </w:trPr>
        <w:tc>
          <w:tcPr>
            <w:tcW w:w="550" w:type="dxa"/>
            <w:shd w:val="clear" w:color="auto" w:fill="auto"/>
            <w:vAlign w:val="center"/>
          </w:tcPr>
          <w:p w14:paraId="15E5A26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845</w:t>
            </w:r>
          </w:p>
        </w:tc>
        <w:tc>
          <w:tcPr>
            <w:tcW w:w="1071" w:type="dxa"/>
            <w:shd w:val="clear" w:color="auto" w:fill="auto"/>
            <w:vAlign w:val="center"/>
          </w:tcPr>
          <w:p w14:paraId="259480C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D1CCB4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Yuan J, Li XH.</w:t>
            </w:r>
          </w:p>
        </w:tc>
        <w:tc>
          <w:tcPr>
            <w:tcW w:w="7010" w:type="dxa"/>
            <w:shd w:val="clear" w:color="auto" w:fill="auto"/>
            <w:vAlign w:val="center"/>
          </w:tcPr>
          <w:p w14:paraId="64AE2D3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Evaluation of Pathological Diagnosis Using Ultrasonography-Guided Lymph Node Core-Needle Biopsy</w:t>
            </w:r>
          </w:p>
        </w:tc>
        <w:tc>
          <w:tcPr>
            <w:tcW w:w="568" w:type="dxa"/>
            <w:shd w:val="clear" w:color="auto" w:fill="auto"/>
            <w:vAlign w:val="center"/>
          </w:tcPr>
          <w:p w14:paraId="090A78F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28A0FD50" w14:textId="77777777" w:rsidTr="004C3C90">
        <w:trPr>
          <w:trHeight w:val="20"/>
        </w:trPr>
        <w:tc>
          <w:tcPr>
            <w:tcW w:w="550" w:type="dxa"/>
            <w:shd w:val="clear" w:color="auto" w:fill="auto"/>
            <w:vAlign w:val="center"/>
          </w:tcPr>
          <w:p w14:paraId="1CC73C5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846</w:t>
            </w:r>
          </w:p>
        </w:tc>
        <w:tc>
          <w:tcPr>
            <w:tcW w:w="1071" w:type="dxa"/>
            <w:shd w:val="clear" w:color="auto" w:fill="auto"/>
            <w:vAlign w:val="center"/>
          </w:tcPr>
          <w:p w14:paraId="2262DA9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5692F9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Isrctn</w:t>
            </w:r>
          </w:p>
        </w:tc>
        <w:tc>
          <w:tcPr>
            <w:tcW w:w="7010" w:type="dxa"/>
            <w:shd w:val="clear" w:color="auto" w:fill="auto"/>
            <w:vAlign w:val="center"/>
          </w:tcPr>
          <w:p w14:paraId="6F53B86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Aortic Valve Replacement in High Risk Patients: Conventional Surgery Compared with Catheter-Based Techniques</w:t>
            </w:r>
          </w:p>
        </w:tc>
        <w:tc>
          <w:tcPr>
            <w:tcW w:w="568" w:type="dxa"/>
            <w:shd w:val="clear" w:color="auto" w:fill="auto"/>
            <w:vAlign w:val="center"/>
          </w:tcPr>
          <w:p w14:paraId="79D62D9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4944FD1D" w14:textId="77777777" w:rsidTr="004C3C90">
        <w:trPr>
          <w:trHeight w:val="20"/>
        </w:trPr>
        <w:tc>
          <w:tcPr>
            <w:tcW w:w="550" w:type="dxa"/>
            <w:shd w:val="clear" w:color="auto" w:fill="auto"/>
            <w:vAlign w:val="center"/>
          </w:tcPr>
          <w:p w14:paraId="4322A3B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847</w:t>
            </w:r>
          </w:p>
        </w:tc>
        <w:tc>
          <w:tcPr>
            <w:tcW w:w="1071" w:type="dxa"/>
            <w:shd w:val="clear" w:color="auto" w:fill="auto"/>
            <w:vAlign w:val="center"/>
          </w:tcPr>
          <w:p w14:paraId="22F0033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CB83D5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Qin RF, Shi LF, Liu YP, Lei DL, Hu KJ, Feng XH, et al. </w:t>
            </w:r>
          </w:p>
        </w:tc>
        <w:tc>
          <w:tcPr>
            <w:tcW w:w="7010" w:type="dxa"/>
            <w:shd w:val="clear" w:color="auto" w:fill="auto"/>
            <w:vAlign w:val="center"/>
          </w:tcPr>
          <w:p w14:paraId="7316A6D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Diagnosis and Surgical Treatment of Carotid Body Tumors: 25 Years' Experience in China</w:t>
            </w:r>
          </w:p>
        </w:tc>
        <w:tc>
          <w:tcPr>
            <w:tcW w:w="568" w:type="dxa"/>
            <w:shd w:val="clear" w:color="auto" w:fill="auto"/>
            <w:vAlign w:val="center"/>
          </w:tcPr>
          <w:p w14:paraId="470C988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2D51E5CE" w14:textId="77777777" w:rsidTr="004C3C90">
        <w:trPr>
          <w:trHeight w:val="20"/>
        </w:trPr>
        <w:tc>
          <w:tcPr>
            <w:tcW w:w="550" w:type="dxa"/>
            <w:shd w:val="clear" w:color="auto" w:fill="auto"/>
            <w:vAlign w:val="center"/>
          </w:tcPr>
          <w:p w14:paraId="76AF1B9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848</w:t>
            </w:r>
          </w:p>
        </w:tc>
        <w:tc>
          <w:tcPr>
            <w:tcW w:w="1071" w:type="dxa"/>
            <w:shd w:val="clear" w:color="auto" w:fill="auto"/>
            <w:vAlign w:val="center"/>
          </w:tcPr>
          <w:p w14:paraId="36C2A32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3FA28F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Mukherjee A, McGarrity T, Staveley-O'Carroll K, Ruggiero F, Baker MJ</w:t>
            </w:r>
          </w:p>
        </w:tc>
        <w:tc>
          <w:tcPr>
            <w:tcW w:w="7010" w:type="dxa"/>
            <w:shd w:val="clear" w:color="auto" w:fill="auto"/>
            <w:vAlign w:val="center"/>
          </w:tcPr>
          <w:p w14:paraId="0F0394F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Hereditary Diffuse Gastric Cancer: Lifesaving Potential of Prophylactic Gastrectomy</w:t>
            </w:r>
          </w:p>
        </w:tc>
        <w:tc>
          <w:tcPr>
            <w:tcW w:w="568" w:type="dxa"/>
            <w:shd w:val="clear" w:color="auto" w:fill="auto"/>
            <w:vAlign w:val="center"/>
          </w:tcPr>
          <w:p w14:paraId="1776381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375068A7" w14:textId="77777777" w:rsidTr="004C3C90">
        <w:trPr>
          <w:trHeight w:val="20"/>
        </w:trPr>
        <w:tc>
          <w:tcPr>
            <w:tcW w:w="550" w:type="dxa"/>
            <w:shd w:val="clear" w:color="auto" w:fill="auto"/>
            <w:vAlign w:val="center"/>
          </w:tcPr>
          <w:p w14:paraId="39E9CC7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849</w:t>
            </w:r>
          </w:p>
        </w:tc>
        <w:tc>
          <w:tcPr>
            <w:tcW w:w="1071" w:type="dxa"/>
            <w:shd w:val="clear" w:color="auto" w:fill="auto"/>
            <w:vAlign w:val="center"/>
          </w:tcPr>
          <w:p w14:paraId="595555F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9CF6D5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Michel M, Chanet V, Dechartres A, Morin AS, Piette JC, Cirasino L, et al.</w:t>
            </w:r>
          </w:p>
        </w:tc>
        <w:tc>
          <w:tcPr>
            <w:tcW w:w="7010" w:type="dxa"/>
            <w:shd w:val="clear" w:color="auto" w:fill="auto"/>
            <w:vAlign w:val="center"/>
          </w:tcPr>
          <w:p w14:paraId="65A2C4E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Spectrum of Evans Syndrome in Adults: New Insight into the Disease Based on the Analysis of 68 Cases</w:t>
            </w:r>
          </w:p>
        </w:tc>
        <w:tc>
          <w:tcPr>
            <w:tcW w:w="568" w:type="dxa"/>
            <w:shd w:val="clear" w:color="auto" w:fill="auto"/>
            <w:vAlign w:val="center"/>
          </w:tcPr>
          <w:p w14:paraId="3068960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790BA882" w14:textId="77777777" w:rsidTr="004C3C90">
        <w:trPr>
          <w:trHeight w:val="20"/>
        </w:trPr>
        <w:tc>
          <w:tcPr>
            <w:tcW w:w="550" w:type="dxa"/>
            <w:shd w:val="clear" w:color="auto" w:fill="auto"/>
            <w:vAlign w:val="center"/>
          </w:tcPr>
          <w:p w14:paraId="22CBADE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850</w:t>
            </w:r>
          </w:p>
        </w:tc>
        <w:tc>
          <w:tcPr>
            <w:tcW w:w="1071" w:type="dxa"/>
            <w:shd w:val="clear" w:color="auto" w:fill="auto"/>
            <w:vAlign w:val="center"/>
          </w:tcPr>
          <w:p w14:paraId="7ADB4B9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9EF9D1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Nozu T, Komiyama H</w:t>
            </w:r>
          </w:p>
        </w:tc>
        <w:tc>
          <w:tcPr>
            <w:tcW w:w="7010" w:type="dxa"/>
            <w:shd w:val="clear" w:color="auto" w:fill="auto"/>
            <w:vAlign w:val="center"/>
          </w:tcPr>
          <w:p w14:paraId="0869A4D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Characteristics of Asymptomatic Esophagitis</w:t>
            </w:r>
          </w:p>
        </w:tc>
        <w:tc>
          <w:tcPr>
            <w:tcW w:w="568" w:type="dxa"/>
            <w:shd w:val="clear" w:color="auto" w:fill="auto"/>
            <w:vAlign w:val="center"/>
          </w:tcPr>
          <w:p w14:paraId="57E4A14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2008</w:t>
            </w:r>
          </w:p>
        </w:tc>
      </w:tr>
      <w:tr w:rsidR="004C3C90" w:rsidRPr="004C3C90" w14:paraId="24372785" w14:textId="77777777" w:rsidTr="004C3C90">
        <w:trPr>
          <w:trHeight w:val="20"/>
        </w:trPr>
        <w:tc>
          <w:tcPr>
            <w:tcW w:w="550" w:type="dxa"/>
            <w:shd w:val="clear" w:color="auto" w:fill="auto"/>
            <w:vAlign w:val="center"/>
          </w:tcPr>
          <w:p w14:paraId="4F4C784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851</w:t>
            </w:r>
          </w:p>
        </w:tc>
        <w:tc>
          <w:tcPr>
            <w:tcW w:w="1071" w:type="dxa"/>
            <w:shd w:val="clear" w:color="auto" w:fill="auto"/>
            <w:vAlign w:val="center"/>
          </w:tcPr>
          <w:p w14:paraId="43AE980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C0C124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International Centre for Diarrhoeal Disease Research, Bangladesh</w:t>
            </w:r>
          </w:p>
        </w:tc>
        <w:tc>
          <w:tcPr>
            <w:tcW w:w="7010" w:type="dxa"/>
            <w:shd w:val="clear" w:color="auto" w:fill="auto"/>
            <w:vAlign w:val="center"/>
          </w:tcPr>
          <w:p w14:paraId="1625E25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Iron Deficiency Anemia and Psychosocial Stimulation</w:t>
            </w:r>
          </w:p>
        </w:tc>
        <w:tc>
          <w:tcPr>
            <w:tcW w:w="568" w:type="dxa"/>
            <w:shd w:val="clear" w:color="auto" w:fill="auto"/>
            <w:vAlign w:val="center"/>
          </w:tcPr>
          <w:p w14:paraId="466823E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2008</w:t>
            </w:r>
          </w:p>
        </w:tc>
      </w:tr>
      <w:tr w:rsidR="004C3C90" w:rsidRPr="004C3C90" w14:paraId="564D8A31" w14:textId="77777777" w:rsidTr="004C3C90">
        <w:trPr>
          <w:trHeight w:val="20"/>
        </w:trPr>
        <w:tc>
          <w:tcPr>
            <w:tcW w:w="550" w:type="dxa"/>
            <w:shd w:val="clear" w:color="auto" w:fill="auto"/>
            <w:vAlign w:val="center"/>
          </w:tcPr>
          <w:p w14:paraId="72F3ECC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852</w:t>
            </w:r>
          </w:p>
        </w:tc>
        <w:tc>
          <w:tcPr>
            <w:tcW w:w="1071" w:type="dxa"/>
            <w:shd w:val="clear" w:color="auto" w:fill="auto"/>
            <w:vAlign w:val="center"/>
          </w:tcPr>
          <w:p w14:paraId="12CFC23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759D6A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Pirrotta MT, Bernardeschi P, Fiorentini G</w:t>
            </w:r>
          </w:p>
        </w:tc>
        <w:tc>
          <w:tcPr>
            <w:tcW w:w="7010" w:type="dxa"/>
            <w:shd w:val="clear" w:color="auto" w:fill="auto"/>
            <w:vAlign w:val="center"/>
          </w:tcPr>
          <w:p w14:paraId="5C8C7A0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Targeted Therapy for Advanced Renal Cell Carcinoma</w:t>
            </w:r>
          </w:p>
        </w:tc>
        <w:tc>
          <w:tcPr>
            <w:tcW w:w="568" w:type="dxa"/>
            <w:shd w:val="clear" w:color="auto" w:fill="auto"/>
            <w:vAlign w:val="center"/>
          </w:tcPr>
          <w:p w14:paraId="1431D1E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2008</w:t>
            </w:r>
          </w:p>
        </w:tc>
      </w:tr>
      <w:tr w:rsidR="004C3C90" w:rsidRPr="004C3C90" w14:paraId="48B0FCA4" w14:textId="77777777" w:rsidTr="004C3C90">
        <w:trPr>
          <w:trHeight w:val="20"/>
        </w:trPr>
        <w:tc>
          <w:tcPr>
            <w:tcW w:w="550" w:type="dxa"/>
            <w:shd w:val="clear" w:color="auto" w:fill="auto"/>
            <w:vAlign w:val="center"/>
          </w:tcPr>
          <w:p w14:paraId="77BB516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853</w:t>
            </w:r>
          </w:p>
        </w:tc>
        <w:tc>
          <w:tcPr>
            <w:tcW w:w="1071" w:type="dxa"/>
            <w:shd w:val="clear" w:color="auto" w:fill="auto"/>
            <w:vAlign w:val="center"/>
          </w:tcPr>
          <w:p w14:paraId="682E502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3C4E3E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Pollock-BarZiv S, Cohen MM, Downey GP, Johnson SR, Sullivan E, McCormack FX</w:t>
            </w:r>
          </w:p>
        </w:tc>
        <w:tc>
          <w:tcPr>
            <w:tcW w:w="7010" w:type="dxa"/>
            <w:shd w:val="clear" w:color="auto" w:fill="auto"/>
            <w:vAlign w:val="center"/>
          </w:tcPr>
          <w:p w14:paraId="436897B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Air Travel in Women with Lymphangioleiomyomatosis</w:t>
            </w:r>
          </w:p>
        </w:tc>
        <w:tc>
          <w:tcPr>
            <w:tcW w:w="568" w:type="dxa"/>
            <w:shd w:val="clear" w:color="auto" w:fill="auto"/>
            <w:vAlign w:val="center"/>
          </w:tcPr>
          <w:p w14:paraId="1E91568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2007</w:t>
            </w:r>
          </w:p>
        </w:tc>
      </w:tr>
      <w:tr w:rsidR="004C3C90" w:rsidRPr="004C3C90" w14:paraId="1D99CE8A" w14:textId="77777777" w:rsidTr="004C3C90">
        <w:trPr>
          <w:trHeight w:val="20"/>
        </w:trPr>
        <w:tc>
          <w:tcPr>
            <w:tcW w:w="550" w:type="dxa"/>
            <w:shd w:val="clear" w:color="auto" w:fill="auto"/>
            <w:vAlign w:val="center"/>
          </w:tcPr>
          <w:p w14:paraId="48D8EEA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854</w:t>
            </w:r>
          </w:p>
        </w:tc>
        <w:tc>
          <w:tcPr>
            <w:tcW w:w="1071" w:type="dxa"/>
            <w:shd w:val="clear" w:color="auto" w:fill="auto"/>
            <w:vAlign w:val="center"/>
          </w:tcPr>
          <w:p w14:paraId="4547622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E8DD0A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Kala Z, Válek V, Kysela P</w:t>
            </w:r>
          </w:p>
        </w:tc>
        <w:tc>
          <w:tcPr>
            <w:tcW w:w="7010" w:type="dxa"/>
            <w:shd w:val="clear" w:color="auto" w:fill="auto"/>
            <w:vAlign w:val="center"/>
          </w:tcPr>
          <w:p w14:paraId="0189957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Amyloidosis of the Small Intestine</w:t>
            </w:r>
          </w:p>
        </w:tc>
        <w:tc>
          <w:tcPr>
            <w:tcW w:w="568" w:type="dxa"/>
            <w:shd w:val="clear" w:color="auto" w:fill="auto"/>
            <w:vAlign w:val="center"/>
          </w:tcPr>
          <w:p w14:paraId="1638D6E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2007</w:t>
            </w:r>
          </w:p>
        </w:tc>
      </w:tr>
      <w:tr w:rsidR="004C3C90" w:rsidRPr="004C3C90" w14:paraId="03FBB638" w14:textId="77777777" w:rsidTr="004C3C90">
        <w:trPr>
          <w:trHeight w:val="20"/>
        </w:trPr>
        <w:tc>
          <w:tcPr>
            <w:tcW w:w="550" w:type="dxa"/>
            <w:shd w:val="clear" w:color="auto" w:fill="auto"/>
            <w:vAlign w:val="center"/>
          </w:tcPr>
          <w:p w14:paraId="309548F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855</w:t>
            </w:r>
          </w:p>
        </w:tc>
        <w:tc>
          <w:tcPr>
            <w:tcW w:w="1071" w:type="dxa"/>
            <w:shd w:val="clear" w:color="auto" w:fill="auto"/>
            <w:vAlign w:val="center"/>
          </w:tcPr>
          <w:p w14:paraId="6A1C9F6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71C240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Wolff AS, Erichsen MM, Meager A, Magitta NF, Myhre AG, et al. </w:t>
            </w:r>
          </w:p>
        </w:tc>
        <w:tc>
          <w:tcPr>
            <w:tcW w:w="7010" w:type="dxa"/>
            <w:shd w:val="clear" w:color="auto" w:fill="auto"/>
            <w:vAlign w:val="center"/>
          </w:tcPr>
          <w:p w14:paraId="3D9FB8A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Autoimmune Polyendocrine Syndrome Type 1 in Norway: Phenotypic Variation, Autoantibodies, and Novel Mutations in the Autoimmune Regulator Gene</w:t>
            </w:r>
          </w:p>
        </w:tc>
        <w:tc>
          <w:tcPr>
            <w:tcW w:w="568" w:type="dxa"/>
            <w:shd w:val="clear" w:color="auto" w:fill="auto"/>
            <w:vAlign w:val="center"/>
          </w:tcPr>
          <w:p w14:paraId="337AAA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2007</w:t>
            </w:r>
          </w:p>
        </w:tc>
      </w:tr>
      <w:tr w:rsidR="004C3C90" w:rsidRPr="004C3C90" w14:paraId="5DB60CBE" w14:textId="77777777" w:rsidTr="004C3C90">
        <w:trPr>
          <w:trHeight w:val="20"/>
        </w:trPr>
        <w:tc>
          <w:tcPr>
            <w:tcW w:w="550" w:type="dxa"/>
            <w:shd w:val="clear" w:color="auto" w:fill="auto"/>
            <w:vAlign w:val="center"/>
          </w:tcPr>
          <w:p w14:paraId="6A8A225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856</w:t>
            </w:r>
          </w:p>
        </w:tc>
        <w:tc>
          <w:tcPr>
            <w:tcW w:w="1071" w:type="dxa"/>
            <w:shd w:val="clear" w:color="auto" w:fill="auto"/>
            <w:vAlign w:val="center"/>
          </w:tcPr>
          <w:p w14:paraId="50542C9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83F4D2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Mills EJ, Kelly S, Wu P, Guyatt GH</w:t>
            </w:r>
          </w:p>
        </w:tc>
        <w:tc>
          <w:tcPr>
            <w:tcW w:w="7010" w:type="dxa"/>
            <w:shd w:val="clear" w:color="auto" w:fill="auto"/>
            <w:vAlign w:val="center"/>
          </w:tcPr>
          <w:p w14:paraId="3F80E3F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Epidemiology and Reporting of Randomized Trials Employing Re-Randomization of Patient Groups: A Systematic Survey</w:t>
            </w:r>
          </w:p>
        </w:tc>
        <w:tc>
          <w:tcPr>
            <w:tcW w:w="568" w:type="dxa"/>
            <w:shd w:val="clear" w:color="auto" w:fill="auto"/>
            <w:vAlign w:val="center"/>
          </w:tcPr>
          <w:p w14:paraId="4EB7013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2007</w:t>
            </w:r>
          </w:p>
        </w:tc>
      </w:tr>
      <w:tr w:rsidR="004C3C90" w:rsidRPr="004C3C90" w14:paraId="4B1839F4" w14:textId="77777777" w:rsidTr="004C3C90">
        <w:trPr>
          <w:trHeight w:val="20"/>
        </w:trPr>
        <w:tc>
          <w:tcPr>
            <w:tcW w:w="550" w:type="dxa"/>
            <w:shd w:val="clear" w:color="auto" w:fill="auto"/>
            <w:vAlign w:val="center"/>
          </w:tcPr>
          <w:p w14:paraId="2C13C19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857</w:t>
            </w:r>
          </w:p>
        </w:tc>
        <w:tc>
          <w:tcPr>
            <w:tcW w:w="1071" w:type="dxa"/>
            <w:shd w:val="clear" w:color="auto" w:fill="auto"/>
            <w:vAlign w:val="center"/>
          </w:tcPr>
          <w:p w14:paraId="0CF6C5A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2086A0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Mennel S, Barbazetto I, Meyer CH, Peter S, Stur M</w:t>
            </w:r>
          </w:p>
        </w:tc>
        <w:tc>
          <w:tcPr>
            <w:tcW w:w="7010" w:type="dxa"/>
            <w:shd w:val="clear" w:color="auto" w:fill="auto"/>
            <w:vAlign w:val="center"/>
          </w:tcPr>
          <w:p w14:paraId="47D9A09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Ocular Photodynamic Therapy - Standard Applications and New Indications (Part 2): Review of the Literature and Personal Experience</w:t>
            </w:r>
          </w:p>
        </w:tc>
        <w:tc>
          <w:tcPr>
            <w:tcW w:w="568" w:type="dxa"/>
            <w:shd w:val="clear" w:color="auto" w:fill="auto"/>
            <w:vAlign w:val="center"/>
          </w:tcPr>
          <w:p w14:paraId="02F34E8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2007</w:t>
            </w:r>
          </w:p>
        </w:tc>
      </w:tr>
      <w:tr w:rsidR="004C3C90" w:rsidRPr="004C3C90" w14:paraId="79B789F0" w14:textId="77777777" w:rsidTr="004C3C90">
        <w:trPr>
          <w:trHeight w:val="20"/>
        </w:trPr>
        <w:tc>
          <w:tcPr>
            <w:tcW w:w="550" w:type="dxa"/>
            <w:shd w:val="clear" w:color="auto" w:fill="auto"/>
            <w:vAlign w:val="center"/>
          </w:tcPr>
          <w:p w14:paraId="7B74263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858</w:t>
            </w:r>
          </w:p>
        </w:tc>
        <w:tc>
          <w:tcPr>
            <w:tcW w:w="1071" w:type="dxa"/>
            <w:shd w:val="clear" w:color="auto" w:fill="auto"/>
            <w:vAlign w:val="center"/>
          </w:tcPr>
          <w:p w14:paraId="31EB4EB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B37C5F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Mann GN, Link JM, Pham P, Pickett CA, Byrd DR, Kinahan PE, et al. </w:t>
            </w:r>
          </w:p>
        </w:tc>
        <w:tc>
          <w:tcPr>
            <w:tcW w:w="7010" w:type="dxa"/>
            <w:shd w:val="clear" w:color="auto" w:fill="auto"/>
            <w:vAlign w:val="center"/>
          </w:tcPr>
          <w:p w14:paraId="15B2FF8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[11c]Metahydroxyephedrine and [18f]Fluorodeoxyglucose Positron Emission Tomography Improve Clinical Decision Making in Suspected Pheochromocytoma</w:t>
            </w:r>
          </w:p>
        </w:tc>
        <w:tc>
          <w:tcPr>
            <w:tcW w:w="568" w:type="dxa"/>
            <w:shd w:val="clear" w:color="auto" w:fill="auto"/>
            <w:vAlign w:val="center"/>
          </w:tcPr>
          <w:p w14:paraId="0F02CE7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2006</w:t>
            </w:r>
          </w:p>
        </w:tc>
      </w:tr>
      <w:tr w:rsidR="004C3C90" w:rsidRPr="004C3C90" w14:paraId="6C202848" w14:textId="77777777" w:rsidTr="004C3C90">
        <w:trPr>
          <w:trHeight w:val="20"/>
        </w:trPr>
        <w:tc>
          <w:tcPr>
            <w:tcW w:w="550" w:type="dxa"/>
            <w:shd w:val="clear" w:color="auto" w:fill="auto"/>
            <w:vAlign w:val="center"/>
          </w:tcPr>
          <w:p w14:paraId="1133ACC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859</w:t>
            </w:r>
          </w:p>
        </w:tc>
        <w:tc>
          <w:tcPr>
            <w:tcW w:w="1071" w:type="dxa"/>
            <w:shd w:val="clear" w:color="auto" w:fill="auto"/>
            <w:vAlign w:val="center"/>
          </w:tcPr>
          <w:p w14:paraId="067934F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2F2220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Schoening AM</w:t>
            </w:r>
          </w:p>
        </w:tc>
        <w:tc>
          <w:tcPr>
            <w:tcW w:w="7010" w:type="dxa"/>
            <w:shd w:val="clear" w:color="auto" w:fill="auto"/>
            <w:vAlign w:val="center"/>
          </w:tcPr>
          <w:p w14:paraId="4E0F494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Amniotic Fluid Embolism: Historical Perspectives &amp; New Possibilities</w:t>
            </w:r>
          </w:p>
        </w:tc>
        <w:tc>
          <w:tcPr>
            <w:tcW w:w="568" w:type="dxa"/>
            <w:shd w:val="clear" w:color="auto" w:fill="auto"/>
            <w:vAlign w:val="center"/>
          </w:tcPr>
          <w:p w14:paraId="3B7AABD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2006</w:t>
            </w:r>
          </w:p>
        </w:tc>
      </w:tr>
      <w:tr w:rsidR="004C3C90" w:rsidRPr="004C3C90" w14:paraId="4E1CD8E4" w14:textId="77777777" w:rsidTr="004C3C90">
        <w:trPr>
          <w:trHeight w:val="20"/>
        </w:trPr>
        <w:tc>
          <w:tcPr>
            <w:tcW w:w="550" w:type="dxa"/>
            <w:shd w:val="clear" w:color="auto" w:fill="auto"/>
            <w:vAlign w:val="center"/>
          </w:tcPr>
          <w:p w14:paraId="28B63AA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860</w:t>
            </w:r>
          </w:p>
        </w:tc>
        <w:tc>
          <w:tcPr>
            <w:tcW w:w="1071" w:type="dxa"/>
            <w:shd w:val="clear" w:color="auto" w:fill="auto"/>
            <w:vAlign w:val="center"/>
          </w:tcPr>
          <w:p w14:paraId="71F60E0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7854D8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Ashraf-Ganjoei T, Behtash N, Shariat M, Mosavi A</w:t>
            </w:r>
          </w:p>
        </w:tc>
        <w:tc>
          <w:tcPr>
            <w:tcW w:w="7010" w:type="dxa"/>
            <w:shd w:val="clear" w:color="auto" w:fill="auto"/>
            <w:vAlign w:val="center"/>
          </w:tcPr>
          <w:p w14:paraId="1FFC215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Low Grade Endometrial Stromal Sarcoma of Uterine Corpus, a Clinico-Pathological and Survey Study in 14 Cases</w:t>
            </w:r>
          </w:p>
        </w:tc>
        <w:tc>
          <w:tcPr>
            <w:tcW w:w="568" w:type="dxa"/>
            <w:shd w:val="clear" w:color="auto" w:fill="auto"/>
            <w:vAlign w:val="center"/>
          </w:tcPr>
          <w:p w14:paraId="2698C72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2006</w:t>
            </w:r>
          </w:p>
        </w:tc>
      </w:tr>
      <w:tr w:rsidR="004C3C90" w:rsidRPr="004C3C90" w14:paraId="273472DD" w14:textId="77777777" w:rsidTr="004C3C90">
        <w:trPr>
          <w:trHeight w:val="20"/>
        </w:trPr>
        <w:tc>
          <w:tcPr>
            <w:tcW w:w="550" w:type="dxa"/>
            <w:shd w:val="clear" w:color="auto" w:fill="auto"/>
            <w:vAlign w:val="center"/>
          </w:tcPr>
          <w:p w14:paraId="43B985B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861</w:t>
            </w:r>
          </w:p>
        </w:tc>
        <w:tc>
          <w:tcPr>
            <w:tcW w:w="1071" w:type="dxa"/>
            <w:shd w:val="clear" w:color="auto" w:fill="auto"/>
            <w:vAlign w:val="center"/>
          </w:tcPr>
          <w:p w14:paraId="3F4C4E2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D5EBAE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Hashimoto J, Ohno I, Nakatsuka K, Yoshimura N, Takata S, Zamma M, et al. </w:t>
            </w:r>
          </w:p>
        </w:tc>
        <w:tc>
          <w:tcPr>
            <w:tcW w:w="7010" w:type="dxa"/>
            <w:shd w:val="clear" w:color="auto" w:fill="auto"/>
            <w:vAlign w:val="center"/>
          </w:tcPr>
          <w:p w14:paraId="66352B7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Prevalence and Clinical Features of Paget's Disease of Bone in Japan</w:t>
            </w:r>
          </w:p>
        </w:tc>
        <w:tc>
          <w:tcPr>
            <w:tcW w:w="568" w:type="dxa"/>
            <w:shd w:val="clear" w:color="auto" w:fill="auto"/>
            <w:vAlign w:val="center"/>
          </w:tcPr>
          <w:p w14:paraId="20D1AF0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2006</w:t>
            </w:r>
          </w:p>
        </w:tc>
      </w:tr>
      <w:tr w:rsidR="004C3C90" w:rsidRPr="004C3C90" w14:paraId="766F3560" w14:textId="77777777" w:rsidTr="004C3C90">
        <w:trPr>
          <w:trHeight w:val="20"/>
        </w:trPr>
        <w:tc>
          <w:tcPr>
            <w:tcW w:w="550" w:type="dxa"/>
            <w:shd w:val="clear" w:color="auto" w:fill="auto"/>
            <w:vAlign w:val="center"/>
          </w:tcPr>
          <w:p w14:paraId="2227618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862</w:t>
            </w:r>
          </w:p>
        </w:tc>
        <w:tc>
          <w:tcPr>
            <w:tcW w:w="1071" w:type="dxa"/>
            <w:shd w:val="clear" w:color="auto" w:fill="auto"/>
            <w:vAlign w:val="center"/>
          </w:tcPr>
          <w:p w14:paraId="5BD5385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DDEE8E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Nct</w:t>
            </w:r>
          </w:p>
        </w:tc>
        <w:tc>
          <w:tcPr>
            <w:tcW w:w="7010" w:type="dxa"/>
            <w:shd w:val="clear" w:color="auto" w:fill="auto"/>
            <w:vAlign w:val="center"/>
          </w:tcPr>
          <w:p w14:paraId="0B98A49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Assessing Impact of Loco-Regional Treatment on Survival in Metastatic Breast Cancer at Presentation</w:t>
            </w:r>
          </w:p>
        </w:tc>
        <w:tc>
          <w:tcPr>
            <w:tcW w:w="568" w:type="dxa"/>
            <w:shd w:val="clear" w:color="auto" w:fill="auto"/>
            <w:vAlign w:val="center"/>
          </w:tcPr>
          <w:p w14:paraId="79EF8FD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2005</w:t>
            </w:r>
          </w:p>
        </w:tc>
      </w:tr>
      <w:tr w:rsidR="004C3C90" w:rsidRPr="004C3C90" w14:paraId="101334A0" w14:textId="77777777" w:rsidTr="004C3C90">
        <w:trPr>
          <w:trHeight w:val="20"/>
        </w:trPr>
        <w:tc>
          <w:tcPr>
            <w:tcW w:w="550" w:type="dxa"/>
            <w:shd w:val="clear" w:color="auto" w:fill="auto"/>
            <w:vAlign w:val="center"/>
          </w:tcPr>
          <w:p w14:paraId="235F9C4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863</w:t>
            </w:r>
          </w:p>
        </w:tc>
        <w:tc>
          <w:tcPr>
            <w:tcW w:w="1071" w:type="dxa"/>
            <w:shd w:val="clear" w:color="auto" w:fill="auto"/>
            <w:vAlign w:val="center"/>
          </w:tcPr>
          <w:p w14:paraId="25FB727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A62FFD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Boesenberg C, Schulz-Schaeffer WJ, Meissner B, et al.</w:t>
            </w:r>
            <w:r w:rsidRPr="004C3C90">
              <w:rPr>
                <w:rFonts w:ascii="Times New Roman" w:eastAsia="Times New Roman" w:hAnsi="Times New Roman" w:cs="Times New Roman"/>
                <w:sz w:val="20"/>
                <w:szCs w:val="20"/>
              </w:rPr>
              <w:t xml:space="preserve"> </w:t>
            </w:r>
          </w:p>
        </w:tc>
        <w:tc>
          <w:tcPr>
            <w:tcW w:w="7010" w:type="dxa"/>
            <w:shd w:val="clear" w:color="auto" w:fill="auto"/>
            <w:vAlign w:val="center"/>
          </w:tcPr>
          <w:p w14:paraId="02FCE4C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Course in Young Patients with Sporadic Creutzfeldt-Jakob Disease</w:t>
            </w:r>
          </w:p>
        </w:tc>
        <w:tc>
          <w:tcPr>
            <w:tcW w:w="568" w:type="dxa"/>
            <w:shd w:val="clear" w:color="auto" w:fill="auto"/>
            <w:vAlign w:val="center"/>
          </w:tcPr>
          <w:p w14:paraId="3AE220D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2005</w:t>
            </w:r>
          </w:p>
        </w:tc>
      </w:tr>
      <w:tr w:rsidR="004C3C90" w:rsidRPr="004C3C90" w14:paraId="0C69AAB3" w14:textId="77777777" w:rsidTr="004C3C90">
        <w:trPr>
          <w:trHeight w:val="20"/>
        </w:trPr>
        <w:tc>
          <w:tcPr>
            <w:tcW w:w="550" w:type="dxa"/>
            <w:shd w:val="clear" w:color="auto" w:fill="auto"/>
            <w:vAlign w:val="center"/>
          </w:tcPr>
          <w:p w14:paraId="4BD6980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864</w:t>
            </w:r>
          </w:p>
        </w:tc>
        <w:tc>
          <w:tcPr>
            <w:tcW w:w="1071" w:type="dxa"/>
            <w:shd w:val="clear" w:color="auto" w:fill="auto"/>
            <w:vAlign w:val="center"/>
          </w:tcPr>
          <w:p w14:paraId="0293C78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A59236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Hyduk A, Croft JB, Ayala C, Zheng K, Zheng ZJ, Mensah GA</w:t>
            </w:r>
          </w:p>
        </w:tc>
        <w:tc>
          <w:tcPr>
            <w:tcW w:w="7010" w:type="dxa"/>
            <w:shd w:val="clear" w:color="auto" w:fill="auto"/>
            <w:vAlign w:val="center"/>
          </w:tcPr>
          <w:p w14:paraId="48AF550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Pulmonary Hypertension Surveillance -- United States, 1980-2002</w:t>
            </w:r>
          </w:p>
        </w:tc>
        <w:tc>
          <w:tcPr>
            <w:tcW w:w="568" w:type="dxa"/>
            <w:shd w:val="clear" w:color="auto" w:fill="auto"/>
            <w:vAlign w:val="center"/>
          </w:tcPr>
          <w:p w14:paraId="095E943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2005</w:t>
            </w:r>
          </w:p>
        </w:tc>
      </w:tr>
      <w:tr w:rsidR="004C3C90" w:rsidRPr="004C3C90" w14:paraId="01D7F41B" w14:textId="77777777" w:rsidTr="004C3C90">
        <w:trPr>
          <w:trHeight w:val="20"/>
        </w:trPr>
        <w:tc>
          <w:tcPr>
            <w:tcW w:w="550" w:type="dxa"/>
            <w:shd w:val="clear" w:color="auto" w:fill="auto"/>
            <w:vAlign w:val="center"/>
          </w:tcPr>
          <w:p w14:paraId="4CC653E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865</w:t>
            </w:r>
          </w:p>
        </w:tc>
        <w:tc>
          <w:tcPr>
            <w:tcW w:w="1071" w:type="dxa"/>
            <w:shd w:val="clear" w:color="auto" w:fill="auto"/>
            <w:vAlign w:val="center"/>
          </w:tcPr>
          <w:p w14:paraId="6F8D3AE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818968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Chen, HW, Su DH, Chen, HW, Chang TC</w:t>
            </w:r>
          </w:p>
        </w:tc>
        <w:tc>
          <w:tcPr>
            <w:tcW w:w="7010" w:type="dxa"/>
            <w:shd w:val="clear" w:color="auto" w:fill="auto"/>
            <w:vAlign w:val="center"/>
          </w:tcPr>
          <w:p w14:paraId="02540D0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Thyroid Carcinomas with Brain or Skull Metastases</w:t>
            </w:r>
          </w:p>
        </w:tc>
        <w:tc>
          <w:tcPr>
            <w:tcW w:w="568" w:type="dxa"/>
            <w:shd w:val="clear" w:color="auto" w:fill="auto"/>
            <w:vAlign w:val="center"/>
          </w:tcPr>
          <w:p w14:paraId="6D8426F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2005</w:t>
            </w:r>
          </w:p>
        </w:tc>
      </w:tr>
      <w:tr w:rsidR="004C3C90" w:rsidRPr="004C3C90" w14:paraId="3DC0698B" w14:textId="77777777" w:rsidTr="004C3C90">
        <w:trPr>
          <w:trHeight w:val="20"/>
        </w:trPr>
        <w:tc>
          <w:tcPr>
            <w:tcW w:w="550" w:type="dxa"/>
            <w:shd w:val="clear" w:color="auto" w:fill="auto"/>
            <w:vAlign w:val="center"/>
          </w:tcPr>
          <w:p w14:paraId="54BC6B8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866</w:t>
            </w:r>
          </w:p>
        </w:tc>
        <w:tc>
          <w:tcPr>
            <w:tcW w:w="1071" w:type="dxa"/>
            <w:shd w:val="clear" w:color="auto" w:fill="auto"/>
            <w:vAlign w:val="center"/>
          </w:tcPr>
          <w:p w14:paraId="5B75EAF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5C3FD2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Mehta A, Ricci R, Widmer U, Dehout F, Garcia de Lorenzo A, Kampmann C, et al. </w:t>
            </w:r>
          </w:p>
        </w:tc>
        <w:tc>
          <w:tcPr>
            <w:tcW w:w="7010" w:type="dxa"/>
            <w:shd w:val="clear" w:color="auto" w:fill="auto"/>
            <w:vAlign w:val="center"/>
          </w:tcPr>
          <w:p w14:paraId="5AD422A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Fabry Disease Defined: Baseline Clinical Manifestations of 366 Patients in the Fabry Outcome Survey</w:t>
            </w:r>
          </w:p>
        </w:tc>
        <w:tc>
          <w:tcPr>
            <w:tcW w:w="568" w:type="dxa"/>
            <w:shd w:val="clear" w:color="auto" w:fill="auto"/>
            <w:vAlign w:val="center"/>
          </w:tcPr>
          <w:p w14:paraId="1741435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2004</w:t>
            </w:r>
          </w:p>
        </w:tc>
      </w:tr>
      <w:tr w:rsidR="004C3C90" w:rsidRPr="004C3C90" w14:paraId="7A6BAEC0" w14:textId="77777777" w:rsidTr="004C3C90">
        <w:trPr>
          <w:trHeight w:val="20"/>
        </w:trPr>
        <w:tc>
          <w:tcPr>
            <w:tcW w:w="550" w:type="dxa"/>
            <w:shd w:val="clear" w:color="auto" w:fill="auto"/>
            <w:vAlign w:val="center"/>
          </w:tcPr>
          <w:p w14:paraId="199DE1A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867</w:t>
            </w:r>
          </w:p>
        </w:tc>
        <w:tc>
          <w:tcPr>
            <w:tcW w:w="1071" w:type="dxa"/>
            <w:shd w:val="clear" w:color="auto" w:fill="auto"/>
            <w:vAlign w:val="center"/>
          </w:tcPr>
          <w:p w14:paraId="58E6633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978FA8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Jenkins PA, Campbell IA; Research Committee of The British Thoracic Society</w:t>
            </w:r>
          </w:p>
        </w:tc>
        <w:tc>
          <w:tcPr>
            <w:tcW w:w="7010" w:type="dxa"/>
            <w:shd w:val="clear" w:color="auto" w:fill="auto"/>
            <w:vAlign w:val="center"/>
          </w:tcPr>
          <w:p w14:paraId="512F630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Pulmonary Disease Caused by Mycobacterium Xenopi in Hiv-Negative Patients: Five Year Follow-up of Patients Receiving Standardised Treatment</w:t>
            </w:r>
          </w:p>
        </w:tc>
        <w:tc>
          <w:tcPr>
            <w:tcW w:w="568" w:type="dxa"/>
            <w:shd w:val="clear" w:color="auto" w:fill="auto"/>
            <w:vAlign w:val="center"/>
          </w:tcPr>
          <w:p w14:paraId="21F6216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2003</w:t>
            </w:r>
          </w:p>
        </w:tc>
      </w:tr>
      <w:tr w:rsidR="004C3C90" w:rsidRPr="004C3C90" w14:paraId="0BDFCC62" w14:textId="77777777" w:rsidTr="004C3C90">
        <w:trPr>
          <w:trHeight w:val="20"/>
        </w:trPr>
        <w:tc>
          <w:tcPr>
            <w:tcW w:w="550" w:type="dxa"/>
            <w:shd w:val="clear" w:color="auto" w:fill="auto"/>
            <w:vAlign w:val="center"/>
          </w:tcPr>
          <w:p w14:paraId="101BE92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868</w:t>
            </w:r>
          </w:p>
        </w:tc>
        <w:tc>
          <w:tcPr>
            <w:tcW w:w="1071" w:type="dxa"/>
            <w:shd w:val="clear" w:color="auto" w:fill="auto"/>
            <w:vAlign w:val="center"/>
          </w:tcPr>
          <w:p w14:paraId="19CC11C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4D2B0E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Ronghe MD, Barton J, Jardine PE, Crowne EC, Webster MH, Armitage M, et al. </w:t>
            </w:r>
          </w:p>
        </w:tc>
        <w:tc>
          <w:tcPr>
            <w:tcW w:w="7010" w:type="dxa"/>
            <w:shd w:val="clear" w:color="auto" w:fill="auto"/>
            <w:vAlign w:val="center"/>
          </w:tcPr>
          <w:p w14:paraId="61D9247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Importance of Testing for Adrenoleucodystrophy in Males with Idiopathic Addison's Disease</w:t>
            </w:r>
          </w:p>
        </w:tc>
        <w:tc>
          <w:tcPr>
            <w:tcW w:w="568" w:type="dxa"/>
            <w:shd w:val="clear" w:color="auto" w:fill="auto"/>
            <w:vAlign w:val="center"/>
          </w:tcPr>
          <w:p w14:paraId="6259034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2002</w:t>
            </w:r>
          </w:p>
        </w:tc>
      </w:tr>
      <w:tr w:rsidR="004C3C90" w:rsidRPr="004C3C90" w14:paraId="01E77EDB" w14:textId="77777777" w:rsidTr="004C3C90">
        <w:trPr>
          <w:trHeight w:val="20"/>
        </w:trPr>
        <w:tc>
          <w:tcPr>
            <w:tcW w:w="550" w:type="dxa"/>
            <w:shd w:val="clear" w:color="auto" w:fill="auto"/>
            <w:vAlign w:val="center"/>
          </w:tcPr>
          <w:p w14:paraId="23B07C4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869</w:t>
            </w:r>
          </w:p>
        </w:tc>
        <w:tc>
          <w:tcPr>
            <w:tcW w:w="1071" w:type="dxa"/>
            <w:shd w:val="clear" w:color="auto" w:fill="auto"/>
            <w:vAlign w:val="center"/>
          </w:tcPr>
          <w:p w14:paraId="449D98B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CF8C99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Aihara Y, Takahashi Y, Kotoyori T, Mitsuda T, Ito R, Aihara M, et al.</w:t>
            </w:r>
          </w:p>
        </w:tc>
        <w:tc>
          <w:tcPr>
            <w:tcW w:w="7010" w:type="dxa"/>
            <w:shd w:val="clear" w:color="auto" w:fill="auto"/>
            <w:vAlign w:val="center"/>
          </w:tcPr>
          <w:p w14:paraId="1F5BBF7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Frequency of Food-Dependent, Exercise-Induced Anaphylaxis in Japanese Junior-High-School Students</w:t>
            </w:r>
          </w:p>
        </w:tc>
        <w:tc>
          <w:tcPr>
            <w:tcW w:w="568" w:type="dxa"/>
            <w:shd w:val="clear" w:color="auto" w:fill="auto"/>
            <w:vAlign w:val="center"/>
          </w:tcPr>
          <w:p w14:paraId="1DCDF97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2001</w:t>
            </w:r>
          </w:p>
        </w:tc>
      </w:tr>
      <w:tr w:rsidR="004C3C90" w:rsidRPr="004C3C90" w14:paraId="60F047AC" w14:textId="77777777" w:rsidTr="004C3C90">
        <w:trPr>
          <w:trHeight w:val="20"/>
        </w:trPr>
        <w:tc>
          <w:tcPr>
            <w:tcW w:w="550" w:type="dxa"/>
            <w:shd w:val="clear" w:color="auto" w:fill="auto"/>
            <w:vAlign w:val="center"/>
          </w:tcPr>
          <w:p w14:paraId="28FA556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870</w:t>
            </w:r>
          </w:p>
        </w:tc>
        <w:tc>
          <w:tcPr>
            <w:tcW w:w="1071" w:type="dxa"/>
            <w:shd w:val="clear" w:color="auto" w:fill="auto"/>
            <w:vAlign w:val="center"/>
          </w:tcPr>
          <w:p w14:paraId="26AA181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666B47D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Kim DS</w:t>
            </w:r>
          </w:p>
        </w:tc>
        <w:tc>
          <w:tcPr>
            <w:tcW w:w="7010" w:type="dxa"/>
            <w:shd w:val="clear" w:color="auto" w:fill="auto"/>
            <w:vAlign w:val="center"/>
          </w:tcPr>
          <w:p w14:paraId="3CB06F0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Sarcoidosis in Korea: Report of the Second Nationwide Survey</w:t>
            </w:r>
          </w:p>
        </w:tc>
        <w:tc>
          <w:tcPr>
            <w:tcW w:w="568" w:type="dxa"/>
            <w:shd w:val="clear" w:color="auto" w:fill="auto"/>
            <w:vAlign w:val="center"/>
          </w:tcPr>
          <w:p w14:paraId="57A1456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2001</w:t>
            </w:r>
          </w:p>
        </w:tc>
      </w:tr>
      <w:tr w:rsidR="004C3C90" w:rsidRPr="004C3C90" w14:paraId="7BF34542" w14:textId="77777777" w:rsidTr="004C3C90">
        <w:trPr>
          <w:trHeight w:val="20"/>
        </w:trPr>
        <w:tc>
          <w:tcPr>
            <w:tcW w:w="550" w:type="dxa"/>
            <w:shd w:val="clear" w:color="auto" w:fill="auto"/>
            <w:vAlign w:val="center"/>
          </w:tcPr>
          <w:p w14:paraId="7CFA87B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871</w:t>
            </w:r>
          </w:p>
        </w:tc>
        <w:tc>
          <w:tcPr>
            <w:tcW w:w="1071" w:type="dxa"/>
            <w:shd w:val="clear" w:color="auto" w:fill="auto"/>
            <w:vAlign w:val="center"/>
          </w:tcPr>
          <w:p w14:paraId="32358FD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BDADCA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Leung T, Slinger R, Mindorff C,</w:t>
            </w:r>
          </w:p>
          <w:p w14:paraId="2650C8F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Ricketts M, Cranston B, Paton S</w:t>
            </w:r>
          </w:p>
        </w:tc>
        <w:tc>
          <w:tcPr>
            <w:tcW w:w="7010" w:type="dxa"/>
            <w:shd w:val="clear" w:color="auto" w:fill="auto"/>
            <w:vAlign w:val="center"/>
          </w:tcPr>
          <w:p w14:paraId="0439953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Creutzfeldt-Jakob Disease: Infection Control Policies and Neurosurgical Instrument Processing Capabilities in Canadian Neurosurgical Hospitals</w:t>
            </w:r>
          </w:p>
        </w:tc>
        <w:tc>
          <w:tcPr>
            <w:tcW w:w="568" w:type="dxa"/>
            <w:shd w:val="clear" w:color="auto" w:fill="auto"/>
            <w:vAlign w:val="center"/>
          </w:tcPr>
          <w:p w14:paraId="301DA29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2000</w:t>
            </w:r>
          </w:p>
        </w:tc>
      </w:tr>
      <w:tr w:rsidR="004C3C90" w:rsidRPr="004C3C90" w14:paraId="492E4DD0" w14:textId="77777777" w:rsidTr="004C3C90">
        <w:trPr>
          <w:trHeight w:val="20"/>
        </w:trPr>
        <w:tc>
          <w:tcPr>
            <w:tcW w:w="550" w:type="dxa"/>
            <w:shd w:val="clear" w:color="auto" w:fill="auto"/>
            <w:vAlign w:val="center"/>
          </w:tcPr>
          <w:p w14:paraId="3EB4DCF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872</w:t>
            </w:r>
          </w:p>
        </w:tc>
        <w:tc>
          <w:tcPr>
            <w:tcW w:w="1071" w:type="dxa"/>
            <w:shd w:val="clear" w:color="auto" w:fill="auto"/>
            <w:vAlign w:val="center"/>
          </w:tcPr>
          <w:p w14:paraId="3B8E412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B66694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Applegarth DA, Toone JR, Lowry RB</w:t>
            </w:r>
          </w:p>
        </w:tc>
        <w:tc>
          <w:tcPr>
            <w:tcW w:w="7010" w:type="dxa"/>
            <w:shd w:val="clear" w:color="auto" w:fill="auto"/>
            <w:vAlign w:val="center"/>
          </w:tcPr>
          <w:p w14:paraId="02E2C40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Incidence of Inborn Errors of Metabolism in British Columbia, 1969-1996</w:t>
            </w:r>
          </w:p>
        </w:tc>
        <w:tc>
          <w:tcPr>
            <w:tcW w:w="568" w:type="dxa"/>
            <w:shd w:val="clear" w:color="auto" w:fill="auto"/>
            <w:vAlign w:val="center"/>
          </w:tcPr>
          <w:p w14:paraId="50863F1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2000</w:t>
            </w:r>
          </w:p>
        </w:tc>
      </w:tr>
      <w:tr w:rsidR="004C3C90" w:rsidRPr="004C3C90" w14:paraId="2391AFCD" w14:textId="77777777" w:rsidTr="004C3C90">
        <w:trPr>
          <w:trHeight w:val="20"/>
        </w:trPr>
        <w:tc>
          <w:tcPr>
            <w:tcW w:w="550" w:type="dxa"/>
            <w:shd w:val="clear" w:color="auto" w:fill="auto"/>
            <w:vAlign w:val="center"/>
          </w:tcPr>
          <w:p w14:paraId="106BFED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873</w:t>
            </w:r>
          </w:p>
        </w:tc>
        <w:tc>
          <w:tcPr>
            <w:tcW w:w="1071" w:type="dxa"/>
            <w:shd w:val="clear" w:color="auto" w:fill="auto"/>
            <w:vAlign w:val="center"/>
          </w:tcPr>
          <w:p w14:paraId="1A1CC65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CF0D21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Topaloglu R, Bakkaloglu A, Slingsby JH, Aydintug O, Besbas N, Saatci U, et al.</w:t>
            </w:r>
          </w:p>
        </w:tc>
        <w:tc>
          <w:tcPr>
            <w:tcW w:w="7010" w:type="dxa"/>
            <w:shd w:val="clear" w:color="auto" w:fill="auto"/>
            <w:vAlign w:val="center"/>
          </w:tcPr>
          <w:p w14:paraId="1DB88CD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Survey of Turkish Systemic Lupus Erythematosus Patients for a Particular Mutation of C1q Deficiency</w:t>
            </w:r>
          </w:p>
        </w:tc>
        <w:tc>
          <w:tcPr>
            <w:tcW w:w="568" w:type="dxa"/>
            <w:shd w:val="clear" w:color="auto" w:fill="auto"/>
            <w:vAlign w:val="center"/>
          </w:tcPr>
          <w:p w14:paraId="4BFF7E0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2000</w:t>
            </w:r>
          </w:p>
        </w:tc>
      </w:tr>
      <w:tr w:rsidR="004C3C90" w:rsidRPr="004C3C90" w14:paraId="2C279F09" w14:textId="77777777" w:rsidTr="004C3C90">
        <w:trPr>
          <w:trHeight w:val="20"/>
        </w:trPr>
        <w:tc>
          <w:tcPr>
            <w:tcW w:w="550" w:type="dxa"/>
            <w:shd w:val="clear" w:color="auto" w:fill="auto"/>
            <w:vAlign w:val="center"/>
          </w:tcPr>
          <w:p w14:paraId="2712113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874</w:t>
            </w:r>
          </w:p>
        </w:tc>
        <w:tc>
          <w:tcPr>
            <w:tcW w:w="1071" w:type="dxa"/>
            <w:shd w:val="clear" w:color="auto" w:fill="auto"/>
            <w:vAlign w:val="center"/>
          </w:tcPr>
          <w:p w14:paraId="7B2BE26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5D990DF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Bresson-Hadni S, Vuitton DA, Bartholomot B, Heyd B, Godart D, Meyer JP, et al. </w:t>
            </w:r>
          </w:p>
        </w:tc>
        <w:tc>
          <w:tcPr>
            <w:tcW w:w="7010" w:type="dxa"/>
            <w:shd w:val="clear" w:color="auto" w:fill="auto"/>
            <w:vAlign w:val="center"/>
          </w:tcPr>
          <w:p w14:paraId="53BA7FE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Twenty-Year History of Alveolar Echinococcosis: Analysis of a Series of 117 Patients from Eastern France</w:t>
            </w:r>
          </w:p>
        </w:tc>
        <w:tc>
          <w:tcPr>
            <w:tcW w:w="568" w:type="dxa"/>
            <w:shd w:val="clear" w:color="auto" w:fill="auto"/>
            <w:vAlign w:val="center"/>
          </w:tcPr>
          <w:p w14:paraId="34C95DF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2000</w:t>
            </w:r>
          </w:p>
        </w:tc>
      </w:tr>
      <w:tr w:rsidR="004C3C90" w:rsidRPr="004C3C90" w14:paraId="0D92ECB0" w14:textId="77777777" w:rsidTr="004C3C90">
        <w:trPr>
          <w:trHeight w:val="20"/>
        </w:trPr>
        <w:tc>
          <w:tcPr>
            <w:tcW w:w="550" w:type="dxa"/>
            <w:shd w:val="clear" w:color="auto" w:fill="auto"/>
            <w:vAlign w:val="center"/>
          </w:tcPr>
          <w:p w14:paraId="070CD3D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875</w:t>
            </w:r>
          </w:p>
        </w:tc>
        <w:tc>
          <w:tcPr>
            <w:tcW w:w="1071" w:type="dxa"/>
            <w:shd w:val="clear" w:color="auto" w:fill="auto"/>
            <w:vAlign w:val="center"/>
          </w:tcPr>
          <w:p w14:paraId="1228BCF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FE56CD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Ben-Dov I, Kishinevski Y, Roznman J, et al.</w:t>
            </w:r>
          </w:p>
        </w:tc>
        <w:tc>
          <w:tcPr>
            <w:tcW w:w="7010" w:type="dxa"/>
            <w:shd w:val="clear" w:color="auto" w:fill="auto"/>
            <w:vAlign w:val="center"/>
          </w:tcPr>
          <w:p w14:paraId="5F8CBD7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Pulmonary Alveolar Proteinosis in Israel: Ethnic Clustering</w:t>
            </w:r>
          </w:p>
        </w:tc>
        <w:tc>
          <w:tcPr>
            <w:tcW w:w="568" w:type="dxa"/>
            <w:shd w:val="clear" w:color="auto" w:fill="auto"/>
            <w:vAlign w:val="center"/>
          </w:tcPr>
          <w:p w14:paraId="354E07E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1999</w:t>
            </w:r>
          </w:p>
        </w:tc>
      </w:tr>
      <w:tr w:rsidR="004C3C90" w:rsidRPr="004C3C90" w14:paraId="07B92331" w14:textId="77777777" w:rsidTr="004C3C90">
        <w:trPr>
          <w:trHeight w:val="20"/>
        </w:trPr>
        <w:tc>
          <w:tcPr>
            <w:tcW w:w="550" w:type="dxa"/>
            <w:shd w:val="clear" w:color="auto" w:fill="auto"/>
            <w:vAlign w:val="center"/>
          </w:tcPr>
          <w:p w14:paraId="588ECA6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876</w:t>
            </w:r>
          </w:p>
        </w:tc>
        <w:tc>
          <w:tcPr>
            <w:tcW w:w="1071" w:type="dxa"/>
            <w:shd w:val="clear" w:color="auto" w:fill="auto"/>
            <w:vAlign w:val="center"/>
          </w:tcPr>
          <w:p w14:paraId="78F74FD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2BEF26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Nielson KA, Nolan JH, Berchtold NC, Sandman CA, Mulnard RA, Cotman CW</w:t>
            </w:r>
          </w:p>
        </w:tc>
        <w:tc>
          <w:tcPr>
            <w:tcW w:w="7010" w:type="dxa"/>
            <w:shd w:val="clear" w:color="auto" w:fill="auto"/>
            <w:vAlign w:val="center"/>
          </w:tcPr>
          <w:p w14:paraId="32671B3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Apolipoprotein-E Genotyping of Diabetic Dementia Patients: Is Diabetes Rare in Alzheimer's Disease?</w:t>
            </w:r>
          </w:p>
        </w:tc>
        <w:tc>
          <w:tcPr>
            <w:tcW w:w="568" w:type="dxa"/>
            <w:shd w:val="clear" w:color="auto" w:fill="auto"/>
            <w:vAlign w:val="center"/>
          </w:tcPr>
          <w:p w14:paraId="388CAC4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1996</w:t>
            </w:r>
          </w:p>
        </w:tc>
      </w:tr>
      <w:tr w:rsidR="004C3C90" w:rsidRPr="004C3C90" w14:paraId="4EFDCF02" w14:textId="77777777" w:rsidTr="004C3C90">
        <w:trPr>
          <w:trHeight w:val="20"/>
        </w:trPr>
        <w:tc>
          <w:tcPr>
            <w:tcW w:w="550" w:type="dxa"/>
            <w:shd w:val="clear" w:color="auto" w:fill="auto"/>
            <w:vAlign w:val="center"/>
          </w:tcPr>
          <w:p w14:paraId="6487BFA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877</w:t>
            </w:r>
          </w:p>
        </w:tc>
        <w:tc>
          <w:tcPr>
            <w:tcW w:w="1071" w:type="dxa"/>
            <w:shd w:val="clear" w:color="auto" w:fill="auto"/>
            <w:vAlign w:val="center"/>
          </w:tcPr>
          <w:p w14:paraId="46D053F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4133077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van der Kooi AJ, Barth PG, Busch HF, de Haan R, Ginjaar HB, van Essen AJ, et al. </w:t>
            </w:r>
          </w:p>
        </w:tc>
        <w:tc>
          <w:tcPr>
            <w:tcW w:w="7010" w:type="dxa"/>
            <w:shd w:val="clear" w:color="auto" w:fill="auto"/>
            <w:vAlign w:val="center"/>
          </w:tcPr>
          <w:p w14:paraId="5DB187E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Clinical Spectrum of Limb Girdle Muscular Dystrophy. A Survey in the Netherlands</w:t>
            </w:r>
          </w:p>
        </w:tc>
        <w:tc>
          <w:tcPr>
            <w:tcW w:w="568" w:type="dxa"/>
            <w:shd w:val="clear" w:color="auto" w:fill="auto"/>
            <w:vAlign w:val="center"/>
          </w:tcPr>
          <w:p w14:paraId="7EB709B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1996</w:t>
            </w:r>
          </w:p>
        </w:tc>
      </w:tr>
      <w:tr w:rsidR="004C3C90" w:rsidRPr="004C3C90" w14:paraId="1A788190" w14:textId="77777777" w:rsidTr="004C3C90">
        <w:trPr>
          <w:trHeight w:val="20"/>
        </w:trPr>
        <w:tc>
          <w:tcPr>
            <w:tcW w:w="550" w:type="dxa"/>
            <w:shd w:val="clear" w:color="auto" w:fill="auto"/>
            <w:vAlign w:val="center"/>
          </w:tcPr>
          <w:p w14:paraId="79FB6BD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878</w:t>
            </w:r>
          </w:p>
        </w:tc>
        <w:tc>
          <w:tcPr>
            <w:tcW w:w="1071" w:type="dxa"/>
            <w:shd w:val="clear" w:color="auto" w:fill="auto"/>
            <w:vAlign w:val="center"/>
          </w:tcPr>
          <w:p w14:paraId="3D6541C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099DA3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Geissmann F, Thomas C, Emile JF, Micheau M, Canioni D, Cerf-Bensussan N, et al. </w:t>
            </w:r>
          </w:p>
        </w:tc>
        <w:tc>
          <w:tcPr>
            <w:tcW w:w="7010" w:type="dxa"/>
            <w:shd w:val="clear" w:color="auto" w:fill="auto"/>
            <w:vAlign w:val="center"/>
          </w:tcPr>
          <w:p w14:paraId="595474A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Digestive Tract Involvement in Langerhans Cell Histiocytosis. The French Langerhans Cell Histiocytosis Study Group</w:t>
            </w:r>
          </w:p>
        </w:tc>
        <w:tc>
          <w:tcPr>
            <w:tcW w:w="568" w:type="dxa"/>
            <w:shd w:val="clear" w:color="auto" w:fill="auto"/>
            <w:vAlign w:val="center"/>
          </w:tcPr>
          <w:p w14:paraId="180BDF0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1996</w:t>
            </w:r>
          </w:p>
        </w:tc>
      </w:tr>
      <w:tr w:rsidR="004C3C90" w:rsidRPr="004C3C90" w14:paraId="00B2EC86" w14:textId="77777777" w:rsidTr="004C3C90">
        <w:trPr>
          <w:trHeight w:val="20"/>
        </w:trPr>
        <w:tc>
          <w:tcPr>
            <w:tcW w:w="550" w:type="dxa"/>
            <w:shd w:val="clear" w:color="auto" w:fill="auto"/>
            <w:vAlign w:val="center"/>
          </w:tcPr>
          <w:p w14:paraId="1C0F3F9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879</w:t>
            </w:r>
          </w:p>
        </w:tc>
        <w:tc>
          <w:tcPr>
            <w:tcW w:w="1071" w:type="dxa"/>
            <w:shd w:val="clear" w:color="auto" w:fill="auto"/>
            <w:vAlign w:val="center"/>
          </w:tcPr>
          <w:p w14:paraId="10083CC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70FA65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Karma A, Mikkilä H</w:t>
            </w:r>
          </w:p>
        </w:tc>
        <w:tc>
          <w:tcPr>
            <w:tcW w:w="7010" w:type="dxa"/>
            <w:shd w:val="clear" w:color="auto" w:fill="auto"/>
            <w:vAlign w:val="center"/>
          </w:tcPr>
          <w:p w14:paraId="1E6CEC2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Ocular Manifestations and Treatment of Lyme Disease</w:t>
            </w:r>
          </w:p>
        </w:tc>
        <w:tc>
          <w:tcPr>
            <w:tcW w:w="568" w:type="dxa"/>
            <w:shd w:val="clear" w:color="auto" w:fill="auto"/>
            <w:vAlign w:val="center"/>
          </w:tcPr>
          <w:p w14:paraId="53ABCBB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1996</w:t>
            </w:r>
          </w:p>
        </w:tc>
      </w:tr>
      <w:tr w:rsidR="004C3C90" w:rsidRPr="004C3C90" w14:paraId="254EF95B" w14:textId="77777777" w:rsidTr="004C3C90">
        <w:trPr>
          <w:trHeight w:val="20"/>
        </w:trPr>
        <w:tc>
          <w:tcPr>
            <w:tcW w:w="550" w:type="dxa"/>
            <w:shd w:val="clear" w:color="auto" w:fill="auto"/>
            <w:vAlign w:val="center"/>
          </w:tcPr>
          <w:p w14:paraId="6B28774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880</w:t>
            </w:r>
          </w:p>
        </w:tc>
        <w:tc>
          <w:tcPr>
            <w:tcW w:w="1071" w:type="dxa"/>
            <w:shd w:val="clear" w:color="auto" w:fill="auto"/>
            <w:vAlign w:val="center"/>
          </w:tcPr>
          <w:p w14:paraId="0A745A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CBEBEA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Lerede T, Bassan R, Rossi A, Di Bona E, Rossi G, Pogliani EM, et al. </w:t>
            </w:r>
          </w:p>
        </w:tc>
        <w:tc>
          <w:tcPr>
            <w:tcW w:w="7010" w:type="dxa"/>
            <w:shd w:val="clear" w:color="auto" w:fill="auto"/>
            <w:vAlign w:val="center"/>
          </w:tcPr>
          <w:p w14:paraId="2CA3D99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Therapeutic Impact of Adult-Type Acute Lymphoblastic Leukemia Regimens in B-Cell/L3 Acute Leukemia and Advanced-Stage Burkitt's Lymphoma</w:t>
            </w:r>
          </w:p>
        </w:tc>
        <w:tc>
          <w:tcPr>
            <w:tcW w:w="568" w:type="dxa"/>
            <w:shd w:val="clear" w:color="auto" w:fill="auto"/>
            <w:vAlign w:val="center"/>
          </w:tcPr>
          <w:p w14:paraId="24DF4B0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1996</w:t>
            </w:r>
          </w:p>
        </w:tc>
      </w:tr>
      <w:tr w:rsidR="004C3C90" w:rsidRPr="004C3C90" w14:paraId="770DC3C6" w14:textId="77777777" w:rsidTr="004C3C90">
        <w:trPr>
          <w:trHeight w:val="20"/>
        </w:trPr>
        <w:tc>
          <w:tcPr>
            <w:tcW w:w="550" w:type="dxa"/>
            <w:shd w:val="clear" w:color="auto" w:fill="auto"/>
            <w:vAlign w:val="center"/>
          </w:tcPr>
          <w:p w14:paraId="61C0E46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881</w:t>
            </w:r>
          </w:p>
        </w:tc>
        <w:tc>
          <w:tcPr>
            <w:tcW w:w="1071" w:type="dxa"/>
            <w:shd w:val="clear" w:color="auto" w:fill="auto"/>
            <w:vAlign w:val="center"/>
          </w:tcPr>
          <w:p w14:paraId="40076D8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800D42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Peñas PF, Rios-Buceta L, Sánchez-Pérez J, Dorado-Bris JM, Aragüés M</w:t>
            </w:r>
          </w:p>
        </w:tc>
        <w:tc>
          <w:tcPr>
            <w:tcW w:w="7010" w:type="dxa"/>
            <w:shd w:val="clear" w:color="auto" w:fill="auto"/>
            <w:vAlign w:val="center"/>
          </w:tcPr>
          <w:p w14:paraId="52D7409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Keratosis Punctata of the Palmar Creases: Case Report and Prevalence Study in Caucasians</w:t>
            </w:r>
          </w:p>
        </w:tc>
        <w:tc>
          <w:tcPr>
            <w:tcW w:w="568" w:type="dxa"/>
            <w:shd w:val="clear" w:color="auto" w:fill="auto"/>
            <w:vAlign w:val="center"/>
          </w:tcPr>
          <w:p w14:paraId="26D5E70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1994</w:t>
            </w:r>
          </w:p>
        </w:tc>
      </w:tr>
      <w:tr w:rsidR="004C3C90" w:rsidRPr="004C3C90" w14:paraId="73F625DA" w14:textId="77777777" w:rsidTr="004C3C90">
        <w:trPr>
          <w:trHeight w:val="20"/>
        </w:trPr>
        <w:tc>
          <w:tcPr>
            <w:tcW w:w="550" w:type="dxa"/>
            <w:shd w:val="clear" w:color="auto" w:fill="auto"/>
            <w:vAlign w:val="center"/>
          </w:tcPr>
          <w:p w14:paraId="661C6BE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882</w:t>
            </w:r>
          </w:p>
        </w:tc>
        <w:tc>
          <w:tcPr>
            <w:tcW w:w="1071" w:type="dxa"/>
            <w:shd w:val="clear" w:color="auto" w:fill="auto"/>
            <w:vAlign w:val="center"/>
          </w:tcPr>
          <w:p w14:paraId="6B64693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624425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ELLIOTT EJ, CHANT K. G.</w:t>
            </w:r>
          </w:p>
        </w:tc>
        <w:tc>
          <w:tcPr>
            <w:tcW w:w="7010" w:type="dxa"/>
            <w:shd w:val="clear" w:color="auto" w:fill="auto"/>
            <w:vAlign w:val="center"/>
          </w:tcPr>
          <w:p w14:paraId="3811A64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Rare Disease Surveillance</w:t>
            </w:r>
          </w:p>
        </w:tc>
        <w:tc>
          <w:tcPr>
            <w:tcW w:w="568" w:type="dxa"/>
            <w:shd w:val="clear" w:color="auto" w:fill="auto"/>
            <w:vAlign w:val="center"/>
          </w:tcPr>
          <w:p w14:paraId="18258F4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1994</w:t>
            </w:r>
          </w:p>
        </w:tc>
      </w:tr>
      <w:tr w:rsidR="004C3C90" w:rsidRPr="004C3C90" w14:paraId="03AC8DEC" w14:textId="77777777" w:rsidTr="004C3C90">
        <w:trPr>
          <w:trHeight w:val="20"/>
        </w:trPr>
        <w:tc>
          <w:tcPr>
            <w:tcW w:w="550" w:type="dxa"/>
            <w:shd w:val="clear" w:color="auto" w:fill="auto"/>
            <w:vAlign w:val="center"/>
          </w:tcPr>
          <w:p w14:paraId="4517099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883</w:t>
            </w:r>
          </w:p>
        </w:tc>
        <w:tc>
          <w:tcPr>
            <w:tcW w:w="1071" w:type="dxa"/>
            <w:shd w:val="clear" w:color="auto" w:fill="auto"/>
            <w:vAlign w:val="center"/>
          </w:tcPr>
          <w:p w14:paraId="1FD7C73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401546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Riis P</w:t>
            </w:r>
          </w:p>
        </w:tc>
        <w:tc>
          <w:tcPr>
            <w:tcW w:w="7010" w:type="dxa"/>
            <w:shd w:val="clear" w:color="auto" w:fill="auto"/>
            <w:vAlign w:val="center"/>
          </w:tcPr>
          <w:p w14:paraId="320FD6B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Critical Survey of Controlled Studies in the Treatment of Ulcerative Colitis and Crohn's Disease</w:t>
            </w:r>
          </w:p>
        </w:tc>
        <w:tc>
          <w:tcPr>
            <w:tcW w:w="568" w:type="dxa"/>
            <w:shd w:val="clear" w:color="auto" w:fill="auto"/>
            <w:vAlign w:val="center"/>
          </w:tcPr>
          <w:p w14:paraId="24AC5E5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1980</w:t>
            </w:r>
          </w:p>
        </w:tc>
      </w:tr>
      <w:tr w:rsidR="004C3C90" w:rsidRPr="004C3C90" w14:paraId="16D5A576" w14:textId="77777777" w:rsidTr="004C3C90">
        <w:trPr>
          <w:trHeight w:val="20"/>
        </w:trPr>
        <w:tc>
          <w:tcPr>
            <w:tcW w:w="550" w:type="dxa"/>
            <w:shd w:val="clear" w:color="auto" w:fill="auto"/>
            <w:vAlign w:val="center"/>
          </w:tcPr>
          <w:p w14:paraId="0DCD477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884</w:t>
            </w:r>
          </w:p>
        </w:tc>
        <w:tc>
          <w:tcPr>
            <w:tcW w:w="1071" w:type="dxa"/>
            <w:shd w:val="clear" w:color="auto" w:fill="auto"/>
            <w:vAlign w:val="center"/>
          </w:tcPr>
          <w:p w14:paraId="173A701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37EA615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Kubo S, Funabashi S, Uehara S, Toba T, Muramatsu Y, Sanada K</w:t>
            </w:r>
          </w:p>
        </w:tc>
        <w:tc>
          <w:tcPr>
            <w:tcW w:w="7010" w:type="dxa"/>
            <w:shd w:val="clear" w:color="auto" w:fill="auto"/>
            <w:vAlign w:val="center"/>
          </w:tcPr>
          <w:p w14:paraId="35A4472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Aspects of 'Asthmatic Bronchitis' and Chronic Bronchitis in Infants and Children</w:t>
            </w:r>
          </w:p>
        </w:tc>
        <w:tc>
          <w:tcPr>
            <w:tcW w:w="568" w:type="dxa"/>
            <w:shd w:val="clear" w:color="auto" w:fill="auto"/>
            <w:vAlign w:val="center"/>
          </w:tcPr>
          <w:p w14:paraId="7A4A7E2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1978</w:t>
            </w:r>
          </w:p>
        </w:tc>
      </w:tr>
      <w:tr w:rsidR="004C3C90" w:rsidRPr="004C3C90" w14:paraId="5FF17153" w14:textId="77777777" w:rsidTr="004C3C90">
        <w:trPr>
          <w:trHeight w:val="20"/>
        </w:trPr>
        <w:tc>
          <w:tcPr>
            <w:tcW w:w="550" w:type="dxa"/>
            <w:shd w:val="clear" w:color="auto" w:fill="auto"/>
            <w:vAlign w:val="center"/>
          </w:tcPr>
          <w:p w14:paraId="1D3961E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885</w:t>
            </w:r>
          </w:p>
        </w:tc>
        <w:tc>
          <w:tcPr>
            <w:tcW w:w="1071" w:type="dxa"/>
            <w:shd w:val="clear" w:color="auto" w:fill="auto"/>
            <w:vAlign w:val="center"/>
          </w:tcPr>
          <w:p w14:paraId="3D6CCF8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26333C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Tsujimoto M</w:t>
            </w:r>
          </w:p>
        </w:tc>
        <w:tc>
          <w:tcPr>
            <w:tcW w:w="7010" w:type="dxa"/>
            <w:shd w:val="clear" w:color="auto" w:fill="auto"/>
            <w:vAlign w:val="center"/>
          </w:tcPr>
          <w:p w14:paraId="02C563A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Epidemiological Research on the Prevalence of Ankylosing Spondylitis</w:t>
            </w:r>
          </w:p>
        </w:tc>
        <w:tc>
          <w:tcPr>
            <w:tcW w:w="568" w:type="dxa"/>
            <w:shd w:val="clear" w:color="auto" w:fill="auto"/>
            <w:vAlign w:val="center"/>
          </w:tcPr>
          <w:p w14:paraId="698CF72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1978</w:t>
            </w:r>
          </w:p>
        </w:tc>
      </w:tr>
      <w:tr w:rsidR="004C3C90" w:rsidRPr="004C3C90" w14:paraId="1A7842E6" w14:textId="77777777" w:rsidTr="004C3C90">
        <w:trPr>
          <w:trHeight w:val="20"/>
        </w:trPr>
        <w:tc>
          <w:tcPr>
            <w:tcW w:w="550" w:type="dxa"/>
            <w:shd w:val="clear" w:color="auto" w:fill="auto"/>
            <w:vAlign w:val="center"/>
          </w:tcPr>
          <w:p w14:paraId="4C9560C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886</w:t>
            </w:r>
          </w:p>
        </w:tc>
        <w:tc>
          <w:tcPr>
            <w:tcW w:w="1071" w:type="dxa"/>
            <w:shd w:val="clear" w:color="auto" w:fill="auto"/>
            <w:vAlign w:val="center"/>
          </w:tcPr>
          <w:p w14:paraId="19AFAF0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03D98FF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Evans AE, D'Angio GJ, Koop CE</w:t>
            </w:r>
          </w:p>
        </w:tc>
        <w:tc>
          <w:tcPr>
            <w:tcW w:w="7010" w:type="dxa"/>
            <w:shd w:val="clear" w:color="auto" w:fill="auto"/>
            <w:vAlign w:val="center"/>
          </w:tcPr>
          <w:p w14:paraId="4C75691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Childhood Cancer: Basic Considerations in Diagnosis and Treatment</w:t>
            </w:r>
          </w:p>
        </w:tc>
        <w:tc>
          <w:tcPr>
            <w:tcW w:w="568" w:type="dxa"/>
            <w:shd w:val="clear" w:color="auto" w:fill="auto"/>
            <w:vAlign w:val="center"/>
          </w:tcPr>
          <w:p w14:paraId="4F4EBB6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1976</w:t>
            </w:r>
          </w:p>
        </w:tc>
      </w:tr>
      <w:tr w:rsidR="004C3C90" w:rsidRPr="004C3C90" w14:paraId="0712BCA1" w14:textId="77777777" w:rsidTr="004C3C90">
        <w:trPr>
          <w:trHeight w:val="20"/>
        </w:trPr>
        <w:tc>
          <w:tcPr>
            <w:tcW w:w="550" w:type="dxa"/>
            <w:shd w:val="clear" w:color="auto" w:fill="auto"/>
            <w:vAlign w:val="center"/>
          </w:tcPr>
          <w:p w14:paraId="12AB3B4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887</w:t>
            </w:r>
          </w:p>
        </w:tc>
        <w:tc>
          <w:tcPr>
            <w:tcW w:w="1071" w:type="dxa"/>
            <w:shd w:val="clear" w:color="auto" w:fill="auto"/>
            <w:vAlign w:val="center"/>
          </w:tcPr>
          <w:p w14:paraId="4E0E2F2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113461A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Shai S, Perez-Becker R, von König CH, et al.</w:t>
            </w:r>
          </w:p>
        </w:tc>
        <w:tc>
          <w:tcPr>
            <w:tcW w:w="7010" w:type="dxa"/>
            <w:shd w:val="clear" w:color="auto" w:fill="auto"/>
            <w:vAlign w:val="center"/>
          </w:tcPr>
          <w:p w14:paraId="219440F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Rotavirus Disease in Germany-a Prospective Survey of Very Severe Cases</w:t>
            </w:r>
          </w:p>
        </w:tc>
        <w:tc>
          <w:tcPr>
            <w:tcW w:w="568" w:type="dxa"/>
            <w:shd w:val="clear" w:color="auto" w:fill="auto"/>
            <w:vAlign w:val="center"/>
          </w:tcPr>
          <w:p w14:paraId="4F8D9ED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63902CF0" w14:textId="77777777" w:rsidTr="004C3C90">
        <w:trPr>
          <w:trHeight w:val="20"/>
        </w:trPr>
        <w:tc>
          <w:tcPr>
            <w:tcW w:w="550" w:type="dxa"/>
            <w:shd w:val="clear" w:color="auto" w:fill="auto"/>
            <w:vAlign w:val="center"/>
          </w:tcPr>
          <w:p w14:paraId="74DB13E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888</w:t>
            </w:r>
          </w:p>
        </w:tc>
        <w:tc>
          <w:tcPr>
            <w:tcW w:w="1071" w:type="dxa"/>
            <w:shd w:val="clear" w:color="auto" w:fill="auto"/>
            <w:vAlign w:val="center"/>
          </w:tcPr>
          <w:p w14:paraId="13974D3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2E7A687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Kanecki K, Nitsch-Osuch A, Gorynski P, Tarka P, Tyszko P.</w:t>
            </w:r>
          </w:p>
        </w:tc>
        <w:tc>
          <w:tcPr>
            <w:tcW w:w="7010" w:type="dxa"/>
            <w:shd w:val="clear" w:color="auto" w:fill="auto"/>
            <w:vAlign w:val="center"/>
          </w:tcPr>
          <w:p w14:paraId="290742A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Hospital morbidity database for epidemiological studies on Churg-Strauss syndrome</w:t>
            </w:r>
          </w:p>
        </w:tc>
        <w:tc>
          <w:tcPr>
            <w:tcW w:w="568" w:type="dxa"/>
            <w:shd w:val="clear" w:color="auto" w:fill="auto"/>
            <w:vAlign w:val="center"/>
          </w:tcPr>
          <w:p w14:paraId="1694BFD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4CD7F43" w14:textId="77777777" w:rsidTr="004C3C90">
        <w:trPr>
          <w:trHeight w:val="20"/>
        </w:trPr>
        <w:tc>
          <w:tcPr>
            <w:tcW w:w="550" w:type="dxa"/>
            <w:shd w:val="clear" w:color="auto" w:fill="auto"/>
            <w:vAlign w:val="center"/>
          </w:tcPr>
          <w:p w14:paraId="2D18D5D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889</w:t>
            </w:r>
          </w:p>
        </w:tc>
        <w:tc>
          <w:tcPr>
            <w:tcW w:w="1071" w:type="dxa"/>
            <w:shd w:val="clear" w:color="auto" w:fill="auto"/>
            <w:vAlign w:val="center"/>
          </w:tcPr>
          <w:p w14:paraId="2CD187F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4</w:t>
            </w:r>
          </w:p>
        </w:tc>
        <w:tc>
          <w:tcPr>
            <w:tcW w:w="3741" w:type="dxa"/>
            <w:shd w:val="clear" w:color="auto" w:fill="auto"/>
            <w:vAlign w:val="center"/>
          </w:tcPr>
          <w:p w14:paraId="7D59817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Baynam G, Bowman F, Lister K, Walker CE, Pachter N, Goldblatt J, et al. </w:t>
            </w:r>
          </w:p>
        </w:tc>
        <w:tc>
          <w:tcPr>
            <w:tcW w:w="7010" w:type="dxa"/>
            <w:shd w:val="clear" w:color="auto" w:fill="auto"/>
            <w:vAlign w:val="center"/>
          </w:tcPr>
          <w:p w14:paraId="6DC8ACA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Improved diagnosis and care for rare diseases through implementation of precision public health framework</w:t>
            </w:r>
          </w:p>
        </w:tc>
        <w:tc>
          <w:tcPr>
            <w:tcW w:w="568" w:type="dxa"/>
            <w:shd w:val="clear" w:color="auto" w:fill="auto"/>
            <w:vAlign w:val="center"/>
          </w:tcPr>
          <w:p w14:paraId="4694C81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06AA9FCE" w14:textId="77777777" w:rsidTr="004C3C90">
        <w:trPr>
          <w:trHeight w:val="20"/>
        </w:trPr>
        <w:tc>
          <w:tcPr>
            <w:tcW w:w="550" w:type="dxa"/>
            <w:shd w:val="clear" w:color="auto" w:fill="auto"/>
            <w:vAlign w:val="center"/>
          </w:tcPr>
          <w:p w14:paraId="6A9803C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890</w:t>
            </w:r>
          </w:p>
        </w:tc>
        <w:tc>
          <w:tcPr>
            <w:tcW w:w="1071" w:type="dxa"/>
            <w:shd w:val="clear" w:color="auto" w:fill="auto"/>
            <w:vAlign w:val="center"/>
          </w:tcPr>
          <w:p w14:paraId="64D6E73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237088E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Hansmann S, Lainka E, Horneff G, Holzinger D, Rieber N, Jansson AF, et al. </w:t>
            </w:r>
          </w:p>
        </w:tc>
        <w:tc>
          <w:tcPr>
            <w:tcW w:w="7010" w:type="dxa"/>
            <w:shd w:val="clear" w:color="auto" w:fill="auto"/>
            <w:vAlign w:val="center"/>
          </w:tcPr>
          <w:p w14:paraId="2F41366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Consensus Protocols for the Diagnosis and Management of the Hereditary Autoinflammatory Syndromes Caps, Traps and Mkd/Hids: A German Pro-Kind Initiative</w:t>
            </w:r>
          </w:p>
        </w:tc>
        <w:tc>
          <w:tcPr>
            <w:tcW w:w="568" w:type="dxa"/>
            <w:shd w:val="clear" w:color="auto" w:fill="auto"/>
            <w:vAlign w:val="center"/>
          </w:tcPr>
          <w:p w14:paraId="73CFD1A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76FEDE5E" w14:textId="77777777" w:rsidTr="004C3C90">
        <w:trPr>
          <w:trHeight w:val="20"/>
        </w:trPr>
        <w:tc>
          <w:tcPr>
            <w:tcW w:w="550" w:type="dxa"/>
            <w:shd w:val="clear" w:color="auto" w:fill="auto"/>
            <w:vAlign w:val="center"/>
          </w:tcPr>
          <w:p w14:paraId="5AC154D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891</w:t>
            </w:r>
          </w:p>
        </w:tc>
        <w:tc>
          <w:tcPr>
            <w:tcW w:w="1071" w:type="dxa"/>
            <w:shd w:val="clear" w:color="auto" w:fill="auto"/>
            <w:vAlign w:val="center"/>
          </w:tcPr>
          <w:p w14:paraId="45E1708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74A61D5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Clairman H, Dover S, Whitney K, Marcuz JA, Bell-Peter A, Feldman BM</w:t>
            </w:r>
          </w:p>
        </w:tc>
        <w:tc>
          <w:tcPr>
            <w:tcW w:w="7010" w:type="dxa"/>
            <w:shd w:val="clear" w:color="auto" w:fill="auto"/>
            <w:vAlign w:val="center"/>
          </w:tcPr>
          <w:p w14:paraId="23C084F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Correlation of a Modified Disease Activity Score with the Validated Original Disease Activity Score in Patients with Juvenile Dermatomyositis</w:t>
            </w:r>
          </w:p>
        </w:tc>
        <w:tc>
          <w:tcPr>
            <w:tcW w:w="568" w:type="dxa"/>
            <w:shd w:val="clear" w:color="auto" w:fill="auto"/>
            <w:vAlign w:val="center"/>
          </w:tcPr>
          <w:p w14:paraId="2BB918F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029DC119" w14:textId="77777777" w:rsidTr="004C3C90">
        <w:trPr>
          <w:trHeight w:val="20"/>
        </w:trPr>
        <w:tc>
          <w:tcPr>
            <w:tcW w:w="550" w:type="dxa"/>
            <w:shd w:val="clear" w:color="auto" w:fill="auto"/>
            <w:vAlign w:val="center"/>
          </w:tcPr>
          <w:p w14:paraId="2AA5AFE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892</w:t>
            </w:r>
          </w:p>
        </w:tc>
        <w:tc>
          <w:tcPr>
            <w:tcW w:w="1071" w:type="dxa"/>
            <w:shd w:val="clear" w:color="auto" w:fill="auto"/>
            <w:vAlign w:val="center"/>
          </w:tcPr>
          <w:p w14:paraId="315A6FE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7584178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de Vries F, Bruin M, Cersosimo A, van Beuzekom CN, Ahmed SF, et al. </w:t>
            </w:r>
          </w:p>
        </w:tc>
        <w:tc>
          <w:tcPr>
            <w:tcW w:w="7010" w:type="dxa"/>
            <w:shd w:val="clear" w:color="auto" w:fill="auto"/>
            <w:vAlign w:val="center"/>
          </w:tcPr>
          <w:p w14:paraId="6788A19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 Overview of Clinical Activities in Endo-Ern: The Need for Alignment of Future Network Criteria</w:t>
            </w:r>
          </w:p>
        </w:tc>
        <w:tc>
          <w:tcPr>
            <w:tcW w:w="568" w:type="dxa"/>
            <w:shd w:val="clear" w:color="auto" w:fill="auto"/>
            <w:vAlign w:val="center"/>
          </w:tcPr>
          <w:p w14:paraId="7FABF33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306BE9F6" w14:textId="77777777" w:rsidTr="004C3C90">
        <w:trPr>
          <w:trHeight w:val="20"/>
        </w:trPr>
        <w:tc>
          <w:tcPr>
            <w:tcW w:w="550" w:type="dxa"/>
            <w:shd w:val="clear" w:color="auto" w:fill="auto"/>
            <w:vAlign w:val="center"/>
          </w:tcPr>
          <w:p w14:paraId="7905A05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893</w:t>
            </w:r>
          </w:p>
        </w:tc>
        <w:tc>
          <w:tcPr>
            <w:tcW w:w="1071" w:type="dxa"/>
            <w:shd w:val="clear" w:color="auto" w:fill="auto"/>
            <w:vAlign w:val="center"/>
          </w:tcPr>
          <w:p w14:paraId="67E515A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5A7C95B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Sage L, Russo ML, Byers PH, Demasi J, Morris SA, Puryear LN, et al. </w:t>
            </w:r>
          </w:p>
        </w:tc>
        <w:tc>
          <w:tcPr>
            <w:tcW w:w="7010" w:type="dxa"/>
            <w:shd w:val="clear" w:color="auto" w:fill="auto"/>
            <w:vAlign w:val="center"/>
          </w:tcPr>
          <w:p w14:paraId="788946F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Setting a Research Agenda for Vascular Ehlers-Danlos Syndrome Using a Patient and Stakeholder Engagement Model</w:t>
            </w:r>
          </w:p>
        </w:tc>
        <w:tc>
          <w:tcPr>
            <w:tcW w:w="568" w:type="dxa"/>
            <w:shd w:val="clear" w:color="auto" w:fill="auto"/>
            <w:vAlign w:val="center"/>
          </w:tcPr>
          <w:p w14:paraId="4574E46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3ACB29D1" w14:textId="77777777" w:rsidTr="004C3C90">
        <w:trPr>
          <w:trHeight w:val="20"/>
        </w:trPr>
        <w:tc>
          <w:tcPr>
            <w:tcW w:w="550" w:type="dxa"/>
            <w:shd w:val="clear" w:color="auto" w:fill="auto"/>
            <w:vAlign w:val="center"/>
          </w:tcPr>
          <w:p w14:paraId="36FB5D5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894</w:t>
            </w:r>
          </w:p>
        </w:tc>
        <w:tc>
          <w:tcPr>
            <w:tcW w:w="1071" w:type="dxa"/>
            <w:shd w:val="clear" w:color="auto" w:fill="auto"/>
            <w:vAlign w:val="center"/>
          </w:tcPr>
          <w:p w14:paraId="64384CF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5EEE47D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Salek MS, Ionova T, Johns JR, Oliva EN</w:t>
            </w:r>
          </w:p>
        </w:tc>
        <w:tc>
          <w:tcPr>
            <w:tcW w:w="7010" w:type="dxa"/>
            <w:shd w:val="clear" w:color="auto" w:fill="auto"/>
            <w:vAlign w:val="center"/>
          </w:tcPr>
          <w:p w14:paraId="764723A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Appraisal of Patient-Reported Outcome Measures in Analogous Diseases and Recommendations for Use in Phase Ii and Iii Clinical Trials of Pyruvate Kinase Deficiency</w:t>
            </w:r>
          </w:p>
        </w:tc>
        <w:tc>
          <w:tcPr>
            <w:tcW w:w="568" w:type="dxa"/>
            <w:shd w:val="clear" w:color="auto" w:fill="auto"/>
            <w:vAlign w:val="center"/>
          </w:tcPr>
          <w:p w14:paraId="2230878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5E2CA15" w14:textId="77777777" w:rsidTr="004C3C90">
        <w:trPr>
          <w:trHeight w:val="20"/>
        </w:trPr>
        <w:tc>
          <w:tcPr>
            <w:tcW w:w="550" w:type="dxa"/>
            <w:shd w:val="clear" w:color="auto" w:fill="auto"/>
            <w:vAlign w:val="center"/>
          </w:tcPr>
          <w:p w14:paraId="1F101B7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895</w:t>
            </w:r>
          </w:p>
        </w:tc>
        <w:tc>
          <w:tcPr>
            <w:tcW w:w="1071" w:type="dxa"/>
            <w:shd w:val="clear" w:color="auto" w:fill="auto"/>
            <w:vAlign w:val="center"/>
          </w:tcPr>
          <w:p w14:paraId="47FB0E6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0563912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Kaiser K, Yount SE, Martens CE, Webster KA, Shaunfield S, Sparling A, et al. </w:t>
            </w:r>
          </w:p>
        </w:tc>
        <w:tc>
          <w:tcPr>
            <w:tcW w:w="7010" w:type="dxa"/>
            <w:shd w:val="clear" w:color="auto" w:fill="auto"/>
            <w:vAlign w:val="center"/>
          </w:tcPr>
          <w:p w14:paraId="57C37C6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Assessing Patient Preferences for Rare Disease Treatment: Qualitative Development of the Paroxysmal Nocturnal Hemoglobinuria Patient Preference Questionnaire</w:t>
            </w:r>
          </w:p>
        </w:tc>
        <w:tc>
          <w:tcPr>
            <w:tcW w:w="568" w:type="dxa"/>
            <w:shd w:val="clear" w:color="auto" w:fill="auto"/>
            <w:vAlign w:val="center"/>
          </w:tcPr>
          <w:p w14:paraId="0189287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F1AA6F2" w14:textId="77777777" w:rsidTr="004C3C90">
        <w:trPr>
          <w:trHeight w:val="20"/>
        </w:trPr>
        <w:tc>
          <w:tcPr>
            <w:tcW w:w="550" w:type="dxa"/>
            <w:shd w:val="clear" w:color="auto" w:fill="auto"/>
            <w:vAlign w:val="center"/>
          </w:tcPr>
          <w:p w14:paraId="686F417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896</w:t>
            </w:r>
          </w:p>
        </w:tc>
        <w:tc>
          <w:tcPr>
            <w:tcW w:w="1071" w:type="dxa"/>
            <w:shd w:val="clear" w:color="auto" w:fill="auto"/>
            <w:vAlign w:val="center"/>
          </w:tcPr>
          <w:p w14:paraId="0F2FACF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330C1AF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Hollin IL, Dimmock AE, Bridges JF, Danoff SK, Bascom R</w:t>
            </w:r>
          </w:p>
        </w:tc>
        <w:tc>
          <w:tcPr>
            <w:tcW w:w="7010" w:type="dxa"/>
            <w:shd w:val="clear" w:color="auto" w:fill="auto"/>
            <w:vAlign w:val="center"/>
          </w:tcPr>
          <w:p w14:paraId="727319E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Collecting Patient Preference Information Using a Clinical Data Research Network: Demonstrating Feasibility with Idiopathic Pulmonary Fibrosis</w:t>
            </w:r>
          </w:p>
        </w:tc>
        <w:tc>
          <w:tcPr>
            <w:tcW w:w="568" w:type="dxa"/>
            <w:shd w:val="clear" w:color="auto" w:fill="auto"/>
            <w:vAlign w:val="center"/>
          </w:tcPr>
          <w:p w14:paraId="44B6424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5DCBC84F" w14:textId="77777777" w:rsidTr="004C3C90">
        <w:trPr>
          <w:trHeight w:val="20"/>
        </w:trPr>
        <w:tc>
          <w:tcPr>
            <w:tcW w:w="550" w:type="dxa"/>
            <w:shd w:val="clear" w:color="auto" w:fill="auto"/>
            <w:vAlign w:val="center"/>
          </w:tcPr>
          <w:p w14:paraId="5C83480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897</w:t>
            </w:r>
          </w:p>
        </w:tc>
        <w:tc>
          <w:tcPr>
            <w:tcW w:w="1071" w:type="dxa"/>
            <w:shd w:val="clear" w:color="auto" w:fill="auto"/>
            <w:vAlign w:val="center"/>
          </w:tcPr>
          <w:p w14:paraId="336E7A7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305D569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Foeldvari I, Culpo R, Sperotto F, Anton J, Avcin T, Baildam E, et al. </w:t>
            </w:r>
          </w:p>
        </w:tc>
        <w:tc>
          <w:tcPr>
            <w:tcW w:w="7010" w:type="dxa"/>
            <w:shd w:val="clear" w:color="auto" w:fill="auto"/>
            <w:vAlign w:val="center"/>
          </w:tcPr>
          <w:p w14:paraId="07CEADA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Consensus-Based Recommendations for the Management of Juvenile Localised Scleroderma</w:t>
            </w:r>
          </w:p>
        </w:tc>
        <w:tc>
          <w:tcPr>
            <w:tcW w:w="568" w:type="dxa"/>
            <w:shd w:val="clear" w:color="auto" w:fill="auto"/>
            <w:vAlign w:val="center"/>
          </w:tcPr>
          <w:p w14:paraId="1EE8A34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23AC7EF3" w14:textId="77777777" w:rsidTr="004C3C90">
        <w:trPr>
          <w:trHeight w:val="20"/>
        </w:trPr>
        <w:tc>
          <w:tcPr>
            <w:tcW w:w="550" w:type="dxa"/>
            <w:shd w:val="clear" w:color="auto" w:fill="auto"/>
            <w:vAlign w:val="center"/>
          </w:tcPr>
          <w:p w14:paraId="6DD0546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898</w:t>
            </w:r>
          </w:p>
        </w:tc>
        <w:tc>
          <w:tcPr>
            <w:tcW w:w="1071" w:type="dxa"/>
            <w:shd w:val="clear" w:color="auto" w:fill="auto"/>
            <w:vAlign w:val="center"/>
          </w:tcPr>
          <w:p w14:paraId="6C435EE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6F9D335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Horgan D, Bernini C, Thomas PPM, Morre SA.</w:t>
            </w:r>
          </w:p>
        </w:tc>
        <w:tc>
          <w:tcPr>
            <w:tcW w:w="7010" w:type="dxa"/>
            <w:shd w:val="clear" w:color="auto" w:fill="auto"/>
            <w:vAlign w:val="center"/>
          </w:tcPr>
          <w:p w14:paraId="7CC66B1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Cooperating on Data: The Missing Element in Bringing Real Innovation to Europe's Healthcare Systems</w:t>
            </w:r>
          </w:p>
        </w:tc>
        <w:tc>
          <w:tcPr>
            <w:tcW w:w="568" w:type="dxa"/>
            <w:shd w:val="clear" w:color="auto" w:fill="auto"/>
            <w:vAlign w:val="center"/>
          </w:tcPr>
          <w:p w14:paraId="630721E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A582432" w14:textId="77777777" w:rsidTr="004C3C90">
        <w:trPr>
          <w:trHeight w:val="20"/>
        </w:trPr>
        <w:tc>
          <w:tcPr>
            <w:tcW w:w="550" w:type="dxa"/>
            <w:shd w:val="clear" w:color="auto" w:fill="auto"/>
            <w:vAlign w:val="center"/>
          </w:tcPr>
          <w:p w14:paraId="2B8EF69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899</w:t>
            </w:r>
          </w:p>
        </w:tc>
        <w:tc>
          <w:tcPr>
            <w:tcW w:w="1071" w:type="dxa"/>
            <w:shd w:val="clear" w:color="auto" w:fill="auto"/>
            <w:vAlign w:val="center"/>
          </w:tcPr>
          <w:p w14:paraId="2695B45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5833AEF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Kocher A, Simon M, Dwyer AA, Villiger PM, Künzler-Heule P, De Geest S, et al</w:t>
            </w:r>
            <w:r w:rsidRPr="004C3C90">
              <w:rPr>
                <w:rFonts w:ascii="Times New Roman" w:eastAsia="Times New Roman" w:hAnsi="Times New Roman" w:cs="Times New Roman"/>
                <w:sz w:val="20"/>
                <w:szCs w:val="20"/>
                <w:highlight w:val="white"/>
              </w:rPr>
              <w:t>.</w:t>
            </w:r>
          </w:p>
        </w:tc>
        <w:tc>
          <w:tcPr>
            <w:tcW w:w="7010" w:type="dxa"/>
            <w:shd w:val="clear" w:color="auto" w:fill="auto"/>
            <w:vAlign w:val="center"/>
          </w:tcPr>
          <w:p w14:paraId="51CC194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Developing a Rare Disease Chronic Care Model: Management of Systemic Sclerosis (Manoss) Study Protocol</w:t>
            </w:r>
          </w:p>
        </w:tc>
        <w:tc>
          <w:tcPr>
            <w:tcW w:w="568" w:type="dxa"/>
            <w:shd w:val="clear" w:color="auto" w:fill="auto"/>
            <w:vAlign w:val="center"/>
          </w:tcPr>
          <w:p w14:paraId="1DF20FE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473C7BE1" w14:textId="77777777" w:rsidTr="004C3C90">
        <w:trPr>
          <w:trHeight w:val="20"/>
        </w:trPr>
        <w:tc>
          <w:tcPr>
            <w:tcW w:w="550" w:type="dxa"/>
            <w:shd w:val="clear" w:color="auto" w:fill="auto"/>
            <w:vAlign w:val="center"/>
          </w:tcPr>
          <w:p w14:paraId="52717CD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900</w:t>
            </w:r>
          </w:p>
        </w:tc>
        <w:tc>
          <w:tcPr>
            <w:tcW w:w="1071" w:type="dxa"/>
            <w:shd w:val="clear" w:color="auto" w:fill="auto"/>
            <w:vAlign w:val="center"/>
          </w:tcPr>
          <w:p w14:paraId="66CFF6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5341280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Cruz R, Belter L, Wasnock M, Nazarelli A, Jarecki J</w:t>
            </w:r>
          </w:p>
        </w:tc>
        <w:tc>
          <w:tcPr>
            <w:tcW w:w="7010" w:type="dxa"/>
            <w:shd w:val="clear" w:color="auto" w:fill="auto"/>
            <w:vAlign w:val="center"/>
          </w:tcPr>
          <w:p w14:paraId="05AA9D3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Evaluating Benefit-Risk Decision-Making in Spinal Muscular Atrophy: A First-Ever Study to Assess Risk Tolerance in the Sma Patient Community</w:t>
            </w:r>
          </w:p>
        </w:tc>
        <w:tc>
          <w:tcPr>
            <w:tcW w:w="568" w:type="dxa"/>
            <w:shd w:val="clear" w:color="auto" w:fill="auto"/>
            <w:vAlign w:val="center"/>
          </w:tcPr>
          <w:p w14:paraId="7D5F2C8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2A96CDF0" w14:textId="77777777" w:rsidTr="004C3C90">
        <w:trPr>
          <w:trHeight w:val="20"/>
        </w:trPr>
        <w:tc>
          <w:tcPr>
            <w:tcW w:w="550" w:type="dxa"/>
            <w:shd w:val="clear" w:color="auto" w:fill="auto"/>
            <w:vAlign w:val="center"/>
          </w:tcPr>
          <w:p w14:paraId="7669472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901</w:t>
            </w:r>
          </w:p>
        </w:tc>
        <w:tc>
          <w:tcPr>
            <w:tcW w:w="1071" w:type="dxa"/>
            <w:shd w:val="clear" w:color="auto" w:fill="auto"/>
            <w:vAlign w:val="center"/>
          </w:tcPr>
          <w:p w14:paraId="3FDC340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7DC5EB9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Efthymiadou O, Mossman J, Kanavos P</w:t>
            </w:r>
          </w:p>
        </w:tc>
        <w:tc>
          <w:tcPr>
            <w:tcW w:w="7010" w:type="dxa"/>
            <w:shd w:val="clear" w:color="auto" w:fill="auto"/>
            <w:vAlign w:val="center"/>
          </w:tcPr>
          <w:p w14:paraId="2CEC701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Health Related Quality of Life Aspects Not Captured by Eq-5d-5l: Results from an International Survey of Patients</w:t>
            </w:r>
          </w:p>
        </w:tc>
        <w:tc>
          <w:tcPr>
            <w:tcW w:w="568" w:type="dxa"/>
            <w:shd w:val="clear" w:color="auto" w:fill="auto"/>
            <w:vAlign w:val="center"/>
          </w:tcPr>
          <w:p w14:paraId="05946F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FA51537" w14:textId="77777777" w:rsidTr="004C3C90">
        <w:trPr>
          <w:trHeight w:val="20"/>
        </w:trPr>
        <w:tc>
          <w:tcPr>
            <w:tcW w:w="550" w:type="dxa"/>
            <w:shd w:val="clear" w:color="auto" w:fill="auto"/>
            <w:vAlign w:val="center"/>
          </w:tcPr>
          <w:p w14:paraId="766726C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902</w:t>
            </w:r>
          </w:p>
        </w:tc>
        <w:tc>
          <w:tcPr>
            <w:tcW w:w="1071" w:type="dxa"/>
            <w:shd w:val="clear" w:color="auto" w:fill="auto"/>
            <w:vAlign w:val="center"/>
          </w:tcPr>
          <w:p w14:paraId="6E48BCF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77876EC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van Karnebeek CDM, Beumer D, Pawliuk C, Goez H, Mostafavi S, et al.</w:t>
            </w:r>
          </w:p>
        </w:tc>
        <w:tc>
          <w:tcPr>
            <w:tcW w:w="7010" w:type="dxa"/>
            <w:shd w:val="clear" w:color="auto" w:fill="auto"/>
            <w:vAlign w:val="center"/>
          </w:tcPr>
          <w:p w14:paraId="21B0E68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Novel Classification System for Research Reporting in Rare and Progressive Genetic Conditions</w:t>
            </w:r>
          </w:p>
        </w:tc>
        <w:tc>
          <w:tcPr>
            <w:tcW w:w="568" w:type="dxa"/>
            <w:shd w:val="clear" w:color="auto" w:fill="auto"/>
            <w:vAlign w:val="center"/>
          </w:tcPr>
          <w:p w14:paraId="1A8807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0693A7E" w14:textId="77777777" w:rsidTr="004C3C90">
        <w:trPr>
          <w:trHeight w:val="20"/>
        </w:trPr>
        <w:tc>
          <w:tcPr>
            <w:tcW w:w="550" w:type="dxa"/>
            <w:shd w:val="clear" w:color="auto" w:fill="auto"/>
            <w:vAlign w:val="center"/>
          </w:tcPr>
          <w:p w14:paraId="2B2BE46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903</w:t>
            </w:r>
          </w:p>
        </w:tc>
        <w:tc>
          <w:tcPr>
            <w:tcW w:w="1071" w:type="dxa"/>
            <w:shd w:val="clear" w:color="auto" w:fill="auto"/>
            <w:vAlign w:val="center"/>
          </w:tcPr>
          <w:p w14:paraId="4DE716C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35614FF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Park Y, Fullerton HJ, Elm JJ</w:t>
            </w:r>
          </w:p>
        </w:tc>
        <w:tc>
          <w:tcPr>
            <w:tcW w:w="7010" w:type="dxa"/>
            <w:shd w:val="clear" w:color="auto" w:fill="auto"/>
            <w:vAlign w:val="center"/>
          </w:tcPr>
          <w:p w14:paraId="7146A79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Pragmatic, Adaptive Clinical Trial Design for a Rare Disease: The Focal Cerebral Arteriopathy Steroid (Focas) Trial</w:t>
            </w:r>
          </w:p>
        </w:tc>
        <w:tc>
          <w:tcPr>
            <w:tcW w:w="568" w:type="dxa"/>
            <w:shd w:val="clear" w:color="auto" w:fill="auto"/>
            <w:vAlign w:val="center"/>
          </w:tcPr>
          <w:p w14:paraId="3E98A11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244C5E9A" w14:textId="77777777" w:rsidTr="004C3C90">
        <w:trPr>
          <w:trHeight w:val="20"/>
        </w:trPr>
        <w:tc>
          <w:tcPr>
            <w:tcW w:w="550" w:type="dxa"/>
            <w:shd w:val="clear" w:color="auto" w:fill="auto"/>
            <w:vAlign w:val="center"/>
          </w:tcPr>
          <w:p w14:paraId="5FF5914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904</w:t>
            </w:r>
          </w:p>
        </w:tc>
        <w:tc>
          <w:tcPr>
            <w:tcW w:w="1071" w:type="dxa"/>
            <w:shd w:val="clear" w:color="auto" w:fill="auto"/>
            <w:vAlign w:val="center"/>
          </w:tcPr>
          <w:p w14:paraId="6AD3D9D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5C57FA8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Montgomery BK, Cahan EM, Frick S</w:t>
            </w:r>
          </w:p>
        </w:tc>
        <w:tc>
          <w:tcPr>
            <w:tcW w:w="7010" w:type="dxa"/>
            <w:shd w:val="clear" w:color="auto" w:fill="auto"/>
            <w:vAlign w:val="center"/>
          </w:tcPr>
          <w:p w14:paraId="36339B9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Spinal Screening Mri Trends in Patients with Multiple Hereditary Exostoses: National Survey</w:t>
            </w:r>
          </w:p>
        </w:tc>
        <w:tc>
          <w:tcPr>
            <w:tcW w:w="568" w:type="dxa"/>
            <w:shd w:val="clear" w:color="auto" w:fill="auto"/>
            <w:vAlign w:val="center"/>
          </w:tcPr>
          <w:p w14:paraId="74E585D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D1A0BD3" w14:textId="77777777" w:rsidTr="004C3C90">
        <w:trPr>
          <w:trHeight w:val="20"/>
        </w:trPr>
        <w:tc>
          <w:tcPr>
            <w:tcW w:w="550" w:type="dxa"/>
            <w:shd w:val="clear" w:color="auto" w:fill="auto"/>
            <w:vAlign w:val="center"/>
          </w:tcPr>
          <w:p w14:paraId="20D5F72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905</w:t>
            </w:r>
          </w:p>
        </w:tc>
        <w:tc>
          <w:tcPr>
            <w:tcW w:w="1071" w:type="dxa"/>
            <w:shd w:val="clear" w:color="auto" w:fill="auto"/>
            <w:vAlign w:val="center"/>
          </w:tcPr>
          <w:p w14:paraId="4B77C91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4D6A787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Marques R, Belousova E, Benedik MP, Carter T, Cottin V, Curatolo P, et al. </w:t>
            </w:r>
          </w:p>
        </w:tc>
        <w:tc>
          <w:tcPr>
            <w:tcW w:w="7010" w:type="dxa"/>
            <w:shd w:val="clear" w:color="auto" w:fill="auto"/>
            <w:vAlign w:val="center"/>
          </w:tcPr>
          <w:p w14:paraId="089BF91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Tosca Registry for Tuberous Sclerosis—Lessons Learnt for Future Registry Development in Rare and Complex Diseases</w:t>
            </w:r>
          </w:p>
        </w:tc>
        <w:tc>
          <w:tcPr>
            <w:tcW w:w="568" w:type="dxa"/>
            <w:shd w:val="clear" w:color="auto" w:fill="auto"/>
            <w:vAlign w:val="center"/>
          </w:tcPr>
          <w:p w14:paraId="62AEF5D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C6B0A94" w14:textId="77777777" w:rsidTr="004C3C90">
        <w:trPr>
          <w:trHeight w:val="20"/>
        </w:trPr>
        <w:tc>
          <w:tcPr>
            <w:tcW w:w="550" w:type="dxa"/>
            <w:shd w:val="clear" w:color="auto" w:fill="auto"/>
            <w:vAlign w:val="center"/>
          </w:tcPr>
          <w:p w14:paraId="1B448BE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906</w:t>
            </w:r>
          </w:p>
        </w:tc>
        <w:tc>
          <w:tcPr>
            <w:tcW w:w="1071" w:type="dxa"/>
            <w:shd w:val="clear" w:color="auto" w:fill="auto"/>
            <w:vAlign w:val="center"/>
          </w:tcPr>
          <w:p w14:paraId="2FB6CB5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12A3C6F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Noël E, Dussol B, Lacombe D, Bedreddine N, Fouilhoux A, Ronco P, et al. </w:t>
            </w:r>
          </w:p>
        </w:tc>
        <w:tc>
          <w:tcPr>
            <w:tcW w:w="7010" w:type="dxa"/>
            <w:shd w:val="clear" w:color="auto" w:fill="auto"/>
            <w:vAlign w:val="center"/>
          </w:tcPr>
          <w:p w14:paraId="3013A21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Treatment Needs and Expectations for Fabry Disease in France: Development of a New Patient Needs Questionnaire</w:t>
            </w:r>
          </w:p>
        </w:tc>
        <w:tc>
          <w:tcPr>
            <w:tcW w:w="568" w:type="dxa"/>
            <w:shd w:val="clear" w:color="auto" w:fill="auto"/>
            <w:vAlign w:val="center"/>
          </w:tcPr>
          <w:p w14:paraId="7C3EB32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4D0222C3" w14:textId="77777777" w:rsidTr="004C3C90">
        <w:trPr>
          <w:trHeight w:val="20"/>
        </w:trPr>
        <w:tc>
          <w:tcPr>
            <w:tcW w:w="550" w:type="dxa"/>
            <w:shd w:val="clear" w:color="auto" w:fill="auto"/>
            <w:vAlign w:val="center"/>
          </w:tcPr>
          <w:p w14:paraId="0181808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907</w:t>
            </w:r>
          </w:p>
        </w:tc>
        <w:tc>
          <w:tcPr>
            <w:tcW w:w="1071" w:type="dxa"/>
            <w:shd w:val="clear" w:color="auto" w:fill="auto"/>
            <w:vAlign w:val="center"/>
          </w:tcPr>
          <w:p w14:paraId="602D37D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41C47A7E" w14:textId="77777777" w:rsidR="004C3C90" w:rsidRPr="004C3C90" w:rsidRDefault="004C3C90" w:rsidP="004C3C90">
            <w:pPr>
              <w:spacing w:line="240" w:lineRule="auto"/>
              <w:rPr>
                <w:rFonts w:ascii="Times New Roman" w:eastAsia="Times New Roman" w:hAnsi="Times New Roman" w:cs="Times New Roman"/>
                <w:sz w:val="20"/>
                <w:szCs w:val="20"/>
                <w:highlight w:val="white"/>
              </w:rPr>
            </w:pPr>
            <w:r w:rsidRPr="004C3C90">
              <w:rPr>
                <w:rFonts w:ascii="Times New Roman" w:eastAsia="Times New Roman" w:hAnsi="Times New Roman" w:cs="Times New Roman"/>
                <w:sz w:val="20"/>
                <w:szCs w:val="20"/>
                <w:highlight w:val="white"/>
              </w:rPr>
              <w:t xml:space="preserve">Wei Y, MSc, McCo rmick </w:t>
            </w:r>
          </w:p>
          <w:p w14:paraId="299BFFFA" w14:textId="77777777" w:rsidR="004C3C90" w:rsidRPr="004C3C90" w:rsidRDefault="004C3C90" w:rsidP="004C3C90">
            <w:pPr>
              <w:spacing w:line="240" w:lineRule="auto"/>
              <w:rPr>
                <w:rFonts w:ascii="Times New Roman" w:eastAsia="Times New Roman" w:hAnsi="Times New Roman" w:cs="Times New Roman"/>
                <w:sz w:val="20"/>
                <w:szCs w:val="20"/>
                <w:highlight w:val="white"/>
              </w:rPr>
            </w:pPr>
            <w:r w:rsidRPr="004C3C90">
              <w:rPr>
                <w:rFonts w:ascii="Times New Roman" w:eastAsia="Times New Roman" w:hAnsi="Times New Roman" w:cs="Times New Roman"/>
                <w:sz w:val="20"/>
                <w:szCs w:val="20"/>
                <w:highlight w:val="white"/>
              </w:rPr>
              <w:t>A, et al.</w:t>
            </w:r>
          </w:p>
        </w:tc>
        <w:tc>
          <w:tcPr>
            <w:tcW w:w="7010" w:type="dxa"/>
            <w:shd w:val="clear" w:color="auto" w:fill="auto"/>
            <w:vAlign w:val="center"/>
          </w:tcPr>
          <w:p w14:paraId="60B7E93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Canadian Neuromuscular Disease Registry: Connecting Patients to National and International Research Opportunities</w:t>
            </w:r>
          </w:p>
        </w:tc>
        <w:tc>
          <w:tcPr>
            <w:tcW w:w="568" w:type="dxa"/>
            <w:shd w:val="clear" w:color="auto" w:fill="auto"/>
            <w:vAlign w:val="center"/>
          </w:tcPr>
          <w:p w14:paraId="0A7BDE0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69A1D3D0" w14:textId="77777777" w:rsidTr="004C3C90">
        <w:trPr>
          <w:trHeight w:val="20"/>
        </w:trPr>
        <w:tc>
          <w:tcPr>
            <w:tcW w:w="550" w:type="dxa"/>
            <w:shd w:val="clear" w:color="auto" w:fill="auto"/>
            <w:vAlign w:val="center"/>
          </w:tcPr>
          <w:p w14:paraId="65FC79B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908</w:t>
            </w:r>
          </w:p>
        </w:tc>
        <w:tc>
          <w:tcPr>
            <w:tcW w:w="1071" w:type="dxa"/>
            <w:shd w:val="clear" w:color="auto" w:fill="auto"/>
            <w:vAlign w:val="center"/>
          </w:tcPr>
          <w:p w14:paraId="21D64A6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34F0507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Garcelon N, Neuraz A, Salomon R, Faour H, Benoit V, Delapalme A, et al. </w:t>
            </w:r>
          </w:p>
        </w:tc>
        <w:tc>
          <w:tcPr>
            <w:tcW w:w="7010" w:type="dxa"/>
            <w:shd w:val="clear" w:color="auto" w:fill="auto"/>
            <w:vAlign w:val="center"/>
          </w:tcPr>
          <w:p w14:paraId="024BCE4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Clinician Friendly Data Warehouse Oriented toward Narrative Reports: Dr. Warehouse</w:t>
            </w:r>
          </w:p>
        </w:tc>
        <w:tc>
          <w:tcPr>
            <w:tcW w:w="568" w:type="dxa"/>
            <w:shd w:val="clear" w:color="auto" w:fill="auto"/>
            <w:vAlign w:val="center"/>
          </w:tcPr>
          <w:p w14:paraId="31356CF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3D42FEFD" w14:textId="77777777" w:rsidTr="004C3C90">
        <w:trPr>
          <w:trHeight w:val="20"/>
        </w:trPr>
        <w:tc>
          <w:tcPr>
            <w:tcW w:w="550" w:type="dxa"/>
            <w:shd w:val="clear" w:color="auto" w:fill="auto"/>
            <w:vAlign w:val="center"/>
          </w:tcPr>
          <w:p w14:paraId="0047B71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909</w:t>
            </w:r>
          </w:p>
        </w:tc>
        <w:tc>
          <w:tcPr>
            <w:tcW w:w="1071" w:type="dxa"/>
            <w:shd w:val="clear" w:color="auto" w:fill="auto"/>
            <w:vAlign w:val="center"/>
          </w:tcPr>
          <w:p w14:paraId="5A48CA9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35911B1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Grinspan ZM, Tian N, Yozawitz EG, McGoldrick PE, Wolf SM, McDonough TL, et al. </w:t>
            </w:r>
          </w:p>
        </w:tc>
        <w:tc>
          <w:tcPr>
            <w:tcW w:w="7010" w:type="dxa"/>
            <w:shd w:val="clear" w:color="auto" w:fill="auto"/>
            <w:vAlign w:val="center"/>
          </w:tcPr>
          <w:p w14:paraId="1AC9ECF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Common Terms for Rare Epilepsies: Synonyms, Associated Terms, and Links to Structured Vocabularies</w:t>
            </w:r>
          </w:p>
        </w:tc>
        <w:tc>
          <w:tcPr>
            <w:tcW w:w="568" w:type="dxa"/>
            <w:shd w:val="clear" w:color="auto" w:fill="auto"/>
            <w:vAlign w:val="center"/>
          </w:tcPr>
          <w:p w14:paraId="4F95B4B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6FEA78CA" w14:textId="77777777" w:rsidTr="004C3C90">
        <w:trPr>
          <w:trHeight w:val="20"/>
        </w:trPr>
        <w:tc>
          <w:tcPr>
            <w:tcW w:w="550" w:type="dxa"/>
            <w:shd w:val="clear" w:color="auto" w:fill="auto"/>
            <w:vAlign w:val="center"/>
          </w:tcPr>
          <w:p w14:paraId="4E3D0B5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910</w:t>
            </w:r>
          </w:p>
        </w:tc>
        <w:tc>
          <w:tcPr>
            <w:tcW w:w="1071" w:type="dxa"/>
            <w:shd w:val="clear" w:color="auto" w:fill="auto"/>
            <w:vAlign w:val="center"/>
          </w:tcPr>
          <w:p w14:paraId="16E839B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65FAA45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Stacpoole PW, Shuster J, Thompson JLPS, Prather RA, Lawson LA, Zou B, et al. </w:t>
            </w:r>
          </w:p>
        </w:tc>
        <w:tc>
          <w:tcPr>
            <w:tcW w:w="7010" w:type="dxa"/>
            <w:shd w:val="clear" w:color="auto" w:fill="auto"/>
            <w:vAlign w:val="center"/>
          </w:tcPr>
          <w:p w14:paraId="5B7F009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Development of a Novel Observer Reported Outcome Tool as the Primary Efficacy Outcome Measure for a Rare Disease Randomized Controlled Trial</w:t>
            </w:r>
          </w:p>
        </w:tc>
        <w:tc>
          <w:tcPr>
            <w:tcW w:w="568" w:type="dxa"/>
            <w:shd w:val="clear" w:color="auto" w:fill="auto"/>
            <w:vAlign w:val="center"/>
          </w:tcPr>
          <w:p w14:paraId="32472F3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8591680" w14:textId="77777777" w:rsidTr="004C3C90">
        <w:trPr>
          <w:trHeight w:val="20"/>
        </w:trPr>
        <w:tc>
          <w:tcPr>
            <w:tcW w:w="550" w:type="dxa"/>
            <w:shd w:val="clear" w:color="auto" w:fill="auto"/>
            <w:vAlign w:val="center"/>
          </w:tcPr>
          <w:p w14:paraId="1128BF3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911</w:t>
            </w:r>
          </w:p>
        </w:tc>
        <w:tc>
          <w:tcPr>
            <w:tcW w:w="1071" w:type="dxa"/>
            <w:shd w:val="clear" w:color="auto" w:fill="auto"/>
            <w:vAlign w:val="center"/>
          </w:tcPr>
          <w:p w14:paraId="633D69B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460C7FA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Rapkin BD, Garcia I, Michael W, Zhang J, Schwartz CE</w:t>
            </w:r>
          </w:p>
        </w:tc>
        <w:tc>
          <w:tcPr>
            <w:tcW w:w="7010" w:type="dxa"/>
            <w:shd w:val="clear" w:color="auto" w:fill="auto"/>
            <w:vAlign w:val="center"/>
          </w:tcPr>
          <w:p w14:paraId="688AB13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Development of a Practical Outcome Measure to Account for Individual Differences in Quality-of-Life Appraisal: The Brief Appraisal Inventory</w:t>
            </w:r>
          </w:p>
        </w:tc>
        <w:tc>
          <w:tcPr>
            <w:tcW w:w="568" w:type="dxa"/>
            <w:shd w:val="clear" w:color="auto" w:fill="auto"/>
            <w:vAlign w:val="center"/>
          </w:tcPr>
          <w:p w14:paraId="2BBC781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3C6BF728" w14:textId="77777777" w:rsidTr="004C3C90">
        <w:trPr>
          <w:trHeight w:val="20"/>
        </w:trPr>
        <w:tc>
          <w:tcPr>
            <w:tcW w:w="550" w:type="dxa"/>
            <w:shd w:val="clear" w:color="auto" w:fill="auto"/>
            <w:vAlign w:val="center"/>
          </w:tcPr>
          <w:p w14:paraId="0CC1132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912</w:t>
            </w:r>
          </w:p>
        </w:tc>
        <w:tc>
          <w:tcPr>
            <w:tcW w:w="1071" w:type="dxa"/>
            <w:shd w:val="clear" w:color="auto" w:fill="auto"/>
            <w:vAlign w:val="center"/>
          </w:tcPr>
          <w:p w14:paraId="6608934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72083D3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Namulanda G, Qualters J, Vaidyanathan A, Roberts E, Richardson M, Fraser A, et al. </w:t>
            </w:r>
          </w:p>
        </w:tc>
        <w:tc>
          <w:tcPr>
            <w:tcW w:w="7010" w:type="dxa"/>
            <w:shd w:val="clear" w:color="auto" w:fill="auto"/>
            <w:vAlign w:val="center"/>
          </w:tcPr>
          <w:p w14:paraId="4121B9C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Electronic Health Record Case Studies to Advance Environmental Public Health Tracking</w:t>
            </w:r>
          </w:p>
        </w:tc>
        <w:tc>
          <w:tcPr>
            <w:tcW w:w="568" w:type="dxa"/>
            <w:shd w:val="clear" w:color="auto" w:fill="auto"/>
            <w:vAlign w:val="center"/>
          </w:tcPr>
          <w:p w14:paraId="45DFF94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E68331D" w14:textId="77777777" w:rsidTr="004C3C90">
        <w:trPr>
          <w:trHeight w:val="20"/>
        </w:trPr>
        <w:tc>
          <w:tcPr>
            <w:tcW w:w="550" w:type="dxa"/>
            <w:shd w:val="clear" w:color="auto" w:fill="auto"/>
            <w:vAlign w:val="center"/>
          </w:tcPr>
          <w:p w14:paraId="14F5A0D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913</w:t>
            </w:r>
          </w:p>
        </w:tc>
        <w:tc>
          <w:tcPr>
            <w:tcW w:w="1071" w:type="dxa"/>
            <w:shd w:val="clear" w:color="auto" w:fill="auto"/>
            <w:vAlign w:val="center"/>
          </w:tcPr>
          <w:p w14:paraId="2E28DDE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70D5D9C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Botto LD, Mastroiacovo P</w:t>
            </w:r>
          </w:p>
        </w:tc>
        <w:tc>
          <w:tcPr>
            <w:tcW w:w="7010" w:type="dxa"/>
            <w:shd w:val="clear" w:color="auto" w:fill="auto"/>
            <w:vAlign w:val="center"/>
          </w:tcPr>
          <w:p w14:paraId="5710B8F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From Cause to Care: Triple Surveillance for Better Outcomes in Birth Defects and Rare Diseases</w:t>
            </w:r>
          </w:p>
        </w:tc>
        <w:tc>
          <w:tcPr>
            <w:tcW w:w="568" w:type="dxa"/>
            <w:shd w:val="clear" w:color="auto" w:fill="auto"/>
            <w:vAlign w:val="center"/>
          </w:tcPr>
          <w:p w14:paraId="379446A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058B6A45" w14:textId="77777777" w:rsidTr="004C3C90">
        <w:trPr>
          <w:trHeight w:val="20"/>
        </w:trPr>
        <w:tc>
          <w:tcPr>
            <w:tcW w:w="550" w:type="dxa"/>
            <w:shd w:val="clear" w:color="auto" w:fill="auto"/>
            <w:vAlign w:val="center"/>
          </w:tcPr>
          <w:p w14:paraId="0E7DB85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914</w:t>
            </w:r>
          </w:p>
        </w:tc>
        <w:tc>
          <w:tcPr>
            <w:tcW w:w="1071" w:type="dxa"/>
            <w:shd w:val="clear" w:color="auto" w:fill="auto"/>
            <w:vAlign w:val="center"/>
          </w:tcPr>
          <w:p w14:paraId="08152B5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2F2D2EC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Marcucci G, Cianferotti L, Parri S, et al.</w:t>
            </w:r>
          </w:p>
        </w:tc>
        <w:tc>
          <w:tcPr>
            <w:tcW w:w="7010" w:type="dxa"/>
            <w:shd w:val="clear" w:color="auto" w:fill="auto"/>
            <w:vAlign w:val="center"/>
          </w:tcPr>
          <w:p w14:paraId="736877A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Hypoparanet: A Database of Chronic Hypoparathyroidism Based on Expert Medical-Surgical Centers in Italy</w:t>
            </w:r>
          </w:p>
        </w:tc>
        <w:tc>
          <w:tcPr>
            <w:tcW w:w="568" w:type="dxa"/>
            <w:shd w:val="clear" w:color="auto" w:fill="auto"/>
            <w:vAlign w:val="center"/>
          </w:tcPr>
          <w:p w14:paraId="09C27EE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1C898BF1" w14:textId="77777777" w:rsidTr="004C3C90">
        <w:trPr>
          <w:trHeight w:val="20"/>
        </w:trPr>
        <w:tc>
          <w:tcPr>
            <w:tcW w:w="550" w:type="dxa"/>
            <w:shd w:val="clear" w:color="auto" w:fill="auto"/>
            <w:vAlign w:val="center"/>
          </w:tcPr>
          <w:p w14:paraId="5078805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915</w:t>
            </w:r>
          </w:p>
        </w:tc>
        <w:tc>
          <w:tcPr>
            <w:tcW w:w="1071" w:type="dxa"/>
            <w:shd w:val="clear" w:color="auto" w:fill="auto"/>
            <w:vAlign w:val="center"/>
          </w:tcPr>
          <w:p w14:paraId="39DFF74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601D18D5" w14:textId="77777777" w:rsidR="004C3C90" w:rsidRPr="004C3C90" w:rsidRDefault="004C3C90" w:rsidP="004C3C90">
            <w:pPr>
              <w:shd w:val="clear" w:color="auto" w:fill="FFFFFF"/>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Pinera EK, Arteagoitia GM, González LR, Lamiquiz LE</w:t>
            </w:r>
          </w:p>
        </w:tc>
        <w:tc>
          <w:tcPr>
            <w:tcW w:w="7010" w:type="dxa"/>
            <w:shd w:val="clear" w:color="auto" w:fill="auto"/>
            <w:vAlign w:val="center"/>
          </w:tcPr>
          <w:p w14:paraId="574E814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Iexpac, a Tool to Assess Patient Experience</w:t>
            </w:r>
          </w:p>
        </w:tc>
        <w:tc>
          <w:tcPr>
            <w:tcW w:w="568" w:type="dxa"/>
            <w:shd w:val="clear" w:color="auto" w:fill="auto"/>
            <w:vAlign w:val="center"/>
          </w:tcPr>
          <w:p w14:paraId="79C1D80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C8580A2" w14:textId="77777777" w:rsidTr="004C3C90">
        <w:trPr>
          <w:trHeight w:val="20"/>
        </w:trPr>
        <w:tc>
          <w:tcPr>
            <w:tcW w:w="550" w:type="dxa"/>
            <w:shd w:val="clear" w:color="auto" w:fill="auto"/>
            <w:vAlign w:val="center"/>
          </w:tcPr>
          <w:p w14:paraId="63CA58B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916</w:t>
            </w:r>
          </w:p>
        </w:tc>
        <w:tc>
          <w:tcPr>
            <w:tcW w:w="1071" w:type="dxa"/>
            <w:shd w:val="clear" w:color="auto" w:fill="auto"/>
            <w:vAlign w:val="center"/>
          </w:tcPr>
          <w:p w14:paraId="64BA5F3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5CE388A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Williams JL, Rahm AK, Zallen DT, et al. </w:t>
            </w:r>
          </w:p>
        </w:tc>
        <w:tc>
          <w:tcPr>
            <w:tcW w:w="7010" w:type="dxa"/>
            <w:shd w:val="clear" w:color="auto" w:fill="auto"/>
            <w:vAlign w:val="center"/>
          </w:tcPr>
          <w:p w14:paraId="1FFF9B4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Impact of a Patient-Facing Enhanced Genomic Results Report to Improve Understanding, Engagement, and Communication</w:t>
            </w:r>
          </w:p>
        </w:tc>
        <w:tc>
          <w:tcPr>
            <w:tcW w:w="568" w:type="dxa"/>
            <w:shd w:val="clear" w:color="auto" w:fill="auto"/>
            <w:vAlign w:val="center"/>
          </w:tcPr>
          <w:p w14:paraId="2BF40C3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DEC522A" w14:textId="77777777" w:rsidTr="004C3C90">
        <w:trPr>
          <w:trHeight w:val="20"/>
        </w:trPr>
        <w:tc>
          <w:tcPr>
            <w:tcW w:w="550" w:type="dxa"/>
            <w:shd w:val="clear" w:color="auto" w:fill="auto"/>
            <w:vAlign w:val="center"/>
          </w:tcPr>
          <w:p w14:paraId="38A49AD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917</w:t>
            </w:r>
          </w:p>
        </w:tc>
        <w:tc>
          <w:tcPr>
            <w:tcW w:w="1071" w:type="dxa"/>
            <w:shd w:val="clear" w:color="auto" w:fill="auto"/>
            <w:vAlign w:val="center"/>
          </w:tcPr>
          <w:p w14:paraId="1DD5421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1954216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Ahern S, Sims G, Earnest A, C Bell S</w:t>
            </w:r>
          </w:p>
        </w:tc>
        <w:tc>
          <w:tcPr>
            <w:tcW w:w="7010" w:type="dxa"/>
            <w:shd w:val="clear" w:color="auto" w:fill="auto"/>
            <w:vAlign w:val="center"/>
          </w:tcPr>
          <w:p w14:paraId="4B91373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Optimism, Opportunities, Outcomes: The Australian Cystic Fibrosis Data Registry</w:t>
            </w:r>
          </w:p>
        </w:tc>
        <w:tc>
          <w:tcPr>
            <w:tcW w:w="568" w:type="dxa"/>
            <w:shd w:val="clear" w:color="auto" w:fill="auto"/>
            <w:vAlign w:val="center"/>
          </w:tcPr>
          <w:p w14:paraId="1D01176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195079AB" w14:textId="77777777" w:rsidTr="004C3C90">
        <w:trPr>
          <w:trHeight w:val="20"/>
        </w:trPr>
        <w:tc>
          <w:tcPr>
            <w:tcW w:w="550" w:type="dxa"/>
            <w:shd w:val="clear" w:color="auto" w:fill="auto"/>
            <w:vAlign w:val="center"/>
          </w:tcPr>
          <w:p w14:paraId="7E18FD7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918</w:t>
            </w:r>
          </w:p>
        </w:tc>
        <w:tc>
          <w:tcPr>
            <w:tcW w:w="1071" w:type="dxa"/>
            <w:shd w:val="clear" w:color="auto" w:fill="auto"/>
            <w:vAlign w:val="center"/>
          </w:tcPr>
          <w:p w14:paraId="1FC14AE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556427A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Slota C, Bevans M, Yang L, Shrader J, Joe G, Carrillo N</w:t>
            </w:r>
          </w:p>
        </w:tc>
        <w:tc>
          <w:tcPr>
            <w:tcW w:w="7010" w:type="dxa"/>
            <w:shd w:val="clear" w:color="auto" w:fill="auto"/>
            <w:vAlign w:val="center"/>
          </w:tcPr>
          <w:p w14:paraId="7E5255C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 Reported Outcomes in Gne Myopathy: Incorporating a Valid Assessment of Physical Function in a Rare Disease</w:t>
            </w:r>
          </w:p>
        </w:tc>
        <w:tc>
          <w:tcPr>
            <w:tcW w:w="568" w:type="dxa"/>
            <w:shd w:val="clear" w:color="auto" w:fill="auto"/>
            <w:vAlign w:val="center"/>
          </w:tcPr>
          <w:p w14:paraId="37B0EBB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223E02FD" w14:textId="77777777" w:rsidTr="004C3C90">
        <w:trPr>
          <w:trHeight w:val="20"/>
        </w:trPr>
        <w:tc>
          <w:tcPr>
            <w:tcW w:w="550" w:type="dxa"/>
            <w:shd w:val="clear" w:color="auto" w:fill="auto"/>
            <w:vAlign w:val="center"/>
          </w:tcPr>
          <w:p w14:paraId="3F585DF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919</w:t>
            </w:r>
          </w:p>
        </w:tc>
        <w:tc>
          <w:tcPr>
            <w:tcW w:w="1071" w:type="dxa"/>
            <w:shd w:val="clear" w:color="auto" w:fill="auto"/>
            <w:vAlign w:val="center"/>
          </w:tcPr>
          <w:p w14:paraId="3C19226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2B4964D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Karanevich AG, Statland JM, Gajewski BJ, He J</w:t>
            </w:r>
          </w:p>
        </w:tc>
        <w:tc>
          <w:tcPr>
            <w:tcW w:w="7010" w:type="dxa"/>
            <w:shd w:val="clear" w:color="auto" w:fill="auto"/>
            <w:vAlign w:val="center"/>
          </w:tcPr>
          <w:p w14:paraId="39AE786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Using an Onset-Anchored Bayesian Hierarchical Model to Improve Predictions for Amyotrophic Lateral Sclerosis Disease Progression</w:t>
            </w:r>
          </w:p>
        </w:tc>
        <w:tc>
          <w:tcPr>
            <w:tcW w:w="568" w:type="dxa"/>
            <w:shd w:val="clear" w:color="auto" w:fill="auto"/>
            <w:vAlign w:val="center"/>
          </w:tcPr>
          <w:p w14:paraId="754CE6C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4B8A26CB" w14:textId="77777777" w:rsidTr="004C3C90">
        <w:trPr>
          <w:trHeight w:val="20"/>
        </w:trPr>
        <w:tc>
          <w:tcPr>
            <w:tcW w:w="550" w:type="dxa"/>
            <w:shd w:val="clear" w:color="auto" w:fill="auto"/>
            <w:vAlign w:val="center"/>
          </w:tcPr>
          <w:p w14:paraId="40055B4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920</w:t>
            </w:r>
          </w:p>
        </w:tc>
        <w:tc>
          <w:tcPr>
            <w:tcW w:w="1071" w:type="dxa"/>
            <w:shd w:val="clear" w:color="auto" w:fill="auto"/>
            <w:vAlign w:val="center"/>
          </w:tcPr>
          <w:p w14:paraId="288BBBE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13B4C2E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COST Action BM1105, Badiu C, Bonomi M, Borshchevsky I, Cools M, Craen M, et al. </w:t>
            </w:r>
          </w:p>
        </w:tc>
        <w:tc>
          <w:tcPr>
            <w:tcW w:w="7010" w:type="dxa"/>
            <w:shd w:val="clear" w:color="auto" w:fill="auto"/>
            <w:vAlign w:val="center"/>
          </w:tcPr>
          <w:p w14:paraId="18A6931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Developing and Evaluating Rare Disease Educational Materials Co-Created by Expert Clinicians and Patients: The Paradigm of Congenital Hypogonadotropic Hypogonadism</w:t>
            </w:r>
          </w:p>
        </w:tc>
        <w:tc>
          <w:tcPr>
            <w:tcW w:w="568" w:type="dxa"/>
            <w:shd w:val="clear" w:color="auto" w:fill="auto"/>
            <w:vAlign w:val="center"/>
          </w:tcPr>
          <w:p w14:paraId="49653AB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21E2228" w14:textId="77777777" w:rsidTr="004C3C90">
        <w:trPr>
          <w:trHeight w:val="20"/>
        </w:trPr>
        <w:tc>
          <w:tcPr>
            <w:tcW w:w="550" w:type="dxa"/>
            <w:shd w:val="clear" w:color="auto" w:fill="auto"/>
            <w:vAlign w:val="center"/>
          </w:tcPr>
          <w:p w14:paraId="0DFF08F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921</w:t>
            </w:r>
          </w:p>
        </w:tc>
        <w:tc>
          <w:tcPr>
            <w:tcW w:w="1071" w:type="dxa"/>
            <w:shd w:val="clear" w:color="auto" w:fill="auto"/>
            <w:vAlign w:val="center"/>
          </w:tcPr>
          <w:p w14:paraId="0C07058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046BEF2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Wu CC, Econs MJ, DiMeglio LA, Insogna, KL, Levine MA, Orchard PJ, et al.</w:t>
            </w:r>
          </w:p>
        </w:tc>
        <w:tc>
          <w:tcPr>
            <w:tcW w:w="7010" w:type="dxa"/>
            <w:shd w:val="clear" w:color="auto" w:fill="auto"/>
            <w:vAlign w:val="center"/>
          </w:tcPr>
          <w:p w14:paraId="3BC350B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Diagnosis and Management of Osteopetrosis: Consensus Guidelines from the Osteopetrosis Working Group</w:t>
            </w:r>
          </w:p>
        </w:tc>
        <w:tc>
          <w:tcPr>
            <w:tcW w:w="568" w:type="dxa"/>
            <w:shd w:val="clear" w:color="auto" w:fill="auto"/>
            <w:vAlign w:val="center"/>
          </w:tcPr>
          <w:p w14:paraId="4EFD2FC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1F8CEFA" w14:textId="77777777" w:rsidTr="004C3C90">
        <w:trPr>
          <w:trHeight w:val="20"/>
        </w:trPr>
        <w:tc>
          <w:tcPr>
            <w:tcW w:w="550" w:type="dxa"/>
            <w:shd w:val="clear" w:color="auto" w:fill="auto"/>
            <w:vAlign w:val="center"/>
          </w:tcPr>
          <w:p w14:paraId="39113BF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922</w:t>
            </w:r>
          </w:p>
        </w:tc>
        <w:tc>
          <w:tcPr>
            <w:tcW w:w="1071" w:type="dxa"/>
            <w:shd w:val="clear" w:color="auto" w:fill="auto"/>
            <w:vAlign w:val="center"/>
          </w:tcPr>
          <w:p w14:paraId="653627A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699B2E7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Rapkin BD, Garcia I, Michael W, Zhang J, Schwartz CE</w:t>
            </w:r>
          </w:p>
        </w:tc>
        <w:tc>
          <w:tcPr>
            <w:tcW w:w="7010" w:type="dxa"/>
            <w:shd w:val="clear" w:color="auto" w:fill="auto"/>
            <w:vAlign w:val="center"/>
          </w:tcPr>
          <w:p w14:paraId="0152896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Distinguishing Appraisal and Personality Influences on Quality of Life in Chronic Illness: Introducing the Quality-of-Life Appraisal Profile Version 2</w:t>
            </w:r>
          </w:p>
        </w:tc>
        <w:tc>
          <w:tcPr>
            <w:tcW w:w="568" w:type="dxa"/>
            <w:shd w:val="clear" w:color="auto" w:fill="auto"/>
            <w:vAlign w:val="center"/>
          </w:tcPr>
          <w:p w14:paraId="566E567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0685BD40" w14:textId="77777777" w:rsidTr="004C3C90">
        <w:trPr>
          <w:trHeight w:val="20"/>
        </w:trPr>
        <w:tc>
          <w:tcPr>
            <w:tcW w:w="550" w:type="dxa"/>
            <w:shd w:val="clear" w:color="auto" w:fill="auto"/>
            <w:vAlign w:val="center"/>
          </w:tcPr>
          <w:p w14:paraId="212942C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923</w:t>
            </w:r>
          </w:p>
        </w:tc>
        <w:tc>
          <w:tcPr>
            <w:tcW w:w="1071" w:type="dxa"/>
            <w:shd w:val="clear" w:color="auto" w:fill="auto"/>
            <w:vAlign w:val="center"/>
          </w:tcPr>
          <w:p w14:paraId="46F2E29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6EEAC99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Potter BK, Hutton B, Clifford TJ, Pallone N, Smith M, Stockler S, et al. </w:t>
            </w:r>
          </w:p>
        </w:tc>
        <w:tc>
          <w:tcPr>
            <w:tcW w:w="7010" w:type="dxa"/>
            <w:shd w:val="clear" w:color="auto" w:fill="auto"/>
            <w:vAlign w:val="center"/>
          </w:tcPr>
          <w:p w14:paraId="404380F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Establishing Core Outcome Sets for Phenylketonuria (Pku) and Medium-Chain Acyl-Coa Dehydrogenase (Mcad) Deficiency in Children: Study Protocol for Systematic Reviews and Delphi Surveys</w:t>
            </w:r>
          </w:p>
        </w:tc>
        <w:tc>
          <w:tcPr>
            <w:tcW w:w="568" w:type="dxa"/>
            <w:shd w:val="clear" w:color="auto" w:fill="auto"/>
            <w:vAlign w:val="center"/>
          </w:tcPr>
          <w:p w14:paraId="78B6591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1CF7590" w14:textId="77777777" w:rsidTr="004C3C90">
        <w:trPr>
          <w:trHeight w:val="20"/>
        </w:trPr>
        <w:tc>
          <w:tcPr>
            <w:tcW w:w="550" w:type="dxa"/>
            <w:shd w:val="clear" w:color="auto" w:fill="auto"/>
            <w:vAlign w:val="center"/>
          </w:tcPr>
          <w:p w14:paraId="53BA02B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924</w:t>
            </w:r>
          </w:p>
        </w:tc>
        <w:tc>
          <w:tcPr>
            <w:tcW w:w="1071" w:type="dxa"/>
            <w:shd w:val="clear" w:color="auto" w:fill="auto"/>
            <w:vAlign w:val="center"/>
          </w:tcPr>
          <w:p w14:paraId="2206DE6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7C8DF60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Paviglianiti A, Ruggeri A, Volt F, Sanz G, Milpied N, Furst S, et al. </w:t>
            </w:r>
          </w:p>
        </w:tc>
        <w:tc>
          <w:tcPr>
            <w:tcW w:w="7010" w:type="dxa"/>
            <w:shd w:val="clear" w:color="auto" w:fill="auto"/>
            <w:vAlign w:val="center"/>
          </w:tcPr>
          <w:p w14:paraId="6D24F6C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Evaluation of a Disease Risk Index for Adult Patients Undergoing Umbilical Cord Blood Transplantation for Haematological Malignancies</w:t>
            </w:r>
          </w:p>
        </w:tc>
        <w:tc>
          <w:tcPr>
            <w:tcW w:w="568" w:type="dxa"/>
            <w:shd w:val="clear" w:color="auto" w:fill="auto"/>
            <w:vAlign w:val="center"/>
          </w:tcPr>
          <w:p w14:paraId="3E1C615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604D30B" w14:textId="77777777" w:rsidTr="004C3C90">
        <w:trPr>
          <w:trHeight w:val="20"/>
        </w:trPr>
        <w:tc>
          <w:tcPr>
            <w:tcW w:w="550" w:type="dxa"/>
            <w:shd w:val="clear" w:color="auto" w:fill="auto"/>
            <w:vAlign w:val="center"/>
          </w:tcPr>
          <w:p w14:paraId="6EDDF42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925</w:t>
            </w:r>
          </w:p>
        </w:tc>
        <w:tc>
          <w:tcPr>
            <w:tcW w:w="1071" w:type="dxa"/>
            <w:shd w:val="clear" w:color="auto" w:fill="auto"/>
            <w:vAlign w:val="center"/>
          </w:tcPr>
          <w:p w14:paraId="53ED142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492BD43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Rezende SM, Rodrigues SH, Brito KN, da Silva DL, Santo ML, Simões BJ, et al. </w:t>
            </w:r>
          </w:p>
        </w:tc>
        <w:tc>
          <w:tcPr>
            <w:tcW w:w="7010" w:type="dxa"/>
            <w:shd w:val="clear" w:color="auto" w:fill="auto"/>
            <w:vAlign w:val="center"/>
          </w:tcPr>
          <w:p w14:paraId="317A3CD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Evaluation of a Web-Based Registry of Inherited Bleeding Disorders: A Descriptive Study of the Brazilian Experience with Hemovidaweb Coagulopatias</w:t>
            </w:r>
          </w:p>
        </w:tc>
        <w:tc>
          <w:tcPr>
            <w:tcW w:w="568" w:type="dxa"/>
            <w:shd w:val="clear" w:color="auto" w:fill="auto"/>
            <w:vAlign w:val="center"/>
          </w:tcPr>
          <w:p w14:paraId="397C062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452ADB8" w14:textId="77777777" w:rsidTr="004C3C90">
        <w:trPr>
          <w:trHeight w:val="20"/>
        </w:trPr>
        <w:tc>
          <w:tcPr>
            <w:tcW w:w="550" w:type="dxa"/>
            <w:shd w:val="clear" w:color="auto" w:fill="auto"/>
            <w:vAlign w:val="center"/>
          </w:tcPr>
          <w:p w14:paraId="622134C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926</w:t>
            </w:r>
          </w:p>
        </w:tc>
        <w:tc>
          <w:tcPr>
            <w:tcW w:w="1071" w:type="dxa"/>
            <w:shd w:val="clear" w:color="auto" w:fill="auto"/>
            <w:vAlign w:val="center"/>
          </w:tcPr>
          <w:p w14:paraId="2EF2595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225AF89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Krischer J, Cronholm PF, Burroughs C, McAlear CA, Borchin R, Easley E, Davis T, et al. </w:t>
            </w:r>
          </w:p>
        </w:tc>
        <w:tc>
          <w:tcPr>
            <w:tcW w:w="7010" w:type="dxa"/>
            <w:shd w:val="clear" w:color="auto" w:fill="auto"/>
            <w:vAlign w:val="center"/>
          </w:tcPr>
          <w:p w14:paraId="16FE737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Experience with Direct-to-Patient Recruitment for Enrollment into a Clinical Trial in a Rare Disease: A Web-Based Study</w:t>
            </w:r>
          </w:p>
        </w:tc>
        <w:tc>
          <w:tcPr>
            <w:tcW w:w="568" w:type="dxa"/>
            <w:shd w:val="clear" w:color="auto" w:fill="auto"/>
            <w:vAlign w:val="center"/>
          </w:tcPr>
          <w:p w14:paraId="3AA1980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4F81874B" w14:textId="77777777" w:rsidTr="004C3C90">
        <w:trPr>
          <w:trHeight w:val="20"/>
        </w:trPr>
        <w:tc>
          <w:tcPr>
            <w:tcW w:w="550" w:type="dxa"/>
            <w:shd w:val="clear" w:color="auto" w:fill="auto"/>
            <w:vAlign w:val="center"/>
          </w:tcPr>
          <w:p w14:paraId="52DF4FD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927</w:t>
            </w:r>
          </w:p>
        </w:tc>
        <w:tc>
          <w:tcPr>
            <w:tcW w:w="1071" w:type="dxa"/>
            <w:shd w:val="clear" w:color="auto" w:fill="auto"/>
            <w:vAlign w:val="center"/>
          </w:tcPr>
          <w:p w14:paraId="5C080AA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3B8DB76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Mateus HE, Pérez AM, Mesa ML, Escobar G, Valvez JM, Montano JI, et al. </w:t>
            </w:r>
          </w:p>
        </w:tc>
        <w:tc>
          <w:tcPr>
            <w:tcW w:w="7010" w:type="dxa"/>
            <w:shd w:val="clear" w:color="auto" w:fill="auto"/>
            <w:vAlign w:val="center"/>
          </w:tcPr>
          <w:p w14:paraId="46C1EB9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First Description of the Colombian National Registry for Rare Diseases</w:t>
            </w:r>
          </w:p>
        </w:tc>
        <w:tc>
          <w:tcPr>
            <w:tcW w:w="568" w:type="dxa"/>
            <w:shd w:val="clear" w:color="auto" w:fill="auto"/>
            <w:vAlign w:val="center"/>
          </w:tcPr>
          <w:p w14:paraId="187805C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1AF425DF" w14:textId="77777777" w:rsidTr="004C3C90">
        <w:trPr>
          <w:trHeight w:val="20"/>
        </w:trPr>
        <w:tc>
          <w:tcPr>
            <w:tcW w:w="550" w:type="dxa"/>
            <w:shd w:val="clear" w:color="auto" w:fill="auto"/>
            <w:vAlign w:val="center"/>
          </w:tcPr>
          <w:p w14:paraId="37301B5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928</w:t>
            </w:r>
          </w:p>
        </w:tc>
        <w:tc>
          <w:tcPr>
            <w:tcW w:w="1071" w:type="dxa"/>
            <w:shd w:val="clear" w:color="auto" w:fill="auto"/>
            <w:vAlign w:val="center"/>
          </w:tcPr>
          <w:p w14:paraId="4B95C34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4B7253F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Singh JA, Shah N, Green C</w:t>
            </w:r>
          </w:p>
        </w:tc>
        <w:tc>
          <w:tcPr>
            <w:tcW w:w="7010" w:type="dxa"/>
            <w:shd w:val="clear" w:color="auto" w:fill="auto"/>
            <w:vAlign w:val="center"/>
          </w:tcPr>
          <w:p w14:paraId="7C0CE3C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Individualized Patient Decision-Aid for Immunosuppressive Drugs in Women with Lupus Nephritis: Study Protocol of a Randomized, Controlled Trial</w:t>
            </w:r>
          </w:p>
        </w:tc>
        <w:tc>
          <w:tcPr>
            <w:tcW w:w="568" w:type="dxa"/>
            <w:shd w:val="clear" w:color="auto" w:fill="auto"/>
            <w:vAlign w:val="center"/>
          </w:tcPr>
          <w:p w14:paraId="158B45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651AC21" w14:textId="77777777" w:rsidTr="004C3C90">
        <w:trPr>
          <w:trHeight w:val="20"/>
        </w:trPr>
        <w:tc>
          <w:tcPr>
            <w:tcW w:w="550" w:type="dxa"/>
            <w:shd w:val="clear" w:color="auto" w:fill="auto"/>
            <w:vAlign w:val="center"/>
          </w:tcPr>
          <w:p w14:paraId="235D8E5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929</w:t>
            </w:r>
          </w:p>
        </w:tc>
        <w:tc>
          <w:tcPr>
            <w:tcW w:w="1071" w:type="dxa"/>
            <w:shd w:val="clear" w:color="auto" w:fill="auto"/>
            <w:vAlign w:val="center"/>
          </w:tcPr>
          <w:p w14:paraId="572B620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365C4AA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Benjamin K, Vernon MK, Patrick DL, Perfetto E, Nestler-Parr S, Burke L</w:t>
            </w:r>
          </w:p>
        </w:tc>
        <w:tc>
          <w:tcPr>
            <w:tcW w:w="7010" w:type="dxa"/>
            <w:shd w:val="clear" w:color="auto" w:fill="auto"/>
            <w:vAlign w:val="center"/>
          </w:tcPr>
          <w:p w14:paraId="0DA8FE0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Patient-Reported Outcome and Observer-Reported Outcome Assessment in Rare Disease Clinical Trials: An Ispor Coa Emerging Good Practices Task Force Report</w:t>
            </w:r>
          </w:p>
        </w:tc>
        <w:tc>
          <w:tcPr>
            <w:tcW w:w="568" w:type="dxa"/>
            <w:shd w:val="clear" w:color="auto" w:fill="auto"/>
            <w:vAlign w:val="center"/>
          </w:tcPr>
          <w:p w14:paraId="2725203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69D83A9" w14:textId="77777777" w:rsidTr="004C3C90">
        <w:trPr>
          <w:trHeight w:val="20"/>
        </w:trPr>
        <w:tc>
          <w:tcPr>
            <w:tcW w:w="550" w:type="dxa"/>
            <w:shd w:val="clear" w:color="auto" w:fill="auto"/>
            <w:vAlign w:val="center"/>
          </w:tcPr>
          <w:p w14:paraId="1645592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930</w:t>
            </w:r>
          </w:p>
        </w:tc>
        <w:tc>
          <w:tcPr>
            <w:tcW w:w="1071" w:type="dxa"/>
            <w:shd w:val="clear" w:color="auto" w:fill="auto"/>
            <w:vAlign w:val="center"/>
          </w:tcPr>
          <w:p w14:paraId="7D7963C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34F7031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Maeda K, Kaneko M, Narukawa M, Arato T</w:t>
            </w:r>
          </w:p>
        </w:tc>
        <w:tc>
          <w:tcPr>
            <w:tcW w:w="7010" w:type="dxa"/>
            <w:shd w:val="clear" w:color="auto" w:fill="auto"/>
            <w:vAlign w:val="center"/>
          </w:tcPr>
          <w:p w14:paraId="033DA19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Points to Consider: Efficacy and Safety Evaluations in the Clinical Development of Ultra-Orphan Drugs</w:t>
            </w:r>
          </w:p>
        </w:tc>
        <w:tc>
          <w:tcPr>
            <w:tcW w:w="568" w:type="dxa"/>
            <w:shd w:val="clear" w:color="auto" w:fill="auto"/>
            <w:vAlign w:val="center"/>
          </w:tcPr>
          <w:p w14:paraId="6E6C95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15E6ADF7" w14:textId="77777777" w:rsidTr="004C3C90">
        <w:trPr>
          <w:trHeight w:val="20"/>
        </w:trPr>
        <w:tc>
          <w:tcPr>
            <w:tcW w:w="550" w:type="dxa"/>
            <w:shd w:val="clear" w:color="auto" w:fill="auto"/>
            <w:vAlign w:val="center"/>
          </w:tcPr>
          <w:p w14:paraId="73D0C6A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931</w:t>
            </w:r>
          </w:p>
        </w:tc>
        <w:tc>
          <w:tcPr>
            <w:tcW w:w="1071" w:type="dxa"/>
            <w:shd w:val="clear" w:color="auto" w:fill="auto"/>
            <w:vAlign w:val="center"/>
          </w:tcPr>
          <w:p w14:paraId="2B60FF5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433028A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Gagete E, Delazari Dos Santos L, Gomes de Pontes L, Morato Castro F</w:t>
            </w:r>
          </w:p>
        </w:tc>
        <w:tc>
          <w:tcPr>
            <w:tcW w:w="7010" w:type="dxa"/>
            <w:shd w:val="clear" w:color="auto" w:fill="auto"/>
            <w:vAlign w:val="center"/>
          </w:tcPr>
          <w:p w14:paraId="2993B70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Who Has Anaphylaxis in Brazil? Validation of a Questionnaire for Population Studies</w:t>
            </w:r>
          </w:p>
        </w:tc>
        <w:tc>
          <w:tcPr>
            <w:tcW w:w="568" w:type="dxa"/>
            <w:shd w:val="clear" w:color="auto" w:fill="auto"/>
            <w:vAlign w:val="center"/>
          </w:tcPr>
          <w:p w14:paraId="22E0674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A5C1104" w14:textId="77777777" w:rsidTr="004C3C90">
        <w:trPr>
          <w:trHeight w:val="20"/>
        </w:trPr>
        <w:tc>
          <w:tcPr>
            <w:tcW w:w="550" w:type="dxa"/>
            <w:shd w:val="clear" w:color="auto" w:fill="auto"/>
            <w:vAlign w:val="center"/>
          </w:tcPr>
          <w:p w14:paraId="4DACA5C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932</w:t>
            </w:r>
          </w:p>
        </w:tc>
        <w:tc>
          <w:tcPr>
            <w:tcW w:w="1071" w:type="dxa"/>
            <w:shd w:val="clear" w:color="auto" w:fill="auto"/>
            <w:vAlign w:val="center"/>
          </w:tcPr>
          <w:p w14:paraId="7360EDA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688B07F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Gibson JF, Huang J, Liu KJ, Carlson KR, Foss F, Choi J, et al. </w:t>
            </w:r>
          </w:p>
        </w:tc>
        <w:tc>
          <w:tcPr>
            <w:tcW w:w="7010" w:type="dxa"/>
            <w:shd w:val="clear" w:color="auto" w:fill="auto"/>
            <w:vAlign w:val="center"/>
          </w:tcPr>
          <w:p w14:paraId="38BEAF1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Cutaneous T-Cell Lymphoma (Ctcl): Current Practices in Blood Assessment and the Utility of T-Cell Receptor (Tcr)-Vbeta Chain Restriction</w:t>
            </w:r>
          </w:p>
        </w:tc>
        <w:tc>
          <w:tcPr>
            <w:tcW w:w="568" w:type="dxa"/>
            <w:shd w:val="clear" w:color="auto" w:fill="auto"/>
            <w:vAlign w:val="center"/>
          </w:tcPr>
          <w:p w14:paraId="0650871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3396AB2F" w14:textId="77777777" w:rsidTr="004C3C90">
        <w:trPr>
          <w:trHeight w:val="20"/>
        </w:trPr>
        <w:tc>
          <w:tcPr>
            <w:tcW w:w="550" w:type="dxa"/>
            <w:shd w:val="clear" w:color="auto" w:fill="auto"/>
            <w:vAlign w:val="center"/>
          </w:tcPr>
          <w:p w14:paraId="1905AA1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933</w:t>
            </w:r>
          </w:p>
        </w:tc>
        <w:tc>
          <w:tcPr>
            <w:tcW w:w="1071" w:type="dxa"/>
            <w:shd w:val="clear" w:color="auto" w:fill="auto"/>
            <w:vAlign w:val="center"/>
          </w:tcPr>
          <w:p w14:paraId="095BBDF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1F93F67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Pelentsov LJ, Fielder AL, Laws TA, Esterman AJ</w:t>
            </w:r>
          </w:p>
        </w:tc>
        <w:tc>
          <w:tcPr>
            <w:tcW w:w="7010" w:type="dxa"/>
            <w:shd w:val="clear" w:color="auto" w:fill="auto"/>
            <w:vAlign w:val="center"/>
          </w:tcPr>
          <w:p w14:paraId="0A61FFA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Development of the Parental Needs Scale for Rare Diseases: A Tool for Measuring the Supportive Care Needs of Parents Caring for a Child with a Rare Disease</w:t>
            </w:r>
          </w:p>
        </w:tc>
        <w:tc>
          <w:tcPr>
            <w:tcW w:w="568" w:type="dxa"/>
            <w:shd w:val="clear" w:color="auto" w:fill="auto"/>
            <w:vAlign w:val="center"/>
          </w:tcPr>
          <w:p w14:paraId="6C988E4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52197EA9" w14:textId="77777777" w:rsidTr="004C3C90">
        <w:trPr>
          <w:trHeight w:val="20"/>
        </w:trPr>
        <w:tc>
          <w:tcPr>
            <w:tcW w:w="550" w:type="dxa"/>
            <w:shd w:val="clear" w:color="auto" w:fill="auto"/>
            <w:vAlign w:val="center"/>
          </w:tcPr>
          <w:p w14:paraId="3631F3E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934</w:t>
            </w:r>
          </w:p>
        </w:tc>
        <w:tc>
          <w:tcPr>
            <w:tcW w:w="1071" w:type="dxa"/>
            <w:shd w:val="clear" w:color="auto" w:fill="auto"/>
            <w:vAlign w:val="center"/>
          </w:tcPr>
          <w:p w14:paraId="3565D55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1EB6DD0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Porto G, Brissot P, Swinkels DW, et al.</w:t>
            </w:r>
          </w:p>
        </w:tc>
        <w:tc>
          <w:tcPr>
            <w:tcW w:w="7010" w:type="dxa"/>
            <w:shd w:val="clear" w:color="auto" w:fill="auto"/>
            <w:vAlign w:val="center"/>
          </w:tcPr>
          <w:p w14:paraId="684913C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Emqn Best Practice Guidelines for the Molecular Genetic Diagnosis of Hereditary Hemochromatosis (Hh)</w:t>
            </w:r>
          </w:p>
        </w:tc>
        <w:tc>
          <w:tcPr>
            <w:tcW w:w="568" w:type="dxa"/>
            <w:shd w:val="clear" w:color="auto" w:fill="auto"/>
            <w:vAlign w:val="center"/>
          </w:tcPr>
          <w:p w14:paraId="56889DC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2C84122B" w14:textId="77777777" w:rsidTr="004C3C90">
        <w:trPr>
          <w:trHeight w:val="20"/>
        </w:trPr>
        <w:tc>
          <w:tcPr>
            <w:tcW w:w="550" w:type="dxa"/>
            <w:shd w:val="clear" w:color="auto" w:fill="auto"/>
            <w:vAlign w:val="center"/>
          </w:tcPr>
          <w:p w14:paraId="371CE90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935</w:t>
            </w:r>
          </w:p>
        </w:tc>
        <w:tc>
          <w:tcPr>
            <w:tcW w:w="1071" w:type="dxa"/>
            <w:shd w:val="clear" w:color="auto" w:fill="auto"/>
            <w:vAlign w:val="center"/>
          </w:tcPr>
          <w:p w14:paraId="6B25280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0B7E91D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Rubbini M</w:t>
            </w:r>
          </w:p>
        </w:tc>
        <w:tc>
          <w:tcPr>
            <w:tcW w:w="7010" w:type="dxa"/>
            <w:shd w:val="clear" w:color="auto" w:fill="auto"/>
            <w:vAlign w:val="center"/>
          </w:tcPr>
          <w:p w14:paraId="11AE404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European Network of Coloproctology: A Strategy Towards the European Research and Healthcare System</w:t>
            </w:r>
          </w:p>
        </w:tc>
        <w:tc>
          <w:tcPr>
            <w:tcW w:w="568" w:type="dxa"/>
            <w:shd w:val="clear" w:color="auto" w:fill="auto"/>
            <w:vAlign w:val="center"/>
          </w:tcPr>
          <w:p w14:paraId="64E47C5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17E361D3" w14:textId="77777777" w:rsidTr="004C3C90">
        <w:trPr>
          <w:trHeight w:val="20"/>
        </w:trPr>
        <w:tc>
          <w:tcPr>
            <w:tcW w:w="550" w:type="dxa"/>
            <w:shd w:val="clear" w:color="auto" w:fill="auto"/>
            <w:vAlign w:val="center"/>
          </w:tcPr>
          <w:p w14:paraId="61B9C44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936</w:t>
            </w:r>
          </w:p>
        </w:tc>
        <w:tc>
          <w:tcPr>
            <w:tcW w:w="1071" w:type="dxa"/>
            <w:shd w:val="clear" w:color="auto" w:fill="auto"/>
            <w:vAlign w:val="center"/>
          </w:tcPr>
          <w:p w14:paraId="2EAC9F2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2F628B9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Balbi B, Vallese D, Chavannes N, Stallberg B, Baiardi P</w:t>
            </w:r>
          </w:p>
        </w:tc>
        <w:tc>
          <w:tcPr>
            <w:tcW w:w="7010" w:type="dxa"/>
            <w:shd w:val="clear" w:color="auto" w:fill="auto"/>
            <w:vAlign w:val="center"/>
          </w:tcPr>
          <w:p w14:paraId="7290D87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General Practitioners and Rare Lung Diseases: A Task Force for the Development of Rare Lung Diseases Educational Material</w:t>
            </w:r>
          </w:p>
        </w:tc>
        <w:tc>
          <w:tcPr>
            <w:tcW w:w="568" w:type="dxa"/>
            <w:shd w:val="clear" w:color="auto" w:fill="auto"/>
            <w:vAlign w:val="center"/>
          </w:tcPr>
          <w:p w14:paraId="39CD668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20DC71EF" w14:textId="77777777" w:rsidTr="004C3C90">
        <w:trPr>
          <w:trHeight w:val="20"/>
        </w:trPr>
        <w:tc>
          <w:tcPr>
            <w:tcW w:w="550" w:type="dxa"/>
            <w:shd w:val="clear" w:color="auto" w:fill="auto"/>
            <w:vAlign w:val="center"/>
          </w:tcPr>
          <w:p w14:paraId="092C9D2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937</w:t>
            </w:r>
          </w:p>
        </w:tc>
        <w:tc>
          <w:tcPr>
            <w:tcW w:w="1071" w:type="dxa"/>
            <w:shd w:val="clear" w:color="auto" w:fill="auto"/>
            <w:vAlign w:val="center"/>
          </w:tcPr>
          <w:p w14:paraId="0F953E7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6B8AA45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Iskrov G, Miteva-Katrandzhieva T, Stefanov R.</w:t>
            </w:r>
          </w:p>
        </w:tc>
        <w:tc>
          <w:tcPr>
            <w:tcW w:w="7010" w:type="dxa"/>
            <w:shd w:val="clear" w:color="auto" w:fill="auto"/>
            <w:vAlign w:val="center"/>
          </w:tcPr>
          <w:p w14:paraId="40CF652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Multi-Criteria Decision Analysis for Assessment and Appraisal of Orphan Drugs</w:t>
            </w:r>
          </w:p>
        </w:tc>
        <w:tc>
          <w:tcPr>
            <w:tcW w:w="568" w:type="dxa"/>
            <w:shd w:val="clear" w:color="auto" w:fill="auto"/>
            <w:vAlign w:val="center"/>
          </w:tcPr>
          <w:p w14:paraId="6F68C1B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35403F43" w14:textId="77777777" w:rsidTr="004C3C90">
        <w:trPr>
          <w:trHeight w:val="20"/>
        </w:trPr>
        <w:tc>
          <w:tcPr>
            <w:tcW w:w="550" w:type="dxa"/>
            <w:shd w:val="clear" w:color="auto" w:fill="auto"/>
            <w:vAlign w:val="center"/>
          </w:tcPr>
          <w:p w14:paraId="440B996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938</w:t>
            </w:r>
          </w:p>
        </w:tc>
        <w:tc>
          <w:tcPr>
            <w:tcW w:w="1071" w:type="dxa"/>
            <w:shd w:val="clear" w:color="auto" w:fill="auto"/>
            <w:vAlign w:val="center"/>
          </w:tcPr>
          <w:p w14:paraId="0C087AA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3C57278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Coler-Reilly AL, Yagishita N, Suzuki H, Sato T, Aray N, Lnoue E, et al.</w:t>
            </w:r>
          </w:p>
        </w:tc>
        <w:tc>
          <w:tcPr>
            <w:tcW w:w="7010" w:type="dxa"/>
            <w:shd w:val="clear" w:color="auto" w:fill="auto"/>
            <w:vAlign w:val="center"/>
          </w:tcPr>
          <w:p w14:paraId="7694100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Nation-Wide Epidemiological Study of Japanese Patients with Rare Viral Myelopathy Using Novel Registration System (Ham-Net)</w:t>
            </w:r>
          </w:p>
        </w:tc>
        <w:tc>
          <w:tcPr>
            <w:tcW w:w="568" w:type="dxa"/>
            <w:shd w:val="clear" w:color="auto" w:fill="auto"/>
            <w:vAlign w:val="center"/>
          </w:tcPr>
          <w:p w14:paraId="2936C56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593F191A" w14:textId="77777777" w:rsidTr="004C3C90">
        <w:trPr>
          <w:trHeight w:val="20"/>
        </w:trPr>
        <w:tc>
          <w:tcPr>
            <w:tcW w:w="550" w:type="dxa"/>
            <w:shd w:val="clear" w:color="auto" w:fill="auto"/>
            <w:vAlign w:val="center"/>
          </w:tcPr>
          <w:p w14:paraId="7CC7B95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939</w:t>
            </w:r>
          </w:p>
        </w:tc>
        <w:tc>
          <w:tcPr>
            <w:tcW w:w="1071" w:type="dxa"/>
            <w:shd w:val="clear" w:color="auto" w:fill="auto"/>
            <w:vAlign w:val="center"/>
          </w:tcPr>
          <w:p w14:paraId="151D395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1D2C604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Edwards PC, Graham J, Oling R, Frantz KE</w:t>
            </w:r>
          </w:p>
        </w:tc>
        <w:tc>
          <w:tcPr>
            <w:tcW w:w="7010" w:type="dxa"/>
            <w:shd w:val="clear" w:color="auto" w:fill="auto"/>
            <w:vAlign w:val="center"/>
          </w:tcPr>
          <w:p w14:paraId="4A76F9D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Patient Educator Presentation in Dental Education: Reinforcing the Importance of Learning About Rare Conditions</w:t>
            </w:r>
          </w:p>
        </w:tc>
        <w:tc>
          <w:tcPr>
            <w:tcW w:w="568" w:type="dxa"/>
            <w:shd w:val="clear" w:color="auto" w:fill="auto"/>
            <w:vAlign w:val="center"/>
          </w:tcPr>
          <w:p w14:paraId="515C33E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3969EFC8" w14:textId="77777777" w:rsidTr="004C3C90">
        <w:trPr>
          <w:trHeight w:val="20"/>
        </w:trPr>
        <w:tc>
          <w:tcPr>
            <w:tcW w:w="550" w:type="dxa"/>
            <w:shd w:val="clear" w:color="auto" w:fill="auto"/>
            <w:vAlign w:val="center"/>
          </w:tcPr>
          <w:p w14:paraId="64B2D68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940</w:t>
            </w:r>
          </w:p>
        </w:tc>
        <w:tc>
          <w:tcPr>
            <w:tcW w:w="1071" w:type="dxa"/>
            <w:shd w:val="clear" w:color="auto" w:fill="auto"/>
            <w:vAlign w:val="center"/>
          </w:tcPr>
          <w:p w14:paraId="3BDD025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28AE87E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Miller PA, Mulla SM, Adams-Webber T, Sivji Y, Guyatt GH, Johnston BC</w:t>
            </w:r>
          </w:p>
        </w:tc>
        <w:tc>
          <w:tcPr>
            <w:tcW w:w="7010" w:type="dxa"/>
            <w:shd w:val="clear" w:color="auto" w:fill="auto"/>
            <w:vAlign w:val="center"/>
          </w:tcPr>
          <w:p w14:paraId="4AA0CF1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Patient-Reported Outcomes in Rare Lysosomal Storage Diseases: Key Informant Interviews and a Systematic Review Protocol</w:t>
            </w:r>
          </w:p>
        </w:tc>
        <w:tc>
          <w:tcPr>
            <w:tcW w:w="568" w:type="dxa"/>
            <w:shd w:val="clear" w:color="auto" w:fill="auto"/>
            <w:vAlign w:val="center"/>
          </w:tcPr>
          <w:p w14:paraId="16363A5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26CFCE50" w14:textId="77777777" w:rsidTr="004C3C90">
        <w:trPr>
          <w:trHeight w:val="20"/>
        </w:trPr>
        <w:tc>
          <w:tcPr>
            <w:tcW w:w="550" w:type="dxa"/>
            <w:shd w:val="clear" w:color="auto" w:fill="auto"/>
            <w:vAlign w:val="center"/>
          </w:tcPr>
          <w:p w14:paraId="3020980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941</w:t>
            </w:r>
          </w:p>
        </w:tc>
        <w:tc>
          <w:tcPr>
            <w:tcW w:w="1071" w:type="dxa"/>
            <w:shd w:val="clear" w:color="auto" w:fill="auto"/>
            <w:vAlign w:val="center"/>
          </w:tcPr>
          <w:p w14:paraId="6D74621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24E3CC4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van der Heijden L, Piner SR, van de Sande MA</w:t>
            </w:r>
          </w:p>
        </w:tc>
        <w:tc>
          <w:tcPr>
            <w:tcW w:w="7010" w:type="dxa"/>
            <w:shd w:val="clear" w:color="auto" w:fill="auto"/>
            <w:vAlign w:val="center"/>
          </w:tcPr>
          <w:p w14:paraId="52204AA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Pigmented Villonodular Synovitis: A Crowdsourcing Study of Two Hundred and Seventy Two Patients</w:t>
            </w:r>
          </w:p>
        </w:tc>
        <w:tc>
          <w:tcPr>
            <w:tcW w:w="568" w:type="dxa"/>
            <w:shd w:val="clear" w:color="auto" w:fill="auto"/>
            <w:vAlign w:val="center"/>
          </w:tcPr>
          <w:p w14:paraId="3BDCF5D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4F03F465" w14:textId="77777777" w:rsidTr="004C3C90">
        <w:trPr>
          <w:trHeight w:val="20"/>
        </w:trPr>
        <w:tc>
          <w:tcPr>
            <w:tcW w:w="550" w:type="dxa"/>
            <w:shd w:val="clear" w:color="auto" w:fill="auto"/>
            <w:vAlign w:val="center"/>
          </w:tcPr>
          <w:p w14:paraId="0D2A960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942</w:t>
            </w:r>
          </w:p>
        </w:tc>
        <w:tc>
          <w:tcPr>
            <w:tcW w:w="1071" w:type="dxa"/>
            <w:shd w:val="clear" w:color="auto" w:fill="auto"/>
            <w:vAlign w:val="center"/>
          </w:tcPr>
          <w:p w14:paraId="35CB330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4F71B09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Dell SD, Leigh MW, Lucas JS, Ferkol TW, Knowles MR, Alpern A, et al. </w:t>
            </w:r>
          </w:p>
        </w:tc>
        <w:tc>
          <w:tcPr>
            <w:tcW w:w="7010" w:type="dxa"/>
            <w:shd w:val="clear" w:color="auto" w:fill="auto"/>
            <w:vAlign w:val="center"/>
          </w:tcPr>
          <w:p w14:paraId="5790864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Primary Ciliary Dyskinesia: First Health-Related Quality-of-Life Measures for Pediatric Patients</w:t>
            </w:r>
          </w:p>
        </w:tc>
        <w:tc>
          <w:tcPr>
            <w:tcW w:w="568" w:type="dxa"/>
            <w:shd w:val="clear" w:color="auto" w:fill="auto"/>
            <w:vAlign w:val="center"/>
          </w:tcPr>
          <w:p w14:paraId="5E7BD0B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055063F9" w14:textId="77777777" w:rsidTr="004C3C90">
        <w:trPr>
          <w:trHeight w:val="20"/>
        </w:trPr>
        <w:tc>
          <w:tcPr>
            <w:tcW w:w="550" w:type="dxa"/>
            <w:shd w:val="clear" w:color="auto" w:fill="auto"/>
            <w:vAlign w:val="center"/>
          </w:tcPr>
          <w:p w14:paraId="65C3ABB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943</w:t>
            </w:r>
          </w:p>
        </w:tc>
        <w:tc>
          <w:tcPr>
            <w:tcW w:w="1071" w:type="dxa"/>
            <w:shd w:val="clear" w:color="auto" w:fill="auto"/>
            <w:vAlign w:val="center"/>
          </w:tcPr>
          <w:p w14:paraId="1E9E9FD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4665A15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Coi A, Santoro M, Villaverde-Hueso A, Lipucci Di Paola M, Gainotti S, Taruscio D, et al. </w:t>
            </w:r>
          </w:p>
        </w:tc>
        <w:tc>
          <w:tcPr>
            <w:tcW w:w="7010" w:type="dxa"/>
            <w:shd w:val="clear" w:color="auto" w:fill="auto"/>
            <w:vAlign w:val="center"/>
          </w:tcPr>
          <w:p w14:paraId="43EC4C7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Quality of Rare Disease Registries: Evaluation and Characterization</w:t>
            </w:r>
          </w:p>
        </w:tc>
        <w:tc>
          <w:tcPr>
            <w:tcW w:w="568" w:type="dxa"/>
            <w:shd w:val="clear" w:color="auto" w:fill="auto"/>
            <w:vAlign w:val="center"/>
          </w:tcPr>
          <w:p w14:paraId="5B3E6FB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5E74838E" w14:textId="77777777" w:rsidTr="004C3C90">
        <w:trPr>
          <w:trHeight w:val="20"/>
        </w:trPr>
        <w:tc>
          <w:tcPr>
            <w:tcW w:w="550" w:type="dxa"/>
            <w:shd w:val="clear" w:color="auto" w:fill="auto"/>
            <w:vAlign w:val="center"/>
          </w:tcPr>
          <w:p w14:paraId="78180C8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944</w:t>
            </w:r>
          </w:p>
        </w:tc>
        <w:tc>
          <w:tcPr>
            <w:tcW w:w="1071" w:type="dxa"/>
            <w:shd w:val="clear" w:color="auto" w:fill="auto"/>
            <w:vAlign w:val="center"/>
          </w:tcPr>
          <w:p w14:paraId="4DA5F61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72DF39E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Paściak M, Dacko W, Sikora J, Gurlaga D, Pawlik K, Miękisiak G, et al. </w:t>
            </w:r>
          </w:p>
        </w:tc>
        <w:tc>
          <w:tcPr>
            <w:tcW w:w="7010" w:type="dxa"/>
            <w:shd w:val="clear" w:color="auto" w:fill="auto"/>
            <w:vAlign w:val="center"/>
          </w:tcPr>
          <w:p w14:paraId="78BD59C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Creation of an in-House Matrix-Assisted Laser Desorption Ionization-Time of Flight Mass Spectrometry Corynebacterineae Database Overcomes Difficulties in Identification of Nocardia Farcinica Clinical Isolates</w:t>
            </w:r>
          </w:p>
        </w:tc>
        <w:tc>
          <w:tcPr>
            <w:tcW w:w="568" w:type="dxa"/>
            <w:shd w:val="clear" w:color="auto" w:fill="auto"/>
            <w:vAlign w:val="center"/>
          </w:tcPr>
          <w:p w14:paraId="132A726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565D73B" w14:textId="77777777" w:rsidTr="004C3C90">
        <w:trPr>
          <w:trHeight w:val="20"/>
        </w:trPr>
        <w:tc>
          <w:tcPr>
            <w:tcW w:w="550" w:type="dxa"/>
            <w:shd w:val="clear" w:color="auto" w:fill="auto"/>
            <w:vAlign w:val="center"/>
          </w:tcPr>
          <w:p w14:paraId="36E7D52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945</w:t>
            </w:r>
          </w:p>
        </w:tc>
        <w:tc>
          <w:tcPr>
            <w:tcW w:w="1071" w:type="dxa"/>
            <w:shd w:val="clear" w:color="auto" w:fill="auto"/>
            <w:vAlign w:val="center"/>
          </w:tcPr>
          <w:p w14:paraId="76E7EDB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3A983F9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Watanabe Y, Sumida W, Takasu H, Oshima K, Kanamori Y, Uchida K, et al. </w:t>
            </w:r>
          </w:p>
        </w:tc>
        <w:tc>
          <w:tcPr>
            <w:tcW w:w="7010" w:type="dxa"/>
            <w:shd w:val="clear" w:color="auto" w:fill="auto"/>
            <w:vAlign w:val="center"/>
          </w:tcPr>
          <w:p w14:paraId="7DCBFB6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Early Jejunostomy Creation in Cases of Isolated Hypoganglionosis: Verification of Our Own Experience Based on a National Survey</w:t>
            </w:r>
          </w:p>
        </w:tc>
        <w:tc>
          <w:tcPr>
            <w:tcW w:w="568" w:type="dxa"/>
            <w:shd w:val="clear" w:color="auto" w:fill="auto"/>
            <w:vAlign w:val="center"/>
          </w:tcPr>
          <w:p w14:paraId="1577F10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591AAEE" w14:textId="77777777" w:rsidTr="004C3C90">
        <w:trPr>
          <w:trHeight w:val="20"/>
        </w:trPr>
        <w:tc>
          <w:tcPr>
            <w:tcW w:w="550" w:type="dxa"/>
            <w:shd w:val="clear" w:color="auto" w:fill="auto"/>
            <w:vAlign w:val="center"/>
          </w:tcPr>
          <w:p w14:paraId="1EFED5C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946</w:t>
            </w:r>
          </w:p>
        </w:tc>
        <w:tc>
          <w:tcPr>
            <w:tcW w:w="1071" w:type="dxa"/>
            <w:shd w:val="clear" w:color="auto" w:fill="auto"/>
            <w:vAlign w:val="center"/>
          </w:tcPr>
          <w:p w14:paraId="315C7AA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43DB25F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Larrandaburu M, Matte U, Noble A, Olivera Z, Sanseverino MT, Nacul L, et al. </w:t>
            </w:r>
          </w:p>
        </w:tc>
        <w:tc>
          <w:tcPr>
            <w:tcW w:w="7010" w:type="dxa"/>
            <w:shd w:val="clear" w:color="auto" w:fill="auto"/>
            <w:vAlign w:val="center"/>
          </w:tcPr>
          <w:p w14:paraId="494BB2B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Ethics, Genetics and Public Policies in Uruguay: Newborn and Infant Screening as a Paradigm</w:t>
            </w:r>
          </w:p>
        </w:tc>
        <w:tc>
          <w:tcPr>
            <w:tcW w:w="568" w:type="dxa"/>
            <w:shd w:val="clear" w:color="auto" w:fill="auto"/>
            <w:vAlign w:val="center"/>
          </w:tcPr>
          <w:p w14:paraId="781415B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DB6457C" w14:textId="77777777" w:rsidTr="004C3C90">
        <w:trPr>
          <w:trHeight w:val="20"/>
        </w:trPr>
        <w:tc>
          <w:tcPr>
            <w:tcW w:w="550" w:type="dxa"/>
            <w:shd w:val="clear" w:color="auto" w:fill="auto"/>
            <w:vAlign w:val="center"/>
          </w:tcPr>
          <w:p w14:paraId="30572EC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947</w:t>
            </w:r>
          </w:p>
        </w:tc>
        <w:tc>
          <w:tcPr>
            <w:tcW w:w="1071" w:type="dxa"/>
            <w:shd w:val="clear" w:color="auto" w:fill="auto"/>
            <w:vAlign w:val="center"/>
          </w:tcPr>
          <w:p w14:paraId="1BAA324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6B56B6A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Berlage S, Grüßner S, Lack N, Franz HB</w:t>
            </w:r>
          </w:p>
        </w:tc>
        <w:tc>
          <w:tcPr>
            <w:tcW w:w="7010" w:type="dxa"/>
            <w:shd w:val="clear" w:color="auto" w:fill="auto"/>
            <w:vAlign w:val="center"/>
          </w:tcPr>
          <w:p w14:paraId="78AA636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Geross (German Obstetric Surveillance System). A Project to Improve the Treatment of Obstetric Rare Diseases and Complications Using a Web Based Documentation and Information Platform</w:t>
            </w:r>
          </w:p>
        </w:tc>
        <w:tc>
          <w:tcPr>
            <w:tcW w:w="568" w:type="dxa"/>
            <w:shd w:val="clear" w:color="auto" w:fill="auto"/>
            <w:vAlign w:val="center"/>
          </w:tcPr>
          <w:p w14:paraId="3BB584D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AE4BFDC" w14:textId="77777777" w:rsidTr="004C3C90">
        <w:trPr>
          <w:trHeight w:val="20"/>
        </w:trPr>
        <w:tc>
          <w:tcPr>
            <w:tcW w:w="550" w:type="dxa"/>
            <w:shd w:val="clear" w:color="auto" w:fill="auto"/>
            <w:vAlign w:val="center"/>
          </w:tcPr>
          <w:p w14:paraId="149478E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948</w:t>
            </w:r>
          </w:p>
        </w:tc>
        <w:tc>
          <w:tcPr>
            <w:tcW w:w="1071" w:type="dxa"/>
            <w:shd w:val="clear" w:color="auto" w:fill="auto"/>
            <w:vAlign w:val="center"/>
          </w:tcPr>
          <w:p w14:paraId="1EEFA52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6AA0154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Santoro M, Coi A, Lipucci Di Paola M, Bianucci AM, Gainotti S, Mollo E, et al. </w:t>
            </w:r>
          </w:p>
        </w:tc>
        <w:tc>
          <w:tcPr>
            <w:tcW w:w="7010" w:type="dxa"/>
            <w:shd w:val="clear" w:color="auto" w:fill="auto"/>
            <w:vAlign w:val="center"/>
          </w:tcPr>
          <w:p w14:paraId="1A5CF02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Rare Disease Registries Classification and Characterization: A Data Mining Approach</w:t>
            </w:r>
          </w:p>
        </w:tc>
        <w:tc>
          <w:tcPr>
            <w:tcW w:w="568" w:type="dxa"/>
            <w:shd w:val="clear" w:color="auto" w:fill="auto"/>
            <w:vAlign w:val="center"/>
          </w:tcPr>
          <w:p w14:paraId="7A76CEB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202F7090" w14:textId="77777777" w:rsidTr="004C3C90">
        <w:trPr>
          <w:trHeight w:val="20"/>
        </w:trPr>
        <w:tc>
          <w:tcPr>
            <w:tcW w:w="550" w:type="dxa"/>
            <w:shd w:val="clear" w:color="auto" w:fill="auto"/>
            <w:vAlign w:val="center"/>
          </w:tcPr>
          <w:p w14:paraId="74A1271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949</w:t>
            </w:r>
          </w:p>
        </w:tc>
        <w:tc>
          <w:tcPr>
            <w:tcW w:w="1071" w:type="dxa"/>
            <w:shd w:val="clear" w:color="auto" w:fill="auto"/>
            <w:vAlign w:val="center"/>
          </w:tcPr>
          <w:p w14:paraId="6566C60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32C8A8E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van der Meijden JC, Güngör D, Kruijshaar ME, Muir AD, Broekgaarden HA, van der Ploeg AT</w:t>
            </w:r>
          </w:p>
        </w:tc>
        <w:tc>
          <w:tcPr>
            <w:tcW w:w="7010" w:type="dxa"/>
            <w:shd w:val="clear" w:color="auto" w:fill="auto"/>
            <w:vAlign w:val="center"/>
          </w:tcPr>
          <w:p w14:paraId="5703968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Ten Years of the International Pompe Survey: Patient Reported Outcomes as a Reliable Tool for Studying Treated and Untreated Children and Adults with Non-Classic Pompe Disease</w:t>
            </w:r>
          </w:p>
        </w:tc>
        <w:tc>
          <w:tcPr>
            <w:tcW w:w="568" w:type="dxa"/>
            <w:shd w:val="clear" w:color="auto" w:fill="auto"/>
            <w:vAlign w:val="center"/>
          </w:tcPr>
          <w:p w14:paraId="3FB1B9B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1A766CCB" w14:textId="77777777" w:rsidTr="004C3C90">
        <w:trPr>
          <w:trHeight w:val="20"/>
        </w:trPr>
        <w:tc>
          <w:tcPr>
            <w:tcW w:w="550" w:type="dxa"/>
            <w:shd w:val="clear" w:color="auto" w:fill="auto"/>
            <w:vAlign w:val="center"/>
          </w:tcPr>
          <w:p w14:paraId="56FE032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950</w:t>
            </w:r>
          </w:p>
        </w:tc>
        <w:tc>
          <w:tcPr>
            <w:tcW w:w="1071" w:type="dxa"/>
            <w:shd w:val="clear" w:color="auto" w:fill="auto"/>
            <w:vAlign w:val="center"/>
          </w:tcPr>
          <w:p w14:paraId="69CCBE6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6EB11BD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Schmiedeke E, de Blaauw I, Lacher M, Grasshoff-Derr S, Garcia-Vazquez A, Giuliani S, et al. </w:t>
            </w:r>
          </w:p>
        </w:tc>
        <w:tc>
          <w:tcPr>
            <w:tcW w:w="7010" w:type="dxa"/>
            <w:shd w:val="clear" w:color="auto" w:fill="auto"/>
            <w:vAlign w:val="center"/>
          </w:tcPr>
          <w:p w14:paraId="1B86815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Towards the Perfect Arm Center: The European Union’s Criteria for Centers of Expertise and Their Implementation in the Member States. A Report from the Arm-Net</w:t>
            </w:r>
          </w:p>
        </w:tc>
        <w:tc>
          <w:tcPr>
            <w:tcW w:w="568" w:type="dxa"/>
            <w:shd w:val="clear" w:color="auto" w:fill="auto"/>
            <w:vAlign w:val="center"/>
          </w:tcPr>
          <w:p w14:paraId="121DC0B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761F0982" w14:textId="77777777" w:rsidTr="004C3C90">
        <w:trPr>
          <w:trHeight w:val="20"/>
        </w:trPr>
        <w:tc>
          <w:tcPr>
            <w:tcW w:w="550" w:type="dxa"/>
            <w:shd w:val="clear" w:color="auto" w:fill="auto"/>
            <w:vAlign w:val="center"/>
          </w:tcPr>
          <w:p w14:paraId="4C38727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951</w:t>
            </w:r>
          </w:p>
        </w:tc>
        <w:tc>
          <w:tcPr>
            <w:tcW w:w="1071" w:type="dxa"/>
            <w:shd w:val="clear" w:color="auto" w:fill="auto"/>
            <w:vAlign w:val="center"/>
          </w:tcPr>
          <w:p w14:paraId="2C8B834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7F387BB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Hubert K, Sideridis G, Sherlock R, Queally J, Rosoklija I, Kringle G, et al. </w:t>
            </w:r>
          </w:p>
        </w:tc>
        <w:tc>
          <w:tcPr>
            <w:tcW w:w="7010" w:type="dxa"/>
            <w:shd w:val="clear" w:color="auto" w:fill="auto"/>
            <w:vAlign w:val="center"/>
          </w:tcPr>
          <w:p w14:paraId="34EFAA9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Validation of a Bowel Dysfunction Instrument for Adolescents with Spina Bifida</w:t>
            </w:r>
          </w:p>
        </w:tc>
        <w:tc>
          <w:tcPr>
            <w:tcW w:w="568" w:type="dxa"/>
            <w:shd w:val="clear" w:color="auto" w:fill="auto"/>
            <w:vAlign w:val="center"/>
          </w:tcPr>
          <w:p w14:paraId="696F83C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6161D728" w14:textId="77777777" w:rsidTr="004C3C90">
        <w:trPr>
          <w:trHeight w:val="20"/>
        </w:trPr>
        <w:tc>
          <w:tcPr>
            <w:tcW w:w="550" w:type="dxa"/>
            <w:shd w:val="clear" w:color="auto" w:fill="auto"/>
            <w:vAlign w:val="center"/>
          </w:tcPr>
          <w:p w14:paraId="1FBCC47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952</w:t>
            </w:r>
          </w:p>
        </w:tc>
        <w:tc>
          <w:tcPr>
            <w:tcW w:w="1071" w:type="dxa"/>
            <w:shd w:val="clear" w:color="auto" w:fill="auto"/>
            <w:vAlign w:val="center"/>
          </w:tcPr>
          <w:p w14:paraId="27CA46B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16080F3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Silberstein E, Pagkalos VA, Landau D, Berezovsky AB, Krieger Y, Shoham Y</w:t>
            </w:r>
            <w:r w:rsidRPr="004C3C90">
              <w:rPr>
                <w:rFonts w:ascii="Times New Roman" w:eastAsia="Times New Roman" w:hAnsi="Times New Roman" w:cs="Times New Roman"/>
                <w:sz w:val="20"/>
                <w:szCs w:val="20"/>
                <w:highlight w:val="white"/>
              </w:rPr>
              <w:t>, et al.</w:t>
            </w:r>
          </w:p>
        </w:tc>
        <w:tc>
          <w:tcPr>
            <w:tcW w:w="7010" w:type="dxa"/>
            <w:shd w:val="clear" w:color="auto" w:fill="auto"/>
            <w:vAlign w:val="center"/>
          </w:tcPr>
          <w:p w14:paraId="4E3C429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Aplasia Cutis Congenita: Clinical Management and a New Classification System</w:t>
            </w:r>
          </w:p>
        </w:tc>
        <w:tc>
          <w:tcPr>
            <w:tcW w:w="568" w:type="dxa"/>
            <w:shd w:val="clear" w:color="auto" w:fill="auto"/>
            <w:vAlign w:val="center"/>
          </w:tcPr>
          <w:p w14:paraId="78D368A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5AEB7991" w14:textId="77777777" w:rsidTr="004C3C90">
        <w:trPr>
          <w:trHeight w:val="20"/>
        </w:trPr>
        <w:tc>
          <w:tcPr>
            <w:tcW w:w="550" w:type="dxa"/>
            <w:shd w:val="clear" w:color="auto" w:fill="auto"/>
            <w:vAlign w:val="center"/>
          </w:tcPr>
          <w:p w14:paraId="0187FE5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953</w:t>
            </w:r>
          </w:p>
        </w:tc>
        <w:tc>
          <w:tcPr>
            <w:tcW w:w="1071" w:type="dxa"/>
            <w:shd w:val="clear" w:color="auto" w:fill="auto"/>
            <w:vAlign w:val="center"/>
          </w:tcPr>
          <w:p w14:paraId="5934024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3B49298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Stefanov R, Miteva-Katrandjieva Ts, Iskrov G, Damyanov D, Korukov B, Kermedchiev M, et al. </w:t>
            </w:r>
          </w:p>
        </w:tc>
        <w:tc>
          <w:tcPr>
            <w:tcW w:w="7010" w:type="dxa"/>
            <w:shd w:val="clear" w:color="auto" w:fill="auto"/>
            <w:vAlign w:val="center"/>
          </w:tcPr>
          <w:p w14:paraId="00C9FD8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Epidemiological Registry of Neuroendocrine Tumors in Bulgaria--a Pilot Survey</w:t>
            </w:r>
          </w:p>
        </w:tc>
        <w:tc>
          <w:tcPr>
            <w:tcW w:w="568" w:type="dxa"/>
            <w:shd w:val="clear" w:color="auto" w:fill="auto"/>
            <w:vAlign w:val="center"/>
          </w:tcPr>
          <w:p w14:paraId="600FD85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2D095128" w14:textId="77777777" w:rsidTr="004C3C90">
        <w:trPr>
          <w:trHeight w:val="20"/>
        </w:trPr>
        <w:tc>
          <w:tcPr>
            <w:tcW w:w="550" w:type="dxa"/>
            <w:shd w:val="clear" w:color="auto" w:fill="auto"/>
            <w:vAlign w:val="center"/>
          </w:tcPr>
          <w:p w14:paraId="16A38D9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954</w:t>
            </w:r>
          </w:p>
        </w:tc>
        <w:tc>
          <w:tcPr>
            <w:tcW w:w="1071" w:type="dxa"/>
            <w:shd w:val="clear" w:color="auto" w:fill="auto"/>
            <w:vAlign w:val="center"/>
          </w:tcPr>
          <w:p w14:paraId="1B7A97A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49184F9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Sievers C, Akmatov MK, Kreienbrock L, Hille K, Ahrens W, Günther K,</w:t>
            </w:r>
            <w:r w:rsidRPr="004C3C90">
              <w:rPr>
                <w:rFonts w:ascii="Times New Roman" w:eastAsia="Times New Roman" w:hAnsi="Times New Roman" w:cs="Times New Roman"/>
                <w:sz w:val="20"/>
                <w:szCs w:val="20"/>
                <w:highlight w:val="white"/>
              </w:rPr>
              <w:t xml:space="preserve"> et al.</w:t>
            </w:r>
          </w:p>
        </w:tc>
        <w:tc>
          <w:tcPr>
            <w:tcW w:w="7010" w:type="dxa"/>
            <w:shd w:val="clear" w:color="auto" w:fill="auto"/>
            <w:vAlign w:val="center"/>
          </w:tcPr>
          <w:p w14:paraId="44B2F62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Evaluation of a Questionnaire to Assess Selected Infectious Diseases and Their Risk Factors : Findings of a Multicenter Study</w:t>
            </w:r>
          </w:p>
        </w:tc>
        <w:tc>
          <w:tcPr>
            <w:tcW w:w="568" w:type="dxa"/>
            <w:shd w:val="clear" w:color="auto" w:fill="auto"/>
            <w:vAlign w:val="center"/>
          </w:tcPr>
          <w:p w14:paraId="20991D6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7C3EE68F" w14:textId="77777777" w:rsidTr="004C3C90">
        <w:trPr>
          <w:trHeight w:val="20"/>
        </w:trPr>
        <w:tc>
          <w:tcPr>
            <w:tcW w:w="550" w:type="dxa"/>
            <w:shd w:val="clear" w:color="auto" w:fill="auto"/>
            <w:vAlign w:val="center"/>
          </w:tcPr>
          <w:p w14:paraId="597B3E7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955</w:t>
            </w:r>
          </w:p>
        </w:tc>
        <w:tc>
          <w:tcPr>
            <w:tcW w:w="1071" w:type="dxa"/>
            <w:shd w:val="clear" w:color="auto" w:fill="auto"/>
            <w:vAlign w:val="center"/>
          </w:tcPr>
          <w:p w14:paraId="6818AB1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1568198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Lanzola G, Ginardi G, Russo P, Quaglini S</w:t>
            </w:r>
          </w:p>
        </w:tc>
        <w:tc>
          <w:tcPr>
            <w:tcW w:w="7010" w:type="dxa"/>
            <w:shd w:val="clear" w:color="auto" w:fill="auto"/>
            <w:vAlign w:val="center"/>
          </w:tcPr>
          <w:p w14:paraId="55A7FBC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G-Quest: A Single Platform for Delivering Questionnaires, Educational Material, and Checklists on Mobile Devices</w:t>
            </w:r>
          </w:p>
        </w:tc>
        <w:tc>
          <w:tcPr>
            <w:tcW w:w="568" w:type="dxa"/>
            <w:shd w:val="clear" w:color="auto" w:fill="auto"/>
            <w:vAlign w:val="center"/>
          </w:tcPr>
          <w:p w14:paraId="2873C45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1D2A9544" w14:textId="77777777" w:rsidTr="004C3C90">
        <w:trPr>
          <w:trHeight w:val="20"/>
        </w:trPr>
        <w:tc>
          <w:tcPr>
            <w:tcW w:w="550" w:type="dxa"/>
            <w:shd w:val="clear" w:color="auto" w:fill="auto"/>
            <w:vAlign w:val="center"/>
          </w:tcPr>
          <w:p w14:paraId="141FF05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956</w:t>
            </w:r>
          </w:p>
        </w:tc>
        <w:tc>
          <w:tcPr>
            <w:tcW w:w="1071" w:type="dxa"/>
            <w:shd w:val="clear" w:color="auto" w:fill="auto"/>
            <w:vAlign w:val="center"/>
          </w:tcPr>
          <w:p w14:paraId="28530A5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14C0D7A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Iczkowski KA, Egevad L, Ma J, Harding-Jackson N, Algaba F, Billis A, et al. </w:t>
            </w:r>
          </w:p>
        </w:tc>
        <w:tc>
          <w:tcPr>
            <w:tcW w:w="7010" w:type="dxa"/>
            <w:shd w:val="clear" w:color="auto" w:fill="auto"/>
            <w:vAlign w:val="center"/>
          </w:tcPr>
          <w:p w14:paraId="451D8A3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Intraductal Carcinoma of the Prostate: Interobserver Reproducibility Survey of 39 Urologic Pathologists</w:t>
            </w:r>
          </w:p>
        </w:tc>
        <w:tc>
          <w:tcPr>
            <w:tcW w:w="568" w:type="dxa"/>
            <w:shd w:val="clear" w:color="auto" w:fill="auto"/>
            <w:vAlign w:val="center"/>
          </w:tcPr>
          <w:p w14:paraId="194C3F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7BA062DD" w14:textId="77777777" w:rsidTr="004C3C90">
        <w:trPr>
          <w:trHeight w:val="20"/>
        </w:trPr>
        <w:tc>
          <w:tcPr>
            <w:tcW w:w="550" w:type="dxa"/>
            <w:shd w:val="clear" w:color="auto" w:fill="auto"/>
            <w:vAlign w:val="center"/>
          </w:tcPr>
          <w:p w14:paraId="05AD028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957</w:t>
            </w:r>
          </w:p>
        </w:tc>
        <w:tc>
          <w:tcPr>
            <w:tcW w:w="1071" w:type="dxa"/>
            <w:shd w:val="clear" w:color="auto" w:fill="auto"/>
            <w:vAlign w:val="center"/>
          </w:tcPr>
          <w:p w14:paraId="5947EBE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373219D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Poon JL, Doctor JN, Nichol MB</w:t>
            </w:r>
          </w:p>
        </w:tc>
        <w:tc>
          <w:tcPr>
            <w:tcW w:w="7010" w:type="dxa"/>
            <w:shd w:val="clear" w:color="auto" w:fill="auto"/>
            <w:vAlign w:val="center"/>
          </w:tcPr>
          <w:p w14:paraId="18154E6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Longitudinal Changes in Health-Related Quality of Life for Chronic Diseases: An Example in Hemophilia A</w:t>
            </w:r>
          </w:p>
        </w:tc>
        <w:tc>
          <w:tcPr>
            <w:tcW w:w="568" w:type="dxa"/>
            <w:shd w:val="clear" w:color="auto" w:fill="auto"/>
            <w:vAlign w:val="center"/>
          </w:tcPr>
          <w:p w14:paraId="046D995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217EEDA3" w14:textId="77777777" w:rsidTr="004C3C90">
        <w:trPr>
          <w:trHeight w:val="20"/>
        </w:trPr>
        <w:tc>
          <w:tcPr>
            <w:tcW w:w="550" w:type="dxa"/>
            <w:shd w:val="clear" w:color="auto" w:fill="auto"/>
            <w:vAlign w:val="center"/>
          </w:tcPr>
          <w:p w14:paraId="52FDA45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958</w:t>
            </w:r>
          </w:p>
        </w:tc>
        <w:tc>
          <w:tcPr>
            <w:tcW w:w="1071" w:type="dxa"/>
            <w:shd w:val="clear" w:color="auto" w:fill="auto"/>
            <w:vAlign w:val="center"/>
          </w:tcPr>
          <w:p w14:paraId="6796280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068A2B2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Mazzucato M, Visonà Dalla Pozza L, Manea S, Minichiello C, Facchin P</w:t>
            </w:r>
          </w:p>
        </w:tc>
        <w:tc>
          <w:tcPr>
            <w:tcW w:w="7010" w:type="dxa"/>
            <w:shd w:val="clear" w:color="auto" w:fill="auto"/>
            <w:vAlign w:val="center"/>
          </w:tcPr>
          <w:p w14:paraId="7DA70B4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Population-Based Registry as a Source of Health Indicators for Rare Diseases: The Ten-Year Experience of the Veneto Region's Rare Diseases Registry</w:t>
            </w:r>
          </w:p>
        </w:tc>
        <w:tc>
          <w:tcPr>
            <w:tcW w:w="568" w:type="dxa"/>
            <w:shd w:val="clear" w:color="auto" w:fill="auto"/>
            <w:vAlign w:val="center"/>
          </w:tcPr>
          <w:p w14:paraId="0C6889E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45D1D408" w14:textId="77777777" w:rsidTr="004C3C90">
        <w:trPr>
          <w:trHeight w:val="20"/>
        </w:trPr>
        <w:tc>
          <w:tcPr>
            <w:tcW w:w="550" w:type="dxa"/>
            <w:shd w:val="clear" w:color="auto" w:fill="auto"/>
            <w:vAlign w:val="center"/>
          </w:tcPr>
          <w:p w14:paraId="1D6F38B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959</w:t>
            </w:r>
          </w:p>
        </w:tc>
        <w:tc>
          <w:tcPr>
            <w:tcW w:w="1071" w:type="dxa"/>
            <w:shd w:val="clear" w:color="auto" w:fill="auto"/>
            <w:vAlign w:val="center"/>
          </w:tcPr>
          <w:p w14:paraId="4EDFAEA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763C254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Schumacher KR, Stringer KA, Donohue JE, et al.</w:t>
            </w:r>
          </w:p>
        </w:tc>
        <w:tc>
          <w:tcPr>
            <w:tcW w:w="7010" w:type="dxa"/>
            <w:shd w:val="clear" w:color="auto" w:fill="auto"/>
            <w:vAlign w:val="center"/>
          </w:tcPr>
          <w:p w14:paraId="7C6E916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Social Media Methods for Studying Rare Diseases</w:t>
            </w:r>
          </w:p>
        </w:tc>
        <w:tc>
          <w:tcPr>
            <w:tcW w:w="568" w:type="dxa"/>
            <w:shd w:val="clear" w:color="auto" w:fill="auto"/>
            <w:vAlign w:val="center"/>
          </w:tcPr>
          <w:p w14:paraId="38CDAF7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403148E3" w14:textId="77777777" w:rsidTr="004C3C90">
        <w:trPr>
          <w:trHeight w:val="20"/>
        </w:trPr>
        <w:tc>
          <w:tcPr>
            <w:tcW w:w="550" w:type="dxa"/>
            <w:shd w:val="clear" w:color="auto" w:fill="auto"/>
            <w:vAlign w:val="center"/>
          </w:tcPr>
          <w:p w14:paraId="1DC0024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960</w:t>
            </w:r>
          </w:p>
        </w:tc>
        <w:tc>
          <w:tcPr>
            <w:tcW w:w="1071" w:type="dxa"/>
            <w:shd w:val="clear" w:color="auto" w:fill="auto"/>
            <w:vAlign w:val="center"/>
          </w:tcPr>
          <w:p w14:paraId="6A247A0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1469E0F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Dajer-Fadel WL, Argüero-Sánchez R, Ibarra-Pérez C, Navarro-Reynoso FP</w:t>
            </w:r>
          </w:p>
        </w:tc>
        <w:tc>
          <w:tcPr>
            <w:tcW w:w="7010" w:type="dxa"/>
            <w:shd w:val="clear" w:color="auto" w:fill="auto"/>
            <w:vAlign w:val="center"/>
          </w:tcPr>
          <w:p w14:paraId="3CE7503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Systematic Review of Spontaneous Pneumomediastinum: A Survey of 22 Years' Data</w:t>
            </w:r>
          </w:p>
        </w:tc>
        <w:tc>
          <w:tcPr>
            <w:tcW w:w="568" w:type="dxa"/>
            <w:shd w:val="clear" w:color="auto" w:fill="auto"/>
            <w:vAlign w:val="center"/>
          </w:tcPr>
          <w:p w14:paraId="10FC756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24BFC182" w14:textId="77777777" w:rsidTr="004C3C90">
        <w:trPr>
          <w:trHeight w:val="20"/>
        </w:trPr>
        <w:tc>
          <w:tcPr>
            <w:tcW w:w="550" w:type="dxa"/>
            <w:shd w:val="clear" w:color="auto" w:fill="auto"/>
            <w:vAlign w:val="center"/>
          </w:tcPr>
          <w:p w14:paraId="3DC5FD1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961</w:t>
            </w:r>
          </w:p>
        </w:tc>
        <w:tc>
          <w:tcPr>
            <w:tcW w:w="1071" w:type="dxa"/>
            <w:shd w:val="clear" w:color="auto" w:fill="auto"/>
            <w:vAlign w:val="center"/>
          </w:tcPr>
          <w:p w14:paraId="6F8B1FE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4754359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Hayashi M</w:t>
            </w:r>
          </w:p>
        </w:tc>
        <w:tc>
          <w:tcPr>
            <w:tcW w:w="7010" w:type="dxa"/>
            <w:shd w:val="clear" w:color="auto" w:fill="auto"/>
            <w:vAlign w:val="center"/>
          </w:tcPr>
          <w:p w14:paraId="0497C25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Calciphylaxis: Diagnosis and Clinical Features</w:t>
            </w:r>
          </w:p>
        </w:tc>
        <w:tc>
          <w:tcPr>
            <w:tcW w:w="568" w:type="dxa"/>
            <w:shd w:val="clear" w:color="auto" w:fill="auto"/>
            <w:vAlign w:val="center"/>
          </w:tcPr>
          <w:p w14:paraId="4D071BB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4AF9F066" w14:textId="77777777" w:rsidTr="004C3C90">
        <w:trPr>
          <w:trHeight w:val="20"/>
        </w:trPr>
        <w:tc>
          <w:tcPr>
            <w:tcW w:w="550" w:type="dxa"/>
            <w:shd w:val="clear" w:color="auto" w:fill="auto"/>
            <w:vAlign w:val="center"/>
          </w:tcPr>
          <w:p w14:paraId="6B6F534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962</w:t>
            </w:r>
          </w:p>
        </w:tc>
        <w:tc>
          <w:tcPr>
            <w:tcW w:w="1071" w:type="dxa"/>
            <w:shd w:val="clear" w:color="auto" w:fill="auto"/>
            <w:vAlign w:val="center"/>
          </w:tcPr>
          <w:p w14:paraId="28DA5D0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5C2EA83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 xml:space="preserve"> Sparks R</w:t>
            </w:r>
          </w:p>
        </w:tc>
        <w:tc>
          <w:tcPr>
            <w:tcW w:w="7010" w:type="dxa"/>
            <w:shd w:val="clear" w:color="auto" w:fill="auto"/>
            <w:vAlign w:val="center"/>
          </w:tcPr>
          <w:p w14:paraId="04F8DA7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Challenges in Designing a Disease Surveillance Plan: What We Have and What We Need?</w:t>
            </w:r>
          </w:p>
        </w:tc>
        <w:tc>
          <w:tcPr>
            <w:tcW w:w="568" w:type="dxa"/>
            <w:shd w:val="clear" w:color="auto" w:fill="auto"/>
            <w:vAlign w:val="center"/>
          </w:tcPr>
          <w:p w14:paraId="59E1EAC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7D7AA24A" w14:textId="77777777" w:rsidTr="004C3C90">
        <w:trPr>
          <w:trHeight w:val="20"/>
        </w:trPr>
        <w:tc>
          <w:tcPr>
            <w:tcW w:w="550" w:type="dxa"/>
            <w:shd w:val="clear" w:color="auto" w:fill="auto"/>
            <w:vAlign w:val="center"/>
          </w:tcPr>
          <w:p w14:paraId="718853C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963</w:t>
            </w:r>
          </w:p>
        </w:tc>
        <w:tc>
          <w:tcPr>
            <w:tcW w:w="1071" w:type="dxa"/>
            <w:shd w:val="clear" w:color="auto" w:fill="auto"/>
            <w:vAlign w:val="center"/>
          </w:tcPr>
          <w:p w14:paraId="16036B5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1C38AA8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Klug GM, Wand H, Simpson M, Boyd A, Law M, Masters C et al. </w:t>
            </w:r>
          </w:p>
        </w:tc>
        <w:tc>
          <w:tcPr>
            <w:tcW w:w="7010" w:type="dxa"/>
            <w:shd w:val="clear" w:color="auto" w:fill="auto"/>
            <w:vAlign w:val="center"/>
          </w:tcPr>
          <w:p w14:paraId="44F2443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Intensity of Human Prion Disease Surveillance Predicts Observed Disease Incidence</w:t>
            </w:r>
          </w:p>
        </w:tc>
        <w:tc>
          <w:tcPr>
            <w:tcW w:w="568" w:type="dxa"/>
            <w:shd w:val="clear" w:color="auto" w:fill="auto"/>
            <w:vAlign w:val="center"/>
          </w:tcPr>
          <w:p w14:paraId="1D310AD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67A9A86F" w14:textId="77777777" w:rsidTr="004C3C90">
        <w:trPr>
          <w:trHeight w:val="20"/>
        </w:trPr>
        <w:tc>
          <w:tcPr>
            <w:tcW w:w="550" w:type="dxa"/>
            <w:shd w:val="clear" w:color="auto" w:fill="auto"/>
            <w:vAlign w:val="center"/>
          </w:tcPr>
          <w:p w14:paraId="64B0E13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964</w:t>
            </w:r>
          </w:p>
        </w:tc>
        <w:tc>
          <w:tcPr>
            <w:tcW w:w="1071" w:type="dxa"/>
            <w:shd w:val="clear" w:color="auto" w:fill="auto"/>
            <w:vAlign w:val="center"/>
          </w:tcPr>
          <w:p w14:paraId="70BC462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01DC443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Thompson AG, Lowe J, Fox Z, Lukic A, Porter MC, Ford L, et al. </w:t>
            </w:r>
          </w:p>
        </w:tc>
        <w:tc>
          <w:tcPr>
            <w:tcW w:w="7010" w:type="dxa"/>
            <w:shd w:val="clear" w:color="auto" w:fill="auto"/>
            <w:vAlign w:val="center"/>
          </w:tcPr>
          <w:p w14:paraId="7A31201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Medical Research Council Prion Disease Rating Scale: A New Outcome Measure for Prion Disease Therapeutic Trials Developed and Validated Using Systematic Observational Studies</w:t>
            </w:r>
          </w:p>
        </w:tc>
        <w:tc>
          <w:tcPr>
            <w:tcW w:w="568" w:type="dxa"/>
            <w:shd w:val="clear" w:color="auto" w:fill="auto"/>
            <w:vAlign w:val="center"/>
          </w:tcPr>
          <w:p w14:paraId="49A8B16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0DE13AA6" w14:textId="77777777" w:rsidTr="004C3C90">
        <w:trPr>
          <w:trHeight w:val="20"/>
        </w:trPr>
        <w:tc>
          <w:tcPr>
            <w:tcW w:w="550" w:type="dxa"/>
            <w:shd w:val="clear" w:color="auto" w:fill="auto"/>
            <w:vAlign w:val="center"/>
          </w:tcPr>
          <w:p w14:paraId="72AF8E2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965</w:t>
            </w:r>
          </w:p>
        </w:tc>
        <w:tc>
          <w:tcPr>
            <w:tcW w:w="1071" w:type="dxa"/>
            <w:shd w:val="clear" w:color="auto" w:fill="auto"/>
            <w:vAlign w:val="center"/>
          </w:tcPr>
          <w:p w14:paraId="53EC5FB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2E21576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Conway M, Dowling JN, Chapman WW</w:t>
            </w:r>
          </w:p>
        </w:tc>
        <w:tc>
          <w:tcPr>
            <w:tcW w:w="7010" w:type="dxa"/>
            <w:shd w:val="clear" w:color="auto" w:fill="auto"/>
            <w:vAlign w:val="center"/>
          </w:tcPr>
          <w:p w14:paraId="50222B4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Using Chief Complaints for Syndromic Surveillance: A Review of Chief Complaint Based Classifiers in North America</w:t>
            </w:r>
          </w:p>
        </w:tc>
        <w:tc>
          <w:tcPr>
            <w:tcW w:w="568" w:type="dxa"/>
            <w:shd w:val="clear" w:color="auto" w:fill="auto"/>
            <w:vAlign w:val="center"/>
          </w:tcPr>
          <w:p w14:paraId="49E268F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2013</w:t>
            </w:r>
          </w:p>
        </w:tc>
      </w:tr>
      <w:tr w:rsidR="004C3C90" w:rsidRPr="004C3C90" w14:paraId="29042F8B" w14:textId="77777777" w:rsidTr="004C3C90">
        <w:trPr>
          <w:trHeight w:val="20"/>
        </w:trPr>
        <w:tc>
          <w:tcPr>
            <w:tcW w:w="550" w:type="dxa"/>
            <w:shd w:val="clear" w:color="auto" w:fill="auto"/>
            <w:vAlign w:val="center"/>
          </w:tcPr>
          <w:p w14:paraId="1493BC4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966</w:t>
            </w:r>
          </w:p>
        </w:tc>
        <w:tc>
          <w:tcPr>
            <w:tcW w:w="1071" w:type="dxa"/>
            <w:shd w:val="clear" w:color="auto" w:fill="auto"/>
            <w:vAlign w:val="center"/>
          </w:tcPr>
          <w:p w14:paraId="02AA148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51E2761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Linertová R, Serrano-Aguilar P, Posada-de-la-Paz M, Hens-Pérez M, Kanavos P, Taruscio D, et al. </w:t>
            </w:r>
          </w:p>
        </w:tc>
        <w:tc>
          <w:tcPr>
            <w:tcW w:w="7010" w:type="dxa"/>
            <w:shd w:val="clear" w:color="auto" w:fill="auto"/>
            <w:vAlign w:val="center"/>
          </w:tcPr>
          <w:p w14:paraId="77D9B55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Delphi Approach to Select Rare Diseases for a European Representative Survey. The Burqol-Rd Study</w:t>
            </w:r>
          </w:p>
        </w:tc>
        <w:tc>
          <w:tcPr>
            <w:tcW w:w="568" w:type="dxa"/>
            <w:shd w:val="clear" w:color="auto" w:fill="auto"/>
            <w:vAlign w:val="center"/>
          </w:tcPr>
          <w:p w14:paraId="760E98A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3ED58F0C" w14:textId="77777777" w:rsidTr="004C3C90">
        <w:trPr>
          <w:trHeight w:val="20"/>
        </w:trPr>
        <w:tc>
          <w:tcPr>
            <w:tcW w:w="550" w:type="dxa"/>
            <w:shd w:val="clear" w:color="auto" w:fill="auto"/>
            <w:vAlign w:val="center"/>
          </w:tcPr>
          <w:p w14:paraId="20A0A35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967</w:t>
            </w:r>
          </w:p>
        </w:tc>
        <w:tc>
          <w:tcPr>
            <w:tcW w:w="1071" w:type="dxa"/>
            <w:shd w:val="clear" w:color="auto" w:fill="auto"/>
            <w:vAlign w:val="center"/>
          </w:tcPr>
          <w:p w14:paraId="4DA805A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41ED632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Ohkubo H, Iida H, Takahashi H, et al.</w:t>
            </w:r>
          </w:p>
        </w:tc>
        <w:tc>
          <w:tcPr>
            <w:tcW w:w="7010" w:type="dxa"/>
            <w:shd w:val="clear" w:color="auto" w:fill="auto"/>
            <w:vAlign w:val="center"/>
          </w:tcPr>
          <w:p w14:paraId="4B00E12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 Epidemiologic Survey of Chronic Intestinal Pseudo-Obstruction and Evaluation of the Newly Proposed Diagnostic Criteria</w:t>
            </w:r>
          </w:p>
        </w:tc>
        <w:tc>
          <w:tcPr>
            <w:tcW w:w="568" w:type="dxa"/>
            <w:shd w:val="clear" w:color="auto" w:fill="auto"/>
            <w:vAlign w:val="center"/>
          </w:tcPr>
          <w:p w14:paraId="7BCB3C4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416054AE" w14:textId="77777777" w:rsidTr="004C3C90">
        <w:trPr>
          <w:trHeight w:val="20"/>
        </w:trPr>
        <w:tc>
          <w:tcPr>
            <w:tcW w:w="550" w:type="dxa"/>
            <w:shd w:val="clear" w:color="auto" w:fill="auto"/>
            <w:vAlign w:val="center"/>
          </w:tcPr>
          <w:p w14:paraId="21DD8C0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968</w:t>
            </w:r>
          </w:p>
        </w:tc>
        <w:tc>
          <w:tcPr>
            <w:tcW w:w="1071" w:type="dxa"/>
            <w:shd w:val="clear" w:color="auto" w:fill="auto"/>
            <w:vAlign w:val="center"/>
          </w:tcPr>
          <w:p w14:paraId="4B5121F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0290B02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Kunisawa S, Ikai H, Imanaka Y</w:t>
            </w:r>
          </w:p>
        </w:tc>
        <w:tc>
          <w:tcPr>
            <w:tcW w:w="7010" w:type="dxa"/>
            <w:shd w:val="clear" w:color="auto" w:fill="auto"/>
            <w:vAlign w:val="center"/>
          </w:tcPr>
          <w:p w14:paraId="03C2EDE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Incidence and Prevention of Postoperative Venous Thromboembolism: Are They Meaningful Quality Indicators in Japanese Health Care Settings?</w:t>
            </w:r>
          </w:p>
        </w:tc>
        <w:tc>
          <w:tcPr>
            <w:tcW w:w="568" w:type="dxa"/>
            <w:shd w:val="clear" w:color="auto" w:fill="auto"/>
            <w:vAlign w:val="center"/>
          </w:tcPr>
          <w:p w14:paraId="682DD56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4BC92731" w14:textId="77777777" w:rsidTr="004C3C90">
        <w:trPr>
          <w:trHeight w:val="20"/>
        </w:trPr>
        <w:tc>
          <w:tcPr>
            <w:tcW w:w="550" w:type="dxa"/>
            <w:shd w:val="clear" w:color="auto" w:fill="auto"/>
            <w:vAlign w:val="center"/>
          </w:tcPr>
          <w:p w14:paraId="279D6F5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969</w:t>
            </w:r>
          </w:p>
        </w:tc>
        <w:tc>
          <w:tcPr>
            <w:tcW w:w="1071" w:type="dxa"/>
            <w:shd w:val="clear" w:color="auto" w:fill="auto"/>
            <w:vAlign w:val="center"/>
          </w:tcPr>
          <w:p w14:paraId="5DC4B45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5E48659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Kessel M, Hannemann-Weber H, Kratzer J</w:t>
            </w:r>
          </w:p>
        </w:tc>
        <w:tc>
          <w:tcPr>
            <w:tcW w:w="7010" w:type="dxa"/>
            <w:shd w:val="clear" w:color="auto" w:fill="auto"/>
            <w:vAlign w:val="center"/>
          </w:tcPr>
          <w:p w14:paraId="1A6E643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Innovative Work Behavior in Healthcare: The Benefit of Operational Guidelines in the Treatment of Rare Diseases</w:t>
            </w:r>
          </w:p>
        </w:tc>
        <w:tc>
          <w:tcPr>
            <w:tcW w:w="568" w:type="dxa"/>
            <w:shd w:val="clear" w:color="auto" w:fill="auto"/>
            <w:vAlign w:val="center"/>
          </w:tcPr>
          <w:p w14:paraId="18067BD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05FD9324" w14:textId="77777777" w:rsidTr="004C3C90">
        <w:trPr>
          <w:trHeight w:val="20"/>
        </w:trPr>
        <w:tc>
          <w:tcPr>
            <w:tcW w:w="550" w:type="dxa"/>
            <w:shd w:val="clear" w:color="auto" w:fill="auto"/>
            <w:vAlign w:val="center"/>
          </w:tcPr>
          <w:p w14:paraId="7EF15EF6"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970</w:t>
            </w:r>
          </w:p>
        </w:tc>
        <w:tc>
          <w:tcPr>
            <w:tcW w:w="1071" w:type="dxa"/>
            <w:shd w:val="clear" w:color="auto" w:fill="auto"/>
            <w:vAlign w:val="center"/>
          </w:tcPr>
          <w:p w14:paraId="0CD4ED3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5F9E305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Petrossians P, Tichomirowa MA, Stevenaert A, Martin D, Daly AF, Beckers A</w:t>
            </w:r>
          </w:p>
        </w:tc>
        <w:tc>
          <w:tcPr>
            <w:tcW w:w="7010" w:type="dxa"/>
            <w:shd w:val="clear" w:color="auto" w:fill="auto"/>
            <w:vAlign w:val="center"/>
          </w:tcPr>
          <w:p w14:paraId="52B0C0F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Liege Acromegaly Survey (Las): A New Software Tool for the Study of Acromegaly</w:t>
            </w:r>
          </w:p>
        </w:tc>
        <w:tc>
          <w:tcPr>
            <w:tcW w:w="568" w:type="dxa"/>
            <w:shd w:val="clear" w:color="auto" w:fill="auto"/>
            <w:vAlign w:val="center"/>
          </w:tcPr>
          <w:p w14:paraId="61E76A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512B885D" w14:textId="77777777" w:rsidTr="004C3C90">
        <w:trPr>
          <w:trHeight w:val="20"/>
        </w:trPr>
        <w:tc>
          <w:tcPr>
            <w:tcW w:w="550" w:type="dxa"/>
            <w:shd w:val="clear" w:color="auto" w:fill="auto"/>
            <w:vAlign w:val="center"/>
          </w:tcPr>
          <w:p w14:paraId="6C02706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971</w:t>
            </w:r>
          </w:p>
        </w:tc>
        <w:tc>
          <w:tcPr>
            <w:tcW w:w="1071" w:type="dxa"/>
            <w:shd w:val="clear" w:color="auto" w:fill="auto"/>
            <w:vAlign w:val="center"/>
          </w:tcPr>
          <w:p w14:paraId="349F966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6958FB7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Arnaud L, Devilliers H, Peng SL, Mathian A, Costedoat-Chalumeau N, Buckner J,</w:t>
            </w:r>
            <w:r w:rsidRPr="004C3C90">
              <w:rPr>
                <w:rFonts w:ascii="Times New Roman" w:eastAsia="Times New Roman" w:hAnsi="Times New Roman" w:cs="Times New Roman"/>
                <w:sz w:val="20"/>
                <w:szCs w:val="20"/>
                <w:highlight w:val="white"/>
              </w:rPr>
              <w:t xml:space="preserve"> et al.</w:t>
            </w:r>
          </w:p>
        </w:tc>
        <w:tc>
          <w:tcPr>
            <w:tcW w:w="7010" w:type="dxa"/>
            <w:shd w:val="clear" w:color="auto" w:fill="auto"/>
            <w:vAlign w:val="center"/>
          </w:tcPr>
          <w:p w14:paraId="15B3606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Relapsing Polychondritis Disease Activity Index: Development of a Disease Activity Score for Relapsing Polychondritis</w:t>
            </w:r>
          </w:p>
        </w:tc>
        <w:tc>
          <w:tcPr>
            <w:tcW w:w="568" w:type="dxa"/>
            <w:shd w:val="clear" w:color="auto" w:fill="auto"/>
            <w:vAlign w:val="center"/>
          </w:tcPr>
          <w:p w14:paraId="1D86A31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213D42CA" w14:textId="77777777" w:rsidTr="004C3C90">
        <w:trPr>
          <w:trHeight w:val="20"/>
        </w:trPr>
        <w:tc>
          <w:tcPr>
            <w:tcW w:w="550" w:type="dxa"/>
            <w:shd w:val="clear" w:color="auto" w:fill="auto"/>
            <w:vAlign w:val="center"/>
          </w:tcPr>
          <w:p w14:paraId="0E1B3DE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972</w:t>
            </w:r>
          </w:p>
        </w:tc>
        <w:tc>
          <w:tcPr>
            <w:tcW w:w="1071" w:type="dxa"/>
            <w:shd w:val="clear" w:color="auto" w:fill="auto"/>
            <w:vAlign w:val="center"/>
          </w:tcPr>
          <w:p w14:paraId="4623039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484D799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Hansson E, Svensson H, Brorson H</w:t>
            </w:r>
          </w:p>
        </w:tc>
        <w:tc>
          <w:tcPr>
            <w:tcW w:w="7010" w:type="dxa"/>
            <w:shd w:val="clear" w:color="auto" w:fill="auto"/>
            <w:vAlign w:val="center"/>
          </w:tcPr>
          <w:p w14:paraId="5F3D94F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Review of Dercum's Disease and Proposal of Diagnostic Criteria, Diagnostic Methods, Classification and Management</w:t>
            </w:r>
          </w:p>
        </w:tc>
        <w:tc>
          <w:tcPr>
            <w:tcW w:w="568" w:type="dxa"/>
            <w:shd w:val="clear" w:color="auto" w:fill="auto"/>
            <w:vAlign w:val="center"/>
          </w:tcPr>
          <w:p w14:paraId="58892AD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08784146" w14:textId="77777777" w:rsidTr="004C3C90">
        <w:trPr>
          <w:trHeight w:val="20"/>
        </w:trPr>
        <w:tc>
          <w:tcPr>
            <w:tcW w:w="550" w:type="dxa"/>
            <w:shd w:val="clear" w:color="auto" w:fill="auto"/>
            <w:vAlign w:val="center"/>
          </w:tcPr>
          <w:p w14:paraId="4637FA3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973</w:t>
            </w:r>
          </w:p>
        </w:tc>
        <w:tc>
          <w:tcPr>
            <w:tcW w:w="1071" w:type="dxa"/>
            <w:shd w:val="clear" w:color="auto" w:fill="auto"/>
            <w:vAlign w:val="center"/>
          </w:tcPr>
          <w:p w14:paraId="6C8666E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7B2730E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Knowles RL, Friend H, Lynn R, Mitchell S, Michie C, Ihekweazu C</w:t>
            </w:r>
          </w:p>
        </w:tc>
        <w:tc>
          <w:tcPr>
            <w:tcW w:w="7010" w:type="dxa"/>
            <w:shd w:val="clear" w:color="auto" w:fill="auto"/>
            <w:vAlign w:val="center"/>
          </w:tcPr>
          <w:p w14:paraId="298B8DD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Surveillance of Rare Diseases: A Public Health Evaluation of the British Paediatric Surveillance Unit</w:t>
            </w:r>
          </w:p>
        </w:tc>
        <w:tc>
          <w:tcPr>
            <w:tcW w:w="568" w:type="dxa"/>
            <w:shd w:val="clear" w:color="auto" w:fill="auto"/>
            <w:vAlign w:val="center"/>
          </w:tcPr>
          <w:p w14:paraId="69CD6A6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429FC06D" w14:textId="77777777" w:rsidTr="004C3C90">
        <w:trPr>
          <w:trHeight w:val="20"/>
        </w:trPr>
        <w:tc>
          <w:tcPr>
            <w:tcW w:w="550" w:type="dxa"/>
            <w:shd w:val="clear" w:color="auto" w:fill="auto"/>
            <w:vAlign w:val="center"/>
          </w:tcPr>
          <w:p w14:paraId="086CC8F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974</w:t>
            </w:r>
          </w:p>
        </w:tc>
        <w:tc>
          <w:tcPr>
            <w:tcW w:w="1071" w:type="dxa"/>
            <w:shd w:val="clear" w:color="auto" w:fill="auto"/>
            <w:vAlign w:val="center"/>
          </w:tcPr>
          <w:p w14:paraId="5066577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0137334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Ranganath L, Taylor AM, Shenkin A, Fraser WD, Jarvis J, Gallagher JA,</w:t>
            </w:r>
            <w:r w:rsidRPr="004C3C90">
              <w:rPr>
                <w:rFonts w:ascii="Times New Roman" w:eastAsia="Times New Roman" w:hAnsi="Times New Roman" w:cs="Times New Roman"/>
                <w:sz w:val="20"/>
                <w:szCs w:val="20"/>
                <w:highlight w:val="white"/>
              </w:rPr>
              <w:t xml:space="preserve">  et al.</w:t>
            </w:r>
          </w:p>
        </w:tc>
        <w:tc>
          <w:tcPr>
            <w:tcW w:w="7010" w:type="dxa"/>
            <w:shd w:val="clear" w:color="auto" w:fill="auto"/>
            <w:vAlign w:val="center"/>
          </w:tcPr>
          <w:p w14:paraId="3DB5D3C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Identification of Alkaptonuria in the General Population: A United Kingdom Experience Describing the Challenges, Possible Solutions and Persistent Barriers</w:t>
            </w:r>
          </w:p>
        </w:tc>
        <w:tc>
          <w:tcPr>
            <w:tcW w:w="568" w:type="dxa"/>
            <w:shd w:val="clear" w:color="auto" w:fill="auto"/>
            <w:vAlign w:val="center"/>
          </w:tcPr>
          <w:p w14:paraId="03893AC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3735AE93" w14:textId="77777777" w:rsidTr="004C3C90">
        <w:trPr>
          <w:trHeight w:val="20"/>
        </w:trPr>
        <w:tc>
          <w:tcPr>
            <w:tcW w:w="550" w:type="dxa"/>
            <w:shd w:val="clear" w:color="auto" w:fill="auto"/>
            <w:vAlign w:val="center"/>
          </w:tcPr>
          <w:p w14:paraId="05A5E5E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975</w:t>
            </w:r>
          </w:p>
        </w:tc>
        <w:tc>
          <w:tcPr>
            <w:tcW w:w="1071" w:type="dxa"/>
            <w:shd w:val="clear" w:color="auto" w:fill="auto"/>
            <w:vAlign w:val="center"/>
          </w:tcPr>
          <w:p w14:paraId="48725DC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6684B3B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Clarke JT, Giugliani R, Sunder-Plassmann G, Elliott PM, Pintos-Morell G, Hernberg-Ståhl E, et al. </w:t>
            </w:r>
          </w:p>
        </w:tc>
        <w:tc>
          <w:tcPr>
            <w:tcW w:w="7010" w:type="dxa"/>
            <w:shd w:val="clear" w:color="auto" w:fill="auto"/>
            <w:vAlign w:val="center"/>
          </w:tcPr>
          <w:p w14:paraId="0BEE9F0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Impact of Measures to Enhance the Value of Observational Surveys in Rare Diseases: The Fabry Outcome Survey (Fos)</w:t>
            </w:r>
          </w:p>
        </w:tc>
        <w:tc>
          <w:tcPr>
            <w:tcW w:w="568" w:type="dxa"/>
            <w:shd w:val="clear" w:color="auto" w:fill="auto"/>
            <w:vAlign w:val="center"/>
          </w:tcPr>
          <w:p w14:paraId="5C58014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4C39A765" w14:textId="77777777" w:rsidTr="004C3C90">
        <w:trPr>
          <w:trHeight w:val="20"/>
        </w:trPr>
        <w:tc>
          <w:tcPr>
            <w:tcW w:w="550" w:type="dxa"/>
            <w:shd w:val="clear" w:color="auto" w:fill="auto"/>
            <w:vAlign w:val="center"/>
          </w:tcPr>
          <w:p w14:paraId="2177169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976</w:t>
            </w:r>
          </w:p>
        </w:tc>
        <w:tc>
          <w:tcPr>
            <w:tcW w:w="1071" w:type="dxa"/>
            <w:shd w:val="clear" w:color="auto" w:fill="auto"/>
            <w:vAlign w:val="center"/>
          </w:tcPr>
          <w:p w14:paraId="70A9985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3546D98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Hannemann-Weber H, Kessel M, Budych K, Schultz C</w:t>
            </w:r>
          </w:p>
        </w:tc>
        <w:tc>
          <w:tcPr>
            <w:tcW w:w="7010" w:type="dxa"/>
            <w:shd w:val="clear" w:color="auto" w:fill="auto"/>
            <w:vAlign w:val="center"/>
          </w:tcPr>
          <w:p w14:paraId="7A144DF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Shared Communication Processes within Healthcare Teams for Rare Diseases and Their Influence on Healthcare Professionals' Innovative Behavior and Patient Satisfaction</w:t>
            </w:r>
          </w:p>
        </w:tc>
        <w:tc>
          <w:tcPr>
            <w:tcW w:w="568" w:type="dxa"/>
            <w:shd w:val="clear" w:color="auto" w:fill="auto"/>
            <w:vAlign w:val="center"/>
          </w:tcPr>
          <w:p w14:paraId="7800A7F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12D890AD" w14:textId="77777777" w:rsidTr="004C3C90">
        <w:trPr>
          <w:trHeight w:val="20"/>
        </w:trPr>
        <w:tc>
          <w:tcPr>
            <w:tcW w:w="550" w:type="dxa"/>
            <w:shd w:val="clear" w:color="auto" w:fill="auto"/>
            <w:vAlign w:val="center"/>
          </w:tcPr>
          <w:p w14:paraId="5AD7ABB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977</w:t>
            </w:r>
          </w:p>
        </w:tc>
        <w:tc>
          <w:tcPr>
            <w:tcW w:w="1071" w:type="dxa"/>
            <w:shd w:val="clear" w:color="auto" w:fill="auto"/>
            <w:vAlign w:val="center"/>
          </w:tcPr>
          <w:p w14:paraId="1EE3D6D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25B5A88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Martins AM, Kerstenezky M, Linares A, Politei J, Kohan R, Ospina S, et al. </w:t>
            </w:r>
          </w:p>
        </w:tc>
        <w:tc>
          <w:tcPr>
            <w:tcW w:w="7010" w:type="dxa"/>
            <w:shd w:val="clear" w:color="auto" w:fill="auto"/>
            <w:vAlign w:val="center"/>
          </w:tcPr>
          <w:p w14:paraId="450F4C9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Utility of Rare Disease Registries in Latin America</w:t>
            </w:r>
          </w:p>
        </w:tc>
        <w:tc>
          <w:tcPr>
            <w:tcW w:w="568" w:type="dxa"/>
            <w:shd w:val="clear" w:color="auto" w:fill="auto"/>
            <w:vAlign w:val="center"/>
          </w:tcPr>
          <w:p w14:paraId="76FAE96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3570F196" w14:textId="77777777" w:rsidTr="004C3C90">
        <w:trPr>
          <w:trHeight w:val="20"/>
        </w:trPr>
        <w:tc>
          <w:tcPr>
            <w:tcW w:w="550" w:type="dxa"/>
            <w:shd w:val="clear" w:color="auto" w:fill="auto"/>
            <w:vAlign w:val="center"/>
          </w:tcPr>
          <w:p w14:paraId="1932ED5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978</w:t>
            </w:r>
          </w:p>
        </w:tc>
        <w:tc>
          <w:tcPr>
            <w:tcW w:w="1071" w:type="dxa"/>
            <w:shd w:val="clear" w:color="auto" w:fill="auto"/>
            <w:vAlign w:val="center"/>
          </w:tcPr>
          <w:p w14:paraId="51C776F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6C2CF96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Censi F, Falbo V, Floridia G, Salvatore M, Tosto F, De Rosa M</w:t>
            </w:r>
            <w:r w:rsidRPr="004C3C90">
              <w:rPr>
                <w:rFonts w:ascii="Times New Roman" w:eastAsia="Times New Roman" w:hAnsi="Times New Roman" w:cs="Times New Roman"/>
                <w:sz w:val="20"/>
                <w:szCs w:val="20"/>
                <w:highlight w:val="white"/>
              </w:rPr>
              <w:t>, et al.</w:t>
            </w:r>
          </w:p>
        </w:tc>
        <w:tc>
          <w:tcPr>
            <w:tcW w:w="7010" w:type="dxa"/>
            <w:shd w:val="clear" w:color="auto" w:fill="auto"/>
            <w:vAlign w:val="center"/>
          </w:tcPr>
          <w:p w14:paraId="14693D1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Italian External Quality Control Program for Familial Adenomatous Polyposis of the Colon: Five Years of Experience</w:t>
            </w:r>
          </w:p>
        </w:tc>
        <w:tc>
          <w:tcPr>
            <w:tcW w:w="568" w:type="dxa"/>
            <w:shd w:val="clear" w:color="auto" w:fill="auto"/>
            <w:vAlign w:val="center"/>
          </w:tcPr>
          <w:p w14:paraId="245A40B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65BFD3A7" w14:textId="77777777" w:rsidTr="004C3C90">
        <w:trPr>
          <w:trHeight w:val="20"/>
        </w:trPr>
        <w:tc>
          <w:tcPr>
            <w:tcW w:w="550" w:type="dxa"/>
            <w:shd w:val="clear" w:color="auto" w:fill="auto"/>
            <w:vAlign w:val="center"/>
          </w:tcPr>
          <w:p w14:paraId="48F0EA2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979</w:t>
            </w:r>
          </w:p>
        </w:tc>
        <w:tc>
          <w:tcPr>
            <w:tcW w:w="1071" w:type="dxa"/>
            <w:shd w:val="clear" w:color="auto" w:fill="auto"/>
            <w:vAlign w:val="center"/>
          </w:tcPr>
          <w:p w14:paraId="5D547C4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0D3108B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He S, Zurynski YA, Elliott EJ</w:t>
            </w:r>
          </w:p>
        </w:tc>
        <w:tc>
          <w:tcPr>
            <w:tcW w:w="7010" w:type="dxa"/>
            <w:shd w:val="clear" w:color="auto" w:fill="auto"/>
            <w:vAlign w:val="center"/>
          </w:tcPr>
          <w:p w14:paraId="2D28023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Evaluation of a National Resource to Identify and Study Rare Diseases: The Australian Paediatric Surveillance Unit</w:t>
            </w:r>
          </w:p>
        </w:tc>
        <w:tc>
          <w:tcPr>
            <w:tcW w:w="568" w:type="dxa"/>
            <w:shd w:val="clear" w:color="auto" w:fill="auto"/>
            <w:vAlign w:val="center"/>
          </w:tcPr>
          <w:p w14:paraId="72E8BDA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362A5F26" w14:textId="77777777" w:rsidTr="004C3C90">
        <w:trPr>
          <w:trHeight w:val="20"/>
        </w:trPr>
        <w:tc>
          <w:tcPr>
            <w:tcW w:w="550" w:type="dxa"/>
            <w:shd w:val="clear" w:color="auto" w:fill="auto"/>
            <w:vAlign w:val="center"/>
          </w:tcPr>
          <w:p w14:paraId="0B27ABC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980</w:t>
            </w:r>
          </w:p>
        </w:tc>
        <w:tc>
          <w:tcPr>
            <w:tcW w:w="1071" w:type="dxa"/>
            <w:shd w:val="clear" w:color="auto" w:fill="auto"/>
            <w:vAlign w:val="center"/>
          </w:tcPr>
          <w:p w14:paraId="0BF5994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68071F0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Brown ML, Cedeño AR, Edell ES, Hagler DJ, Schaff HV</w:t>
            </w:r>
          </w:p>
        </w:tc>
        <w:tc>
          <w:tcPr>
            <w:tcW w:w="7010" w:type="dxa"/>
            <w:shd w:val="clear" w:color="auto" w:fill="auto"/>
            <w:vAlign w:val="center"/>
          </w:tcPr>
          <w:p w14:paraId="743E134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Operative Strategies for Pulmonary Artery Occlusion Secondary to Mediastinal Fibrosis</w:t>
            </w:r>
          </w:p>
        </w:tc>
        <w:tc>
          <w:tcPr>
            <w:tcW w:w="568" w:type="dxa"/>
            <w:shd w:val="clear" w:color="auto" w:fill="auto"/>
            <w:vAlign w:val="center"/>
          </w:tcPr>
          <w:p w14:paraId="0C766C6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2009</w:t>
            </w:r>
          </w:p>
        </w:tc>
      </w:tr>
      <w:tr w:rsidR="004C3C90" w:rsidRPr="004C3C90" w14:paraId="25276CDB" w14:textId="77777777" w:rsidTr="004C3C90">
        <w:trPr>
          <w:trHeight w:val="20"/>
        </w:trPr>
        <w:tc>
          <w:tcPr>
            <w:tcW w:w="550" w:type="dxa"/>
            <w:shd w:val="clear" w:color="auto" w:fill="auto"/>
            <w:vAlign w:val="center"/>
          </w:tcPr>
          <w:p w14:paraId="12910E9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981</w:t>
            </w:r>
          </w:p>
        </w:tc>
        <w:tc>
          <w:tcPr>
            <w:tcW w:w="1071" w:type="dxa"/>
            <w:shd w:val="clear" w:color="auto" w:fill="auto"/>
            <w:vAlign w:val="center"/>
          </w:tcPr>
          <w:p w14:paraId="61E8C1B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395D738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Nan B, Lin X</w:t>
            </w:r>
          </w:p>
        </w:tc>
        <w:tc>
          <w:tcPr>
            <w:tcW w:w="7010" w:type="dxa"/>
            <w:shd w:val="clear" w:color="auto" w:fill="auto"/>
            <w:vAlign w:val="center"/>
          </w:tcPr>
          <w:p w14:paraId="51261C9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Analysis of Case-Control Age-at-Onset Data Using a Modified Case-Cohort Method</w:t>
            </w:r>
          </w:p>
        </w:tc>
        <w:tc>
          <w:tcPr>
            <w:tcW w:w="568" w:type="dxa"/>
            <w:shd w:val="clear" w:color="auto" w:fill="auto"/>
            <w:vAlign w:val="center"/>
          </w:tcPr>
          <w:p w14:paraId="3E24CF0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2008</w:t>
            </w:r>
          </w:p>
        </w:tc>
      </w:tr>
      <w:tr w:rsidR="004C3C90" w:rsidRPr="004C3C90" w14:paraId="74CC5ED3" w14:textId="77777777" w:rsidTr="004C3C90">
        <w:trPr>
          <w:trHeight w:val="20"/>
        </w:trPr>
        <w:tc>
          <w:tcPr>
            <w:tcW w:w="550" w:type="dxa"/>
            <w:shd w:val="clear" w:color="auto" w:fill="auto"/>
            <w:vAlign w:val="center"/>
          </w:tcPr>
          <w:p w14:paraId="7487C63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982</w:t>
            </w:r>
          </w:p>
        </w:tc>
        <w:tc>
          <w:tcPr>
            <w:tcW w:w="1071" w:type="dxa"/>
            <w:shd w:val="clear" w:color="auto" w:fill="auto"/>
            <w:vAlign w:val="center"/>
          </w:tcPr>
          <w:p w14:paraId="17CB9F0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79A04C7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Knol MJ, Vandenbroucke JP, Scott P, Egger M</w:t>
            </w:r>
          </w:p>
        </w:tc>
        <w:tc>
          <w:tcPr>
            <w:tcW w:w="7010" w:type="dxa"/>
            <w:shd w:val="clear" w:color="auto" w:fill="auto"/>
            <w:vAlign w:val="center"/>
          </w:tcPr>
          <w:p w14:paraId="15A286A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What Do Case-Control Studies Estimate? Survey of Methods and Assumptions in Published Case-Control Research</w:t>
            </w:r>
          </w:p>
        </w:tc>
        <w:tc>
          <w:tcPr>
            <w:tcW w:w="568" w:type="dxa"/>
            <w:shd w:val="clear" w:color="auto" w:fill="auto"/>
            <w:vAlign w:val="center"/>
          </w:tcPr>
          <w:p w14:paraId="1713FC8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2008</w:t>
            </w:r>
          </w:p>
        </w:tc>
      </w:tr>
      <w:tr w:rsidR="004C3C90" w:rsidRPr="004C3C90" w14:paraId="04F2FD3D" w14:textId="77777777" w:rsidTr="004C3C90">
        <w:trPr>
          <w:trHeight w:val="20"/>
        </w:trPr>
        <w:tc>
          <w:tcPr>
            <w:tcW w:w="550" w:type="dxa"/>
            <w:shd w:val="clear" w:color="auto" w:fill="auto"/>
            <w:vAlign w:val="center"/>
          </w:tcPr>
          <w:p w14:paraId="5F5EA7E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983</w:t>
            </w:r>
          </w:p>
        </w:tc>
        <w:tc>
          <w:tcPr>
            <w:tcW w:w="1071" w:type="dxa"/>
            <w:shd w:val="clear" w:color="auto" w:fill="auto"/>
            <w:vAlign w:val="center"/>
          </w:tcPr>
          <w:p w14:paraId="4D5D493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0ECF01E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Mojica P, Smith D, Ellenhorn J</w:t>
            </w:r>
          </w:p>
        </w:tc>
        <w:tc>
          <w:tcPr>
            <w:tcW w:w="7010" w:type="dxa"/>
            <w:shd w:val="clear" w:color="auto" w:fill="auto"/>
            <w:vAlign w:val="center"/>
          </w:tcPr>
          <w:p w14:paraId="3688A78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Adjuvant Radiation Therapy Is Associated with Improved Survival for Gallbladder Carcinoma with Regional Metastatic Disease</w:t>
            </w:r>
          </w:p>
        </w:tc>
        <w:tc>
          <w:tcPr>
            <w:tcW w:w="568" w:type="dxa"/>
            <w:shd w:val="clear" w:color="auto" w:fill="auto"/>
            <w:vAlign w:val="center"/>
          </w:tcPr>
          <w:p w14:paraId="338EB64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2007</w:t>
            </w:r>
          </w:p>
        </w:tc>
      </w:tr>
      <w:tr w:rsidR="004C3C90" w:rsidRPr="004C3C90" w14:paraId="2B2C64BF" w14:textId="77777777" w:rsidTr="004C3C90">
        <w:trPr>
          <w:trHeight w:val="20"/>
        </w:trPr>
        <w:tc>
          <w:tcPr>
            <w:tcW w:w="550" w:type="dxa"/>
            <w:shd w:val="clear" w:color="auto" w:fill="auto"/>
            <w:vAlign w:val="center"/>
          </w:tcPr>
          <w:p w14:paraId="78E9B8E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984</w:t>
            </w:r>
          </w:p>
        </w:tc>
        <w:tc>
          <w:tcPr>
            <w:tcW w:w="1071" w:type="dxa"/>
            <w:shd w:val="clear" w:color="auto" w:fill="auto"/>
            <w:vAlign w:val="center"/>
          </w:tcPr>
          <w:p w14:paraId="3967EC3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62DD893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Aymé S, Schmidtke J</w:t>
            </w:r>
          </w:p>
        </w:tc>
        <w:tc>
          <w:tcPr>
            <w:tcW w:w="7010" w:type="dxa"/>
            <w:shd w:val="clear" w:color="auto" w:fill="auto"/>
            <w:vAlign w:val="center"/>
          </w:tcPr>
          <w:p w14:paraId="67E4F1C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Networking for Rare Diseases: A Necessity for Europe</w:t>
            </w:r>
          </w:p>
        </w:tc>
        <w:tc>
          <w:tcPr>
            <w:tcW w:w="568" w:type="dxa"/>
            <w:shd w:val="clear" w:color="auto" w:fill="auto"/>
            <w:vAlign w:val="center"/>
          </w:tcPr>
          <w:p w14:paraId="551BEBA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2007</w:t>
            </w:r>
          </w:p>
        </w:tc>
      </w:tr>
      <w:tr w:rsidR="004C3C90" w:rsidRPr="004C3C90" w14:paraId="6091E8C8" w14:textId="77777777" w:rsidTr="004C3C90">
        <w:trPr>
          <w:trHeight w:val="20"/>
        </w:trPr>
        <w:tc>
          <w:tcPr>
            <w:tcW w:w="550" w:type="dxa"/>
            <w:shd w:val="clear" w:color="auto" w:fill="auto"/>
            <w:vAlign w:val="center"/>
          </w:tcPr>
          <w:p w14:paraId="6121CF9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985</w:t>
            </w:r>
          </w:p>
        </w:tc>
        <w:tc>
          <w:tcPr>
            <w:tcW w:w="1071" w:type="dxa"/>
            <w:shd w:val="clear" w:color="auto" w:fill="auto"/>
            <w:vAlign w:val="center"/>
          </w:tcPr>
          <w:p w14:paraId="6926F79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16F5BDE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Takata S, Hashimoto J, Nakatsuka K, et al. </w:t>
            </w:r>
          </w:p>
        </w:tc>
        <w:tc>
          <w:tcPr>
            <w:tcW w:w="7010" w:type="dxa"/>
            <w:shd w:val="clear" w:color="auto" w:fill="auto"/>
            <w:vAlign w:val="center"/>
          </w:tcPr>
          <w:p w14:paraId="6C83943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Guidelines for Diagnosis and Management of Paget's Disease of Bone in Japan</w:t>
            </w:r>
          </w:p>
        </w:tc>
        <w:tc>
          <w:tcPr>
            <w:tcW w:w="568" w:type="dxa"/>
            <w:shd w:val="clear" w:color="auto" w:fill="auto"/>
            <w:vAlign w:val="center"/>
          </w:tcPr>
          <w:p w14:paraId="0EDA1CD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2006</w:t>
            </w:r>
          </w:p>
        </w:tc>
      </w:tr>
      <w:tr w:rsidR="004C3C90" w:rsidRPr="004C3C90" w14:paraId="53E2F4E9" w14:textId="77777777" w:rsidTr="004C3C90">
        <w:trPr>
          <w:trHeight w:val="20"/>
        </w:trPr>
        <w:tc>
          <w:tcPr>
            <w:tcW w:w="550" w:type="dxa"/>
            <w:shd w:val="clear" w:color="auto" w:fill="auto"/>
            <w:vAlign w:val="center"/>
          </w:tcPr>
          <w:p w14:paraId="589C17B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986</w:t>
            </w:r>
          </w:p>
        </w:tc>
        <w:tc>
          <w:tcPr>
            <w:tcW w:w="1071" w:type="dxa"/>
            <w:shd w:val="clear" w:color="auto" w:fill="auto"/>
            <w:vAlign w:val="center"/>
          </w:tcPr>
          <w:p w14:paraId="7746F09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7788CFA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Yetter Read C</w:t>
            </w:r>
          </w:p>
        </w:tc>
        <w:tc>
          <w:tcPr>
            <w:tcW w:w="7010" w:type="dxa"/>
            <w:shd w:val="clear" w:color="auto" w:fill="auto"/>
            <w:vAlign w:val="center"/>
          </w:tcPr>
          <w:p w14:paraId="5692609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Conducting a Client-Focused Survey Using E-Mail</w:t>
            </w:r>
          </w:p>
        </w:tc>
        <w:tc>
          <w:tcPr>
            <w:tcW w:w="568" w:type="dxa"/>
            <w:shd w:val="clear" w:color="auto" w:fill="auto"/>
            <w:vAlign w:val="center"/>
          </w:tcPr>
          <w:p w14:paraId="488FE8C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2004</w:t>
            </w:r>
          </w:p>
        </w:tc>
      </w:tr>
      <w:tr w:rsidR="004C3C90" w:rsidRPr="004C3C90" w14:paraId="07B790A3" w14:textId="77777777" w:rsidTr="004C3C90">
        <w:trPr>
          <w:trHeight w:val="20"/>
        </w:trPr>
        <w:tc>
          <w:tcPr>
            <w:tcW w:w="550" w:type="dxa"/>
            <w:shd w:val="clear" w:color="auto" w:fill="auto"/>
            <w:vAlign w:val="center"/>
          </w:tcPr>
          <w:p w14:paraId="44DA72D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987</w:t>
            </w:r>
          </w:p>
        </w:tc>
        <w:tc>
          <w:tcPr>
            <w:tcW w:w="1071" w:type="dxa"/>
            <w:shd w:val="clear" w:color="auto" w:fill="auto"/>
            <w:vAlign w:val="center"/>
          </w:tcPr>
          <w:p w14:paraId="0B73DCE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76ED372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Ben-Abraham R, Greenfeld A, Rozenman J, Ben-Dov I.</w:t>
            </w:r>
          </w:p>
        </w:tc>
        <w:tc>
          <w:tcPr>
            <w:tcW w:w="7010" w:type="dxa"/>
            <w:shd w:val="clear" w:color="auto" w:fill="auto"/>
            <w:vAlign w:val="center"/>
          </w:tcPr>
          <w:p w14:paraId="0569620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Pulmonary Alveolar Proteinosis: Step-by-Step Perioperative Care of Whole Lung Lavage Procedure</w:t>
            </w:r>
          </w:p>
        </w:tc>
        <w:tc>
          <w:tcPr>
            <w:tcW w:w="568" w:type="dxa"/>
            <w:shd w:val="clear" w:color="auto" w:fill="auto"/>
            <w:vAlign w:val="center"/>
          </w:tcPr>
          <w:p w14:paraId="36E1990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2002</w:t>
            </w:r>
          </w:p>
        </w:tc>
      </w:tr>
      <w:tr w:rsidR="004C3C90" w:rsidRPr="004C3C90" w14:paraId="24537ACB" w14:textId="77777777" w:rsidTr="004C3C90">
        <w:trPr>
          <w:trHeight w:val="20"/>
        </w:trPr>
        <w:tc>
          <w:tcPr>
            <w:tcW w:w="550" w:type="dxa"/>
            <w:shd w:val="clear" w:color="auto" w:fill="auto"/>
            <w:vAlign w:val="center"/>
          </w:tcPr>
          <w:p w14:paraId="2834657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988</w:t>
            </w:r>
          </w:p>
        </w:tc>
        <w:tc>
          <w:tcPr>
            <w:tcW w:w="1071" w:type="dxa"/>
            <w:shd w:val="clear" w:color="auto" w:fill="auto"/>
            <w:vAlign w:val="center"/>
          </w:tcPr>
          <w:p w14:paraId="7D24DB5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0A00A94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Doherty JA, Grenier D</w:t>
            </w:r>
          </w:p>
        </w:tc>
        <w:tc>
          <w:tcPr>
            <w:tcW w:w="7010" w:type="dxa"/>
            <w:shd w:val="clear" w:color="auto" w:fill="auto"/>
            <w:vAlign w:val="center"/>
          </w:tcPr>
          <w:p w14:paraId="5669B8B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Canadian Paediatric Surveillance Program: Beyond Collecting Numbers</w:t>
            </w:r>
          </w:p>
        </w:tc>
        <w:tc>
          <w:tcPr>
            <w:tcW w:w="568" w:type="dxa"/>
            <w:shd w:val="clear" w:color="auto" w:fill="auto"/>
            <w:vAlign w:val="center"/>
          </w:tcPr>
          <w:p w14:paraId="30E034B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2001</w:t>
            </w:r>
          </w:p>
        </w:tc>
      </w:tr>
      <w:tr w:rsidR="004C3C90" w:rsidRPr="004C3C90" w14:paraId="7BFCF023" w14:textId="77777777" w:rsidTr="004C3C90">
        <w:trPr>
          <w:trHeight w:val="20"/>
        </w:trPr>
        <w:tc>
          <w:tcPr>
            <w:tcW w:w="550" w:type="dxa"/>
            <w:shd w:val="clear" w:color="auto" w:fill="auto"/>
            <w:vAlign w:val="center"/>
          </w:tcPr>
          <w:p w14:paraId="319A929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989</w:t>
            </w:r>
          </w:p>
        </w:tc>
        <w:tc>
          <w:tcPr>
            <w:tcW w:w="1071" w:type="dxa"/>
            <w:shd w:val="clear" w:color="auto" w:fill="auto"/>
            <w:vAlign w:val="center"/>
          </w:tcPr>
          <w:p w14:paraId="11F58FD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149B98F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Elliott EJ, Nicoll A, Lynn R, Marchessault V, Hirasing R, Ridley G</w:t>
            </w:r>
          </w:p>
        </w:tc>
        <w:tc>
          <w:tcPr>
            <w:tcW w:w="7010" w:type="dxa"/>
            <w:shd w:val="clear" w:color="auto" w:fill="auto"/>
            <w:vAlign w:val="center"/>
          </w:tcPr>
          <w:p w14:paraId="304863F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Rare Disease Surveillance: An International Perspective</w:t>
            </w:r>
          </w:p>
        </w:tc>
        <w:tc>
          <w:tcPr>
            <w:tcW w:w="568" w:type="dxa"/>
            <w:shd w:val="clear" w:color="auto" w:fill="auto"/>
            <w:vAlign w:val="center"/>
          </w:tcPr>
          <w:p w14:paraId="642F0C6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2001</w:t>
            </w:r>
          </w:p>
        </w:tc>
      </w:tr>
      <w:tr w:rsidR="004C3C90" w:rsidRPr="004C3C90" w14:paraId="642A2482" w14:textId="77777777" w:rsidTr="004C3C90">
        <w:trPr>
          <w:trHeight w:val="20"/>
        </w:trPr>
        <w:tc>
          <w:tcPr>
            <w:tcW w:w="550" w:type="dxa"/>
            <w:shd w:val="clear" w:color="auto" w:fill="auto"/>
            <w:vAlign w:val="center"/>
          </w:tcPr>
          <w:p w14:paraId="31956B8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990</w:t>
            </w:r>
          </w:p>
        </w:tc>
        <w:tc>
          <w:tcPr>
            <w:tcW w:w="1071" w:type="dxa"/>
            <w:shd w:val="clear" w:color="auto" w:fill="auto"/>
            <w:vAlign w:val="center"/>
          </w:tcPr>
          <w:p w14:paraId="4C4BA50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5</w:t>
            </w:r>
          </w:p>
        </w:tc>
        <w:tc>
          <w:tcPr>
            <w:tcW w:w="3741" w:type="dxa"/>
            <w:shd w:val="clear" w:color="auto" w:fill="auto"/>
            <w:vAlign w:val="center"/>
          </w:tcPr>
          <w:p w14:paraId="0D06450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Silva MC, Coutinho P, Pinheiro CD, Neves JM, Serrano P</w:t>
            </w:r>
          </w:p>
        </w:tc>
        <w:tc>
          <w:tcPr>
            <w:tcW w:w="7010" w:type="dxa"/>
            <w:shd w:val="clear" w:color="auto" w:fill="auto"/>
            <w:vAlign w:val="center"/>
          </w:tcPr>
          <w:p w14:paraId="4493B8D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Hereditary Ataxias and Spastic Paraplegias: Methodological Aspects of a Prevalence Study in Portugal</w:t>
            </w:r>
          </w:p>
        </w:tc>
        <w:tc>
          <w:tcPr>
            <w:tcW w:w="568" w:type="dxa"/>
            <w:shd w:val="clear" w:color="auto" w:fill="auto"/>
            <w:vAlign w:val="center"/>
          </w:tcPr>
          <w:p w14:paraId="72272E5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1997</w:t>
            </w:r>
          </w:p>
        </w:tc>
      </w:tr>
      <w:tr w:rsidR="004C3C90" w:rsidRPr="004C3C90" w14:paraId="6FA105F4" w14:textId="77777777" w:rsidTr="004C3C90">
        <w:trPr>
          <w:trHeight w:val="20"/>
        </w:trPr>
        <w:tc>
          <w:tcPr>
            <w:tcW w:w="550" w:type="dxa"/>
            <w:shd w:val="clear" w:color="auto" w:fill="auto"/>
            <w:vAlign w:val="center"/>
          </w:tcPr>
          <w:p w14:paraId="3FC78C2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991</w:t>
            </w:r>
          </w:p>
        </w:tc>
        <w:tc>
          <w:tcPr>
            <w:tcW w:w="1071" w:type="dxa"/>
            <w:shd w:val="clear" w:color="auto" w:fill="auto"/>
            <w:vAlign w:val="center"/>
          </w:tcPr>
          <w:p w14:paraId="6557C65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73602D0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Yoon HY, Kim JH, Kim YJ, Song JW</w:t>
            </w:r>
          </w:p>
        </w:tc>
        <w:tc>
          <w:tcPr>
            <w:tcW w:w="7010" w:type="dxa"/>
            <w:shd w:val="clear" w:color="auto" w:fill="auto"/>
            <w:vAlign w:val="center"/>
          </w:tcPr>
          <w:p w14:paraId="4BAD2FD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Pulmonary Alveolar Proteinosis in Korea: Analysis of Prevalence and Incidence Via a Nationwide Population-Based Study</w:t>
            </w:r>
          </w:p>
        </w:tc>
        <w:tc>
          <w:tcPr>
            <w:tcW w:w="568" w:type="dxa"/>
            <w:shd w:val="clear" w:color="auto" w:fill="auto"/>
            <w:vAlign w:val="center"/>
          </w:tcPr>
          <w:p w14:paraId="4E10A54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2D0B9588" w14:textId="77777777" w:rsidTr="004C3C90">
        <w:trPr>
          <w:trHeight w:val="20"/>
        </w:trPr>
        <w:tc>
          <w:tcPr>
            <w:tcW w:w="550" w:type="dxa"/>
            <w:shd w:val="clear" w:color="auto" w:fill="auto"/>
            <w:vAlign w:val="center"/>
          </w:tcPr>
          <w:p w14:paraId="0F6E633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992</w:t>
            </w:r>
          </w:p>
        </w:tc>
        <w:tc>
          <w:tcPr>
            <w:tcW w:w="1071" w:type="dxa"/>
            <w:shd w:val="clear" w:color="auto" w:fill="auto"/>
            <w:vAlign w:val="center"/>
          </w:tcPr>
          <w:p w14:paraId="18E02AE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6ADA295E" w14:textId="77777777" w:rsidR="004C3C90" w:rsidRPr="004C3C90" w:rsidRDefault="004C3C90" w:rsidP="004C3C90">
            <w:pPr>
              <w:shd w:val="clear" w:color="auto" w:fill="FFFFFF"/>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Willey C, Kamat S, Stellhorn R, Blais J</w:t>
            </w:r>
          </w:p>
        </w:tc>
        <w:tc>
          <w:tcPr>
            <w:tcW w:w="7010" w:type="dxa"/>
            <w:shd w:val="clear" w:color="auto" w:fill="auto"/>
            <w:vAlign w:val="center"/>
          </w:tcPr>
          <w:p w14:paraId="4E71F25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Analysis of Nationwide Data to Determine the Incidence and Diagnosed Prevalence of Autosomal Dominant Polycystic Kidney Disease in the USA: 2013-2015</w:t>
            </w:r>
          </w:p>
        </w:tc>
        <w:tc>
          <w:tcPr>
            <w:tcW w:w="568" w:type="dxa"/>
            <w:shd w:val="clear" w:color="auto" w:fill="auto"/>
            <w:vAlign w:val="center"/>
          </w:tcPr>
          <w:p w14:paraId="046B8CF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05E506FA" w14:textId="77777777" w:rsidTr="004C3C90">
        <w:trPr>
          <w:trHeight w:val="20"/>
        </w:trPr>
        <w:tc>
          <w:tcPr>
            <w:tcW w:w="550" w:type="dxa"/>
            <w:shd w:val="clear" w:color="auto" w:fill="auto"/>
            <w:vAlign w:val="center"/>
          </w:tcPr>
          <w:p w14:paraId="307445E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993</w:t>
            </w:r>
          </w:p>
        </w:tc>
        <w:tc>
          <w:tcPr>
            <w:tcW w:w="1071" w:type="dxa"/>
            <w:shd w:val="clear" w:color="auto" w:fill="auto"/>
            <w:vAlign w:val="center"/>
          </w:tcPr>
          <w:p w14:paraId="77AB151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795539E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Jo A, Larson S, Carek P, Peabody MR, Peterson LE, Mainous AG</w:t>
            </w:r>
          </w:p>
        </w:tc>
        <w:tc>
          <w:tcPr>
            <w:tcW w:w="7010" w:type="dxa"/>
            <w:shd w:val="clear" w:color="auto" w:fill="auto"/>
            <w:vAlign w:val="center"/>
          </w:tcPr>
          <w:p w14:paraId="559BE47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Prevalence and Practice for Rare Diseases in Primary Care: A National Cross-Sectional Study in the USA</w:t>
            </w:r>
          </w:p>
        </w:tc>
        <w:tc>
          <w:tcPr>
            <w:tcW w:w="568" w:type="dxa"/>
            <w:shd w:val="clear" w:color="auto" w:fill="auto"/>
            <w:vAlign w:val="center"/>
          </w:tcPr>
          <w:p w14:paraId="5899231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4B04FA1" w14:textId="77777777" w:rsidTr="004C3C90">
        <w:trPr>
          <w:trHeight w:val="20"/>
        </w:trPr>
        <w:tc>
          <w:tcPr>
            <w:tcW w:w="550" w:type="dxa"/>
            <w:shd w:val="clear" w:color="auto" w:fill="auto"/>
            <w:vAlign w:val="center"/>
          </w:tcPr>
          <w:p w14:paraId="3E49467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994</w:t>
            </w:r>
          </w:p>
        </w:tc>
        <w:tc>
          <w:tcPr>
            <w:tcW w:w="1071" w:type="dxa"/>
            <w:shd w:val="clear" w:color="auto" w:fill="auto"/>
            <w:vAlign w:val="center"/>
          </w:tcPr>
          <w:p w14:paraId="1C210C1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3AD88A92" w14:textId="77777777" w:rsidR="004C3C90" w:rsidRPr="004C3C90" w:rsidRDefault="004C3C90" w:rsidP="004C3C90">
            <w:pPr>
              <w:shd w:val="clear" w:color="auto" w:fill="FFFFFF"/>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Grier J, Hirano M, Karaa A, Shepard E, Thompson JLP</w:t>
            </w:r>
          </w:p>
        </w:tc>
        <w:tc>
          <w:tcPr>
            <w:tcW w:w="7010" w:type="dxa"/>
            <w:shd w:val="clear" w:color="auto" w:fill="auto"/>
            <w:vAlign w:val="center"/>
          </w:tcPr>
          <w:p w14:paraId="2048C4D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Diagnostic Odyssey of Patients with Mitochondrial Disease Results of a Survey</w:t>
            </w:r>
          </w:p>
        </w:tc>
        <w:tc>
          <w:tcPr>
            <w:tcW w:w="568" w:type="dxa"/>
            <w:shd w:val="clear" w:color="auto" w:fill="auto"/>
            <w:vAlign w:val="center"/>
          </w:tcPr>
          <w:p w14:paraId="22B3BEE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32F860D4" w14:textId="77777777" w:rsidTr="004C3C90">
        <w:trPr>
          <w:trHeight w:val="20"/>
        </w:trPr>
        <w:tc>
          <w:tcPr>
            <w:tcW w:w="550" w:type="dxa"/>
            <w:shd w:val="clear" w:color="auto" w:fill="auto"/>
            <w:vAlign w:val="center"/>
          </w:tcPr>
          <w:p w14:paraId="5AEBC2E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995</w:t>
            </w:r>
          </w:p>
        </w:tc>
        <w:tc>
          <w:tcPr>
            <w:tcW w:w="1071" w:type="dxa"/>
            <w:shd w:val="clear" w:color="auto" w:fill="auto"/>
            <w:vAlign w:val="center"/>
          </w:tcPr>
          <w:p w14:paraId="21A11BF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3CB9C85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Blencowe H, Moorthie S, Petrou M, Hamamy H, Povey S, Bittles A</w:t>
            </w:r>
            <w:r w:rsidRPr="004C3C90">
              <w:rPr>
                <w:rFonts w:ascii="Times New Roman" w:eastAsia="Times New Roman" w:hAnsi="Times New Roman" w:cs="Times New Roman"/>
                <w:sz w:val="20"/>
                <w:szCs w:val="20"/>
                <w:highlight w:val="white"/>
              </w:rPr>
              <w:t xml:space="preserve">, et al </w:t>
            </w:r>
          </w:p>
        </w:tc>
        <w:tc>
          <w:tcPr>
            <w:tcW w:w="7010" w:type="dxa"/>
            <w:shd w:val="clear" w:color="auto" w:fill="auto"/>
            <w:vAlign w:val="center"/>
          </w:tcPr>
          <w:p w14:paraId="3E4778A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Rare Single Gene Disorders: Estimating Baseline Prevalence and Outcomes Worldwide</w:t>
            </w:r>
          </w:p>
        </w:tc>
        <w:tc>
          <w:tcPr>
            <w:tcW w:w="568" w:type="dxa"/>
            <w:shd w:val="clear" w:color="auto" w:fill="auto"/>
            <w:vAlign w:val="center"/>
          </w:tcPr>
          <w:p w14:paraId="56EBE68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C3E57F0" w14:textId="77777777" w:rsidTr="004C3C90">
        <w:trPr>
          <w:trHeight w:val="20"/>
        </w:trPr>
        <w:tc>
          <w:tcPr>
            <w:tcW w:w="550" w:type="dxa"/>
            <w:shd w:val="clear" w:color="auto" w:fill="auto"/>
            <w:vAlign w:val="center"/>
          </w:tcPr>
          <w:p w14:paraId="7DA761E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996</w:t>
            </w:r>
          </w:p>
        </w:tc>
        <w:tc>
          <w:tcPr>
            <w:tcW w:w="1071" w:type="dxa"/>
            <w:shd w:val="clear" w:color="auto" w:fill="auto"/>
            <w:vAlign w:val="center"/>
          </w:tcPr>
          <w:p w14:paraId="1964DB2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4D382C0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Shah MV, Hook CC, Call TG, Go RS</w:t>
            </w:r>
          </w:p>
        </w:tc>
        <w:tc>
          <w:tcPr>
            <w:tcW w:w="7010" w:type="dxa"/>
            <w:shd w:val="clear" w:color="auto" w:fill="auto"/>
            <w:vAlign w:val="center"/>
          </w:tcPr>
          <w:p w14:paraId="7EFDDF9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Population-Based Study of Large Granular Lymphocyte Leukemia</w:t>
            </w:r>
          </w:p>
        </w:tc>
        <w:tc>
          <w:tcPr>
            <w:tcW w:w="568" w:type="dxa"/>
            <w:shd w:val="clear" w:color="auto" w:fill="auto"/>
            <w:vAlign w:val="center"/>
          </w:tcPr>
          <w:p w14:paraId="6C78400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52D8A099" w14:textId="77777777" w:rsidTr="004C3C90">
        <w:trPr>
          <w:trHeight w:val="20"/>
        </w:trPr>
        <w:tc>
          <w:tcPr>
            <w:tcW w:w="550" w:type="dxa"/>
            <w:shd w:val="clear" w:color="auto" w:fill="auto"/>
            <w:vAlign w:val="center"/>
          </w:tcPr>
          <w:p w14:paraId="5EC07FF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997</w:t>
            </w:r>
          </w:p>
        </w:tc>
        <w:tc>
          <w:tcPr>
            <w:tcW w:w="1071" w:type="dxa"/>
            <w:shd w:val="clear" w:color="auto" w:fill="auto"/>
            <w:vAlign w:val="center"/>
          </w:tcPr>
          <w:p w14:paraId="19F9B7D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1C0D904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Willis JR, Vitale S, Morse L, Parke DW 2nd, Rich WL, Lum F</w:t>
            </w:r>
            <w:r w:rsidRPr="004C3C90">
              <w:rPr>
                <w:rFonts w:ascii="Times New Roman" w:eastAsia="Times New Roman" w:hAnsi="Times New Roman" w:cs="Times New Roman"/>
                <w:sz w:val="20"/>
                <w:szCs w:val="20"/>
                <w:highlight w:val="white"/>
              </w:rPr>
              <w:t xml:space="preserve">, et al. </w:t>
            </w:r>
          </w:p>
        </w:tc>
        <w:tc>
          <w:tcPr>
            <w:tcW w:w="7010" w:type="dxa"/>
            <w:shd w:val="clear" w:color="auto" w:fill="auto"/>
            <w:vAlign w:val="center"/>
          </w:tcPr>
          <w:p w14:paraId="4F6525A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Prevalence of Myopic Choroidal Neovascularization in the United States: Analysis of the Iris® Data Registry and Nhanes</w:t>
            </w:r>
          </w:p>
        </w:tc>
        <w:tc>
          <w:tcPr>
            <w:tcW w:w="568" w:type="dxa"/>
            <w:shd w:val="clear" w:color="auto" w:fill="auto"/>
            <w:vAlign w:val="center"/>
          </w:tcPr>
          <w:p w14:paraId="7663199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57A583C1" w14:textId="77777777" w:rsidTr="004C3C90">
        <w:trPr>
          <w:trHeight w:val="20"/>
        </w:trPr>
        <w:tc>
          <w:tcPr>
            <w:tcW w:w="550" w:type="dxa"/>
            <w:shd w:val="clear" w:color="auto" w:fill="auto"/>
            <w:vAlign w:val="center"/>
          </w:tcPr>
          <w:p w14:paraId="5B95EE0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998</w:t>
            </w:r>
          </w:p>
        </w:tc>
        <w:tc>
          <w:tcPr>
            <w:tcW w:w="1071" w:type="dxa"/>
            <w:shd w:val="clear" w:color="auto" w:fill="auto"/>
            <w:vAlign w:val="center"/>
          </w:tcPr>
          <w:p w14:paraId="21D8E08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182A630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Lee SO, Yu SY</w:t>
            </w:r>
          </w:p>
        </w:tc>
        <w:tc>
          <w:tcPr>
            <w:tcW w:w="7010" w:type="dxa"/>
            <w:shd w:val="clear" w:color="auto" w:fill="auto"/>
            <w:vAlign w:val="center"/>
          </w:tcPr>
          <w:p w14:paraId="2D26B28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Utilization Patterns of Coagulation Factor Consumption for Patients with Hemophilia</w:t>
            </w:r>
          </w:p>
        </w:tc>
        <w:tc>
          <w:tcPr>
            <w:tcW w:w="568" w:type="dxa"/>
            <w:shd w:val="clear" w:color="auto" w:fill="auto"/>
            <w:vAlign w:val="center"/>
          </w:tcPr>
          <w:p w14:paraId="409CBA5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4966C7A4" w14:textId="77777777" w:rsidTr="004C3C90">
        <w:trPr>
          <w:trHeight w:val="20"/>
        </w:trPr>
        <w:tc>
          <w:tcPr>
            <w:tcW w:w="550" w:type="dxa"/>
            <w:shd w:val="clear" w:color="auto" w:fill="auto"/>
            <w:vAlign w:val="center"/>
          </w:tcPr>
          <w:p w14:paraId="03BC6F6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999</w:t>
            </w:r>
          </w:p>
        </w:tc>
        <w:tc>
          <w:tcPr>
            <w:tcW w:w="1071" w:type="dxa"/>
            <w:shd w:val="clear" w:color="auto" w:fill="auto"/>
            <w:vAlign w:val="center"/>
          </w:tcPr>
          <w:p w14:paraId="6F09EE7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6B0F6D8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Papa R, Cant A, Klein C, Little MA, Wulffraat NM, Gattorno M</w:t>
            </w:r>
            <w:r w:rsidRPr="004C3C90">
              <w:rPr>
                <w:rFonts w:ascii="Times New Roman" w:eastAsia="Times New Roman" w:hAnsi="Times New Roman" w:cs="Times New Roman"/>
                <w:sz w:val="20"/>
                <w:szCs w:val="20"/>
                <w:highlight w:val="white"/>
              </w:rPr>
              <w:t>, et al</w:t>
            </w:r>
          </w:p>
        </w:tc>
        <w:tc>
          <w:tcPr>
            <w:tcW w:w="7010" w:type="dxa"/>
            <w:shd w:val="clear" w:color="auto" w:fill="auto"/>
            <w:vAlign w:val="center"/>
          </w:tcPr>
          <w:p w14:paraId="49EABE5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Towards European Harmonisation of Healthcare for Patients with Rare Immune Disorders: Outcome from the Ern Rita Registries Survey</w:t>
            </w:r>
          </w:p>
        </w:tc>
        <w:tc>
          <w:tcPr>
            <w:tcW w:w="568" w:type="dxa"/>
            <w:shd w:val="clear" w:color="auto" w:fill="auto"/>
            <w:vAlign w:val="center"/>
          </w:tcPr>
          <w:p w14:paraId="4D94329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3C3BCDAF" w14:textId="77777777" w:rsidTr="004C3C90">
        <w:trPr>
          <w:trHeight w:val="20"/>
        </w:trPr>
        <w:tc>
          <w:tcPr>
            <w:tcW w:w="550" w:type="dxa"/>
            <w:shd w:val="clear" w:color="auto" w:fill="auto"/>
            <w:vAlign w:val="center"/>
          </w:tcPr>
          <w:p w14:paraId="0705BC2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1000</w:t>
            </w:r>
          </w:p>
        </w:tc>
        <w:tc>
          <w:tcPr>
            <w:tcW w:w="1071" w:type="dxa"/>
            <w:shd w:val="clear" w:color="auto" w:fill="auto"/>
            <w:vAlign w:val="center"/>
          </w:tcPr>
          <w:p w14:paraId="02106C1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4B0F066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Mehta BY, Ibrahim S, Briggs W, Efthimiou P</w:t>
            </w:r>
          </w:p>
        </w:tc>
        <w:tc>
          <w:tcPr>
            <w:tcW w:w="7010" w:type="dxa"/>
            <w:shd w:val="clear" w:color="auto" w:fill="auto"/>
            <w:vAlign w:val="center"/>
          </w:tcPr>
          <w:p w14:paraId="1A7617D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Racial/Ethnic Variations in Morbidity and Mortality in Adult Onset Still's Disease: An Analysis of National Dataset</w:t>
            </w:r>
          </w:p>
        </w:tc>
        <w:tc>
          <w:tcPr>
            <w:tcW w:w="568" w:type="dxa"/>
            <w:shd w:val="clear" w:color="auto" w:fill="auto"/>
            <w:vAlign w:val="center"/>
          </w:tcPr>
          <w:p w14:paraId="3F7D128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17F35CF2" w14:textId="77777777" w:rsidTr="004C3C90">
        <w:trPr>
          <w:trHeight w:val="20"/>
        </w:trPr>
        <w:tc>
          <w:tcPr>
            <w:tcW w:w="550" w:type="dxa"/>
            <w:shd w:val="clear" w:color="auto" w:fill="auto"/>
            <w:vAlign w:val="center"/>
          </w:tcPr>
          <w:p w14:paraId="5D4E7EDA"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1001</w:t>
            </w:r>
          </w:p>
        </w:tc>
        <w:tc>
          <w:tcPr>
            <w:tcW w:w="1071" w:type="dxa"/>
            <w:shd w:val="clear" w:color="auto" w:fill="auto"/>
            <w:vAlign w:val="center"/>
          </w:tcPr>
          <w:p w14:paraId="27654797"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73782FE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Mehta BY, Ibrahim S, Briggs W, Efthimiou P</w:t>
            </w:r>
          </w:p>
        </w:tc>
        <w:tc>
          <w:tcPr>
            <w:tcW w:w="7010" w:type="dxa"/>
            <w:shd w:val="clear" w:color="auto" w:fill="auto"/>
            <w:vAlign w:val="center"/>
          </w:tcPr>
          <w:p w14:paraId="64D214F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Sleep-Disordered Breathing in Children with Rare Skeletal Disorders: A Survey of Clinical Records</w:t>
            </w:r>
          </w:p>
        </w:tc>
        <w:tc>
          <w:tcPr>
            <w:tcW w:w="568" w:type="dxa"/>
            <w:shd w:val="clear" w:color="auto" w:fill="auto"/>
            <w:vAlign w:val="center"/>
          </w:tcPr>
          <w:p w14:paraId="6A7B518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67964B2B" w14:textId="77777777" w:rsidTr="004C3C90">
        <w:trPr>
          <w:trHeight w:val="20"/>
        </w:trPr>
        <w:tc>
          <w:tcPr>
            <w:tcW w:w="550" w:type="dxa"/>
            <w:shd w:val="clear" w:color="auto" w:fill="auto"/>
            <w:vAlign w:val="center"/>
          </w:tcPr>
          <w:p w14:paraId="6E416C8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1002</w:t>
            </w:r>
          </w:p>
        </w:tc>
        <w:tc>
          <w:tcPr>
            <w:tcW w:w="1071" w:type="dxa"/>
            <w:shd w:val="clear" w:color="auto" w:fill="auto"/>
            <w:vAlign w:val="center"/>
          </w:tcPr>
          <w:p w14:paraId="5EED753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56B6E10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Weissler JM, Shubinets V, Carney MJ, Low DW</w:t>
            </w:r>
          </w:p>
        </w:tc>
        <w:tc>
          <w:tcPr>
            <w:tcW w:w="7010" w:type="dxa"/>
            <w:shd w:val="clear" w:color="auto" w:fill="auto"/>
            <w:vAlign w:val="center"/>
          </w:tcPr>
          <w:p w14:paraId="40E4854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Complex Truncal Masses in the Setting of Cloves Syndrome: Aesthetic and Functional Implications</w:t>
            </w:r>
          </w:p>
        </w:tc>
        <w:tc>
          <w:tcPr>
            <w:tcW w:w="568" w:type="dxa"/>
            <w:shd w:val="clear" w:color="auto" w:fill="auto"/>
            <w:vAlign w:val="center"/>
          </w:tcPr>
          <w:p w14:paraId="19DA525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68379D83" w14:textId="77777777" w:rsidTr="004C3C90">
        <w:trPr>
          <w:trHeight w:val="20"/>
        </w:trPr>
        <w:tc>
          <w:tcPr>
            <w:tcW w:w="550" w:type="dxa"/>
            <w:shd w:val="clear" w:color="auto" w:fill="auto"/>
            <w:vAlign w:val="center"/>
          </w:tcPr>
          <w:p w14:paraId="0BCE8FD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1003</w:t>
            </w:r>
          </w:p>
        </w:tc>
        <w:tc>
          <w:tcPr>
            <w:tcW w:w="1071" w:type="dxa"/>
            <w:shd w:val="clear" w:color="auto" w:fill="auto"/>
            <w:vAlign w:val="center"/>
          </w:tcPr>
          <w:p w14:paraId="0E71993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371029A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Kedia S, Ahuja V</w:t>
            </w:r>
          </w:p>
        </w:tc>
        <w:tc>
          <w:tcPr>
            <w:tcW w:w="7010" w:type="dxa"/>
            <w:shd w:val="clear" w:color="auto" w:fill="auto"/>
            <w:vAlign w:val="center"/>
          </w:tcPr>
          <w:p w14:paraId="021AAE8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Epidemiology of Inflammatory Bowel Disease in India: The Great Shift East</w:t>
            </w:r>
          </w:p>
        </w:tc>
        <w:tc>
          <w:tcPr>
            <w:tcW w:w="568" w:type="dxa"/>
            <w:shd w:val="clear" w:color="auto" w:fill="auto"/>
            <w:vAlign w:val="center"/>
          </w:tcPr>
          <w:p w14:paraId="54A5659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AF35386" w14:textId="77777777" w:rsidTr="004C3C90">
        <w:trPr>
          <w:trHeight w:val="20"/>
        </w:trPr>
        <w:tc>
          <w:tcPr>
            <w:tcW w:w="550" w:type="dxa"/>
            <w:shd w:val="clear" w:color="auto" w:fill="auto"/>
            <w:vAlign w:val="center"/>
          </w:tcPr>
          <w:p w14:paraId="38A28FE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1004</w:t>
            </w:r>
          </w:p>
        </w:tc>
        <w:tc>
          <w:tcPr>
            <w:tcW w:w="1071" w:type="dxa"/>
            <w:shd w:val="clear" w:color="auto" w:fill="auto"/>
            <w:vAlign w:val="center"/>
          </w:tcPr>
          <w:p w14:paraId="4F770DD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255B068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Sanchorawala V, McCausland KL, White MK, Bayliss MS, Guthrie SD, Lo S, Skinner M</w:t>
            </w:r>
          </w:p>
        </w:tc>
        <w:tc>
          <w:tcPr>
            <w:tcW w:w="7010" w:type="dxa"/>
            <w:shd w:val="clear" w:color="auto" w:fill="auto"/>
            <w:vAlign w:val="center"/>
          </w:tcPr>
          <w:p w14:paraId="3015B0C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 Longitudinal Evaluation of Health-Related Quality of Life in Patients with Al Amyloidosis: Associations with Health Outcomes over Time</w:t>
            </w:r>
          </w:p>
        </w:tc>
        <w:tc>
          <w:tcPr>
            <w:tcW w:w="568" w:type="dxa"/>
            <w:shd w:val="clear" w:color="auto" w:fill="auto"/>
            <w:vAlign w:val="center"/>
          </w:tcPr>
          <w:p w14:paraId="4B2B65F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7F6D1ACA" w14:textId="77777777" w:rsidTr="004C3C90">
        <w:trPr>
          <w:trHeight w:val="20"/>
        </w:trPr>
        <w:tc>
          <w:tcPr>
            <w:tcW w:w="550" w:type="dxa"/>
            <w:shd w:val="clear" w:color="auto" w:fill="auto"/>
            <w:vAlign w:val="center"/>
          </w:tcPr>
          <w:p w14:paraId="43D82E9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1005</w:t>
            </w:r>
          </w:p>
        </w:tc>
        <w:tc>
          <w:tcPr>
            <w:tcW w:w="1071" w:type="dxa"/>
            <w:shd w:val="clear" w:color="auto" w:fill="auto"/>
            <w:vAlign w:val="center"/>
          </w:tcPr>
          <w:p w14:paraId="578155A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17C034A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Horick NK, Manful A, Lowery J, Domchek S, Moorman P, Griffin C</w:t>
            </w:r>
            <w:r w:rsidRPr="004C3C90">
              <w:rPr>
                <w:rFonts w:ascii="Times New Roman" w:eastAsia="Times New Roman" w:hAnsi="Times New Roman" w:cs="Times New Roman"/>
                <w:sz w:val="20"/>
                <w:szCs w:val="20"/>
                <w:highlight w:val="white"/>
              </w:rPr>
              <w:t>, et al.</w:t>
            </w:r>
          </w:p>
        </w:tc>
        <w:tc>
          <w:tcPr>
            <w:tcW w:w="7010" w:type="dxa"/>
            <w:shd w:val="clear" w:color="auto" w:fill="auto"/>
            <w:vAlign w:val="center"/>
          </w:tcPr>
          <w:p w14:paraId="43B18320"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Physical and Psychological Health in Rare Cancer Survivors</w:t>
            </w:r>
          </w:p>
        </w:tc>
        <w:tc>
          <w:tcPr>
            <w:tcW w:w="568" w:type="dxa"/>
            <w:shd w:val="clear" w:color="auto" w:fill="auto"/>
            <w:vAlign w:val="center"/>
          </w:tcPr>
          <w:p w14:paraId="0C0037E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061A7DC" w14:textId="77777777" w:rsidTr="004C3C90">
        <w:trPr>
          <w:trHeight w:val="20"/>
        </w:trPr>
        <w:tc>
          <w:tcPr>
            <w:tcW w:w="550" w:type="dxa"/>
            <w:shd w:val="clear" w:color="auto" w:fill="auto"/>
            <w:vAlign w:val="center"/>
          </w:tcPr>
          <w:p w14:paraId="17A9A5F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1006</w:t>
            </w:r>
          </w:p>
        </w:tc>
        <w:tc>
          <w:tcPr>
            <w:tcW w:w="1071" w:type="dxa"/>
            <w:shd w:val="clear" w:color="auto" w:fill="auto"/>
            <w:vAlign w:val="center"/>
          </w:tcPr>
          <w:p w14:paraId="6251458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62E63B5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Suzuki S, Midorikawa S, Matsuzuka T, Fukushima T, Ito Y, Shimura H, Takahashi H</w:t>
            </w:r>
            <w:r w:rsidRPr="004C3C90">
              <w:rPr>
                <w:rFonts w:ascii="Times New Roman" w:eastAsia="Times New Roman" w:hAnsi="Times New Roman" w:cs="Times New Roman"/>
                <w:sz w:val="20"/>
                <w:szCs w:val="20"/>
                <w:highlight w:val="white"/>
              </w:rPr>
              <w:t>, et al.</w:t>
            </w:r>
          </w:p>
        </w:tc>
        <w:tc>
          <w:tcPr>
            <w:tcW w:w="7010" w:type="dxa"/>
            <w:shd w:val="clear" w:color="auto" w:fill="auto"/>
            <w:vAlign w:val="center"/>
          </w:tcPr>
          <w:p w14:paraId="357F61E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Prevalence and Characterization of Thyroid Hemiagenesis in Japan: The Fukushima Health Management Survey</w:t>
            </w:r>
          </w:p>
        </w:tc>
        <w:tc>
          <w:tcPr>
            <w:tcW w:w="568" w:type="dxa"/>
            <w:shd w:val="clear" w:color="auto" w:fill="auto"/>
            <w:vAlign w:val="center"/>
          </w:tcPr>
          <w:p w14:paraId="72DAD6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r w:rsidR="004C3C90" w:rsidRPr="004C3C90" w14:paraId="5B76FB61" w14:textId="77777777" w:rsidTr="004C3C90">
        <w:trPr>
          <w:trHeight w:val="20"/>
        </w:trPr>
        <w:tc>
          <w:tcPr>
            <w:tcW w:w="550" w:type="dxa"/>
            <w:shd w:val="clear" w:color="auto" w:fill="auto"/>
            <w:vAlign w:val="center"/>
          </w:tcPr>
          <w:p w14:paraId="4D7171AC"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1007</w:t>
            </w:r>
          </w:p>
        </w:tc>
        <w:tc>
          <w:tcPr>
            <w:tcW w:w="1071" w:type="dxa"/>
            <w:shd w:val="clear" w:color="auto" w:fill="auto"/>
            <w:vAlign w:val="center"/>
          </w:tcPr>
          <w:p w14:paraId="1422A9A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10D3412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Imtiaz S, Nasir K, Drohlia MF, Salman B, Ahmad A</w:t>
            </w:r>
          </w:p>
        </w:tc>
        <w:tc>
          <w:tcPr>
            <w:tcW w:w="7010" w:type="dxa"/>
            <w:shd w:val="clear" w:color="auto" w:fill="auto"/>
            <w:vAlign w:val="center"/>
          </w:tcPr>
          <w:p w14:paraId="1377A56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Frequency of Kidney Diseases and Clinical Indications of Pediatric Renal Biopsy: A Single Center Experience</w:t>
            </w:r>
          </w:p>
        </w:tc>
        <w:tc>
          <w:tcPr>
            <w:tcW w:w="568" w:type="dxa"/>
            <w:shd w:val="clear" w:color="auto" w:fill="auto"/>
            <w:vAlign w:val="center"/>
          </w:tcPr>
          <w:p w14:paraId="70111C4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2016</w:t>
            </w:r>
          </w:p>
        </w:tc>
      </w:tr>
      <w:tr w:rsidR="004C3C90" w:rsidRPr="004C3C90" w14:paraId="4C81B1B0" w14:textId="77777777" w:rsidTr="004C3C90">
        <w:trPr>
          <w:trHeight w:val="20"/>
        </w:trPr>
        <w:tc>
          <w:tcPr>
            <w:tcW w:w="550" w:type="dxa"/>
            <w:shd w:val="clear" w:color="auto" w:fill="auto"/>
            <w:vAlign w:val="center"/>
          </w:tcPr>
          <w:p w14:paraId="7E96909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1008</w:t>
            </w:r>
          </w:p>
        </w:tc>
        <w:tc>
          <w:tcPr>
            <w:tcW w:w="1071" w:type="dxa"/>
            <w:shd w:val="clear" w:color="auto" w:fill="auto"/>
            <w:vAlign w:val="center"/>
          </w:tcPr>
          <w:p w14:paraId="71355D8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2751BCE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Anderzén-Carlsson A</w:t>
            </w:r>
          </w:p>
        </w:tc>
        <w:tc>
          <w:tcPr>
            <w:tcW w:w="7010" w:type="dxa"/>
            <w:shd w:val="clear" w:color="auto" w:fill="auto"/>
            <w:vAlign w:val="center"/>
          </w:tcPr>
          <w:p w14:paraId="05C931C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Charge Syndrome-a Five Case Study of the Syndrome Characteristics and Health Care Consumption During the First Year in Life</w:t>
            </w:r>
          </w:p>
        </w:tc>
        <w:tc>
          <w:tcPr>
            <w:tcW w:w="568" w:type="dxa"/>
            <w:shd w:val="clear" w:color="auto" w:fill="auto"/>
            <w:vAlign w:val="center"/>
          </w:tcPr>
          <w:p w14:paraId="12867D4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7A150A5" w14:textId="77777777" w:rsidTr="004C3C90">
        <w:trPr>
          <w:trHeight w:val="20"/>
        </w:trPr>
        <w:tc>
          <w:tcPr>
            <w:tcW w:w="550" w:type="dxa"/>
            <w:shd w:val="clear" w:color="auto" w:fill="auto"/>
            <w:vAlign w:val="center"/>
          </w:tcPr>
          <w:p w14:paraId="268A880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1009</w:t>
            </w:r>
          </w:p>
        </w:tc>
        <w:tc>
          <w:tcPr>
            <w:tcW w:w="1071" w:type="dxa"/>
            <w:shd w:val="clear" w:color="auto" w:fill="auto"/>
            <w:vAlign w:val="center"/>
          </w:tcPr>
          <w:p w14:paraId="2B922FC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223F524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 xml:space="preserve">Kim HS, Lyoo CH, Lee PH, Kim SJ, Park MY, Ma HI, </w:t>
            </w:r>
            <w:r w:rsidRPr="004C3C90">
              <w:rPr>
                <w:rFonts w:ascii="Times New Roman" w:eastAsia="Times New Roman" w:hAnsi="Times New Roman" w:cs="Times New Roman"/>
                <w:sz w:val="20"/>
                <w:szCs w:val="20"/>
                <w:highlight w:val="white"/>
              </w:rPr>
              <w:t>et al.</w:t>
            </w:r>
          </w:p>
        </w:tc>
        <w:tc>
          <w:tcPr>
            <w:tcW w:w="7010" w:type="dxa"/>
            <w:shd w:val="clear" w:color="auto" w:fill="auto"/>
            <w:vAlign w:val="center"/>
          </w:tcPr>
          <w:p w14:paraId="7243A8E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Current Status of Huntington's Disease in Korea: A Nationwide Survey and National Registry Analysis</w:t>
            </w:r>
          </w:p>
        </w:tc>
        <w:tc>
          <w:tcPr>
            <w:tcW w:w="568" w:type="dxa"/>
            <w:shd w:val="clear" w:color="auto" w:fill="auto"/>
            <w:vAlign w:val="center"/>
          </w:tcPr>
          <w:p w14:paraId="28B4B57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5DE2859E" w14:textId="77777777" w:rsidTr="004C3C90">
        <w:trPr>
          <w:trHeight w:val="20"/>
        </w:trPr>
        <w:tc>
          <w:tcPr>
            <w:tcW w:w="550" w:type="dxa"/>
            <w:shd w:val="clear" w:color="auto" w:fill="auto"/>
            <w:vAlign w:val="center"/>
          </w:tcPr>
          <w:p w14:paraId="429FA44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1010</w:t>
            </w:r>
          </w:p>
        </w:tc>
        <w:tc>
          <w:tcPr>
            <w:tcW w:w="1071" w:type="dxa"/>
            <w:shd w:val="clear" w:color="auto" w:fill="auto"/>
            <w:vAlign w:val="center"/>
          </w:tcPr>
          <w:p w14:paraId="016F206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1F3BB22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 xml:space="preserve">Litchfield K, Thomsen H, Mitchell JS, </w:t>
            </w:r>
            <w:r w:rsidRPr="004C3C90">
              <w:rPr>
                <w:rFonts w:ascii="Times New Roman" w:hAnsi="Times New Roman" w:cs="Times New Roman"/>
                <w:sz w:val="20"/>
                <w:szCs w:val="20"/>
                <w:highlight w:val="white"/>
              </w:rPr>
              <w:t xml:space="preserve">Sundquist J, Houlston RS, Hemminki K, </w:t>
            </w:r>
            <w:r w:rsidRPr="004C3C90">
              <w:rPr>
                <w:rFonts w:ascii="Times New Roman" w:eastAsia="Times New Roman" w:hAnsi="Times New Roman" w:cs="Times New Roman"/>
                <w:sz w:val="20"/>
                <w:szCs w:val="20"/>
                <w:highlight w:val="white"/>
              </w:rPr>
              <w:t xml:space="preserve"> et al.</w:t>
            </w:r>
          </w:p>
        </w:tc>
        <w:tc>
          <w:tcPr>
            <w:tcW w:w="7010" w:type="dxa"/>
            <w:shd w:val="clear" w:color="auto" w:fill="auto"/>
            <w:vAlign w:val="center"/>
          </w:tcPr>
          <w:p w14:paraId="502DDFE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Quantifying the Heritability of Testicular Germ Cell Tumour Using Both Population-Based and Genomic Approaches</w:t>
            </w:r>
          </w:p>
        </w:tc>
        <w:tc>
          <w:tcPr>
            <w:tcW w:w="568" w:type="dxa"/>
            <w:shd w:val="clear" w:color="auto" w:fill="auto"/>
            <w:vAlign w:val="center"/>
          </w:tcPr>
          <w:p w14:paraId="0AF46C1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1EF3A019" w14:textId="77777777" w:rsidTr="004C3C90">
        <w:trPr>
          <w:trHeight w:val="20"/>
        </w:trPr>
        <w:tc>
          <w:tcPr>
            <w:tcW w:w="550" w:type="dxa"/>
            <w:shd w:val="clear" w:color="auto" w:fill="auto"/>
            <w:vAlign w:val="center"/>
          </w:tcPr>
          <w:p w14:paraId="562CD62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1011</w:t>
            </w:r>
          </w:p>
        </w:tc>
        <w:tc>
          <w:tcPr>
            <w:tcW w:w="1071" w:type="dxa"/>
            <w:shd w:val="clear" w:color="auto" w:fill="auto"/>
            <w:vAlign w:val="center"/>
          </w:tcPr>
          <w:p w14:paraId="111FF17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117EC8D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Simeón-Aznar CP, Fonollosa-Plá V, Tolosa-Vilella C, Espinosa-Garriga G, Campillo-Grau M, Ramos-Casals M</w:t>
            </w:r>
            <w:r w:rsidRPr="004C3C90">
              <w:rPr>
                <w:rFonts w:ascii="Times New Roman" w:eastAsia="Times New Roman" w:hAnsi="Times New Roman" w:cs="Times New Roman"/>
                <w:sz w:val="20"/>
                <w:szCs w:val="20"/>
                <w:highlight w:val="white"/>
              </w:rPr>
              <w:t>, et al.</w:t>
            </w:r>
          </w:p>
        </w:tc>
        <w:tc>
          <w:tcPr>
            <w:tcW w:w="7010" w:type="dxa"/>
            <w:shd w:val="clear" w:color="auto" w:fill="auto"/>
            <w:vAlign w:val="center"/>
          </w:tcPr>
          <w:p w14:paraId="47EB571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Registry of the Spanish Network for Systemic Sclerosis: Survival, Prognostic Factors, and Causes of Death</w:t>
            </w:r>
          </w:p>
        </w:tc>
        <w:tc>
          <w:tcPr>
            <w:tcW w:w="568" w:type="dxa"/>
            <w:shd w:val="clear" w:color="auto" w:fill="auto"/>
            <w:vAlign w:val="center"/>
          </w:tcPr>
          <w:p w14:paraId="2A79D52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2015</w:t>
            </w:r>
          </w:p>
        </w:tc>
      </w:tr>
      <w:tr w:rsidR="004C3C90" w:rsidRPr="004C3C90" w14:paraId="391DE2B8" w14:textId="77777777" w:rsidTr="004C3C90">
        <w:trPr>
          <w:trHeight w:val="20"/>
        </w:trPr>
        <w:tc>
          <w:tcPr>
            <w:tcW w:w="550" w:type="dxa"/>
            <w:shd w:val="clear" w:color="auto" w:fill="auto"/>
            <w:vAlign w:val="center"/>
          </w:tcPr>
          <w:p w14:paraId="0351B1E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1012</w:t>
            </w:r>
          </w:p>
        </w:tc>
        <w:tc>
          <w:tcPr>
            <w:tcW w:w="1071" w:type="dxa"/>
            <w:shd w:val="clear" w:color="auto" w:fill="auto"/>
            <w:vAlign w:val="center"/>
          </w:tcPr>
          <w:p w14:paraId="7021D38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5CBE187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Kamath S, Arkader A, Jubran RF</w:t>
            </w:r>
          </w:p>
        </w:tc>
        <w:tc>
          <w:tcPr>
            <w:tcW w:w="7010" w:type="dxa"/>
            <w:shd w:val="clear" w:color="auto" w:fill="auto"/>
            <w:vAlign w:val="center"/>
          </w:tcPr>
          <w:p w14:paraId="03BCDC2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Outcomes of Children Younger Than 24 Months with Langerhans Cell Histiocytosis and Bone Involvement: A Report from a Single Institution</w:t>
            </w:r>
          </w:p>
        </w:tc>
        <w:tc>
          <w:tcPr>
            <w:tcW w:w="568" w:type="dxa"/>
            <w:shd w:val="clear" w:color="auto" w:fill="auto"/>
            <w:vAlign w:val="center"/>
          </w:tcPr>
          <w:p w14:paraId="7F569EF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6046365E" w14:textId="77777777" w:rsidTr="004C3C90">
        <w:trPr>
          <w:trHeight w:val="20"/>
        </w:trPr>
        <w:tc>
          <w:tcPr>
            <w:tcW w:w="550" w:type="dxa"/>
            <w:shd w:val="clear" w:color="auto" w:fill="auto"/>
            <w:vAlign w:val="center"/>
          </w:tcPr>
          <w:p w14:paraId="4A8F771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1013</w:t>
            </w:r>
          </w:p>
        </w:tc>
        <w:tc>
          <w:tcPr>
            <w:tcW w:w="1071" w:type="dxa"/>
            <w:shd w:val="clear" w:color="auto" w:fill="auto"/>
            <w:vAlign w:val="center"/>
          </w:tcPr>
          <w:p w14:paraId="7CD8D42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254F760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Latino GA, Brown D, Glazier RH, Weyman JT, Faughnan ME</w:t>
            </w:r>
          </w:p>
        </w:tc>
        <w:tc>
          <w:tcPr>
            <w:tcW w:w="7010" w:type="dxa"/>
            <w:shd w:val="clear" w:color="auto" w:fill="auto"/>
            <w:vAlign w:val="center"/>
          </w:tcPr>
          <w:p w14:paraId="746F6AE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Targetig under-Diagnosis in Hereditary Hemorrhagic Telangiectasia: A Model Approach for Rare Diseases?</w:t>
            </w:r>
          </w:p>
        </w:tc>
        <w:tc>
          <w:tcPr>
            <w:tcW w:w="568" w:type="dxa"/>
            <w:shd w:val="clear" w:color="auto" w:fill="auto"/>
            <w:vAlign w:val="center"/>
          </w:tcPr>
          <w:p w14:paraId="71658FB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606F7CC9" w14:textId="77777777" w:rsidTr="004C3C90">
        <w:trPr>
          <w:trHeight w:val="20"/>
        </w:trPr>
        <w:tc>
          <w:tcPr>
            <w:tcW w:w="550" w:type="dxa"/>
            <w:shd w:val="clear" w:color="auto" w:fill="auto"/>
            <w:vAlign w:val="center"/>
          </w:tcPr>
          <w:p w14:paraId="00A08F7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1014</w:t>
            </w:r>
          </w:p>
        </w:tc>
        <w:tc>
          <w:tcPr>
            <w:tcW w:w="1071" w:type="dxa"/>
            <w:shd w:val="clear" w:color="auto" w:fill="auto"/>
            <w:vAlign w:val="center"/>
          </w:tcPr>
          <w:p w14:paraId="2AAD71F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5AFB175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Wixner J, Mundayat R, Karayal ON, Anan I, Karling P, Suhr OB</w:t>
            </w:r>
          </w:p>
        </w:tc>
        <w:tc>
          <w:tcPr>
            <w:tcW w:w="7010" w:type="dxa"/>
            <w:shd w:val="clear" w:color="auto" w:fill="auto"/>
            <w:vAlign w:val="center"/>
          </w:tcPr>
          <w:p w14:paraId="6DBAF91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Thaos: Gastrointestinal Manifestations of Transthyretin Amyloidosis - Common Complications of a Rare Disease</w:t>
            </w:r>
          </w:p>
        </w:tc>
        <w:tc>
          <w:tcPr>
            <w:tcW w:w="568" w:type="dxa"/>
            <w:shd w:val="clear" w:color="auto" w:fill="auto"/>
            <w:vAlign w:val="center"/>
          </w:tcPr>
          <w:p w14:paraId="38F314B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2014</w:t>
            </w:r>
          </w:p>
        </w:tc>
      </w:tr>
      <w:tr w:rsidR="004C3C90" w:rsidRPr="004C3C90" w14:paraId="6DE81E13" w14:textId="77777777" w:rsidTr="004C3C90">
        <w:trPr>
          <w:trHeight w:val="20"/>
        </w:trPr>
        <w:tc>
          <w:tcPr>
            <w:tcW w:w="550" w:type="dxa"/>
            <w:shd w:val="clear" w:color="auto" w:fill="auto"/>
            <w:vAlign w:val="center"/>
          </w:tcPr>
          <w:p w14:paraId="30131AF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1015</w:t>
            </w:r>
          </w:p>
        </w:tc>
        <w:tc>
          <w:tcPr>
            <w:tcW w:w="1071" w:type="dxa"/>
            <w:shd w:val="clear" w:color="auto" w:fill="auto"/>
            <w:vAlign w:val="center"/>
          </w:tcPr>
          <w:p w14:paraId="67FE37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1EA1CF5B"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Chung SE, Cheong HK, Park JH, Kim HJ</w:t>
            </w:r>
          </w:p>
        </w:tc>
        <w:tc>
          <w:tcPr>
            <w:tcW w:w="7010" w:type="dxa"/>
            <w:shd w:val="clear" w:color="auto" w:fill="auto"/>
            <w:vAlign w:val="center"/>
          </w:tcPr>
          <w:p w14:paraId="409C9FB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Burden of Disease of Multiple Sclerosis in Korea</w:t>
            </w:r>
          </w:p>
        </w:tc>
        <w:tc>
          <w:tcPr>
            <w:tcW w:w="568" w:type="dxa"/>
            <w:shd w:val="clear" w:color="auto" w:fill="auto"/>
            <w:vAlign w:val="center"/>
          </w:tcPr>
          <w:p w14:paraId="53A7F82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3ADFDFF2" w14:textId="77777777" w:rsidTr="004C3C90">
        <w:trPr>
          <w:trHeight w:val="20"/>
        </w:trPr>
        <w:tc>
          <w:tcPr>
            <w:tcW w:w="550" w:type="dxa"/>
            <w:shd w:val="clear" w:color="auto" w:fill="auto"/>
            <w:vAlign w:val="center"/>
          </w:tcPr>
          <w:p w14:paraId="7CD6AF4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1016</w:t>
            </w:r>
          </w:p>
        </w:tc>
        <w:tc>
          <w:tcPr>
            <w:tcW w:w="1071" w:type="dxa"/>
            <w:shd w:val="clear" w:color="auto" w:fill="auto"/>
            <w:vAlign w:val="center"/>
          </w:tcPr>
          <w:p w14:paraId="530FBBC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1DA3413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Trama A, Mallone S, Ferretti S, Meduri F, Capocaccia R, Gatta G</w:t>
            </w:r>
          </w:p>
        </w:tc>
        <w:tc>
          <w:tcPr>
            <w:tcW w:w="7010" w:type="dxa"/>
            <w:shd w:val="clear" w:color="auto" w:fill="auto"/>
            <w:vAlign w:val="center"/>
          </w:tcPr>
          <w:p w14:paraId="1B09D43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Burden of Rare Cancers in Italy: The Surveillance of Rare Cancers in Italy (Rita) Project</w:t>
            </w:r>
          </w:p>
        </w:tc>
        <w:tc>
          <w:tcPr>
            <w:tcW w:w="568" w:type="dxa"/>
            <w:shd w:val="clear" w:color="auto" w:fill="auto"/>
            <w:vAlign w:val="center"/>
          </w:tcPr>
          <w:p w14:paraId="631F17C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4AC4C9DC" w14:textId="77777777" w:rsidTr="004C3C90">
        <w:trPr>
          <w:trHeight w:val="20"/>
        </w:trPr>
        <w:tc>
          <w:tcPr>
            <w:tcW w:w="550" w:type="dxa"/>
            <w:shd w:val="clear" w:color="auto" w:fill="auto"/>
            <w:vAlign w:val="center"/>
          </w:tcPr>
          <w:p w14:paraId="399F18A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1017</w:t>
            </w:r>
          </w:p>
        </w:tc>
        <w:tc>
          <w:tcPr>
            <w:tcW w:w="1071" w:type="dxa"/>
            <w:shd w:val="clear" w:color="auto" w:fill="auto"/>
            <w:vAlign w:val="center"/>
          </w:tcPr>
          <w:p w14:paraId="2781EBC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3E3E153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Nakamura C, Bromberg M, Bhargava S, Wicks P, Zeng-Treitler Q</w:t>
            </w:r>
          </w:p>
        </w:tc>
        <w:tc>
          <w:tcPr>
            <w:tcW w:w="7010" w:type="dxa"/>
            <w:shd w:val="clear" w:color="auto" w:fill="auto"/>
            <w:vAlign w:val="center"/>
          </w:tcPr>
          <w:p w14:paraId="6EC0D17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Mining Online Social Network Data for Biomedical Research: A Comparison of Clinicians' and Patients' Perceptions About Amyotrophic Lateral Sclerosis Treatments</w:t>
            </w:r>
          </w:p>
        </w:tc>
        <w:tc>
          <w:tcPr>
            <w:tcW w:w="568" w:type="dxa"/>
            <w:shd w:val="clear" w:color="auto" w:fill="auto"/>
            <w:vAlign w:val="center"/>
          </w:tcPr>
          <w:p w14:paraId="7630D76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2012</w:t>
            </w:r>
          </w:p>
        </w:tc>
      </w:tr>
      <w:tr w:rsidR="004C3C90" w:rsidRPr="004C3C90" w14:paraId="79A92772" w14:textId="77777777" w:rsidTr="004C3C90">
        <w:trPr>
          <w:trHeight w:val="20"/>
        </w:trPr>
        <w:tc>
          <w:tcPr>
            <w:tcW w:w="550" w:type="dxa"/>
            <w:shd w:val="clear" w:color="auto" w:fill="auto"/>
            <w:vAlign w:val="center"/>
          </w:tcPr>
          <w:p w14:paraId="7A80DA5B"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1018</w:t>
            </w:r>
          </w:p>
        </w:tc>
        <w:tc>
          <w:tcPr>
            <w:tcW w:w="1071" w:type="dxa"/>
            <w:shd w:val="clear" w:color="auto" w:fill="auto"/>
            <w:vAlign w:val="center"/>
          </w:tcPr>
          <w:p w14:paraId="3C45C24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5B3BFDE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Risselada R, de Vries LM, Dippel DW, et al.</w:t>
            </w:r>
          </w:p>
        </w:tc>
        <w:tc>
          <w:tcPr>
            <w:tcW w:w="7010" w:type="dxa"/>
            <w:shd w:val="clear" w:color="auto" w:fill="auto"/>
            <w:vAlign w:val="center"/>
          </w:tcPr>
          <w:p w14:paraId="27878EE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Incidence, Treatment, and Case-Fatality of Non-Traumatic Subarachnoid Haemorrhage in the Netherlands</w:t>
            </w:r>
          </w:p>
        </w:tc>
        <w:tc>
          <w:tcPr>
            <w:tcW w:w="568" w:type="dxa"/>
            <w:shd w:val="clear" w:color="auto" w:fill="auto"/>
            <w:vAlign w:val="center"/>
          </w:tcPr>
          <w:p w14:paraId="16814E6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741AB607" w14:textId="77777777" w:rsidTr="004C3C90">
        <w:trPr>
          <w:trHeight w:val="20"/>
        </w:trPr>
        <w:tc>
          <w:tcPr>
            <w:tcW w:w="550" w:type="dxa"/>
            <w:shd w:val="clear" w:color="auto" w:fill="auto"/>
            <w:vAlign w:val="center"/>
          </w:tcPr>
          <w:p w14:paraId="695B277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1019</w:t>
            </w:r>
          </w:p>
        </w:tc>
        <w:tc>
          <w:tcPr>
            <w:tcW w:w="1071" w:type="dxa"/>
            <w:shd w:val="clear" w:color="auto" w:fill="auto"/>
            <w:vAlign w:val="center"/>
          </w:tcPr>
          <w:p w14:paraId="6904EA9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7CA8D38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Lefton-Greif MA, Crawford TO, McGrath-Morrow S, Carson KA, Lederman HM.</w:t>
            </w:r>
          </w:p>
        </w:tc>
        <w:tc>
          <w:tcPr>
            <w:tcW w:w="7010" w:type="dxa"/>
            <w:shd w:val="clear" w:color="auto" w:fill="auto"/>
            <w:vAlign w:val="center"/>
          </w:tcPr>
          <w:p w14:paraId="73C8147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Safety and Caregiver Satisfaction with Gastrostomy in Patients with Ataxia Telangiectasia</w:t>
            </w:r>
          </w:p>
        </w:tc>
        <w:tc>
          <w:tcPr>
            <w:tcW w:w="568" w:type="dxa"/>
            <w:shd w:val="clear" w:color="auto" w:fill="auto"/>
            <w:vAlign w:val="center"/>
          </w:tcPr>
          <w:p w14:paraId="5DC545F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2011</w:t>
            </w:r>
          </w:p>
        </w:tc>
      </w:tr>
      <w:tr w:rsidR="004C3C90" w:rsidRPr="004C3C90" w14:paraId="37D20FAB" w14:textId="77777777" w:rsidTr="004C3C90">
        <w:trPr>
          <w:trHeight w:val="20"/>
        </w:trPr>
        <w:tc>
          <w:tcPr>
            <w:tcW w:w="550" w:type="dxa"/>
            <w:shd w:val="clear" w:color="auto" w:fill="auto"/>
            <w:vAlign w:val="center"/>
          </w:tcPr>
          <w:p w14:paraId="3FC6107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1020</w:t>
            </w:r>
          </w:p>
        </w:tc>
        <w:tc>
          <w:tcPr>
            <w:tcW w:w="1071" w:type="dxa"/>
            <w:shd w:val="clear" w:color="auto" w:fill="auto"/>
            <w:vAlign w:val="center"/>
          </w:tcPr>
          <w:p w14:paraId="2C71C07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22F0F03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Yang WC, Wu HP</w:t>
            </w:r>
          </w:p>
        </w:tc>
        <w:tc>
          <w:tcPr>
            <w:tcW w:w="7010" w:type="dxa"/>
            <w:shd w:val="clear" w:color="auto" w:fill="auto"/>
            <w:vAlign w:val="center"/>
          </w:tcPr>
          <w:p w14:paraId="103C522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Clinical Analysis of Hypertension in Children Admitted to the Emergency Department</w:t>
            </w:r>
          </w:p>
        </w:tc>
        <w:tc>
          <w:tcPr>
            <w:tcW w:w="568" w:type="dxa"/>
            <w:shd w:val="clear" w:color="auto" w:fill="auto"/>
            <w:vAlign w:val="center"/>
          </w:tcPr>
          <w:p w14:paraId="7528C31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2010</w:t>
            </w:r>
          </w:p>
        </w:tc>
      </w:tr>
      <w:tr w:rsidR="004C3C90" w:rsidRPr="004C3C90" w14:paraId="51094280" w14:textId="77777777" w:rsidTr="004C3C90">
        <w:trPr>
          <w:trHeight w:val="20"/>
        </w:trPr>
        <w:tc>
          <w:tcPr>
            <w:tcW w:w="550" w:type="dxa"/>
            <w:shd w:val="clear" w:color="auto" w:fill="auto"/>
            <w:vAlign w:val="center"/>
          </w:tcPr>
          <w:p w14:paraId="10AFEEC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1021</w:t>
            </w:r>
          </w:p>
        </w:tc>
        <w:tc>
          <w:tcPr>
            <w:tcW w:w="1071" w:type="dxa"/>
            <w:shd w:val="clear" w:color="auto" w:fill="auto"/>
            <w:vAlign w:val="center"/>
          </w:tcPr>
          <w:p w14:paraId="486767E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420B256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Verbeek WH, Van De Water JM, Al-Toma A, Oudejans JJ, Mulder CJ, Coupé VM</w:t>
            </w:r>
          </w:p>
        </w:tc>
        <w:tc>
          <w:tcPr>
            <w:tcW w:w="7010" w:type="dxa"/>
            <w:shd w:val="clear" w:color="auto" w:fill="auto"/>
            <w:vAlign w:val="center"/>
          </w:tcPr>
          <w:p w14:paraId="40A6914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Incidence of Enteropathy - Associated T-Cell Lymphoma: A Nation-Wide Study of a Population-Based Registry in the Netherlands</w:t>
            </w:r>
          </w:p>
        </w:tc>
        <w:tc>
          <w:tcPr>
            <w:tcW w:w="568" w:type="dxa"/>
            <w:shd w:val="clear" w:color="auto" w:fill="auto"/>
            <w:vAlign w:val="center"/>
          </w:tcPr>
          <w:p w14:paraId="511FEE6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2008</w:t>
            </w:r>
          </w:p>
        </w:tc>
      </w:tr>
      <w:tr w:rsidR="004C3C90" w:rsidRPr="004C3C90" w14:paraId="62C6FE69" w14:textId="77777777" w:rsidTr="004C3C90">
        <w:trPr>
          <w:trHeight w:val="20"/>
        </w:trPr>
        <w:tc>
          <w:tcPr>
            <w:tcW w:w="550" w:type="dxa"/>
            <w:shd w:val="clear" w:color="auto" w:fill="auto"/>
            <w:vAlign w:val="center"/>
          </w:tcPr>
          <w:p w14:paraId="6B490FF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1022</w:t>
            </w:r>
          </w:p>
        </w:tc>
        <w:tc>
          <w:tcPr>
            <w:tcW w:w="1071" w:type="dxa"/>
            <w:shd w:val="clear" w:color="auto" w:fill="auto"/>
            <w:vAlign w:val="center"/>
          </w:tcPr>
          <w:p w14:paraId="6CF6BDB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50D9E64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Kodra Y, Morosini PR, Petrigliano R, Agazio E, Salerno P, Taruscio D</w:t>
            </w:r>
          </w:p>
        </w:tc>
        <w:tc>
          <w:tcPr>
            <w:tcW w:w="7010" w:type="dxa"/>
            <w:shd w:val="clear" w:color="auto" w:fill="auto"/>
            <w:vAlign w:val="center"/>
          </w:tcPr>
          <w:p w14:paraId="5264444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Access to and Quality of Health and Social Care for Rare Diseases: Patients' and Caregivers' Experiences</w:t>
            </w:r>
          </w:p>
        </w:tc>
        <w:tc>
          <w:tcPr>
            <w:tcW w:w="568" w:type="dxa"/>
            <w:shd w:val="clear" w:color="auto" w:fill="auto"/>
            <w:vAlign w:val="center"/>
          </w:tcPr>
          <w:p w14:paraId="6B9C35C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2007</w:t>
            </w:r>
          </w:p>
        </w:tc>
      </w:tr>
      <w:tr w:rsidR="004C3C90" w:rsidRPr="004C3C90" w14:paraId="0CD5A760" w14:textId="77777777" w:rsidTr="004C3C90">
        <w:trPr>
          <w:trHeight w:val="20"/>
        </w:trPr>
        <w:tc>
          <w:tcPr>
            <w:tcW w:w="550" w:type="dxa"/>
            <w:shd w:val="clear" w:color="auto" w:fill="auto"/>
            <w:vAlign w:val="center"/>
          </w:tcPr>
          <w:p w14:paraId="071ADF2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1023</w:t>
            </w:r>
          </w:p>
        </w:tc>
        <w:tc>
          <w:tcPr>
            <w:tcW w:w="1071" w:type="dxa"/>
            <w:shd w:val="clear" w:color="auto" w:fill="auto"/>
            <w:vAlign w:val="center"/>
          </w:tcPr>
          <w:p w14:paraId="2CEEDEC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62E5B12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Pourhassan S, Grotemeyer D, Fokou M, et al.</w:t>
            </w:r>
          </w:p>
        </w:tc>
        <w:tc>
          <w:tcPr>
            <w:tcW w:w="7010" w:type="dxa"/>
            <w:shd w:val="clear" w:color="auto" w:fill="auto"/>
            <w:vAlign w:val="center"/>
          </w:tcPr>
          <w:p w14:paraId="20C9900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Extracranial Carotid Arteries Aneurysms in Children. Single-Center Experiences in 4 Patients and Review of the Literature</w:t>
            </w:r>
          </w:p>
        </w:tc>
        <w:tc>
          <w:tcPr>
            <w:tcW w:w="568" w:type="dxa"/>
            <w:shd w:val="clear" w:color="auto" w:fill="auto"/>
            <w:vAlign w:val="center"/>
          </w:tcPr>
          <w:p w14:paraId="6FA7A0E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2007</w:t>
            </w:r>
          </w:p>
        </w:tc>
      </w:tr>
      <w:tr w:rsidR="004C3C90" w:rsidRPr="004C3C90" w14:paraId="771B0A80" w14:textId="77777777" w:rsidTr="004C3C90">
        <w:trPr>
          <w:trHeight w:val="20"/>
        </w:trPr>
        <w:tc>
          <w:tcPr>
            <w:tcW w:w="550" w:type="dxa"/>
            <w:shd w:val="clear" w:color="auto" w:fill="auto"/>
            <w:vAlign w:val="center"/>
          </w:tcPr>
          <w:p w14:paraId="7B82CA5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1024</w:t>
            </w:r>
          </w:p>
        </w:tc>
        <w:tc>
          <w:tcPr>
            <w:tcW w:w="1071" w:type="dxa"/>
            <w:shd w:val="clear" w:color="auto" w:fill="auto"/>
            <w:vAlign w:val="center"/>
          </w:tcPr>
          <w:p w14:paraId="63995BD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0D65719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Taheri-Kadkhoda Z, Björk-Eriksson T, Johansson KA, Mercke C</w:t>
            </w:r>
          </w:p>
        </w:tc>
        <w:tc>
          <w:tcPr>
            <w:tcW w:w="7010" w:type="dxa"/>
            <w:shd w:val="clear" w:color="auto" w:fill="auto"/>
            <w:vAlign w:val="center"/>
          </w:tcPr>
          <w:p w14:paraId="07C2AA6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Long-Term Treatment Results for Nasopharyngeal Carcinoma: The Sahlgrenska University Hospital Experience</w:t>
            </w:r>
          </w:p>
        </w:tc>
        <w:tc>
          <w:tcPr>
            <w:tcW w:w="568" w:type="dxa"/>
            <w:shd w:val="clear" w:color="auto" w:fill="auto"/>
            <w:vAlign w:val="center"/>
          </w:tcPr>
          <w:p w14:paraId="5211273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2007</w:t>
            </w:r>
          </w:p>
        </w:tc>
      </w:tr>
      <w:tr w:rsidR="004C3C90" w:rsidRPr="004C3C90" w14:paraId="047041A0" w14:textId="77777777" w:rsidTr="004C3C90">
        <w:trPr>
          <w:trHeight w:val="20"/>
        </w:trPr>
        <w:tc>
          <w:tcPr>
            <w:tcW w:w="550" w:type="dxa"/>
            <w:shd w:val="clear" w:color="auto" w:fill="auto"/>
            <w:vAlign w:val="center"/>
          </w:tcPr>
          <w:p w14:paraId="636ECB4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1025</w:t>
            </w:r>
          </w:p>
        </w:tc>
        <w:tc>
          <w:tcPr>
            <w:tcW w:w="1071" w:type="dxa"/>
            <w:shd w:val="clear" w:color="auto" w:fill="auto"/>
            <w:vAlign w:val="center"/>
          </w:tcPr>
          <w:p w14:paraId="2C7A647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6E6C65F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Bidstrup C, Andersen PH, Skinhøj P, Andersen AB</w:t>
            </w:r>
          </w:p>
        </w:tc>
        <w:tc>
          <w:tcPr>
            <w:tcW w:w="7010" w:type="dxa"/>
            <w:shd w:val="clear" w:color="auto" w:fill="auto"/>
            <w:vAlign w:val="center"/>
          </w:tcPr>
          <w:p w14:paraId="4F8FCA6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Tuberculous Meningitis in a Country with a Low Incidence of Tuberculosis: Still a Serious Disease and a Diagnostic Challenge</w:t>
            </w:r>
          </w:p>
        </w:tc>
        <w:tc>
          <w:tcPr>
            <w:tcW w:w="568" w:type="dxa"/>
            <w:shd w:val="clear" w:color="auto" w:fill="auto"/>
            <w:vAlign w:val="center"/>
          </w:tcPr>
          <w:p w14:paraId="5A54DB5C"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2002</w:t>
            </w:r>
          </w:p>
        </w:tc>
      </w:tr>
      <w:tr w:rsidR="004C3C90" w:rsidRPr="004C3C90" w14:paraId="540B4074" w14:textId="77777777" w:rsidTr="004C3C90">
        <w:trPr>
          <w:trHeight w:val="20"/>
        </w:trPr>
        <w:tc>
          <w:tcPr>
            <w:tcW w:w="550" w:type="dxa"/>
            <w:shd w:val="clear" w:color="auto" w:fill="auto"/>
            <w:vAlign w:val="center"/>
          </w:tcPr>
          <w:p w14:paraId="61924B80"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1026</w:t>
            </w:r>
          </w:p>
        </w:tc>
        <w:tc>
          <w:tcPr>
            <w:tcW w:w="1071" w:type="dxa"/>
            <w:shd w:val="clear" w:color="auto" w:fill="auto"/>
            <w:vAlign w:val="center"/>
          </w:tcPr>
          <w:p w14:paraId="4467461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48F7C87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Guidetti D, Sabadini R, Ferlini A, Torrente I</w:t>
            </w:r>
          </w:p>
        </w:tc>
        <w:tc>
          <w:tcPr>
            <w:tcW w:w="7010" w:type="dxa"/>
            <w:shd w:val="clear" w:color="auto" w:fill="auto"/>
            <w:vAlign w:val="center"/>
          </w:tcPr>
          <w:p w14:paraId="64D2C30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Epidemiological Survey of X-Linked Bulbar and Spinal Muscular Atrophy, or Kennedy Disease, in the Province of Reggio Emilia, Italy</w:t>
            </w:r>
          </w:p>
        </w:tc>
        <w:tc>
          <w:tcPr>
            <w:tcW w:w="568" w:type="dxa"/>
            <w:shd w:val="clear" w:color="auto" w:fill="auto"/>
            <w:vAlign w:val="center"/>
          </w:tcPr>
          <w:p w14:paraId="049144D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2001</w:t>
            </w:r>
          </w:p>
        </w:tc>
      </w:tr>
      <w:tr w:rsidR="004C3C90" w:rsidRPr="004C3C90" w14:paraId="543F832D" w14:textId="77777777" w:rsidTr="004C3C90">
        <w:trPr>
          <w:trHeight w:val="20"/>
        </w:trPr>
        <w:tc>
          <w:tcPr>
            <w:tcW w:w="550" w:type="dxa"/>
            <w:shd w:val="clear" w:color="auto" w:fill="auto"/>
            <w:vAlign w:val="center"/>
          </w:tcPr>
          <w:p w14:paraId="4EB47323"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1027</w:t>
            </w:r>
          </w:p>
        </w:tc>
        <w:tc>
          <w:tcPr>
            <w:tcW w:w="1071" w:type="dxa"/>
            <w:shd w:val="clear" w:color="auto" w:fill="auto"/>
            <w:vAlign w:val="center"/>
          </w:tcPr>
          <w:p w14:paraId="7BB1ED1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6</w:t>
            </w:r>
          </w:p>
        </w:tc>
        <w:tc>
          <w:tcPr>
            <w:tcW w:w="3741" w:type="dxa"/>
            <w:shd w:val="clear" w:color="auto" w:fill="auto"/>
            <w:vAlign w:val="center"/>
          </w:tcPr>
          <w:p w14:paraId="73E264D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Appelbaum L, Yigla M, Bendayan D, et al.</w:t>
            </w:r>
          </w:p>
        </w:tc>
        <w:tc>
          <w:tcPr>
            <w:tcW w:w="7010" w:type="dxa"/>
            <w:shd w:val="clear" w:color="auto" w:fill="auto"/>
            <w:vAlign w:val="center"/>
          </w:tcPr>
          <w:p w14:paraId="4F43C7A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Primary Pulmonary Hypertension in Israel: A National Survey</w:t>
            </w:r>
          </w:p>
        </w:tc>
        <w:tc>
          <w:tcPr>
            <w:tcW w:w="568" w:type="dxa"/>
            <w:shd w:val="clear" w:color="auto" w:fill="auto"/>
            <w:vAlign w:val="center"/>
          </w:tcPr>
          <w:p w14:paraId="764F1E0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2001</w:t>
            </w:r>
          </w:p>
        </w:tc>
      </w:tr>
      <w:tr w:rsidR="004C3C90" w:rsidRPr="004C3C90" w14:paraId="59A2CCB9" w14:textId="77777777" w:rsidTr="004C3C90">
        <w:trPr>
          <w:trHeight w:val="20"/>
        </w:trPr>
        <w:tc>
          <w:tcPr>
            <w:tcW w:w="550" w:type="dxa"/>
            <w:shd w:val="clear" w:color="auto" w:fill="auto"/>
            <w:vAlign w:val="center"/>
          </w:tcPr>
          <w:p w14:paraId="23983BC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1028</w:t>
            </w:r>
          </w:p>
        </w:tc>
        <w:tc>
          <w:tcPr>
            <w:tcW w:w="1071" w:type="dxa"/>
            <w:shd w:val="clear" w:color="auto" w:fill="auto"/>
            <w:vAlign w:val="center"/>
          </w:tcPr>
          <w:p w14:paraId="223A006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7</w:t>
            </w:r>
          </w:p>
        </w:tc>
        <w:tc>
          <w:tcPr>
            <w:tcW w:w="3741" w:type="dxa"/>
            <w:shd w:val="clear" w:color="auto" w:fill="auto"/>
            <w:vAlign w:val="center"/>
          </w:tcPr>
          <w:p w14:paraId="262D873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Grau C, Jakobsen MH, Harbo G, Svane-Knudsen V, Wedervang K, Larsen S</w:t>
            </w:r>
            <w:r w:rsidRPr="004C3C90">
              <w:rPr>
                <w:rFonts w:ascii="Times New Roman" w:eastAsia="Times New Roman" w:hAnsi="Times New Roman" w:cs="Times New Roman"/>
                <w:sz w:val="20"/>
                <w:szCs w:val="20"/>
                <w:highlight w:val="white"/>
              </w:rPr>
              <w:t>, et al.</w:t>
            </w:r>
          </w:p>
        </w:tc>
        <w:tc>
          <w:tcPr>
            <w:tcW w:w="7010" w:type="dxa"/>
            <w:shd w:val="clear" w:color="auto" w:fill="auto"/>
            <w:vAlign w:val="center"/>
          </w:tcPr>
          <w:p w14:paraId="3BA8499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Sino-Nasal Cancer in Denmark 1982-1991: A Nationwide Survey</w:t>
            </w:r>
          </w:p>
        </w:tc>
        <w:tc>
          <w:tcPr>
            <w:tcW w:w="568" w:type="dxa"/>
            <w:shd w:val="clear" w:color="auto" w:fill="auto"/>
            <w:vAlign w:val="center"/>
          </w:tcPr>
          <w:p w14:paraId="421C7AE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2001</w:t>
            </w:r>
          </w:p>
        </w:tc>
      </w:tr>
      <w:tr w:rsidR="004C3C90" w:rsidRPr="004C3C90" w14:paraId="4DD45255" w14:textId="77777777" w:rsidTr="004C3C90">
        <w:trPr>
          <w:trHeight w:val="20"/>
        </w:trPr>
        <w:tc>
          <w:tcPr>
            <w:tcW w:w="550" w:type="dxa"/>
            <w:shd w:val="clear" w:color="auto" w:fill="auto"/>
            <w:vAlign w:val="center"/>
          </w:tcPr>
          <w:p w14:paraId="5594BDE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1029</w:t>
            </w:r>
          </w:p>
        </w:tc>
        <w:tc>
          <w:tcPr>
            <w:tcW w:w="1071" w:type="dxa"/>
            <w:shd w:val="clear" w:color="auto" w:fill="auto"/>
            <w:vAlign w:val="center"/>
          </w:tcPr>
          <w:p w14:paraId="4645576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7</w:t>
            </w:r>
          </w:p>
        </w:tc>
        <w:tc>
          <w:tcPr>
            <w:tcW w:w="3741" w:type="dxa"/>
            <w:shd w:val="clear" w:color="auto" w:fill="auto"/>
            <w:vAlign w:val="center"/>
          </w:tcPr>
          <w:p w14:paraId="6D37BFA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Schlimok G</w:t>
            </w:r>
          </w:p>
        </w:tc>
        <w:tc>
          <w:tcPr>
            <w:tcW w:w="7010" w:type="dxa"/>
            <w:shd w:val="clear" w:color="auto" w:fill="auto"/>
            <w:vAlign w:val="center"/>
          </w:tcPr>
          <w:p w14:paraId="0EC00EF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Adjuvant and Palliative Immunotherapy of Colorectal Carcinoma</w:t>
            </w:r>
          </w:p>
        </w:tc>
        <w:tc>
          <w:tcPr>
            <w:tcW w:w="568" w:type="dxa"/>
            <w:shd w:val="clear" w:color="auto" w:fill="auto"/>
            <w:vAlign w:val="center"/>
          </w:tcPr>
          <w:p w14:paraId="790B9EB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1997</w:t>
            </w:r>
          </w:p>
        </w:tc>
      </w:tr>
      <w:tr w:rsidR="004C3C90" w:rsidRPr="004C3C90" w14:paraId="14A78891" w14:textId="77777777" w:rsidTr="004C3C90">
        <w:trPr>
          <w:trHeight w:val="20"/>
        </w:trPr>
        <w:tc>
          <w:tcPr>
            <w:tcW w:w="550" w:type="dxa"/>
            <w:shd w:val="clear" w:color="auto" w:fill="auto"/>
            <w:vAlign w:val="center"/>
          </w:tcPr>
          <w:p w14:paraId="656752E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1030</w:t>
            </w:r>
          </w:p>
        </w:tc>
        <w:tc>
          <w:tcPr>
            <w:tcW w:w="1071" w:type="dxa"/>
            <w:shd w:val="clear" w:color="auto" w:fill="auto"/>
            <w:vAlign w:val="center"/>
          </w:tcPr>
          <w:p w14:paraId="47E55C50"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7</w:t>
            </w:r>
          </w:p>
        </w:tc>
        <w:tc>
          <w:tcPr>
            <w:tcW w:w="3741" w:type="dxa"/>
            <w:shd w:val="clear" w:color="auto" w:fill="auto"/>
            <w:vAlign w:val="center"/>
          </w:tcPr>
          <w:p w14:paraId="4513397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Schilling T, Ziegler R</w:t>
            </w:r>
          </w:p>
        </w:tc>
        <w:tc>
          <w:tcPr>
            <w:tcW w:w="7010" w:type="dxa"/>
            <w:shd w:val="clear" w:color="auto" w:fill="auto"/>
            <w:vAlign w:val="center"/>
          </w:tcPr>
          <w:p w14:paraId="0D9039E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Current Therapy of Hypoparathyroidism - a Survey of German Endocrinology Centers</w:t>
            </w:r>
          </w:p>
        </w:tc>
        <w:tc>
          <w:tcPr>
            <w:tcW w:w="568" w:type="dxa"/>
            <w:shd w:val="clear" w:color="auto" w:fill="auto"/>
            <w:vAlign w:val="center"/>
          </w:tcPr>
          <w:p w14:paraId="71098105"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1997</w:t>
            </w:r>
          </w:p>
        </w:tc>
      </w:tr>
      <w:tr w:rsidR="004C3C90" w:rsidRPr="004C3C90" w14:paraId="33E913D4" w14:textId="77777777" w:rsidTr="004C3C90">
        <w:trPr>
          <w:trHeight w:val="20"/>
        </w:trPr>
        <w:tc>
          <w:tcPr>
            <w:tcW w:w="550" w:type="dxa"/>
            <w:shd w:val="clear" w:color="auto" w:fill="auto"/>
            <w:vAlign w:val="center"/>
          </w:tcPr>
          <w:p w14:paraId="7A2EDDF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1031</w:t>
            </w:r>
          </w:p>
        </w:tc>
        <w:tc>
          <w:tcPr>
            <w:tcW w:w="1071" w:type="dxa"/>
            <w:shd w:val="clear" w:color="auto" w:fill="auto"/>
            <w:vAlign w:val="center"/>
          </w:tcPr>
          <w:p w14:paraId="73055A6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7</w:t>
            </w:r>
          </w:p>
        </w:tc>
        <w:tc>
          <w:tcPr>
            <w:tcW w:w="3741" w:type="dxa"/>
            <w:shd w:val="clear" w:color="auto" w:fill="auto"/>
            <w:vAlign w:val="center"/>
          </w:tcPr>
          <w:p w14:paraId="2F69814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Boccon-Gibod LA, Krichen HA, Carlier-Mercier LM, Salaun JF, Fontaine JL, Leverger GR</w:t>
            </w:r>
          </w:p>
        </w:tc>
        <w:tc>
          <w:tcPr>
            <w:tcW w:w="7010" w:type="dxa"/>
            <w:shd w:val="clear" w:color="auto" w:fill="auto"/>
            <w:vAlign w:val="center"/>
          </w:tcPr>
          <w:p w14:paraId="7D91374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Digestive Tract Involvement in Langerhans Cell Histiocytosis</w:t>
            </w:r>
          </w:p>
        </w:tc>
        <w:tc>
          <w:tcPr>
            <w:tcW w:w="568" w:type="dxa"/>
            <w:shd w:val="clear" w:color="auto" w:fill="auto"/>
            <w:vAlign w:val="center"/>
          </w:tcPr>
          <w:p w14:paraId="4702079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1996</w:t>
            </w:r>
          </w:p>
        </w:tc>
      </w:tr>
      <w:tr w:rsidR="004C3C90" w:rsidRPr="004C3C90" w14:paraId="3621440B" w14:textId="77777777" w:rsidTr="004C3C90">
        <w:trPr>
          <w:trHeight w:val="20"/>
        </w:trPr>
        <w:tc>
          <w:tcPr>
            <w:tcW w:w="550" w:type="dxa"/>
            <w:shd w:val="clear" w:color="auto" w:fill="auto"/>
            <w:vAlign w:val="center"/>
          </w:tcPr>
          <w:p w14:paraId="0FAA70C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1032</w:t>
            </w:r>
          </w:p>
        </w:tc>
        <w:tc>
          <w:tcPr>
            <w:tcW w:w="1071" w:type="dxa"/>
            <w:shd w:val="clear" w:color="auto" w:fill="auto"/>
            <w:vAlign w:val="center"/>
          </w:tcPr>
          <w:p w14:paraId="18B63893"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7</w:t>
            </w:r>
          </w:p>
        </w:tc>
        <w:tc>
          <w:tcPr>
            <w:tcW w:w="3741" w:type="dxa"/>
            <w:shd w:val="clear" w:color="auto" w:fill="auto"/>
            <w:vAlign w:val="center"/>
          </w:tcPr>
          <w:p w14:paraId="21A5198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Simpson DM</w:t>
            </w:r>
          </w:p>
        </w:tc>
        <w:tc>
          <w:tcPr>
            <w:tcW w:w="7010" w:type="dxa"/>
            <w:shd w:val="clear" w:color="auto" w:fill="auto"/>
            <w:vAlign w:val="center"/>
          </w:tcPr>
          <w:p w14:paraId="55D1E7E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Improving the Reporting of Notifiable Diseases in Texas: Suggestions from an Ad Hoc Committee of Providers</w:t>
            </w:r>
          </w:p>
        </w:tc>
        <w:tc>
          <w:tcPr>
            <w:tcW w:w="568" w:type="dxa"/>
            <w:shd w:val="clear" w:color="auto" w:fill="auto"/>
            <w:vAlign w:val="center"/>
          </w:tcPr>
          <w:p w14:paraId="70BA4CC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1996</w:t>
            </w:r>
          </w:p>
        </w:tc>
      </w:tr>
      <w:tr w:rsidR="004C3C90" w:rsidRPr="004C3C90" w14:paraId="70297DC1" w14:textId="77777777" w:rsidTr="004C3C90">
        <w:trPr>
          <w:trHeight w:val="20"/>
        </w:trPr>
        <w:tc>
          <w:tcPr>
            <w:tcW w:w="550" w:type="dxa"/>
            <w:shd w:val="clear" w:color="auto" w:fill="auto"/>
            <w:vAlign w:val="center"/>
          </w:tcPr>
          <w:p w14:paraId="353C1F4E"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1033</w:t>
            </w:r>
          </w:p>
        </w:tc>
        <w:tc>
          <w:tcPr>
            <w:tcW w:w="1071" w:type="dxa"/>
            <w:shd w:val="clear" w:color="auto" w:fill="auto"/>
            <w:vAlign w:val="center"/>
          </w:tcPr>
          <w:p w14:paraId="5E89CDD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7</w:t>
            </w:r>
          </w:p>
        </w:tc>
        <w:tc>
          <w:tcPr>
            <w:tcW w:w="3741" w:type="dxa"/>
            <w:shd w:val="clear" w:color="auto" w:fill="auto"/>
            <w:vAlign w:val="center"/>
          </w:tcPr>
          <w:p w14:paraId="67AAE7D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Trimble EL, Rubinstein LV, Menck HR, Hankey BF, Kosary C, Giusti RM</w:t>
            </w:r>
          </w:p>
        </w:tc>
        <w:tc>
          <w:tcPr>
            <w:tcW w:w="7010" w:type="dxa"/>
            <w:shd w:val="clear" w:color="auto" w:fill="auto"/>
            <w:vAlign w:val="center"/>
          </w:tcPr>
          <w:p w14:paraId="228D973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Vaginal Clear Cell Adenocarcinoma in the United States</w:t>
            </w:r>
          </w:p>
        </w:tc>
        <w:tc>
          <w:tcPr>
            <w:tcW w:w="568" w:type="dxa"/>
            <w:shd w:val="clear" w:color="auto" w:fill="auto"/>
            <w:vAlign w:val="center"/>
          </w:tcPr>
          <w:p w14:paraId="2CEF374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1996</w:t>
            </w:r>
          </w:p>
        </w:tc>
      </w:tr>
      <w:tr w:rsidR="004C3C90" w:rsidRPr="004C3C90" w14:paraId="14821E28" w14:textId="77777777" w:rsidTr="004C3C90">
        <w:trPr>
          <w:trHeight w:val="20"/>
        </w:trPr>
        <w:tc>
          <w:tcPr>
            <w:tcW w:w="550" w:type="dxa"/>
            <w:shd w:val="clear" w:color="auto" w:fill="auto"/>
            <w:vAlign w:val="center"/>
          </w:tcPr>
          <w:p w14:paraId="02CA4DD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1034</w:t>
            </w:r>
          </w:p>
        </w:tc>
        <w:tc>
          <w:tcPr>
            <w:tcW w:w="1071" w:type="dxa"/>
            <w:shd w:val="clear" w:color="auto" w:fill="auto"/>
            <w:vAlign w:val="center"/>
          </w:tcPr>
          <w:p w14:paraId="2618631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7</w:t>
            </w:r>
          </w:p>
        </w:tc>
        <w:tc>
          <w:tcPr>
            <w:tcW w:w="3741" w:type="dxa"/>
            <w:shd w:val="clear" w:color="auto" w:fill="auto"/>
            <w:vAlign w:val="center"/>
          </w:tcPr>
          <w:p w14:paraId="109ED94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Rozan R, Albuisson E, Giraud B, Donnarieix D, Delannes M, Pigneux J</w:t>
            </w:r>
            <w:r w:rsidRPr="004C3C90">
              <w:rPr>
                <w:rFonts w:ascii="Times New Roman" w:eastAsia="Times New Roman" w:hAnsi="Times New Roman" w:cs="Times New Roman"/>
                <w:sz w:val="20"/>
                <w:szCs w:val="20"/>
                <w:highlight w:val="white"/>
              </w:rPr>
              <w:t>, et al.</w:t>
            </w:r>
          </w:p>
        </w:tc>
        <w:tc>
          <w:tcPr>
            <w:tcW w:w="7010" w:type="dxa"/>
            <w:shd w:val="clear" w:color="auto" w:fill="auto"/>
            <w:vAlign w:val="center"/>
          </w:tcPr>
          <w:p w14:paraId="39025AC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Interstitial Brachytherapy for Penile Carcinoma: A Multicentric Survey (259 Patients)</w:t>
            </w:r>
          </w:p>
        </w:tc>
        <w:tc>
          <w:tcPr>
            <w:tcW w:w="568" w:type="dxa"/>
            <w:shd w:val="clear" w:color="auto" w:fill="auto"/>
            <w:vAlign w:val="center"/>
          </w:tcPr>
          <w:p w14:paraId="2A62346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1995</w:t>
            </w:r>
          </w:p>
        </w:tc>
      </w:tr>
      <w:tr w:rsidR="004C3C90" w:rsidRPr="004C3C90" w14:paraId="761F0402" w14:textId="77777777" w:rsidTr="004C3C90">
        <w:trPr>
          <w:trHeight w:val="20"/>
        </w:trPr>
        <w:tc>
          <w:tcPr>
            <w:tcW w:w="550" w:type="dxa"/>
            <w:shd w:val="clear" w:color="auto" w:fill="auto"/>
            <w:vAlign w:val="center"/>
          </w:tcPr>
          <w:p w14:paraId="5ECB8ED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1035</w:t>
            </w:r>
          </w:p>
        </w:tc>
        <w:tc>
          <w:tcPr>
            <w:tcW w:w="1071" w:type="dxa"/>
            <w:shd w:val="clear" w:color="auto" w:fill="auto"/>
            <w:vAlign w:val="center"/>
          </w:tcPr>
          <w:p w14:paraId="4234A62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7</w:t>
            </w:r>
          </w:p>
        </w:tc>
        <w:tc>
          <w:tcPr>
            <w:tcW w:w="3741" w:type="dxa"/>
            <w:shd w:val="clear" w:color="auto" w:fill="auto"/>
            <w:vAlign w:val="center"/>
          </w:tcPr>
          <w:p w14:paraId="78D7E9C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Spickett GP, Askew T, Chapel HM</w:t>
            </w:r>
          </w:p>
        </w:tc>
        <w:tc>
          <w:tcPr>
            <w:tcW w:w="7010" w:type="dxa"/>
            <w:shd w:val="clear" w:color="auto" w:fill="auto"/>
            <w:vAlign w:val="center"/>
          </w:tcPr>
          <w:p w14:paraId="0E308AE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Management of Primary Antibody Deficiency by Consultant Immunologists in the United Kingdom: A Paradigm for Other Rare Diseases</w:t>
            </w:r>
          </w:p>
        </w:tc>
        <w:tc>
          <w:tcPr>
            <w:tcW w:w="568" w:type="dxa"/>
            <w:shd w:val="clear" w:color="auto" w:fill="auto"/>
            <w:vAlign w:val="center"/>
          </w:tcPr>
          <w:p w14:paraId="774D937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1995</w:t>
            </w:r>
          </w:p>
        </w:tc>
      </w:tr>
      <w:tr w:rsidR="004C3C90" w:rsidRPr="004C3C90" w14:paraId="7F0947F5" w14:textId="77777777" w:rsidTr="004C3C90">
        <w:trPr>
          <w:trHeight w:val="20"/>
        </w:trPr>
        <w:tc>
          <w:tcPr>
            <w:tcW w:w="550" w:type="dxa"/>
            <w:shd w:val="clear" w:color="auto" w:fill="auto"/>
            <w:vAlign w:val="center"/>
          </w:tcPr>
          <w:p w14:paraId="1EE9C188"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1036</w:t>
            </w:r>
          </w:p>
        </w:tc>
        <w:tc>
          <w:tcPr>
            <w:tcW w:w="1071" w:type="dxa"/>
            <w:shd w:val="clear" w:color="auto" w:fill="auto"/>
            <w:vAlign w:val="center"/>
          </w:tcPr>
          <w:p w14:paraId="08B23B2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7</w:t>
            </w:r>
          </w:p>
        </w:tc>
        <w:tc>
          <w:tcPr>
            <w:tcW w:w="3741" w:type="dxa"/>
            <w:shd w:val="clear" w:color="auto" w:fill="auto"/>
            <w:vAlign w:val="center"/>
          </w:tcPr>
          <w:p w14:paraId="3894ECB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Maheux B, Delorme P, Béland F, Beaudry J</w:t>
            </w:r>
          </w:p>
        </w:tc>
        <w:tc>
          <w:tcPr>
            <w:tcW w:w="7010" w:type="dxa"/>
            <w:shd w:val="clear" w:color="auto" w:fill="auto"/>
            <w:vAlign w:val="center"/>
          </w:tcPr>
          <w:p w14:paraId="444ADBC3"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Humanism in Medical Education: A Study of Educational Needs Perceived by Trainees of Three Canadian Schools</w:t>
            </w:r>
          </w:p>
        </w:tc>
        <w:tc>
          <w:tcPr>
            <w:tcW w:w="568" w:type="dxa"/>
            <w:shd w:val="clear" w:color="auto" w:fill="auto"/>
            <w:vAlign w:val="center"/>
          </w:tcPr>
          <w:p w14:paraId="06DD9E2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1990</w:t>
            </w:r>
          </w:p>
        </w:tc>
      </w:tr>
      <w:tr w:rsidR="004C3C90" w:rsidRPr="004C3C90" w14:paraId="25F0E5D1" w14:textId="77777777" w:rsidTr="004C3C90">
        <w:trPr>
          <w:trHeight w:val="20"/>
        </w:trPr>
        <w:tc>
          <w:tcPr>
            <w:tcW w:w="550" w:type="dxa"/>
            <w:shd w:val="clear" w:color="auto" w:fill="auto"/>
            <w:vAlign w:val="center"/>
          </w:tcPr>
          <w:p w14:paraId="221A83A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1037</w:t>
            </w:r>
          </w:p>
        </w:tc>
        <w:tc>
          <w:tcPr>
            <w:tcW w:w="1071" w:type="dxa"/>
            <w:shd w:val="clear" w:color="auto" w:fill="auto"/>
            <w:vAlign w:val="center"/>
          </w:tcPr>
          <w:p w14:paraId="6E389A9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7</w:t>
            </w:r>
          </w:p>
        </w:tc>
        <w:tc>
          <w:tcPr>
            <w:tcW w:w="3741" w:type="dxa"/>
            <w:shd w:val="clear" w:color="auto" w:fill="auto"/>
            <w:vAlign w:val="center"/>
          </w:tcPr>
          <w:p w14:paraId="0C90852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Ritvo ER, Mason-Brothers A, Freeman BJ, Pingree C, Jenson WR, McMahon WM</w:t>
            </w:r>
            <w:r w:rsidRPr="004C3C90">
              <w:rPr>
                <w:rFonts w:ascii="Times New Roman" w:eastAsia="Times New Roman" w:hAnsi="Times New Roman" w:cs="Times New Roman"/>
                <w:sz w:val="20"/>
                <w:szCs w:val="20"/>
                <w:highlight w:val="white"/>
              </w:rPr>
              <w:t>, et al.</w:t>
            </w:r>
          </w:p>
        </w:tc>
        <w:tc>
          <w:tcPr>
            <w:tcW w:w="7010" w:type="dxa"/>
            <w:shd w:val="clear" w:color="auto" w:fill="auto"/>
            <w:vAlign w:val="center"/>
          </w:tcPr>
          <w:p w14:paraId="1F50F66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Ucla-University of Utah Epidemiologic Survey of Autism: The Etiologic Role of Rare Diseases</w:t>
            </w:r>
          </w:p>
        </w:tc>
        <w:tc>
          <w:tcPr>
            <w:tcW w:w="568" w:type="dxa"/>
            <w:shd w:val="clear" w:color="auto" w:fill="auto"/>
            <w:vAlign w:val="center"/>
          </w:tcPr>
          <w:p w14:paraId="000A4B2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1990</w:t>
            </w:r>
          </w:p>
        </w:tc>
      </w:tr>
      <w:tr w:rsidR="004C3C90" w:rsidRPr="004C3C90" w14:paraId="7F537404" w14:textId="77777777" w:rsidTr="004C3C90">
        <w:trPr>
          <w:trHeight w:val="20"/>
        </w:trPr>
        <w:tc>
          <w:tcPr>
            <w:tcW w:w="550" w:type="dxa"/>
            <w:shd w:val="clear" w:color="auto" w:fill="auto"/>
            <w:vAlign w:val="center"/>
          </w:tcPr>
          <w:p w14:paraId="25AD3894"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1038</w:t>
            </w:r>
          </w:p>
        </w:tc>
        <w:tc>
          <w:tcPr>
            <w:tcW w:w="1071" w:type="dxa"/>
            <w:shd w:val="clear" w:color="auto" w:fill="auto"/>
            <w:vAlign w:val="center"/>
          </w:tcPr>
          <w:p w14:paraId="016048F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7</w:t>
            </w:r>
          </w:p>
        </w:tc>
        <w:tc>
          <w:tcPr>
            <w:tcW w:w="3741" w:type="dxa"/>
            <w:shd w:val="clear" w:color="auto" w:fill="auto"/>
            <w:vAlign w:val="center"/>
          </w:tcPr>
          <w:p w14:paraId="65DC7609"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Bortin MM, Rimm AA</w:t>
            </w:r>
          </w:p>
        </w:tc>
        <w:tc>
          <w:tcPr>
            <w:tcW w:w="7010" w:type="dxa"/>
            <w:shd w:val="clear" w:color="auto" w:fill="auto"/>
            <w:vAlign w:val="center"/>
          </w:tcPr>
          <w:p w14:paraId="55A9219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Increasing Utilization of Bone Marrow Transplantation. Ii. Results of the 1985-1987 Survey</w:t>
            </w:r>
          </w:p>
        </w:tc>
        <w:tc>
          <w:tcPr>
            <w:tcW w:w="568" w:type="dxa"/>
            <w:shd w:val="clear" w:color="auto" w:fill="auto"/>
            <w:vAlign w:val="center"/>
          </w:tcPr>
          <w:p w14:paraId="547A9FDB"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1989</w:t>
            </w:r>
          </w:p>
        </w:tc>
      </w:tr>
      <w:tr w:rsidR="004C3C90" w:rsidRPr="004C3C90" w14:paraId="1D5ED32A" w14:textId="77777777" w:rsidTr="004C3C90">
        <w:trPr>
          <w:trHeight w:val="20"/>
        </w:trPr>
        <w:tc>
          <w:tcPr>
            <w:tcW w:w="550" w:type="dxa"/>
            <w:shd w:val="clear" w:color="auto" w:fill="auto"/>
            <w:vAlign w:val="center"/>
          </w:tcPr>
          <w:p w14:paraId="3F96A707"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1039</w:t>
            </w:r>
          </w:p>
        </w:tc>
        <w:tc>
          <w:tcPr>
            <w:tcW w:w="1071" w:type="dxa"/>
            <w:shd w:val="clear" w:color="auto" w:fill="auto"/>
            <w:vAlign w:val="center"/>
          </w:tcPr>
          <w:p w14:paraId="11928ED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7</w:t>
            </w:r>
          </w:p>
        </w:tc>
        <w:tc>
          <w:tcPr>
            <w:tcW w:w="3741" w:type="dxa"/>
            <w:shd w:val="clear" w:color="auto" w:fill="auto"/>
            <w:vAlign w:val="center"/>
          </w:tcPr>
          <w:p w14:paraId="3E7E72A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Pearson M</w:t>
            </w:r>
          </w:p>
        </w:tc>
        <w:tc>
          <w:tcPr>
            <w:tcW w:w="7010" w:type="dxa"/>
            <w:shd w:val="clear" w:color="auto" w:fill="auto"/>
            <w:vAlign w:val="center"/>
          </w:tcPr>
          <w:p w14:paraId="1401FC8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Social Factors and Leprosy in Lamjung, West Central Nepal: Implication for Disease Control</w:t>
            </w:r>
          </w:p>
        </w:tc>
        <w:tc>
          <w:tcPr>
            <w:tcW w:w="568" w:type="dxa"/>
            <w:shd w:val="clear" w:color="auto" w:fill="auto"/>
            <w:vAlign w:val="center"/>
          </w:tcPr>
          <w:p w14:paraId="2B41FB9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1982</w:t>
            </w:r>
          </w:p>
        </w:tc>
      </w:tr>
      <w:tr w:rsidR="004C3C90" w:rsidRPr="004C3C90" w14:paraId="5D21FFB1" w14:textId="77777777" w:rsidTr="004C3C90">
        <w:trPr>
          <w:trHeight w:val="20"/>
        </w:trPr>
        <w:tc>
          <w:tcPr>
            <w:tcW w:w="550" w:type="dxa"/>
            <w:shd w:val="clear" w:color="auto" w:fill="auto"/>
            <w:vAlign w:val="center"/>
          </w:tcPr>
          <w:p w14:paraId="59D7A1E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1040</w:t>
            </w:r>
          </w:p>
        </w:tc>
        <w:tc>
          <w:tcPr>
            <w:tcW w:w="1071" w:type="dxa"/>
            <w:shd w:val="clear" w:color="auto" w:fill="auto"/>
            <w:vAlign w:val="center"/>
          </w:tcPr>
          <w:p w14:paraId="406B559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7</w:t>
            </w:r>
          </w:p>
        </w:tc>
        <w:tc>
          <w:tcPr>
            <w:tcW w:w="3741" w:type="dxa"/>
            <w:shd w:val="clear" w:color="auto" w:fill="auto"/>
            <w:vAlign w:val="center"/>
          </w:tcPr>
          <w:p w14:paraId="70BE610F"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Moodie JW, MacKenzie DJ, Kipps A</w:t>
            </w:r>
          </w:p>
        </w:tc>
        <w:tc>
          <w:tcPr>
            <w:tcW w:w="7010" w:type="dxa"/>
            <w:shd w:val="clear" w:color="auto" w:fill="auto"/>
            <w:vAlign w:val="center"/>
          </w:tcPr>
          <w:p w14:paraId="529E5DE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Subacute Sclerosing Panencephalitis (Sspe) in Southern Africa. Recent Additions to the Sspe Registry</w:t>
            </w:r>
          </w:p>
        </w:tc>
        <w:tc>
          <w:tcPr>
            <w:tcW w:w="568" w:type="dxa"/>
            <w:shd w:val="clear" w:color="auto" w:fill="auto"/>
            <w:vAlign w:val="center"/>
          </w:tcPr>
          <w:p w14:paraId="208659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1980</w:t>
            </w:r>
          </w:p>
        </w:tc>
      </w:tr>
      <w:tr w:rsidR="004C3C90" w:rsidRPr="004C3C90" w14:paraId="78D91569" w14:textId="77777777" w:rsidTr="004C3C90">
        <w:trPr>
          <w:trHeight w:val="20"/>
        </w:trPr>
        <w:tc>
          <w:tcPr>
            <w:tcW w:w="550" w:type="dxa"/>
            <w:shd w:val="clear" w:color="auto" w:fill="auto"/>
            <w:vAlign w:val="center"/>
          </w:tcPr>
          <w:p w14:paraId="7C5B199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1041</w:t>
            </w:r>
          </w:p>
        </w:tc>
        <w:tc>
          <w:tcPr>
            <w:tcW w:w="1071" w:type="dxa"/>
            <w:shd w:val="clear" w:color="auto" w:fill="auto"/>
            <w:vAlign w:val="center"/>
          </w:tcPr>
          <w:p w14:paraId="4DF2A6F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7</w:t>
            </w:r>
          </w:p>
        </w:tc>
        <w:tc>
          <w:tcPr>
            <w:tcW w:w="3741" w:type="dxa"/>
            <w:shd w:val="clear" w:color="auto" w:fill="auto"/>
            <w:vAlign w:val="center"/>
          </w:tcPr>
          <w:p w14:paraId="70FBAF7C"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Arthes FG, Masi AT</w:t>
            </w:r>
          </w:p>
        </w:tc>
        <w:tc>
          <w:tcPr>
            <w:tcW w:w="7010" w:type="dxa"/>
            <w:shd w:val="clear" w:color="auto" w:fill="auto"/>
            <w:vAlign w:val="center"/>
          </w:tcPr>
          <w:p w14:paraId="028827E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Myocardial Infarction in Younger Women. Associated Clinical Features and Relationship to Use of Oral Contraceptive Drugs</w:t>
            </w:r>
          </w:p>
        </w:tc>
        <w:tc>
          <w:tcPr>
            <w:tcW w:w="568" w:type="dxa"/>
            <w:shd w:val="clear" w:color="auto" w:fill="auto"/>
            <w:vAlign w:val="center"/>
          </w:tcPr>
          <w:p w14:paraId="3C6E91B8"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1976</w:t>
            </w:r>
          </w:p>
        </w:tc>
      </w:tr>
      <w:tr w:rsidR="004C3C90" w:rsidRPr="004C3C90" w14:paraId="14D32DD0" w14:textId="77777777" w:rsidTr="004C3C90">
        <w:trPr>
          <w:trHeight w:val="20"/>
        </w:trPr>
        <w:tc>
          <w:tcPr>
            <w:tcW w:w="550" w:type="dxa"/>
            <w:shd w:val="clear" w:color="auto" w:fill="auto"/>
            <w:vAlign w:val="center"/>
          </w:tcPr>
          <w:p w14:paraId="3B175E9F"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1042</w:t>
            </w:r>
          </w:p>
        </w:tc>
        <w:tc>
          <w:tcPr>
            <w:tcW w:w="1071" w:type="dxa"/>
            <w:shd w:val="clear" w:color="auto" w:fill="auto"/>
            <w:vAlign w:val="center"/>
          </w:tcPr>
          <w:p w14:paraId="0A95CEC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7</w:t>
            </w:r>
          </w:p>
        </w:tc>
        <w:tc>
          <w:tcPr>
            <w:tcW w:w="3741" w:type="dxa"/>
            <w:shd w:val="clear" w:color="auto" w:fill="auto"/>
            <w:vAlign w:val="center"/>
          </w:tcPr>
          <w:p w14:paraId="302B94E5"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Hamlyn AN, Sherlock S</w:t>
            </w:r>
          </w:p>
        </w:tc>
        <w:tc>
          <w:tcPr>
            <w:tcW w:w="7010" w:type="dxa"/>
            <w:shd w:val="clear" w:color="auto" w:fill="auto"/>
            <w:vAlign w:val="center"/>
          </w:tcPr>
          <w:p w14:paraId="12FBE9CA"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The Epidemiology of Primary Biliary Cirrhosis: A Survey of Mortality in England and Wales</w:t>
            </w:r>
          </w:p>
        </w:tc>
        <w:tc>
          <w:tcPr>
            <w:tcW w:w="568" w:type="dxa"/>
            <w:shd w:val="clear" w:color="auto" w:fill="auto"/>
            <w:vAlign w:val="center"/>
          </w:tcPr>
          <w:p w14:paraId="6544A0A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1974</w:t>
            </w:r>
          </w:p>
        </w:tc>
      </w:tr>
      <w:tr w:rsidR="004C3C90" w:rsidRPr="004C3C90" w14:paraId="588C029B" w14:textId="77777777" w:rsidTr="004C3C90">
        <w:trPr>
          <w:trHeight w:val="20"/>
        </w:trPr>
        <w:tc>
          <w:tcPr>
            <w:tcW w:w="550" w:type="dxa"/>
            <w:shd w:val="clear" w:color="auto" w:fill="auto"/>
            <w:vAlign w:val="center"/>
          </w:tcPr>
          <w:p w14:paraId="04913891"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1043</w:t>
            </w:r>
          </w:p>
        </w:tc>
        <w:tc>
          <w:tcPr>
            <w:tcW w:w="1071" w:type="dxa"/>
            <w:shd w:val="clear" w:color="auto" w:fill="auto"/>
            <w:vAlign w:val="center"/>
          </w:tcPr>
          <w:p w14:paraId="5233C86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8</w:t>
            </w:r>
          </w:p>
        </w:tc>
        <w:tc>
          <w:tcPr>
            <w:tcW w:w="3741" w:type="dxa"/>
            <w:shd w:val="clear" w:color="auto" w:fill="auto"/>
            <w:vAlign w:val="center"/>
          </w:tcPr>
          <w:p w14:paraId="279BD3F6"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Hanisch M, Wiemann S, Bohner L, Jung S, Kleinheinz J.</w:t>
            </w:r>
          </w:p>
        </w:tc>
        <w:tc>
          <w:tcPr>
            <w:tcW w:w="7010" w:type="dxa"/>
            <w:shd w:val="clear" w:color="auto" w:fill="auto"/>
            <w:vAlign w:val="center"/>
          </w:tcPr>
          <w:p w14:paraId="201F553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State of Knowledge About Information Sources and Health Care Centres for Rare Diseases among Affected People in Germany</w:t>
            </w:r>
          </w:p>
        </w:tc>
        <w:tc>
          <w:tcPr>
            <w:tcW w:w="568" w:type="dxa"/>
            <w:shd w:val="clear" w:color="auto" w:fill="auto"/>
            <w:vAlign w:val="center"/>
          </w:tcPr>
          <w:p w14:paraId="6D14F871"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2020</w:t>
            </w:r>
          </w:p>
        </w:tc>
      </w:tr>
      <w:tr w:rsidR="004C3C90" w:rsidRPr="004C3C90" w14:paraId="218946ED" w14:textId="77777777" w:rsidTr="004C3C90">
        <w:trPr>
          <w:trHeight w:val="20"/>
        </w:trPr>
        <w:tc>
          <w:tcPr>
            <w:tcW w:w="550" w:type="dxa"/>
            <w:shd w:val="clear" w:color="auto" w:fill="auto"/>
            <w:vAlign w:val="center"/>
          </w:tcPr>
          <w:p w14:paraId="0E4CE262"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1044</w:t>
            </w:r>
          </w:p>
        </w:tc>
        <w:tc>
          <w:tcPr>
            <w:tcW w:w="1071" w:type="dxa"/>
            <w:shd w:val="clear" w:color="auto" w:fill="auto"/>
            <w:vAlign w:val="center"/>
          </w:tcPr>
          <w:p w14:paraId="3695768F"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8</w:t>
            </w:r>
          </w:p>
        </w:tc>
        <w:tc>
          <w:tcPr>
            <w:tcW w:w="3741" w:type="dxa"/>
            <w:shd w:val="clear" w:color="auto" w:fill="auto"/>
            <w:vAlign w:val="center"/>
          </w:tcPr>
          <w:p w14:paraId="1EF22531"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McLawhorn, J,Balamurugan A,  Gardner JM, Kaley JR,  George MJ</w:t>
            </w:r>
          </w:p>
        </w:tc>
        <w:tc>
          <w:tcPr>
            <w:tcW w:w="7010" w:type="dxa"/>
            <w:shd w:val="clear" w:color="auto" w:fill="auto"/>
            <w:vAlign w:val="center"/>
          </w:tcPr>
          <w:p w14:paraId="4A89891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Using Social Media to Assess Mental Health and Quality of Care among Patients with Darier Disease: A Novel Resource for Patient Advocacy</w:t>
            </w:r>
          </w:p>
        </w:tc>
        <w:tc>
          <w:tcPr>
            <w:tcW w:w="568" w:type="dxa"/>
            <w:shd w:val="clear" w:color="auto" w:fill="auto"/>
            <w:vAlign w:val="center"/>
          </w:tcPr>
          <w:p w14:paraId="195D0B5A"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2019</w:t>
            </w:r>
          </w:p>
        </w:tc>
      </w:tr>
      <w:tr w:rsidR="004C3C90" w:rsidRPr="004C3C90" w14:paraId="631A5481" w14:textId="77777777" w:rsidTr="004C3C90">
        <w:trPr>
          <w:trHeight w:val="20"/>
        </w:trPr>
        <w:tc>
          <w:tcPr>
            <w:tcW w:w="550" w:type="dxa"/>
            <w:shd w:val="clear" w:color="auto" w:fill="auto"/>
            <w:vAlign w:val="center"/>
          </w:tcPr>
          <w:p w14:paraId="2A72B3A9"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1045</w:t>
            </w:r>
          </w:p>
        </w:tc>
        <w:tc>
          <w:tcPr>
            <w:tcW w:w="1071" w:type="dxa"/>
            <w:shd w:val="clear" w:color="auto" w:fill="auto"/>
            <w:vAlign w:val="center"/>
          </w:tcPr>
          <w:p w14:paraId="0D6331C4"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8</w:t>
            </w:r>
          </w:p>
        </w:tc>
        <w:tc>
          <w:tcPr>
            <w:tcW w:w="3741" w:type="dxa"/>
            <w:shd w:val="clear" w:color="auto" w:fill="auto"/>
            <w:vAlign w:val="center"/>
          </w:tcPr>
          <w:p w14:paraId="3178D7BD"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Bösch A, Wager J, Zernikow B, Thalemann R, Frenzel H, Krude H</w:t>
            </w:r>
            <w:r w:rsidRPr="004C3C90">
              <w:rPr>
                <w:rFonts w:ascii="Times New Roman" w:eastAsia="Times New Roman" w:hAnsi="Times New Roman" w:cs="Times New Roman"/>
                <w:sz w:val="20"/>
                <w:szCs w:val="20"/>
                <w:highlight w:val="white"/>
              </w:rPr>
              <w:t xml:space="preserve">, et al. </w:t>
            </w:r>
          </w:p>
        </w:tc>
        <w:tc>
          <w:tcPr>
            <w:tcW w:w="7010" w:type="dxa"/>
            <w:shd w:val="clear" w:color="auto" w:fill="auto"/>
            <w:vAlign w:val="center"/>
          </w:tcPr>
          <w:p w14:paraId="03F93598"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Life-Limiting Conditions at a University Pediatric Tertiary Care Center: A Cross-Sectional Study</w:t>
            </w:r>
          </w:p>
        </w:tc>
        <w:tc>
          <w:tcPr>
            <w:tcW w:w="568" w:type="dxa"/>
            <w:shd w:val="clear" w:color="auto" w:fill="auto"/>
            <w:vAlign w:val="center"/>
          </w:tcPr>
          <w:p w14:paraId="0A89CA16"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5EEA323E" w14:textId="77777777" w:rsidTr="004C3C90">
        <w:trPr>
          <w:trHeight w:val="20"/>
        </w:trPr>
        <w:tc>
          <w:tcPr>
            <w:tcW w:w="550" w:type="dxa"/>
            <w:shd w:val="clear" w:color="auto" w:fill="auto"/>
            <w:vAlign w:val="center"/>
          </w:tcPr>
          <w:p w14:paraId="0428C0A5"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1046</w:t>
            </w:r>
          </w:p>
        </w:tc>
        <w:tc>
          <w:tcPr>
            <w:tcW w:w="1071" w:type="dxa"/>
            <w:shd w:val="clear" w:color="auto" w:fill="auto"/>
            <w:vAlign w:val="center"/>
          </w:tcPr>
          <w:p w14:paraId="2A731D02"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8</w:t>
            </w:r>
          </w:p>
        </w:tc>
        <w:tc>
          <w:tcPr>
            <w:tcW w:w="3741" w:type="dxa"/>
            <w:shd w:val="clear" w:color="auto" w:fill="auto"/>
            <w:vAlign w:val="center"/>
          </w:tcPr>
          <w:p w14:paraId="1D2CAFDE"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hAnsi="Times New Roman" w:cs="Times New Roman"/>
                <w:sz w:val="20"/>
                <w:szCs w:val="20"/>
                <w:shd w:val="clear" w:color="auto" w:fill="FFFFFF"/>
              </w:rPr>
              <w:t>Dekker BL, Newbold KL, Führer D, Waguespack SG, Handkiewicz-Junak D, Links TP</w:t>
            </w:r>
          </w:p>
        </w:tc>
        <w:tc>
          <w:tcPr>
            <w:tcW w:w="7010" w:type="dxa"/>
            <w:shd w:val="clear" w:color="auto" w:fill="auto"/>
            <w:vAlign w:val="center"/>
          </w:tcPr>
          <w:p w14:paraId="56639ED4"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Survey on Paediatric Differentiated Thyroid Cancer Care in Europe</w:t>
            </w:r>
          </w:p>
        </w:tc>
        <w:tc>
          <w:tcPr>
            <w:tcW w:w="568" w:type="dxa"/>
            <w:shd w:val="clear" w:color="auto" w:fill="auto"/>
            <w:vAlign w:val="center"/>
          </w:tcPr>
          <w:p w14:paraId="46D11A49"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2018</w:t>
            </w:r>
          </w:p>
        </w:tc>
      </w:tr>
      <w:tr w:rsidR="004C3C90" w:rsidRPr="004C3C90" w14:paraId="73DED945" w14:textId="77777777" w:rsidTr="004C3C90">
        <w:trPr>
          <w:trHeight w:val="20"/>
        </w:trPr>
        <w:tc>
          <w:tcPr>
            <w:tcW w:w="550" w:type="dxa"/>
            <w:shd w:val="clear" w:color="auto" w:fill="auto"/>
            <w:vAlign w:val="center"/>
          </w:tcPr>
          <w:p w14:paraId="5996588D" w14:textId="77777777" w:rsidR="004C3C90" w:rsidRPr="004C3C90" w:rsidRDefault="004C3C90" w:rsidP="004C3C90">
            <w:pPr>
              <w:spacing w:line="240" w:lineRule="auto"/>
              <w:jc w:val="cente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t>1047</w:t>
            </w:r>
          </w:p>
        </w:tc>
        <w:tc>
          <w:tcPr>
            <w:tcW w:w="1071" w:type="dxa"/>
            <w:shd w:val="clear" w:color="auto" w:fill="auto"/>
            <w:vAlign w:val="center"/>
          </w:tcPr>
          <w:p w14:paraId="77D005DE"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8</w:t>
            </w:r>
          </w:p>
        </w:tc>
        <w:tc>
          <w:tcPr>
            <w:tcW w:w="3741" w:type="dxa"/>
            <w:shd w:val="clear" w:color="auto" w:fill="auto"/>
            <w:vAlign w:val="center"/>
          </w:tcPr>
          <w:p w14:paraId="027DFE07"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highlight w:val="white"/>
              </w:rPr>
              <w:t>Lanzarini E, Parmeggiani A</w:t>
            </w:r>
          </w:p>
        </w:tc>
        <w:tc>
          <w:tcPr>
            <w:tcW w:w="7010" w:type="dxa"/>
            <w:shd w:val="clear" w:color="auto" w:fill="auto"/>
            <w:vAlign w:val="center"/>
          </w:tcPr>
          <w:p w14:paraId="36870712" w14:textId="77777777" w:rsidR="004C3C90" w:rsidRPr="004C3C90" w:rsidRDefault="004C3C90" w:rsidP="004C3C90">
            <w:pPr>
              <w:spacing w:line="240" w:lineRule="auto"/>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Disability and Inclusive Education in an Italian Region: Analysis of the Data for the School Year 2012-2013</w:t>
            </w:r>
          </w:p>
        </w:tc>
        <w:tc>
          <w:tcPr>
            <w:tcW w:w="568" w:type="dxa"/>
            <w:shd w:val="clear" w:color="auto" w:fill="auto"/>
            <w:vAlign w:val="center"/>
          </w:tcPr>
          <w:p w14:paraId="7526FDAD" w14:textId="77777777" w:rsidR="004C3C90" w:rsidRPr="004C3C90" w:rsidRDefault="004C3C90" w:rsidP="004C3C90">
            <w:pPr>
              <w:spacing w:line="240" w:lineRule="auto"/>
              <w:jc w:val="center"/>
              <w:rPr>
                <w:rFonts w:ascii="Times New Roman" w:eastAsia="Times New Roman" w:hAnsi="Times New Roman" w:cs="Times New Roman"/>
                <w:sz w:val="20"/>
                <w:szCs w:val="20"/>
              </w:rPr>
            </w:pPr>
            <w:r w:rsidRPr="004C3C90">
              <w:rPr>
                <w:rFonts w:ascii="Times New Roman" w:eastAsia="Times New Roman" w:hAnsi="Times New Roman" w:cs="Times New Roman"/>
                <w:sz w:val="20"/>
                <w:szCs w:val="20"/>
              </w:rPr>
              <w:t>2017</w:t>
            </w:r>
          </w:p>
        </w:tc>
      </w:tr>
    </w:tbl>
    <w:p w14:paraId="1963519A" w14:textId="77777777" w:rsidR="004C3C90" w:rsidRPr="004C3C90" w:rsidRDefault="004C3C90">
      <w:pPr>
        <w:rPr>
          <w:rFonts w:ascii="Times New Roman" w:hAnsi="Times New Roman" w:cs="Times New Roman"/>
          <w:sz w:val="20"/>
          <w:szCs w:val="20"/>
        </w:rPr>
        <w:sectPr w:rsidR="004C3C90" w:rsidRPr="004C3C90" w:rsidSect="00EE50CE">
          <w:pgSz w:w="15840" w:h="12240" w:orient="landscape"/>
          <w:pgMar w:top="1440" w:right="1440" w:bottom="1440" w:left="1440" w:header="720" w:footer="720" w:gutter="0"/>
          <w:cols w:space="720"/>
          <w:docGrid w:linePitch="326"/>
        </w:sectPr>
      </w:pPr>
    </w:p>
    <w:p w14:paraId="5EC412B5" w14:textId="77777777" w:rsidR="004C3C90" w:rsidRPr="004C3C90" w:rsidRDefault="004C3C90" w:rsidP="004C3C90">
      <w:pPr>
        <w:rPr>
          <w:rFonts w:ascii="Times New Roman" w:eastAsia="Times New Roman" w:hAnsi="Times New Roman" w:cs="Times New Roman"/>
          <w:b/>
          <w:sz w:val="20"/>
          <w:szCs w:val="20"/>
        </w:rPr>
      </w:pPr>
      <w:r w:rsidRPr="004C3C90">
        <w:rPr>
          <w:rFonts w:ascii="Times New Roman" w:eastAsia="Times New Roman" w:hAnsi="Times New Roman" w:cs="Times New Roman"/>
          <w:b/>
          <w:sz w:val="20"/>
          <w:szCs w:val="20"/>
        </w:rPr>
        <w:lastRenderedPageBreak/>
        <w:t>References</w:t>
      </w:r>
    </w:p>
    <w:p w14:paraId="230E9E1F"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Rudebeck M, Scott C, Sireau N, Ranganath L. A patient survey on the impact of alkaptonuria symptoms as perceived by the patients and their experiences of receiving diagnosis and care. JIMD Rep [Internet]. 2020/05/13. 2020;53:71–9. Available from: https://www.ncbi.nlm.nih.gov/pmc/articles/PMC7203644/pdf/JMD2-53-71.pdf</w:t>
      </w:r>
    </w:p>
    <w:p w14:paraId="02D4C21D"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Mancuso M, Filosto M, Lamperti C, Musumeci O, Santorelli FM, Servidei S, et al. Awareness of rare and genetic neurological diseases among italian neurologist. A national survey. Neurol Sci [Internet]. 2020; Available from: http://www.embase.com/search/results?subaction=viewrecord&amp;from=export&amp;id=L2004147496</w:t>
      </w:r>
    </w:p>
    <w:p w14:paraId="37278483"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Takeuchi F, Nakamura H, Yonemoto N, Komaki H, Rosales RL, Kornberg AJ, et al. Clinical practice with steroid therapy for Duchenne muscular dystrophy: An expert survey in Asia and Oceania. Brain Dev [Internet]. 2020;42:277–88. Available from: http://www.embase.com/search/results?subaction=viewrecord&amp;from=export&amp;id=L2004670732</w:t>
      </w:r>
    </w:p>
    <w:p w14:paraId="0213755B"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Yan X, He S, Dong D. Determining how far an adult rare disease patient needs to travel for a definitive diagnosis: A cross-sectional examination of the 2018 national rare disease survey in China. Int J Environ Res Public Health [Internet]. 2020;17. Available from: http://www.embase.com/search/results?subaction=viewrecord&amp;from=export&amp;id=L2003965694</w:t>
      </w:r>
    </w:p>
    <w:p w14:paraId="3F89CD6B"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Ramalle-Gómara E, Domínguez-Garrido E, Gómez-Eguílaz M, Marzo-Sola ME, Ramón-Trapero JL, Gil-De-Gómez J. Education and information needs for physicians about rare diseases in Spain. Orphanet J Rare Dis [Internet]. 2020;15. Available from: http://www.embase.com/search/results?subaction=viewrecord&amp;from=export&amp;id=L630625190</w:t>
      </w:r>
    </w:p>
    <w:p w14:paraId="249A65E8"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Hartman AL, Hechtelt Jonker A, Parisi MA, Julkowska D, Lockhart N, Isasi R. Ethical, legal, and social issues (ELSI) in rare diseases: a landscape analysis from funders. Eur J Hum Genet [Internet]. 2020;28:174–81. Available from: http://www.embase.com/search/results?subaction=viewrecord&amp;from=export&amp;id=L2003455483</w:t>
      </w:r>
    </w:p>
    <w:p w14:paraId="52442C34"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Requena-Fernández MÁ, Dasí F, Castillo S, Barajas-Cenobi R, Navarro-García MM, Escribano A. Knowledge of rare respiratory diseases among paediatricians and medical school students. J Clin Med [Internet]. 2020;9. Available from: http://www.embase.com/search/results?subaction=viewrecord&amp;from=export&amp;id=L2004064123</w:t>
      </w:r>
    </w:p>
    <w:p w14:paraId="1C60A634"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Painous C, van Os N, Delamarre A, Michailoviene I, Marti MJ, van de Warrenburg BP, et al. Management of rare movement disorders in Europe: outcome of surveys of the European Reference Network for Rare Neurological Diseases. Eur J Neurol [Internet]. 2020; Available from: http://www.embase.com/search/results?subaction=viewrecord&amp;from=export&amp;id=L631700018</w:t>
      </w:r>
    </w:p>
    <w:p w14:paraId="42D4CE2A"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Peeks F, Boonstra WF, de Baere L, Carøe C, Casswall T, Cohen D, et al. Research priorities for liver glycogen storage disease: An international priority setting partnership with the James Lind Alliance. J Inherit Metab Dis [Internet]. 2020;43:279–89. Available from: http://www.embase.com/search/results?subaction=viewrecord&amp;from=export&amp;id=L2003606155</w:t>
      </w:r>
    </w:p>
    <w:p w14:paraId="78F600B7"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Byrne N, Turner J, Marron R, Lambert DM, Murphy DN, O’Sullivan G, et al. The role of primary care in management of rare diseases in Ireland. Ir J Med Sci [Internet]. 2020; Available from: http://www.embase.com/search/results?subaction=viewrecord&amp;from=export&amp;id=L2004087065</w:t>
      </w:r>
    </w:p>
    <w:p w14:paraId="1086560F"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lastRenderedPageBreak/>
        <w:t>Quinn L, Davis K, Yee A, Snyder H. Understanding genetic learning needs of people affected by rare disease. J Genet Couns [Internet]. 2020; Available from: http://www.embase.com/search/results?subaction=viewrecord&amp;from=export&amp;id=L631156786</w:t>
      </w:r>
    </w:p>
    <w:p w14:paraId="0CA02E61"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Qian E, Thong MK, Flodman P, Gargus J. A comparative study of patients’ perceptions of genetic and genomic medicine services in California and Malaysia. J Community Genet. 2019;10. </w:t>
      </w:r>
    </w:p>
    <w:p w14:paraId="78200A2A"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Marques-da-Silva D, Francisco R, dos Reis Ferreira V, Forbat L, Lagoa R, Videira PA, et al. An electronic questionnaire for liver assessment in congenital disorders of glycosylation (LeQCDG): A patient-centered study. JIMD Rep. 2019. </w:t>
      </w:r>
    </w:p>
    <w:p w14:paraId="0032DFAD"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Conner T, Cook F, Fernandez V, Rascati K, Rangel-Miller V. An online survey on burden of illness among families with post-stem cell transplant mucopolysaccharidosis type i children in the United States. Orphanet J Rare Dis. 2019;14. </w:t>
      </w:r>
    </w:p>
    <w:p w14:paraId="3ABBB169"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Khair K, Pelentsov L. Assessing the supportive care needs of parents with a child with a bleeding disorder using the Parental Needs Scale for Rare Diseases (PNS-RD): A single-centre pilot study. Haemophilia. 2019;25:831–7. </w:t>
      </w:r>
    </w:p>
    <w:p w14:paraId="4D91E083"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Noone D, Skouw-Rasmussen N, Lavin M, van Galen KPM, Kadir RA. Barriers and challenges faced by women with congenital bleeding disorders in Europe: Results of a patient survey conducted by the European Haemophilia Consortium. Haemophilia. 2019;25. </w:t>
      </w:r>
    </w:p>
    <w:p w14:paraId="705EE1DF"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Rush ET, Moseley S, Petryk A. Burden of disease in pediatric patients with hypophosphatasia: results from the HPP Impact Patient Survey and the HPP Outcomes Study Telephone interview. Orphanet J Rare Dis [Internet]. BioMed Central; 2019;14:N.PAG-N.PAG. Available from: http://search.ebscohost.com/login.aspx?direct=true&amp;db=rzh&amp;AN=138108750&amp;site=ehost-live</w:t>
      </w:r>
    </w:p>
    <w:p w14:paraId="030C1184"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Rice DB, Cañedo-Ayala M, Carboni-Jiménez A, Carrier ME, Cumin J, Malcarne VL, et al. Challenges and support service preferences of informal caregivers of people with systemic sclerosis: a cross-sectional survey. Disabil Rehabil. 2020;42. </w:t>
      </w:r>
    </w:p>
    <w:p w14:paraId="01089ED8"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Crowe AL, McKnight AJ, McAneney H. Communication Needs for Individuals With Rare Diseases Within and Around the Healthcare System of Northern Ireland. Front Public Heal. 2019;7. </w:t>
      </w:r>
    </w:p>
    <w:p w14:paraId="42C26630"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Hollis A, Dart A, Morgan C, Mammen C, Zappitelli M, Chanchlani R, et al. Delays in diagnosis of nephrotic syndrome in children: A survey study. Paediatr Child Heal. 2019;24. </w:t>
      </w:r>
    </w:p>
    <w:p w14:paraId="36D7263C"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Baldelli I, Gallo F, Crimi M, Fregatti P, Mellini L, Santi P, et al. Experiences of patients with Poland syndrome of diagnosis and care in Italy: A pilot survey. Orphanet J Rare Dis. 2019;14. </w:t>
      </w:r>
    </w:p>
    <w:p w14:paraId="76E29A9E"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Yankouskaya A, Boughey A, McCagh J, Neal A, de Bezenac C, Davies SJ. Illness Perception Mediates the Relationship Between the Severity of Symptoms and Perceived Health Status in Patients With Behçet Disease. J Clin Rheumatol [Internet]. Baltimore, Maryland: Lippincott Williams &amp; Wilkins; 2019;25:319–24. Available from: http://search.ebscohost.com/login.aspx?direct=true&amp;db=rzh&amp;AN=140139637&amp;site=ehost-live</w:t>
      </w:r>
    </w:p>
    <w:p w14:paraId="6E52A2E5"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Swezey T, Reeve BB, Hart TS, Floor MK, Dollar CM, Gillies AP, et al. Incorporating the patient perspective in the study of rare bone disease: insights from the osteogenesis imperfecta community. Osteoporos Int [Internet]. </w:t>
      </w:r>
      <w:r w:rsidRPr="004C3C90">
        <w:rPr>
          <w:rFonts w:ascii="Times New Roman" w:hAnsi="Times New Roman" w:cs="Times New Roman"/>
          <w:noProof/>
          <w:sz w:val="20"/>
          <w:szCs w:val="20"/>
        </w:rPr>
        <w:lastRenderedPageBreak/>
        <w:t>2018/09/08. 2019;30:507–11. Available from: https://www.ncbi.nlm.nih.gov/pmc/articles/PMC6449303/pdf/198_2018_Article_4690.pdf</w:t>
      </w:r>
    </w:p>
    <w:p w14:paraId="73402300"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Nakahara Y, Kitoh H, Nakashima Y, Toguchida J, Haga N. Longitudinal study of the activities of daily living and quality of life in Japanese patients with fibrodysplasia ossificans progressiva. Disabil Rehabil. 2019;41. </w:t>
      </w:r>
    </w:p>
    <w:p w14:paraId="7E8BA1EB"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Morrison A, Oussoren E, Friedel T, Cruz J, Yilmaz N. Pathway to diagnosis and burden of illness in mucopolysaccharidosis type VII- A European caregiver survey. Orphanet J Rare Dis. 2019;14. </w:t>
      </w:r>
    </w:p>
    <w:p w14:paraId="4DCFBC5E"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Karaa A, Goldstein A, Balcells C, Mann K, Stanley L, Yeske PE, et al. Primary mitochondrial disease in the US: Data from patients and physicians’ perspective on health care delivery. Data Br. 2019;25. </w:t>
      </w:r>
    </w:p>
    <w:p w14:paraId="357A2FB3"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Courbier S, Dimond R, Bros-Facer V. Share and protect our health data: An evidence based approach to rare disease patients’ perspectives on data sharing and data protection - Quantitative survey and recommendations. Orphanet J. Rare Dis. 2019. </w:t>
      </w:r>
    </w:p>
    <w:p w14:paraId="2B84BFCB"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Yoo J, Halley MC, Lown EA, Yank V, Ort K, Cowan MJ, et al. Supporting caregivers during hematopoietic cell transplantation for children with primary immunodeficiency disorders. J Allergy Clin Immunol [Internet]. 2019;143:2271–8. Available from: http://www.embase.com/search/results?subaction=viewrecord&amp;from=export&amp;id=L2001326335</w:t>
      </w:r>
    </w:p>
    <w:p w14:paraId="1EBE9974"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Marshall DA, MacDonald K V., Heidenreich S, Hartley T, Bernier FP, Gillespie MK, et al. The value of diagnostic testing for parents of children with rare genetic diseases. Genet Med. 2019;21. </w:t>
      </w:r>
    </w:p>
    <w:p w14:paraId="1111AE4B"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Delisle VC, Gumuchian ST, El-Baalbaki G, Körner A, Malcarne VL, Peláez S, et al. Training and support needs of scleroderma support group facilitators: the North American Scleroderma Support Group Facilitators Survey. Disabil Rehabil. 2019;41. </w:t>
      </w:r>
    </w:p>
    <w:p w14:paraId="6E581ABB"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López-Bastida J, Ramos-Goñi JM, Aranda-Reneo I, Trapero-Bertran M, Kanavos P, Rodriguez Martin B. Using a stated preference discrete choice experiment to assess societal value from the perspective of decision-makers in Europe. Does it work for rare diseases? Health Policy (New York). 2019;123. </w:t>
      </w:r>
    </w:p>
    <w:p w14:paraId="45066D92"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López-Bastida J, Ramos-Goñi JM, Aranda-Reneo I, Taruscio D, Magrelli A, Kanavos P. Using a stated preference discrete choice experiment to assess societal value from the perspective of patients with rare diseases in Italy. Orphanet J Rare Dis. 2019;14. </w:t>
      </w:r>
    </w:p>
    <w:p w14:paraId="22A65AC6"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Baqué M, Colineaux H, Dreyfus I, Mesthé P, Mazereeuw-Hautier J. Why is it so difficult for GPs to effectively manage patients with rare skin diseases? Press Medicale. 2019;48. </w:t>
      </w:r>
    </w:p>
    <w:p w14:paraId="62F52483"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Ivarsson B, Hesselstrand R, Rådegran G, Kjellström B. Adherence and medication belief in patients with pulmonary arterial hypertension or chronic thromboembolic pulmonary hypertension: A nationwide population-based cohort survey. Clin Respir J. 2018;12. </w:t>
      </w:r>
    </w:p>
    <w:p w14:paraId="71869379"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Fu L, Kanani A, Lacuesta G, Waserman S, Betschel S. Canadian physician survey on the medical management of hereditary angioedema. Ann Allergy, Asthma Immunol. 2018;121. </w:t>
      </w:r>
    </w:p>
    <w:p w14:paraId="52D479A6"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Peiris V, Xu K, Agler HL, Chen EA, Gopal-Srivastava R, Lappin BM, et al. Children and adults with rare diseases need innovative medical devices. J Med Devices, Trans ASME. 2018;12. </w:t>
      </w:r>
    </w:p>
    <w:p w14:paraId="3C4BB656"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Ho NT, Kroner B, Grinspan Z, Fureman B, Farrell K, Zhang J, et al. Comorbidities of Rare Epilepsies: Results from the Rare Epilepsy Network. J Pediatr. 2018;203. </w:t>
      </w:r>
    </w:p>
    <w:p w14:paraId="3F9EE3B3"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lastRenderedPageBreak/>
        <w:t xml:space="preserve">Tory HO, Carrasco R, Griffin T, Huber AM, Kahn P, Robinson AB, et al. Comparing the importance of quality measurement themes in juvenile idiopathic inflammatory myositis between patients and families and healthcare professionals. Pediatr Rheumatol. 2018;16. </w:t>
      </w:r>
    </w:p>
    <w:p w14:paraId="4D92176E"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Schadewald A, Kimball E, Ou L. Coping strategies, stress, and support needs in caregivers of children with mucopolysaccharidosis. JIMD Rep. 2018. </w:t>
      </w:r>
    </w:p>
    <w:p w14:paraId="7899A2C9"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Efthymiadou O, Mossman J, Kanavos P. Differentiation of health-related quality of life outcomes between five disease areas: Results from an international survey of patients. Int. J. Technol. Assess. Health Care. 2018. </w:t>
      </w:r>
    </w:p>
    <w:p w14:paraId="3906F254"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Lopes MT, Koch VH, Sarrubbi-Junior V, Gallo PR, Carneiro-Sampaio M. Difficulties in the diagnosis and treatment of rare diseases according to the perceptions of patients, relatives and health care professionals. Clinics. 2018;73. </w:t>
      </w:r>
    </w:p>
    <w:p w14:paraId="5A8B5D5A"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Kanavin ØJ, Fjermestad KW. Gastrointestinal and urinary complaints in adults with hereditary spastic paraparesis. Orphanet J Rare Dis. 2018;13. </w:t>
      </w:r>
    </w:p>
    <w:p w14:paraId="2F89218F"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McCausland KL, White MK, Guthrie SD, Quock T, Finkel M, Lousada I, et al. Light Chain (AL) Amyloidosis: The Journey to Diagnosis. Patient. 2018;11. </w:t>
      </w:r>
    </w:p>
    <w:p w14:paraId="3AD938F3"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Fu M, Guan X, Wei G, Xin X, Shi L. Medical service utilisation, economic burden and health status of patients with rare diseases in China. J Chinese Pharm Sci. 2018;27. </w:t>
      </w:r>
    </w:p>
    <w:p w14:paraId="3A6A9F7D"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Liu S, Adelman DT, Xu Y, Sisco J, Begelman SM, Webb SM, et al. Patient-centered assessment on disease burden, quality of life, and treatment satisfaction associated with acromegaly. J Investig Med. 2018;66. </w:t>
      </w:r>
    </w:p>
    <w:p w14:paraId="277556C1"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Chung PH, Kampp JT, Voelzke BB. Patients’ Experiences With Extramammary Paget Disease: An Online Pilot Study Querying a Patient Support Group. Urology. 2018;111. </w:t>
      </w:r>
    </w:p>
    <w:p w14:paraId="5B8DE382"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Peyron C, Pélissier A, Béjean S. Preference heterogeneity with respect to whole genome sequencing. A discrete choice experiment among parents of children with rare genetic diseases. Soc Sci Med. 2018;214. </w:t>
      </w:r>
    </w:p>
    <w:p w14:paraId="6D5DD14F"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Richardson E, Spinks C, Davis A, Turner C, Atherton J, McGaughran J, et al. Psychosocial Implications of Living with Catecholaminergic Polymorphic Ventricular Tachycardia in Adulthood. J Genet Couns. 2018;27. </w:t>
      </w:r>
    </w:p>
    <w:p w14:paraId="4333B0CC"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Kazimierska-Zając M, Dymarek R, Rosińczuk J. Quality of Life and the Degree of Disease Acceptance In Patients with Spinocerebellar Ataxia. J Neurol Neurosurg Nurs. 2018;7:12–21. </w:t>
      </w:r>
    </w:p>
    <w:p w14:paraId="31124792"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Cockerell I, Guenin M, Heimdal K, Bjørnvold M, Selmer KK, Rouvière O. Renal manifestations of tuberous sclerosis complex: Patients’ and parents’ knowledge and routines for renal follow-up - A questionnaire study. BMC Nephrol. 2018;19. </w:t>
      </w:r>
    </w:p>
    <w:p w14:paraId="25506E21"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Adachi T, Imanishi N, Ogawa Y, Furusawa Y, Izumida Y, Izumi Y, et al. Survey on patients with undiagnosed diseases in Japan: Potential patient numbers benefiting from Japan’s initiative on rare and undiagnosed diseases (IRUD). Orphanet J Rare Dis. 2018;13. </w:t>
      </w:r>
    </w:p>
    <w:p w14:paraId="199DA369"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Ivleva A, Weith E, Mehta A, Hughes DA. The influence of patient-reported joint manifestations on quality of life in fabry patients. JIMD Rep. 2018. </w:t>
      </w:r>
    </w:p>
    <w:p w14:paraId="4F92A831"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Szczepura A, Wynn S, Searle B, Khan AJ, Palmer T, Biggerstaff D, et al. UK families with children with rare chromosome disorders: Changing experiences of diagnosis and counselling (2003-2013). Clin Genet. 2018;93. </w:t>
      </w:r>
    </w:p>
    <w:p w14:paraId="484B50B8"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lastRenderedPageBreak/>
        <w:t xml:space="preserve">Zhu X, Smith RA, Parrott RL, Worthington AK. Understanding information sharing about rare diseases: an evaluation of the NIH’s website on AATD. J Commun Healthc. 2018;11. </w:t>
      </w:r>
    </w:p>
    <w:p w14:paraId="0C64726C"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Anderson M, Elliott EJ, Zurynski YA. Australian families living with rare disease: Experiences of diagnosis, health services use and needs for psychosocial support. Orphanet J Rare Dis. 2013;8. </w:t>
      </w:r>
    </w:p>
    <w:p w14:paraId="048648F8"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Richardson J, Iezzi A, Chen G, Maxwell A. Communal Sharing and the Provision of Low-Volume High-Cost Health Services: Results of a Survey. PharmacoEconomics - Open. 2017;1. </w:t>
      </w:r>
    </w:p>
    <w:p w14:paraId="2EA9FA42"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Chen CX, Baker JR, Nichol MB. Economic Burden of Illness among Persons with Hemophilia B from HUGS Vb: Examining the Association of Severity and Treatment Regimens with Costs and Annual Bleed Rates. Value Heal. 2017;20. </w:t>
      </w:r>
    </w:p>
    <w:p w14:paraId="49F2773D"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Polisena J, Burgess M, Mitton C, Lynd LD. Engaging the Canadian public on reimbursement decision-making for drugs for rare diseases: A national online survey. BMC Health Serv. Res. 2017. </w:t>
      </w:r>
    </w:p>
    <w:p w14:paraId="75D54103"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Bogart KR, Irvin VL. Health-related quality of life among adults with diverse rare disorders. Orphanet J Rare Dis. 2017;12. </w:t>
      </w:r>
    </w:p>
    <w:p w14:paraId="112C18D6"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Patriquin CJ, Clark WF, Pavenski K, Arnold DM, Rock G, Foley SR. How we treat thrombotic thrombocytopenic purpura: Results of a Canadian TTP practice survey. J Clin Apher. 2017;32. </w:t>
      </w:r>
    </w:p>
    <w:p w14:paraId="63C1903F"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Amelot V, Bungener C, Guilmin-Crepon S, Schroedt J, Alberti C, Husson I. Preferences for Receiving Results from a Rare Disease Clinical Trial: A Survey of Subjects with Friedreich’s Ataxia and their Parents. Pharmaceut Med. 2017;31. </w:t>
      </w:r>
    </w:p>
    <w:p w14:paraId="13C7BE2B"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Wiss J, Levin LA, Andersson D, Tinghög G. Prioritizing Rare Diseases: Psychological Effects Influencing Medical Decision Making. Med Decis Mak. 2017;37. </w:t>
      </w:r>
    </w:p>
    <w:p w14:paraId="70D74612"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Zurynski Y, Gonzalez A, Deverell M, Phu A, Leonard H, Christodoulou J, et al. Rare disease: A national survey of paediatricians’ experiences and needs. BMJ Paediatr Open. 2017;1. </w:t>
      </w:r>
    </w:p>
    <w:p w14:paraId="0DA80133"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Schwartz CE, Michael W, Rapkin BD. Resilience to health challenges is related to different ways of thinking: mediators of physical and emotional quality of life in a heterogeneous rare-disease cohort. Qual Life Res. 2017;26. </w:t>
      </w:r>
    </w:p>
    <w:p w14:paraId="0142C14C"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Lloyd AJ, Gallop K, Ali S, Hughes D, MacCulloch A. Social preference weights for treatments in Fabry disease in the UK: a discrete choice experiment. Curr Med Res Opin. 2017;33. </w:t>
      </w:r>
    </w:p>
    <w:p w14:paraId="78FE23D3"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Bayliss M, McCausland KL, Guthrie SD, White MK. The burden of amyloid light chain amyloidosis on health-related quality of life. Orphanet J Rare Dis. 2017;12. </w:t>
      </w:r>
    </w:p>
    <w:p w14:paraId="48B13DBB"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O’Hara J, Hughes D, Camp C, Burke T, Carroll L, Diego DAG. The cost of severe haemophilia in Europe: the CHESS study. Orphanet J Rare Dis. 2017;12. </w:t>
      </w:r>
    </w:p>
    <w:p w14:paraId="5299F97D"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Heuyer T, Pavan S, Vicard C. The health and life path of rare disease patients: results of the 2015 French barometer. Patient Relat Outcome Meas. 2017;Volume 8. </w:t>
      </w:r>
    </w:p>
    <w:p w14:paraId="7804FFFB"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Cacioppo CN, Conway LJ, Mehta D, Krantz ID, Noon SE. Attitudes about the use of internet support groups and the impact among parents of children with Cornelia de Lange syndrome. Am J Med Genet Part C Semin Med Genet. 2016;172. </w:t>
      </w:r>
    </w:p>
    <w:p w14:paraId="72DD3CA3"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lastRenderedPageBreak/>
        <w:t xml:space="preserve">Engelstad K, Sklerov M, Kriger J, Sanford A, Grier J, Ash D, et al. Attitudes toward prevention of mtDNA-related diseases through oocyte mitochondrial replacement therapy. Hum Reprod. 2016;31. </w:t>
      </w:r>
    </w:p>
    <w:p w14:paraId="2C6C2E2E"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Xin XX, Zhao L, Guan XD, Shi LW. Determinants and equity evaluation for health expenditure among patients with rare diseases in China. Chin Med J (Engl). 2016;129. </w:t>
      </w:r>
    </w:p>
    <w:p w14:paraId="4D346304"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Behan L, Galvin AD, Rubbo B, Masefield S, Copeland F, Manion M, et al. Diagnosing primary ciliary dyskinesia: An international patient perspective. Eur Respir J. 2016;48. </w:t>
      </w:r>
    </w:p>
    <w:p w14:paraId="6DC77527"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Karaa A, Kriger J, Grier J, Holbert A, Thompson JLP, Parikh S, et al. Mitochondrial disease patients’ perception of dietary supplements’ use. Mol Genet Metab. 2016;119. </w:t>
      </w:r>
    </w:p>
    <w:p w14:paraId="17E65E2B"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Serrano-Aguilar P, Trujillo-Martin MM, Del Pino Sedeño T, Pérez De La Rosa A, De Pascual y Medina AM, Perestelo-Pérez L, et al. Patient participation in the development of a clinical guideline for inherited retinal dystrophies. Expert Opin. Orphan Drugs. 2016. </w:t>
      </w:r>
    </w:p>
    <w:p w14:paraId="7BB75AFA"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Darquy S, Moutel G, Lapointe AS, D’Audiffret D, Champagnat J, Guerroui S, et al. Patient/family views on data sharing in rare diseases: Study in the European LeukoTreat project. Eur J Hum Genet. 2016;24. </w:t>
      </w:r>
    </w:p>
    <w:p w14:paraId="442A3456"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Morel T, Aymé S, Cassiman D, Simoens S, Morgan M, Vandebroek M. Quantifying benefit-risk preferences for new medicines in rare disease patients and caregivers. Orphanet J Rare Dis. 2016;11. </w:t>
      </w:r>
    </w:p>
    <w:p w14:paraId="2226A97A"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Delisle VC, Gumuchian ST, Peláez S, Malcarne VL, El-Baalbaki G, Körner A, et al. Reasons for non-participation in scleroderma support groups. Clin Exp Rheumatol. 2016;34. </w:t>
      </w:r>
    </w:p>
    <w:p w14:paraId="404065D1"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Péntek M, Gulácsi L, Brodszky V, Baji P, Boncz I, Pogány G, et al. Social/economic costs and health-related quality of life of mucopolysaccharidosis patients and their caregivers in Europe. Eur J Heal Econ. 2016;17. </w:t>
      </w:r>
    </w:p>
    <w:p w14:paraId="018EDB1F"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Senger BA, Ward LD, Barbosa-Leiker C, Bindler RC. Stress and coping of parents caring for a child with mitochondrial disease. Appl Nurs Res. 2016;29. </w:t>
      </w:r>
    </w:p>
    <w:p w14:paraId="6078DFB8"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Molster C, Urwin D, Di Pietro L, Fookes M, Petrie D, Van Der Laan S, et al. Survey of healthcare experiences of Australian adults living with rare diseases. Orphanet J Rare Dis. 2016;11. </w:t>
      </w:r>
    </w:p>
    <w:p w14:paraId="182B7D2C"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Merkel PA, Manion M, Gopal-Srivastava R, Groft S, Jinnah HA, Robertson D, et al. The partnership of patient advocacy groups and clinical investigators in the rare diseases clinical research network. Orphanet J Rare Dis. 2016;11. </w:t>
      </w:r>
    </w:p>
    <w:p w14:paraId="576DD26E"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Carpenter DM, Thorpe CT, Alexander DS, Sage AJ, Lewis M, Hogan SL, et al. The Relationship Between Social Support, Social Constraint, and Psychological Adjustment for Patients with Rare Autoimmune Disease. Curr Rheumatol Rev. 2016;12. </w:t>
      </w:r>
    </w:p>
    <w:p w14:paraId="2B2EB0CF"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Pelentsov LJ, Fielder AL, Laws TA, Esterman AJ. The supportive care needs of parents with a child with a rare disease: Results of an online survey. BMC Fam. Pract. 2016. </w:t>
      </w:r>
    </w:p>
    <w:p w14:paraId="3941CFCA"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Bosch AM, Burlina A, Cunningham A, Bettiol E, Moreau-Stucker F, Koledova E, et al. Assessment of the impact of phenylketonuria and its treatment on quality of life of patients and parents from seven European countries. Orphanet J Rare Dis. 2015;10. </w:t>
      </w:r>
    </w:p>
    <w:p w14:paraId="2CCD4303"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Dragojlovic N, Rizzardo S, Bansback N, Mitton C, Marra CA, Lynd LD. Challenges in Measuring the Societal Value of Orphan Drugs: Insights from a Canadian Stated Preference Survey. Patient. 2015. </w:t>
      </w:r>
    </w:p>
    <w:p w14:paraId="5990A0A1"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lastRenderedPageBreak/>
        <w:t xml:space="preserve">Ramalle-Gõmara E, Ruiz E, Quiñones C, Andrés S, Iruzubieta J, Gil-De-Gõmez J. General knowledge and opinion of future health care and non-health care professionals on rare diseases. J Eval Clin Pract. 2015;21. </w:t>
      </w:r>
    </w:p>
    <w:p w14:paraId="1C6F38D3"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Melo DG, de Paula PK, de Araujo Rodrigues S, da Silva de Avó LR, Germano CMR, Demarzo MMP. Genetics in primary health care and the National Policy on Comprehensive Care for People with Rare Diseases in Brazil: opportunities and challenges for professional education. J Community Genet. 2015;6. </w:t>
      </w:r>
    </w:p>
    <w:p w14:paraId="71E3C58D"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Tosi LL, Oetgen ME, Floor MK, Huber MB, Kennelly AM, McCarter RJ, et al. Initial report of the osteogenesis imperfecta adult natural history initiative. Orphanet J Rare Dis. 2015;10. </w:t>
      </w:r>
    </w:p>
    <w:p w14:paraId="4A1E9654"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Oliveira P, Zejnilovic L, Canhão H, Von Hippel E. Innovation by patients with rare diseases and chronic needs. Orphanet J Rare Dis. 2015;10. </w:t>
      </w:r>
    </w:p>
    <w:p w14:paraId="1279E1C5"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Shin DW, Cho J, Yang HK, Kim SY, Lee SH, Suh B, et al. Oncologist perspectives on rare cancer care: A nationwide survey. Cancer Res Treat. 2015;47. </w:t>
      </w:r>
    </w:p>
    <w:p w14:paraId="68D70074"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Samoutis G, Samoutis A. Paget Disease of Bone in Cyprus: Prevalence, Clinical Characteristics and Physicians’ Awareness. Int J Caring Sci [Internet]. 2015 [cited 2021 Aug 28];8:36–44. Available from: http://www.internationaljournalofcaringsciences.org/docs/5-Original Samoutis.pdf</w:t>
      </w:r>
    </w:p>
    <w:p w14:paraId="1B3963B2"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Forsythe LP, Frank L, Walker KO, Anise A, Wegener N, Weisman H, et al. Patient and clinician views on comparative effectiveness research and engagement in research. J Comp Eff Res. 2015;4. </w:t>
      </w:r>
    </w:p>
    <w:p w14:paraId="03B25951"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Johnson NE, Sowden J, Dilek N, Eichinger K, Burns J, Mcdermott MP, et al. Prospective study of muscle cramps in Charcot-Marie-Tooth disease. Muscle and Nerve. 2015;51. </w:t>
      </w:r>
    </w:p>
    <w:p w14:paraId="6C192DFF"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Houyez F, Sanchez de Vega R, Brignol TN, Mazzucato M, Polizzi A. A European Network of Email and Telephone Help Lines Providing Information and Support on Rare Diseases: Results From a 1-Month Activity Survey. Interact J Med Res. 2014;3. </w:t>
      </w:r>
    </w:p>
    <w:p w14:paraId="1D068AF9"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McClain MR, Cooley WC, Keirns T, Smith A. A survey of the preferences of primary care physicians regarding the comanagement with specialists of children with rare or complex conditions. Clin. Pediatr. (Phila). 2014. </w:t>
      </w:r>
    </w:p>
    <w:p w14:paraId="1F0E2556"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Hendriksz CJ, Lavery C, Coker M, Ucar SK, Jain M, Bell L, et al. Burden of disease in patients with Morquio A syndrome: Results from an international patient-reported outcomes survey. Orphanet J. Rare Dis. 2014. </w:t>
      </w:r>
    </w:p>
    <w:p w14:paraId="7CBB1487"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Smorti M, Cappelli F, Guarnieri S, Bergesio F, Perfetto F. Depression and cardiac symptoms among AL amyloidosis patients: The mediating role of coping strategies. Psychol Heal Med. 2014;19. </w:t>
      </w:r>
    </w:p>
    <w:p w14:paraId="300F7967"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Johnson NE, Heatwole CR, Dilek N, Sowden J, Kirk CA, Shereff D, et al. Quality-of-life in Charcot-Marie-Tooth disease: The patient’s perspective. Neuromuscul Disord. 2014;24. </w:t>
      </w:r>
    </w:p>
    <w:p w14:paraId="5CB12FB8"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Greulich T, Ottaviani S, Bals R, Lepper PM, Vogelmeier C, Luisetti M, et al. Alpha1-antitrypsin deficiency - Diagnostic testing and disease awareness in Germany and Italy. Respir Med. 2013;107. </w:t>
      </w:r>
    </w:p>
    <w:p w14:paraId="148094BE"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Zhou Q, Weis E, Ye M, Benjaminy S, MacDonald IM. An internet-based health survey on the co-morbidities of choroideremia patients. Ophthalmic Physiol Opt. 2013;33. </w:t>
      </w:r>
    </w:p>
    <w:p w14:paraId="23D6E9E8"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Zurynski Y, Deverell M, Dalkeith T, Johnson S, Christodoulou J, Leonard H, et al. Australian children living with rare diseases: experiences of diagnosis and perceived consequences of diagnostic delays. Orphanet J Rare Dis. 2017;12. </w:t>
      </w:r>
    </w:p>
    <w:p w14:paraId="06D83B8E"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lastRenderedPageBreak/>
        <w:t xml:space="preserve">Calvert M, Pall H, Hoppitt T, Eaton B, Savill E, Sackley C. Health-related quality of life and supportive care in patients with rare long-term neurological conditions. Qual Life Res. 2013;22. </w:t>
      </w:r>
    </w:p>
    <w:p w14:paraId="30717AFF"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Desser AS. Prioritizing treatment of rare diseases: A survey of preferences ofNorwegian doctors. Soc Sci Med. 2013;94. </w:t>
      </w:r>
    </w:p>
    <w:p w14:paraId="0C885C43"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Tozzi AE, Mingarelli R, Agricola E, Gonfiantini M, Pandolfi E, Carloni E, et al. The internet user profile of Italian families of patients with rare diseases: A web survey. Orphanet J. Rare Dis. 2013. </w:t>
      </w:r>
    </w:p>
    <w:p w14:paraId="66481EB9"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Motil KJ, Caeg E, Barrish JO, Geerts S, Lane JB, Percy AK, et al. Gastrointestinal and nutritional problems occur frequently throughout life in girls and women with rett syndrome. J Pediatr Gastroenterol Nutr. 2012;55. </w:t>
      </w:r>
    </w:p>
    <w:p w14:paraId="77CF9BBC"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Carpenter DM, Blalock SJ, DeVellis RF. Patients with rare diseases using pharmacists for medication information. J Am Pharm Assoc. 2012;52. </w:t>
      </w:r>
    </w:p>
    <w:p w14:paraId="72967727"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Henschke C. Provision and financing of assistive technology devices in Germany: A bureaucratic odyssey? The case of amyotrophic lateral sclerosis and Duchenne muscular dystrophy. Health Policy (New York). 2012;105. </w:t>
      </w:r>
    </w:p>
    <w:p w14:paraId="1165F6C0"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Zhao H, Cui Y, Zhou X, Pang J, Xu S, Han J, et al. Study and Analysis of the State of Rare Disease Research in Shandong Province, China. Intractable Rare Dis Res. 2012;1. </w:t>
      </w:r>
    </w:p>
    <w:p w14:paraId="0FB7E6AA"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Wicks P, Massagli M, Frost J, Brownstein C, Okun S, Vaughan T, et al. Sharing health data for better outcomes on patientslikeme. J Med Internet Res. 2010;12. </w:t>
      </w:r>
    </w:p>
    <w:p w14:paraId="1D18C31A"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Desser AS, Gyrd-Hansen D, Olsen JA, Grepperud S, Kristiansen IS. Societal views on orphan drugs: Cross sectional survey of Norwegians aged 40 to 67. BMJ. 2010;341. </w:t>
      </w:r>
    </w:p>
    <w:p w14:paraId="5A0190E3"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Imrie J, Galani C, Gairy K, Lock K, Hunsche E. Cost of illness associated with Niemann-Pick disease type C in the UK. J Med Econ. 2009;12. </w:t>
      </w:r>
    </w:p>
    <w:p w14:paraId="09204982"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Abularrage CJ, Slidell MB, Sidawy AN, Kreishman P, Amdur RL, Arora S. Quality of life of patients with Takayasu’s arteritis. J Vasc Surg. 2008;47. </w:t>
      </w:r>
    </w:p>
    <w:p w14:paraId="36B0A910"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Galéra C, Delrue MA, Goizet C, Etchegoyhen K, Taupiac E, Sigaudy S, et al. Behavioral and temperamental features of children with Costello syndrome. Am J Med Genet. 2006;140 A. </w:t>
      </w:r>
    </w:p>
    <w:p w14:paraId="3252A46E" w14:textId="77777777" w:rsidR="004C3C90" w:rsidRPr="004C3C90" w:rsidRDefault="004C3C90" w:rsidP="004C3C90">
      <w:pPr>
        <w:pStyle w:val="ad"/>
        <w:numPr>
          <w:ilvl w:val="0"/>
          <w:numId w:val="5"/>
        </w:numPr>
        <w:adjustRightInd w:val="0"/>
        <w:ind w:leftChars="-33" w:left="321"/>
        <w:rPr>
          <w:rFonts w:ascii="Times New Roman" w:hAnsi="Times New Roman" w:cs="Times New Roman"/>
          <w:noProof/>
          <w:sz w:val="20"/>
          <w:szCs w:val="20"/>
        </w:rPr>
      </w:pPr>
      <w:r w:rsidRPr="004C3C90">
        <w:rPr>
          <w:rFonts w:ascii="Times New Roman" w:hAnsi="Times New Roman" w:cs="Times New Roman"/>
          <w:noProof/>
          <w:sz w:val="20"/>
          <w:szCs w:val="20"/>
        </w:rPr>
        <w:t xml:space="preserve">Pasculli G, Resta F, Guastamacchia E, Di Gennaro L, Suppressa P, Sabbà C. Health-related quality of life in a rare disease: Hereditary hemorrhagic telangiectasia (HHT) or Rendu-Osler-Weber Disease. Qual Life Res. 2004;13. </w:t>
      </w:r>
    </w:p>
    <w:p w14:paraId="277ACCBB" w14:textId="77777777" w:rsidR="004C3C90" w:rsidRPr="004C3C90" w:rsidRDefault="004C3C90" w:rsidP="004C3C90">
      <w:pPr>
        <w:pStyle w:val="ad"/>
        <w:numPr>
          <w:ilvl w:val="0"/>
          <w:numId w:val="5"/>
        </w:numPr>
        <w:ind w:leftChars="-33" w:left="321"/>
        <w:rPr>
          <w:rFonts w:ascii="Times New Roman" w:eastAsia="Times New Roman" w:hAnsi="Times New Roman" w:cs="Times New Roman"/>
          <w:sz w:val="20"/>
          <w:szCs w:val="20"/>
        </w:rPr>
      </w:pPr>
      <w:r w:rsidRPr="004C3C90">
        <w:rPr>
          <w:rFonts w:ascii="Times New Roman" w:hAnsi="Times New Roman" w:cs="Times New Roman"/>
          <w:noProof/>
          <w:sz w:val="20"/>
          <w:szCs w:val="20"/>
        </w:rPr>
        <w:t>Robey KL, Reck JF, Giacomini KD, Barabas G, Eddey GE. Modes and patterns of self-mutilation in persons with Lesch-Nyhan disease. Dev Med Child Neurol. 2003;45.</w:t>
      </w:r>
    </w:p>
    <w:p w14:paraId="713EC34E" w14:textId="0869D2AE" w:rsidR="001D3C18" w:rsidRPr="004C3C90" w:rsidRDefault="001D3C18" w:rsidP="004C3C90">
      <w:pPr>
        <w:spacing w:line="480" w:lineRule="auto"/>
        <w:rPr>
          <w:rFonts w:ascii="Times New Roman" w:hAnsi="Times New Roman" w:cs="Times New Roman"/>
          <w:sz w:val="20"/>
          <w:szCs w:val="20"/>
        </w:rPr>
      </w:pPr>
    </w:p>
    <w:sectPr w:rsidR="001D3C18" w:rsidRPr="004C3C9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833AFD" w14:textId="77777777" w:rsidR="0057504E" w:rsidRDefault="0057504E">
      <w:pPr>
        <w:spacing w:line="240" w:lineRule="auto"/>
      </w:pPr>
      <w:r>
        <w:separator/>
      </w:r>
    </w:p>
  </w:endnote>
  <w:endnote w:type="continuationSeparator" w:id="0">
    <w:p w14:paraId="438F369D" w14:textId="77777777" w:rsidR="0057504E" w:rsidRDefault="005750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휴먼명조">
    <w:altName w:val="맑은 고딕"/>
    <w:panose1 w:val="02010504000101010101"/>
    <w:charset w:val="81"/>
    <w:family w:val="auto"/>
    <w:pitch w:val="variable"/>
    <w:sig w:usb0="800002A7" w:usb1="19D77CFB" w:usb2="00000010" w:usb3="00000000" w:csb0="00080000" w:csb1="00000000"/>
  </w:font>
  <w:font w:name="Georgia">
    <w:panose1 w:val="02040502050405020303"/>
    <w:charset w:val="00"/>
    <w:family w:val="roman"/>
    <w:pitch w:val="variable"/>
    <w:sig w:usb0="00000287" w:usb1="00000000" w:usb2="00000000" w:usb3="00000000" w:csb0="0000009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88627" w14:textId="49213E5D" w:rsidR="004C3C90" w:rsidRPr="00C64131" w:rsidRDefault="004C3C90">
    <w:pPr>
      <w:pBdr>
        <w:top w:val="nil"/>
        <w:left w:val="nil"/>
        <w:bottom w:val="nil"/>
        <w:right w:val="nil"/>
        <w:between w:val="nil"/>
      </w:pBdr>
      <w:tabs>
        <w:tab w:val="center" w:pos="4513"/>
        <w:tab w:val="right" w:pos="9026"/>
      </w:tabs>
      <w:spacing w:line="240" w:lineRule="auto"/>
      <w:jc w:val="center"/>
      <w:rPr>
        <w:rFonts w:ascii="Helvetica" w:eastAsia="Times New Roman" w:hAnsi="Helvetica" w:cs="Times New Roman"/>
        <w:color w:val="000000"/>
        <w:sz w:val="20"/>
        <w:szCs w:val="20"/>
      </w:rPr>
    </w:pPr>
    <w:r w:rsidRPr="00C64131">
      <w:rPr>
        <w:rFonts w:ascii="Helvetica" w:eastAsia="Times New Roman" w:hAnsi="Helvetica" w:cs="Times New Roman"/>
        <w:color w:val="000000"/>
        <w:sz w:val="20"/>
        <w:szCs w:val="20"/>
      </w:rPr>
      <w:fldChar w:fldCharType="begin"/>
    </w:r>
    <w:r w:rsidRPr="00C64131">
      <w:rPr>
        <w:rFonts w:ascii="Helvetica" w:eastAsia="Times New Roman" w:hAnsi="Helvetica" w:cs="Times New Roman"/>
        <w:color w:val="000000"/>
        <w:sz w:val="20"/>
        <w:szCs w:val="20"/>
      </w:rPr>
      <w:instrText>PAGE</w:instrText>
    </w:r>
    <w:r w:rsidRPr="00C64131">
      <w:rPr>
        <w:rFonts w:ascii="Helvetica" w:eastAsia="Times New Roman" w:hAnsi="Helvetica" w:cs="Times New Roman"/>
        <w:color w:val="000000"/>
        <w:sz w:val="20"/>
        <w:szCs w:val="20"/>
      </w:rPr>
      <w:fldChar w:fldCharType="separate"/>
    </w:r>
    <w:r w:rsidR="000B2743">
      <w:rPr>
        <w:rFonts w:ascii="Helvetica" w:eastAsia="Times New Roman" w:hAnsi="Helvetica" w:cs="Times New Roman"/>
        <w:noProof/>
        <w:color w:val="000000"/>
        <w:sz w:val="20"/>
        <w:szCs w:val="20"/>
      </w:rPr>
      <w:t>1</w:t>
    </w:r>
    <w:r w:rsidRPr="00C64131">
      <w:rPr>
        <w:rFonts w:ascii="Helvetica" w:eastAsia="Times New Roman" w:hAnsi="Helvetica" w:cs="Times New Roman"/>
        <w:color w:val="000000"/>
        <w:sz w:val="20"/>
        <w:szCs w:val="20"/>
      </w:rPr>
      <w:fldChar w:fldCharType="end"/>
    </w:r>
  </w:p>
  <w:p w14:paraId="73BF70CA" w14:textId="77777777" w:rsidR="004C3C90" w:rsidRPr="00C64131" w:rsidRDefault="004C3C90">
    <w:pPr>
      <w:pBdr>
        <w:top w:val="nil"/>
        <w:left w:val="nil"/>
        <w:bottom w:val="nil"/>
        <w:right w:val="nil"/>
        <w:between w:val="nil"/>
      </w:pBdr>
      <w:tabs>
        <w:tab w:val="center" w:pos="4513"/>
        <w:tab w:val="right" w:pos="9026"/>
      </w:tabs>
      <w:spacing w:line="240" w:lineRule="auto"/>
      <w:rPr>
        <w:rFonts w:ascii="Helvetica" w:hAnsi="Helvetic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3EFD2" w14:textId="77777777" w:rsidR="0057504E" w:rsidRDefault="0057504E">
      <w:pPr>
        <w:spacing w:line="240" w:lineRule="auto"/>
      </w:pPr>
      <w:r>
        <w:separator/>
      </w:r>
    </w:p>
  </w:footnote>
  <w:footnote w:type="continuationSeparator" w:id="0">
    <w:p w14:paraId="07BD6AC4" w14:textId="77777777" w:rsidR="0057504E" w:rsidRDefault="0057504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053FF"/>
    <w:multiLevelType w:val="hybridMultilevel"/>
    <w:tmpl w:val="D24C59CE"/>
    <w:lvl w:ilvl="0" w:tplc="22A098C8">
      <w:start w:val="100"/>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29583CD9"/>
    <w:multiLevelType w:val="hybridMultilevel"/>
    <w:tmpl w:val="01B61C6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346E2429"/>
    <w:multiLevelType w:val="multilevel"/>
    <w:tmpl w:val="F364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507470"/>
    <w:multiLevelType w:val="multilevel"/>
    <w:tmpl w:val="83DAD98C"/>
    <w:lvl w:ilvl="0">
      <w:start w:val="1"/>
      <w:numFmt w:val="decimal"/>
      <w:pStyle w:val="BoldHeal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7F46B8F"/>
    <w:multiLevelType w:val="hybridMultilevel"/>
    <w:tmpl w:val="69125F1A"/>
    <w:lvl w:ilvl="0" w:tplc="042A12EA">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5F0B7C3C"/>
    <w:multiLevelType w:val="multilevel"/>
    <w:tmpl w:val="D656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D77331"/>
    <w:multiLevelType w:val="multilevel"/>
    <w:tmpl w:val="0568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AE30FA"/>
    <w:multiLevelType w:val="hybridMultilevel"/>
    <w:tmpl w:val="47B68386"/>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3"/>
  </w:num>
  <w:num w:numId="2">
    <w:abstractNumId w:val="0"/>
  </w:num>
  <w:num w:numId="3">
    <w:abstractNumId w:val="7"/>
  </w:num>
  <w:num w:numId="4">
    <w:abstractNumId w:val="4"/>
  </w:num>
  <w:num w:numId="5">
    <w:abstractNumId w:val="1"/>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C18"/>
    <w:rsid w:val="00011517"/>
    <w:rsid w:val="00036CEB"/>
    <w:rsid w:val="000442B8"/>
    <w:rsid w:val="0005130D"/>
    <w:rsid w:val="000B1324"/>
    <w:rsid w:val="000B2743"/>
    <w:rsid w:val="000B4131"/>
    <w:rsid w:val="000D2933"/>
    <w:rsid w:val="00100787"/>
    <w:rsid w:val="0013489B"/>
    <w:rsid w:val="00164C48"/>
    <w:rsid w:val="00170E59"/>
    <w:rsid w:val="001C602A"/>
    <w:rsid w:val="001C6BF9"/>
    <w:rsid w:val="001D3C18"/>
    <w:rsid w:val="00227049"/>
    <w:rsid w:val="002464AE"/>
    <w:rsid w:val="00246E8A"/>
    <w:rsid w:val="0026640B"/>
    <w:rsid w:val="00272E6C"/>
    <w:rsid w:val="00291FF8"/>
    <w:rsid w:val="002A18C2"/>
    <w:rsid w:val="002A3384"/>
    <w:rsid w:val="002A3B9A"/>
    <w:rsid w:val="002B411B"/>
    <w:rsid w:val="002C0923"/>
    <w:rsid w:val="002C4ED8"/>
    <w:rsid w:val="002F0988"/>
    <w:rsid w:val="002F2419"/>
    <w:rsid w:val="00334911"/>
    <w:rsid w:val="003712C9"/>
    <w:rsid w:val="00392035"/>
    <w:rsid w:val="003C2B38"/>
    <w:rsid w:val="003E5FA4"/>
    <w:rsid w:val="0041548C"/>
    <w:rsid w:val="004258F8"/>
    <w:rsid w:val="00431308"/>
    <w:rsid w:val="004566E3"/>
    <w:rsid w:val="00465992"/>
    <w:rsid w:val="0047245F"/>
    <w:rsid w:val="004965FC"/>
    <w:rsid w:val="004C3C90"/>
    <w:rsid w:val="004C5CFF"/>
    <w:rsid w:val="004E433A"/>
    <w:rsid w:val="005023AD"/>
    <w:rsid w:val="00540A1E"/>
    <w:rsid w:val="005629A2"/>
    <w:rsid w:val="005655CD"/>
    <w:rsid w:val="00572C89"/>
    <w:rsid w:val="0057504E"/>
    <w:rsid w:val="00580F98"/>
    <w:rsid w:val="005A7E0A"/>
    <w:rsid w:val="005C0E9B"/>
    <w:rsid w:val="005D0404"/>
    <w:rsid w:val="005D3E2A"/>
    <w:rsid w:val="00610402"/>
    <w:rsid w:val="00684CE9"/>
    <w:rsid w:val="006A28A7"/>
    <w:rsid w:val="006A44F1"/>
    <w:rsid w:val="006B6C05"/>
    <w:rsid w:val="006D6FC7"/>
    <w:rsid w:val="00730503"/>
    <w:rsid w:val="007314A1"/>
    <w:rsid w:val="00774E88"/>
    <w:rsid w:val="007E0CE3"/>
    <w:rsid w:val="007F50AC"/>
    <w:rsid w:val="00800A8B"/>
    <w:rsid w:val="00807889"/>
    <w:rsid w:val="00832213"/>
    <w:rsid w:val="0085421E"/>
    <w:rsid w:val="00887928"/>
    <w:rsid w:val="008C40C7"/>
    <w:rsid w:val="008D391F"/>
    <w:rsid w:val="008D5D7B"/>
    <w:rsid w:val="008D7D2D"/>
    <w:rsid w:val="008E4872"/>
    <w:rsid w:val="008E6086"/>
    <w:rsid w:val="00900F7C"/>
    <w:rsid w:val="00906414"/>
    <w:rsid w:val="00915F50"/>
    <w:rsid w:val="0094434C"/>
    <w:rsid w:val="00984C29"/>
    <w:rsid w:val="00987C04"/>
    <w:rsid w:val="009A64F5"/>
    <w:rsid w:val="009D4559"/>
    <w:rsid w:val="009D643F"/>
    <w:rsid w:val="009E1F21"/>
    <w:rsid w:val="00A01A9C"/>
    <w:rsid w:val="00A21821"/>
    <w:rsid w:val="00A27468"/>
    <w:rsid w:val="00A63904"/>
    <w:rsid w:val="00A70EE6"/>
    <w:rsid w:val="00AB023A"/>
    <w:rsid w:val="00AD03D1"/>
    <w:rsid w:val="00AD18F9"/>
    <w:rsid w:val="00AE3A51"/>
    <w:rsid w:val="00AE5872"/>
    <w:rsid w:val="00AF6110"/>
    <w:rsid w:val="00B012A8"/>
    <w:rsid w:val="00B134E0"/>
    <w:rsid w:val="00B3613E"/>
    <w:rsid w:val="00B4737B"/>
    <w:rsid w:val="00B629EE"/>
    <w:rsid w:val="00B9016D"/>
    <w:rsid w:val="00BC1DA4"/>
    <w:rsid w:val="00BC4493"/>
    <w:rsid w:val="00BC4B18"/>
    <w:rsid w:val="00BD1861"/>
    <w:rsid w:val="00C64131"/>
    <w:rsid w:val="00CD305D"/>
    <w:rsid w:val="00CE15D1"/>
    <w:rsid w:val="00CF0C6C"/>
    <w:rsid w:val="00D151A8"/>
    <w:rsid w:val="00D23A94"/>
    <w:rsid w:val="00D339B8"/>
    <w:rsid w:val="00D6223A"/>
    <w:rsid w:val="00D63A75"/>
    <w:rsid w:val="00D65588"/>
    <w:rsid w:val="00D74DE5"/>
    <w:rsid w:val="00D82C17"/>
    <w:rsid w:val="00DA3370"/>
    <w:rsid w:val="00E1479D"/>
    <w:rsid w:val="00EA4A92"/>
    <w:rsid w:val="00EB2C84"/>
    <w:rsid w:val="00EE50CE"/>
    <w:rsid w:val="00F36798"/>
    <w:rsid w:val="00F52001"/>
    <w:rsid w:val="00FF195C"/>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BC4C4"/>
  <w15:docId w15:val="{719A65BC-F014-40C3-A806-A045DD2D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4"/>
        <w:szCs w:val="24"/>
        <w:lang w:val="en-GB"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Normal 12"/>
    <w:qFormat/>
    <w:rsid w:val="005343FA"/>
    <w:pPr>
      <w:spacing w:line="360" w:lineRule="auto"/>
    </w:pPr>
  </w:style>
  <w:style w:type="paragraph" w:styleId="1">
    <w:name w:val="heading 1"/>
    <w:basedOn w:val="a"/>
    <w:next w:val="a"/>
    <w:link w:val="1Char"/>
    <w:uiPriority w:val="9"/>
    <w:qFormat/>
    <w:rsid w:val="0028006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28006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280064"/>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Char"/>
    <w:uiPriority w:val="9"/>
    <w:semiHidden/>
    <w:unhideWhenUsed/>
    <w:qFormat/>
    <w:pPr>
      <w:keepNext/>
      <w:keepLines/>
      <w:spacing w:before="240" w:after="40"/>
      <w:outlineLvl w:val="3"/>
    </w:pPr>
    <w:rPr>
      <w:b/>
    </w:rPr>
  </w:style>
  <w:style w:type="paragraph" w:styleId="5">
    <w:name w:val="heading 5"/>
    <w:basedOn w:val="a"/>
    <w:next w:val="a"/>
    <w:link w:val="5Char"/>
    <w:uiPriority w:val="9"/>
    <w:semiHidden/>
    <w:unhideWhenUsed/>
    <w:qFormat/>
    <w:pPr>
      <w:keepNext/>
      <w:keepLines/>
      <w:spacing w:before="220" w:after="40"/>
      <w:outlineLvl w:val="4"/>
    </w:pPr>
    <w:rPr>
      <w:b/>
      <w:sz w:val="22"/>
      <w:szCs w:val="22"/>
    </w:rPr>
  </w:style>
  <w:style w:type="paragraph" w:styleId="6">
    <w:name w:val="heading 6"/>
    <w:basedOn w:val="a"/>
    <w:next w:val="a"/>
    <w:link w:val="6Char"/>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pPr>
      <w:keepNext/>
      <w:keepLines/>
      <w:spacing w:before="480" w:after="120"/>
    </w:pPr>
    <w:rPr>
      <w:b/>
      <w:sz w:val="72"/>
      <w:szCs w:val="72"/>
    </w:rPr>
  </w:style>
  <w:style w:type="character" w:customStyle="1" w:styleId="1Char">
    <w:name w:val="제목 1 Char"/>
    <w:basedOn w:val="a0"/>
    <w:link w:val="1"/>
    <w:uiPriority w:val="9"/>
    <w:rsid w:val="00280064"/>
    <w:rPr>
      <w:rFonts w:asciiTheme="majorHAnsi" w:eastAsiaTheme="majorEastAsia" w:hAnsiTheme="majorHAnsi" w:cstheme="majorBidi"/>
      <w:color w:val="2F5496" w:themeColor="accent1" w:themeShade="BF"/>
      <w:sz w:val="32"/>
      <w:szCs w:val="32"/>
    </w:rPr>
  </w:style>
  <w:style w:type="character" w:customStyle="1" w:styleId="2Char">
    <w:name w:val="제목 2 Char"/>
    <w:basedOn w:val="a0"/>
    <w:link w:val="2"/>
    <w:uiPriority w:val="9"/>
    <w:rsid w:val="00280064"/>
    <w:rPr>
      <w:rFonts w:asciiTheme="majorHAnsi" w:eastAsiaTheme="majorEastAsia" w:hAnsiTheme="majorHAnsi" w:cstheme="majorBidi"/>
      <w:color w:val="2F5496" w:themeColor="accent1" w:themeShade="BF"/>
      <w:sz w:val="26"/>
      <w:szCs w:val="26"/>
    </w:rPr>
  </w:style>
  <w:style w:type="character" w:customStyle="1" w:styleId="3Char">
    <w:name w:val="제목 3 Char"/>
    <w:basedOn w:val="a0"/>
    <w:link w:val="3"/>
    <w:uiPriority w:val="9"/>
    <w:rsid w:val="00280064"/>
    <w:rPr>
      <w:rFonts w:asciiTheme="majorHAnsi" w:eastAsiaTheme="majorEastAsia" w:hAnsiTheme="majorHAnsi" w:cstheme="majorBidi"/>
      <w:color w:val="1F3763" w:themeColor="accent1" w:themeShade="7F"/>
      <w:sz w:val="24"/>
      <w:szCs w:val="24"/>
    </w:rPr>
  </w:style>
  <w:style w:type="paragraph" w:customStyle="1" w:styleId="BoldHeading1">
    <w:name w:val="Bold_Heading 1"/>
    <w:basedOn w:val="1"/>
    <w:link w:val="BoldHeading1Char"/>
    <w:qFormat/>
    <w:rsid w:val="00280064"/>
    <w:pPr>
      <w:widowControl w:val="0"/>
      <w:wordWrap w:val="0"/>
      <w:autoSpaceDE w:val="0"/>
      <w:autoSpaceDN w:val="0"/>
    </w:pPr>
    <w:rPr>
      <w:b/>
      <w:color w:val="002060"/>
      <w:sz w:val="28"/>
    </w:rPr>
  </w:style>
  <w:style w:type="character" w:customStyle="1" w:styleId="BoldHeading1Char">
    <w:name w:val="Bold_Heading 1 Char"/>
    <w:basedOn w:val="1Char"/>
    <w:link w:val="BoldHeading1"/>
    <w:rsid w:val="00280064"/>
    <w:rPr>
      <w:rFonts w:asciiTheme="majorHAnsi" w:eastAsiaTheme="majorEastAsia" w:hAnsiTheme="majorHAnsi" w:cstheme="majorBidi"/>
      <w:b/>
      <w:color w:val="002060"/>
      <w:sz w:val="28"/>
      <w:szCs w:val="32"/>
    </w:rPr>
  </w:style>
  <w:style w:type="paragraph" w:customStyle="1" w:styleId="BoldHealding2">
    <w:name w:val="Bold_Healding 2"/>
    <w:basedOn w:val="2"/>
    <w:link w:val="BoldHealding2Char"/>
    <w:qFormat/>
    <w:rsid w:val="00280064"/>
    <w:pPr>
      <w:widowControl w:val="0"/>
      <w:wordWrap w:val="0"/>
      <w:autoSpaceDE w:val="0"/>
      <w:autoSpaceDN w:val="0"/>
    </w:pPr>
    <w:rPr>
      <w:b/>
      <w:sz w:val="24"/>
    </w:rPr>
  </w:style>
  <w:style w:type="character" w:customStyle="1" w:styleId="BoldHealding2Char">
    <w:name w:val="Bold_Healding 2 Char"/>
    <w:basedOn w:val="2Char"/>
    <w:link w:val="BoldHealding2"/>
    <w:rsid w:val="00280064"/>
    <w:rPr>
      <w:rFonts w:asciiTheme="majorHAnsi" w:eastAsiaTheme="majorEastAsia" w:hAnsiTheme="majorHAnsi" w:cstheme="majorBidi"/>
      <w:b/>
      <w:color w:val="2F5496" w:themeColor="accent1" w:themeShade="BF"/>
      <w:sz w:val="24"/>
      <w:szCs w:val="26"/>
    </w:rPr>
  </w:style>
  <w:style w:type="paragraph" w:customStyle="1" w:styleId="BoldHealing3">
    <w:name w:val="Bold_Healing 3"/>
    <w:basedOn w:val="3"/>
    <w:link w:val="BoldHealing3Char"/>
    <w:qFormat/>
    <w:rsid w:val="00280064"/>
    <w:pPr>
      <w:widowControl w:val="0"/>
      <w:numPr>
        <w:numId w:val="1"/>
      </w:numPr>
      <w:wordWrap w:val="0"/>
      <w:autoSpaceDE w:val="0"/>
      <w:autoSpaceDN w:val="0"/>
      <w:ind w:left="284" w:hanging="284"/>
    </w:pPr>
    <w:rPr>
      <w:b/>
      <w:color w:val="2F5496" w:themeColor="accent1" w:themeShade="BF"/>
    </w:rPr>
  </w:style>
  <w:style w:type="character" w:customStyle="1" w:styleId="BoldHealing3Char">
    <w:name w:val="Bold_Healing 3 Char"/>
    <w:basedOn w:val="3Char"/>
    <w:link w:val="BoldHealing3"/>
    <w:rsid w:val="00280064"/>
    <w:rPr>
      <w:rFonts w:asciiTheme="majorHAnsi" w:eastAsiaTheme="majorEastAsia" w:hAnsiTheme="majorHAnsi" w:cstheme="majorBidi"/>
      <w:b/>
      <w:color w:val="2F5496" w:themeColor="accent1" w:themeShade="BF"/>
      <w:sz w:val="24"/>
      <w:szCs w:val="24"/>
    </w:rPr>
  </w:style>
  <w:style w:type="paragraph" w:customStyle="1" w:styleId="10">
    <w:name w:val="개요1"/>
    <w:basedOn w:val="a"/>
    <w:link w:val="1Char0"/>
    <w:qFormat/>
    <w:rsid w:val="00711F43"/>
    <w:pPr>
      <w:widowControl w:val="0"/>
      <w:pBdr>
        <w:top w:val="none" w:sz="2" w:space="0" w:color="000000"/>
        <w:left w:val="none" w:sz="2" w:space="0" w:color="000000"/>
        <w:bottom w:val="none" w:sz="2" w:space="0" w:color="000000"/>
        <w:right w:val="none" w:sz="2" w:space="0" w:color="000000"/>
      </w:pBdr>
      <w:wordWrap w:val="0"/>
      <w:autoSpaceDE w:val="0"/>
      <w:autoSpaceDN w:val="0"/>
      <w:spacing w:line="384" w:lineRule="auto"/>
      <w:jc w:val="both"/>
      <w:textAlignment w:val="baseline"/>
    </w:pPr>
    <w:rPr>
      <w:rFonts w:ascii="휴먼명조" w:eastAsia="휴먼명조" w:hAnsi="휴먼명조"/>
      <w:b/>
      <w:color w:val="000000"/>
      <w:shd w:val="clear" w:color="999999" w:fill="auto"/>
    </w:rPr>
  </w:style>
  <w:style w:type="character" w:customStyle="1" w:styleId="1Char0">
    <w:name w:val="개요1 Char"/>
    <w:basedOn w:val="a0"/>
    <w:link w:val="10"/>
    <w:rsid w:val="00711F43"/>
    <w:rPr>
      <w:rFonts w:ascii="휴먼명조" w:eastAsia="휴먼명조" w:hAnsi="휴먼명조"/>
      <w:b/>
      <w:color w:val="000000"/>
      <w:sz w:val="24"/>
    </w:rPr>
  </w:style>
  <w:style w:type="paragraph" w:customStyle="1" w:styleId="Lancettext">
    <w:name w:val="Lancet_text"/>
    <w:basedOn w:val="a"/>
    <w:link w:val="LancettextChar"/>
    <w:qFormat/>
    <w:rsid w:val="000D4030"/>
    <w:pPr>
      <w:spacing w:line="240" w:lineRule="auto"/>
      <w:jc w:val="both"/>
    </w:pPr>
    <w:rPr>
      <w:rFonts w:ascii="Times New Roman" w:hAnsi="Times New Roman"/>
      <w:sz w:val="20"/>
    </w:rPr>
  </w:style>
  <w:style w:type="character" w:customStyle="1" w:styleId="LancettextChar">
    <w:name w:val="Lancet_text Char"/>
    <w:basedOn w:val="a0"/>
    <w:link w:val="Lancettext"/>
    <w:rsid w:val="000D4030"/>
    <w:rPr>
      <w:rFonts w:ascii="Times New Roman" w:hAnsi="Times New Roman"/>
      <w:sz w:val="20"/>
    </w:rPr>
  </w:style>
  <w:style w:type="paragraph" w:styleId="a4">
    <w:name w:val="caption"/>
    <w:basedOn w:val="a"/>
    <w:next w:val="a"/>
    <w:uiPriority w:val="35"/>
    <w:unhideWhenUsed/>
    <w:qFormat/>
    <w:rsid w:val="00A03924"/>
    <w:pPr>
      <w:spacing w:after="200" w:line="240" w:lineRule="auto"/>
    </w:pPr>
    <w:rPr>
      <w:i/>
      <w:iCs/>
      <w:color w:val="44546A" w:themeColor="text2"/>
      <w:sz w:val="18"/>
      <w:szCs w:val="18"/>
    </w:rPr>
  </w:style>
  <w:style w:type="paragraph" w:styleId="a5">
    <w:name w:val="header"/>
    <w:basedOn w:val="a"/>
    <w:link w:val="Char0"/>
    <w:uiPriority w:val="99"/>
    <w:unhideWhenUsed/>
    <w:rsid w:val="00382170"/>
    <w:pPr>
      <w:tabs>
        <w:tab w:val="center" w:pos="4513"/>
        <w:tab w:val="right" w:pos="9026"/>
      </w:tabs>
      <w:spacing w:line="240" w:lineRule="auto"/>
    </w:pPr>
  </w:style>
  <w:style w:type="character" w:customStyle="1" w:styleId="Char0">
    <w:name w:val="머리글 Char"/>
    <w:basedOn w:val="a0"/>
    <w:link w:val="a5"/>
    <w:uiPriority w:val="99"/>
    <w:rsid w:val="00382170"/>
    <w:rPr>
      <w:sz w:val="24"/>
    </w:rPr>
  </w:style>
  <w:style w:type="paragraph" w:styleId="a6">
    <w:name w:val="footer"/>
    <w:basedOn w:val="a"/>
    <w:link w:val="Char1"/>
    <w:uiPriority w:val="99"/>
    <w:unhideWhenUsed/>
    <w:rsid w:val="00382170"/>
    <w:pPr>
      <w:tabs>
        <w:tab w:val="center" w:pos="4513"/>
        <w:tab w:val="right" w:pos="9026"/>
      </w:tabs>
      <w:spacing w:line="240" w:lineRule="auto"/>
    </w:pPr>
  </w:style>
  <w:style w:type="character" w:customStyle="1" w:styleId="Char1">
    <w:name w:val="바닥글 Char"/>
    <w:basedOn w:val="a0"/>
    <w:link w:val="a6"/>
    <w:uiPriority w:val="99"/>
    <w:rsid w:val="00382170"/>
    <w:rPr>
      <w:sz w:val="24"/>
    </w:rPr>
  </w:style>
  <w:style w:type="character" w:styleId="a7">
    <w:name w:val="Hyperlink"/>
    <w:basedOn w:val="a0"/>
    <w:uiPriority w:val="99"/>
    <w:semiHidden/>
    <w:unhideWhenUsed/>
    <w:rsid w:val="000F6EBD"/>
    <w:rPr>
      <w:color w:val="0563C1"/>
      <w:u w:val="single"/>
    </w:rPr>
  </w:style>
  <w:style w:type="character" w:styleId="a8">
    <w:name w:val="FollowedHyperlink"/>
    <w:basedOn w:val="a0"/>
    <w:uiPriority w:val="99"/>
    <w:semiHidden/>
    <w:unhideWhenUsed/>
    <w:rsid w:val="000F6EBD"/>
    <w:rPr>
      <w:color w:val="954F72"/>
      <w:u w:val="single"/>
    </w:rPr>
  </w:style>
  <w:style w:type="paragraph" w:customStyle="1" w:styleId="msonormal0">
    <w:name w:val="msonormal"/>
    <w:basedOn w:val="a"/>
    <w:rsid w:val="000F6EBD"/>
    <w:pPr>
      <w:spacing w:before="100" w:beforeAutospacing="1" w:after="100" w:afterAutospacing="1" w:line="240" w:lineRule="auto"/>
    </w:pPr>
    <w:rPr>
      <w:rFonts w:ascii="Times New Roman" w:eastAsia="Times New Roman" w:hAnsi="Times New Roman" w:cs="Times New Roman"/>
    </w:rPr>
  </w:style>
  <w:style w:type="paragraph" w:customStyle="1" w:styleId="xl65">
    <w:name w:val="xl65"/>
    <w:basedOn w:val="a"/>
    <w:rsid w:val="000F6EBD"/>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6">
    <w:name w:val="xl66"/>
    <w:basedOn w:val="a"/>
    <w:rsid w:val="000F6EBD"/>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67">
    <w:name w:val="xl67"/>
    <w:basedOn w:val="a"/>
    <w:rsid w:val="000F6EBD"/>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8">
    <w:name w:val="xl68"/>
    <w:basedOn w:val="a"/>
    <w:rsid w:val="000F6EBD"/>
    <w:pP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69">
    <w:name w:val="xl69"/>
    <w:basedOn w:val="a"/>
    <w:rsid w:val="000F6EBD"/>
    <w:pP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0">
    <w:name w:val="xl70"/>
    <w:basedOn w:val="a"/>
    <w:rsid w:val="000F6EBD"/>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1">
    <w:name w:val="xl71"/>
    <w:basedOn w:val="a"/>
    <w:rsid w:val="000F6EBD"/>
    <w:pPr>
      <w:spacing w:before="100" w:beforeAutospacing="1" w:after="100" w:afterAutospacing="1" w:line="240" w:lineRule="auto"/>
      <w:textAlignment w:val="center"/>
    </w:pPr>
    <w:rPr>
      <w:rFonts w:ascii="Times New Roman" w:eastAsia="Times New Roman" w:hAnsi="Times New Roman" w:cs="Times New Roman"/>
      <w:color w:val="70757A"/>
      <w:sz w:val="16"/>
      <w:szCs w:val="16"/>
    </w:rPr>
  </w:style>
  <w:style w:type="paragraph" w:customStyle="1" w:styleId="xl72">
    <w:name w:val="xl72"/>
    <w:basedOn w:val="a"/>
    <w:rsid w:val="000F6EBD"/>
    <w:pP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3">
    <w:name w:val="xl73"/>
    <w:basedOn w:val="a"/>
    <w:rsid w:val="000F6EBD"/>
    <w:pPr>
      <w:shd w:val="clear" w:color="000000" w:fill="E7E6E6"/>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4">
    <w:name w:val="xl74"/>
    <w:basedOn w:val="a"/>
    <w:rsid w:val="000F6EBD"/>
    <w:pP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5">
    <w:name w:val="xl75"/>
    <w:basedOn w:val="a"/>
    <w:rsid w:val="000F6EBD"/>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6">
    <w:name w:val="xl76"/>
    <w:basedOn w:val="a"/>
    <w:rsid w:val="000F6EBD"/>
    <w:pP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styleId="a9">
    <w:name w:val="Subtitle"/>
    <w:basedOn w:val="a"/>
    <w:next w:val="a"/>
    <w:link w:val="Char2"/>
    <w:uiPriority w:val="11"/>
    <w:qFormat/>
    <w:pPr>
      <w:keepNext/>
      <w:keepLines/>
      <w:spacing w:before="360" w:after="80"/>
    </w:pPr>
    <w:rPr>
      <w:rFonts w:ascii="Georgia" w:eastAsia="Georgia" w:hAnsi="Georgia" w:cs="Georgia"/>
      <w:i/>
      <w:color w:val="666666"/>
      <w:sz w:val="48"/>
      <w:szCs w:val="48"/>
    </w:rPr>
  </w:style>
  <w:style w:type="table" w:customStyle="1" w:styleId="aa">
    <w:basedOn w:val="a1"/>
    <w:tblPr>
      <w:tblStyleRowBandSize w:val="1"/>
      <w:tblStyleColBandSize w:val="1"/>
      <w:tblCellMar>
        <w:left w:w="115" w:type="dxa"/>
        <w:right w:w="115" w:type="dxa"/>
      </w:tblCellMar>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paragraph" w:styleId="ad">
    <w:name w:val="List Paragraph"/>
    <w:basedOn w:val="a"/>
    <w:uiPriority w:val="34"/>
    <w:qFormat/>
    <w:rsid w:val="00684CE9"/>
    <w:pPr>
      <w:ind w:left="720"/>
      <w:contextualSpacing/>
    </w:pPr>
  </w:style>
  <w:style w:type="paragraph" w:customStyle="1" w:styleId="ae">
    <w:name w:val="바탕글"/>
    <w:basedOn w:val="a"/>
    <w:rsid w:val="00EB2C84"/>
    <w:pPr>
      <w:widowControl w:val="0"/>
      <w:wordWrap w:val="0"/>
      <w:autoSpaceDE w:val="0"/>
      <w:autoSpaceDN w:val="0"/>
      <w:spacing w:line="384" w:lineRule="auto"/>
      <w:jc w:val="both"/>
      <w:textAlignment w:val="baseline"/>
    </w:pPr>
    <w:rPr>
      <w:rFonts w:ascii="함초롬바탕" w:eastAsia="굴림" w:hAnsi="굴림" w:cs="굴림"/>
      <w:color w:val="000000"/>
      <w:sz w:val="20"/>
      <w:szCs w:val="20"/>
      <w:lang w:val="en-US"/>
    </w:rPr>
  </w:style>
  <w:style w:type="paragraph" w:customStyle="1" w:styleId="11">
    <w:name w:val="표준1"/>
    <w:basedOn w:val="a"/>
    <w:rsid w:val="00EB2C84"/>
    <w:pPr>
      <w:widowControl w:val="0"/>
      <w:wordWrap w:val="0"/>
      <w:autoSpaceDE w:val="0"/>
      <w:autoSpaceDN w:val="0"/>
      <w:spacing w:after="160" w:line="256" w:lineRule="auto"/>
      <w:jc w:val="both"/>
      <w:textAlignment w:val="baseline"/>
    </w:pPr>
    <w:rPr>
      <w:rFonts w:ascii="맑은 고딕" w:eastAsia="굴림" w:hAnsi="굴림" w:cs="굴림"/>
      <w:color w:val="000000"/>
      <w:kern w:val="2"/>
      <w:sz w:val="20"/>
      <w:szCs w:val="20"/>
      <w:lang w:val="en-US"/>
    </w:rPr>
  </w:style>
  <w:style w:type="character" w:customStyle="1" w:styleId="4Char">
    <w:name w:val="제목 4 Char"/>
    <w:basedOn w:val="a0"/>
    <w:link w:val="4"/>
    <w:uiPriority w:val="9"/>
    <w:semiHidden/>
    <w:rsid w:val="00EB2C84"/>
    <w:rPr>
      <w:b/>
    </w:rPr>
  </w:style>
  <w:style w:type="character" w:customStyle="1" w:styleId="5Char">
    <w:name w:val="제목 5 Char"/>
    <w:basedOn w:val="a0"/>
    <w:link w:val="5"/>
    <w:uiPriority w:val="9"/>
    <w:semiHidden/>
    <w:rsid w:val="00EB2C84"/>
    <w:rPr>
      <w:b/>
      <w:sz w:val="22"/>
      <w:szCs w:val="22"/>
    </w:rPr>
  </w:style>
  <w:style w:type="character" w:customStyle="1" w:styleId="6Char">
    <w:name w:val="제목 6 Char"/>
    <w:basedOn w:val="a0"/>
    <w:link w:val="6"/>
    <w:uiPriority w:val="9"/>
    <w:semiHidden/>
    <w:rsid w:val="00EB2C84"/>
    <w:rPr>
      <w:b/>
      <w:sz w:val="20"/>
      <w:szCs w:val="20"/>
    </w:rPr>
  </w:style>
  <w:style w:type="character" w:customStyle="1" w:styleId="Char">
    <w:name w:val="제목 Char"/>
    <w:basedOn w:val="a0"/>
    <w:link w:val="a3"/>
    <w:uiPriority w:val="10"/>
    <w:rsid w:val="00EB2C84"/>
    <w:rPr>
      <w:b/>
      <w:sz w:val="72"/>
      <w:szCs w:val="72"/>
    </w:rPr>
  </w:style>
  <w:style w:type="character" w:customStyle="1" w:styleId="Char2">
    <w:name w:val="부제 Char"/>
    <w:basedOn w:val="a0"/>
    <w:link w:val="a9"/>
    <w:uiPriority w:val="11"/>
    <w:rsid w:val="00EB2C84"/>
    <w:rPr>
      <w:rFonts w:ascii="Georgia" w:eastAsia="Georgia" w:hAnsi="Georgia" w:cs="Georgia"/>
      <w:i/>
      <w:color w:val="666666"/>
      <w:sz w:val="48"/>
      <w:szCs w:val="48"/>
    </w:rPr>
  </w:style>
  <w:style w:type="paragraph" w:styleId="af">
    <w:name w:val="Balloon Text"/>
    <w:basedOn w:val="a"/>
    <w:link w:val="Char3"/>
    <w:uiPriority w:val="99"/>
    <w:semiHidden/>
    <w:unhideWhenUsed/>
    <w:rsid w:val="00291FF8"/>
    <w:pPr>
      <w:spacing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f"/>
    <w:uiPriority w:val="99"/>
    <w:semiHidden/>
    <w:rsid w:val="00291FF8"/>
    <w:rPr>
      <w:rFonts w:asciiTheme="majorHAnsi" w:eastAsiaTheme="majorEastAsia" w:hAnsiTheme="majorHAnsi" w:cstheme="majorBidi"/>
      <w:sz w:val="18"/>
      <w:szCs w:val="18"/>
    </w:rPr>
  </w:style>
  <w:style w:type="paragraph" w:styleId="af0">
    <w:name w:val="footnote text"/>
    <w:basedOn w:val="a"/>
    <w:link w:val="Char4"/>
    <w:uiPriority w:val="99"/>
    <w:semiHidden/>
    <w:unhideWhenUsed/>
    <w:rsid w:val="001C602A"/>
    <w:pPr>
      <w:snapToGrid w:val="0"/>
    </w:pPr>
  </w:style>
  <w:style w:type="character" w:customStyle="1" w:styleId="Char4">
    <w:name w:val="각주 텍스트 Char"/>
    <w:basedOn w:val="a0"/>
    <w:link w:val="af0"/>
    <w:uiPriority w:val="99"/>
    <w:semiHidden/>
    <w:rsid w:val="001C602A"/>
  </w:style>
  <w:style w:type="character" w:styleId="af1">
    <w:name w:val="footnote reference"/>
    <w:basedOn w:val="a0"/>
    <w:uiPriority w:val="99"/>
    <w:semiHidden/>
    <w:unhideWhenUsed/>
    <w:rsid w:val="001C602A"/>
    <w:rPr>
      <w:vertAlign w:val="superscript"/>
    </w:rPr>
  </w:style>
  <w:style w:type="paragraph" w:styleId="af2">
    <w:name w:val="annotation text"/>
    <w:basedOn w:val="a"/>
    <w:link w:val="Char5"/>
    <w:uiPriority w:val="99"/>
    <w:unhideWhenUsed/>
    <w:rsid w:val="0005130D"/>
    <w:pPr>
      <w:spacing w:line="240" w:lineRule="auto"/>
    </w:pPr>
    <w:rPr>
      <w:rFonts w:ascii="Arial" w:hAnsi="Arial" w:cs="Arial"/>
      <w:sz w:val="20"/>
      <w:szCs w:val="20"/>
      <w:lang w:val="en"/>
    </w:rPr>
  </w:style>
  <w:style w:type="character" w:customStyle="1" w:styleId="Char5">
    <w:name w:val="메모 텍스트 Char"/>
    <w:basedOn w:val="a0"/>
    <w:link w:val="af2"/>
    <w:uiPriority w:val="99"/>
    <w:rsid w:val="0005130D"/>
    <w:rPr>
      <w:rFonts w:ascii="Arial" w:hAnsi="Arial" w:cs="Arial"/>
      <w:sz w:val="20"/>
      <w:szCs w:val="20"/>
      <w:lang w:val="en"/>
    </w:rPr>
  </w:style>
  <w:style w:type="character" w:styleId="af3">
    <w:name w:val="annotation reference"/>
    <w:basedOn w:val="a0"/>
    <w:uiPriority w:val="99"/>
    <w:semiHidden/>
    <w:unhideWhenUsed/>
    <w:rsid w:val="0005130D"/>
    <w:rPr>
      <w:sz w:val="16"/>
      <w:szCs w:val="16"/>
    </w:rPr>
  </w:style>
  <w:style w:type="table" w:styleId="af4">
    <w:name w:val="Table Grid"/>
    <w:basedOn w:val="a1"/>
    <w:uiPriority w:val="39"/>
    <w:rsid w:val="00134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
    <w:name w:val="author"/>
    <w:basedOn w:val="a0"/>
    <w:rsid w:val="004C3C90"/>
  </w:style>
  <w:style w:type="character" w:customStyle="1" w:styleId="family-name">
    <w:name w:val="family-name"/>
    <w:basedOn w:val="a0"/>
    <w:rsid w:val="004C3C90"/>
  </w:style>
  <w:style w:type="character" w:customStyle="1" w:styleId="given-name">
    <w:name w:val="given-name"/>
    <w:basedOn w:val="a0"/>
    <w:rsid w:val="004C3C90"/>
  </w:style>
  <w:style w:type="character" w:customStyle="1" w:styleId="linkbutton-modulecontent2f1lc">
    <w:name w:val="linkbutton-module_content__2f1lc"/>
    <w:basedOn w:val="a0"/>
    <w:rsid w:val="004C3C90"/>
  </w:style>
  <w:style w:type="character" w:customStyle="1" w:styleId="collapsiblelistcomma1xtqm">
    <w:name w:val="collapsiblelist_comma__1xtqm"/>
    <w:basedOn w:val="a0"/>
    <w:rsid w:val="004C3C90"/>
  </w:style>
  <w:style w:type="paragraph" w:styleId="TOC">
    <w:name w:val="TOC Heading"/>
    <w:basedOn w:val="1"/>
    <w:next w:val="a"/>
    <w:uiPriority w:val="39"/>
    <w:unhideWhenUsed/>
    <w:qFormat/>
    <w:rsid w:val="004C3C90"/>
    <w:pPr>
      <w:spacing w:line="259" w:lineRule="auto"/>
      <w:outlineLvl w:val="9"/>
    </w:pPr>
    <w:rPr>
      <w:lang w:val="en-US"/>
    </w:rPr>
  </w:style>
  <w:style w:type="paragraph" w:styleId="20">
    <w:name w:val="toc 2"/>
    <w:basedOn w:val="a"/>
    <w:next w:val="a"/>
    <w:autoRedefine/>
    <w:uiPriority w:val="39"/>
    <w:unhideWhenUsed/>
    <w:rsid w:val="004C3C90"/>
    <w:pPr>
      <w:spacing w:after="100" w:line="259" w:lineRule="auto"/>
      <w:ind w:left="220"/>
    </w:pPr>
    <w:rPr>
      <w:rFonts w:asciiTheme="minorHAnsi" w:hAnsiTheme="minorHAnsi" w:cs="Times New Roman"/>
      <w:sz w:val="22"/>
      <w:szCs w:val="22"/>
      <w:lang w:val="en-US"/>
    </w:rPr>
  </w:style>
  <w:style w:type="paragraph" w:styleId="12">
    <w:name w:val="toc 1"/>
    <w:basedOn w:val="a"/>
    <w:next w:val="a"/>
    <w:autoRedefine/>
    <w:uiPriority w:val="39"/>
    <w:unhideWhenUsed/>
    <w:rsid w:val="004C3C90"/>
    <w:pPr>
      <w:spacing w:after="100" w:line="259" w:lineRule="auto"/>
    </w:pPr>
    <w:rPr>
      <w:rFonts w:asciiTheme="minorHAnsi" w:hAnsiTheme="minorHAnsi" w:cs="Times New Roman"/>
      <w:sz w:val="22"/>
      <w:szCs w:val="22"/>
      <w:lang w:val="en-US"/>
    </w:rPr>
  </w:style>
  <w:style w:type="paragraph" w:styleId="30">
    <w:name w:val="toc 3"/>
    <w:basedOn w:val="a"/>
    <w:next w:val="a"/>
    <w:autoRedefine/>
    <w:uiPriority w:val="39"/>
    <w:unhideWhenUsed/>
    <w:rsid w:val="004C3C90"/>
    <w:pPr>
      <w:spacing w:after="100" w:line="259" w:lineRule="auto"/>
      <w:ind w:left="440"/>
    </w:pPr>
    <w:rPr>
      <w:rFonts w:asciiTheme="minorHAnsi" w:hAnsiTheme="minorHAnsi"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64988">
      <w:bodyDiv w:val="1"/>
      <w:marLeft w:val="0"/>
      <w:marRight w:val="0"/>
      <w:marTop w:val="0"/>
      <w:marBottom w:val="0"/>
      <w:divBdr>
        <w:top w:val="none" w:sz="0" w:space="0" w:color="auto"/>
        <w:left w:val="none" w:sz="0" w:space="0" w:color="auto"/>
        <w:bottom w:val="none" w:sz="0" w:space="0" w:color="auto"/>
        <w:right w:val="none" w:sz="0" w:space="0" w:color="auto"/>
      </w:divBdr>
    </w:div>
    <w:div w:id="391201619">
      <w:bodyDiv w:val="1"/>
      <w:marLeft w:val="0"/>
      <w:marRight w:val="0"/>
      <w:marTop w:val="0"/>
      <w:marBottom w:val="0"/>
      <w:divBdr>
        <w:top w:val="none" w:sz="0" w:space="0" w:color="auto"/>
        <w:left w:val="none" w:sz="0" w:space="0" w:color="auto"/>
        <w:bottom w:val="none" w:sz="0" w:space="0" w:color="auto"/>
        <w:right w:val="none" w:sz="0" w:space="0" w:color="auto"/>
      </w:divBdr>
    </w:div>
    <w:div w:id="526216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cambridge.org/core/search?filters%5BauthorTerms%5D=C%20Campbell&amp;eventCode=SE-AU"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jP8EI9/LXTvKEIm4WQ80LseUNA==">AMUW2mXEVRrF4BrRaQWFDZex1gsgF7q2usfLd8rXPF+b4glLhXFLNqzaUx876uqEbw1Ub+f4GAHxrmDawqi6ew4bF9GTU0lYcqdqZoxPQac1N9Y2bi77mcaORXPuJC+AOnKc7CtDzarPTj+lJ4UnP/U1118i0YO/h59Avaehe2FygMX19rsVc73JuikS4KH3UcfGavW/j5DwZBoAjXlfcR3xPEdbDjSP1w==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A5658D2-EE1B-4907-8209-1ACA250BE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93752</Words>
  <Characters>534387</Characters>
  <Application>Microsoft Office Word</Application>
  <DocSecurity>0</DocSecurity>
  <Lines>4453</Lines>
  <Paragraphs>1253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Yoon Soho</dc:creator>
  <cp:lastModifiedBy>조수진(의료법윤리학협동과정)</cp:lastModifiedBy>
  <cp:revision>2</cp:revision>
  <cp:lastPrinted>2021-11-11T00:50:00Z</cp:lastPrinted>
  <dcterms:created xsi:type="dcterms:W3CDTF">2022-07-29T00:47:00Z</dcterms:created>
  <dcterms:modified xsi:type="dcterms:W3CDTF">2022-07-29T00:47:00Z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37c4a22b-5bd8-3b56-b115-6b09ce2479b6</vt:lpwstr>
  </property>
  <property fmtid="{D5CDD505-2E9C-101B-9397-08002B2CF9AE}" pid="4" name="Mendeley Citation Style_1">
    <vt:lpwstr>http://www.zotero.org/styles/nature</vt:lpwstr>
  </property>
  <property fmtid="{D5CDD505-2E9C-101B-9397-08002B2CF9AE}" pid="5" name="Mendeley Recent Style Id 0_1">
    <vt:lpwstr>http://www.zotero.org/styles/american-journal-of-public-health</vt:lpwstr>
  </property>
  <property fmtid="{D5CDD505-2E9C-101B-9397-08002B2CF9AE}" pid="6" name="Mendeley Recent Style Name 0_1">
    <vt:lpwstr>American Journal of Public Health</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http://www.zotero.org/styles/genome-medicine</vt:lpwstr>
  </property>
  <property fmtid="{D5CDD505-2E9C-101B-9397-08002B2CF9AE}" pid="16" name="Mendeley Recent Style Name 5_1">
    <vt:lpwstr>Genome Medicine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http://www.zotero.org/styles/the-lancet</vt:lpwstr>
  </property>
  <property fmtid="{D5CDD505-2E9C-101B-9397-08002B2CF9AE}" pid="24" name="Mendeley Recent Style Name 9_1">
    <vt:lpwstr>The Lancet</vt:lpwstr>
  </property>
</Properties>
</file>