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 w:eastAsiaTheme="minorEastAsia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Supplementary table 1. Knowledge test </w:t>
      </w: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6657"/>
        <w:gridCol w:w="701"/>
        <w:gridCol w:w="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" w:type="pct"/>
          </w:tcPr>
          <w:p>
            <w:pPr>
              <w:rPr>
                <w:rFonts w:hint="default" w:ascii="Times New Roman" w:hAnsi="Times New Roman" w:cs="Times New Roman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6"/>
                <w:szCs w:val="16"/>
                <w:vertAlign w:val="baseline"/>
                <w:lang w:val="en-US" w:eastAsia="zh-CN"/>
              </w:rPr>
              <w:t>No.</w:t>
            </w:r>
          </w:p>
        </w:tc>
        <w:tc>
          <w:tcPr>
            <w:tcW w:w="3905" w:type="pct"/>
          </w:tcPr>
          <w:p>
            <w:pPr>
              <w:rPr>
                <w:rFonts w:hint="default" w:ascii="Times New Roman" w:hAnsi="Times New Roman" w:cs="Times New Roman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6"/>
                <w:szCs w:val="16"/>
                <w:vertAlign w:val="baseline"/>
                <w:lang w:val="en-US" w:eastAsia="zh-CN"/>
              </w:rPr>
              <w:t>Items</w:t>
            </w:r>
          </w:p>
        </w:tc>
        <w:tc>
          <w:tcPr>
            <w:tcW w:w="411" w:type="pct"/>
          </w:tcPr>
          <w:p>
            <w:pPr>
              <w:rPr>
                <w:rFonts w:hint="default" w:ascii="Times New Roman" w:hAnsi="Times New Roman" w:cs="Times New Roman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6"/>
                <w:szCs w:val="16"/>
                <w:vertAlign w:val="baseline"/>
                <w:lang w:val="en-US" w:eastAsia="zh-CN"/>
              </w:rPr>
              <w:t xml:space="preserve">Right </w:t>
            </w:r>
          </w:p>
        </w:tc>
        <w:tc>
          <w:tcPr>
            <w:tcW w:w="406" w:type="pct"/>
          </w:tcPr>
          <w:p>
            <w:pPr>
              <w:rPr>
                <w:rFonts w:hint="default" w:ascii="Times New Roman" w:hAnsi="Times New Roman" w:cs="Times New Roman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6"/>
                <w:szCs w:val="16"/>
                <w:vertAlign w:val="baseline"/>
                <w:lang w:val="en-US" w:eastAsia="zh-CN"/>
              </w:rPr>
              <w:t>Wrong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" w:type="pct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3905" w:type="pct"/>
          </w:tcPr>
          <w:p>
            <w:pP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Viral pneumonia mostly occurs in winter and spring, and it can break out or be sporadically prevalent. Children, the elderly, and adults with immunosuppression are prone to suffer from it</w:t>
            </w:r>
          </w:p>
        </w:tc>
        <w:tc>
          <w:tcPr>
            <w:tcW w:w="411" w:type="pct"/>
          </w:tcPr>
          <w:p>
            <w:pP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06" w:type="pct"/>
          </w:tcPr>
          <w:p>
            <w:pP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" w:type="pct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3905" w:type="pct"/>
          </w:tcPr>
          <w:p>
            <w:pP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Fatigue, cold, and drunkenness are common causes of bacterial pneumonia. </w:t>
            </w:r>
          </w:p>
        </w:tc>
        <w:tc>
          <w:tcPr>
            <w:tcW w:w="411" w:type="pct"/>
          </w:tcPr>
          <w:p>
            <w:pP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06" w:type="pct"/>
          </w:tcPr>
          <w:p>
            <w:pP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" w:type="pct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3905" w:type="pct"/>
          </w:tcPr>
          <w:p>
            <w:pP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The first symptoms of patients with viral pneumonia are usually low-grade fever, accompanied by systemic symptoms such as fatigue and muscle pain</w:t>
            </w:r>
          </w:p>
        </w:tc>
        <w:tc>
          <w:tcPr>
            <w:tcW w:w="411" w:type="pct"/>
          </w:tcPr>
          <w:p>
            <w:pP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06" w:type="pct"/>
          </w:tcPr>
          <w:p>
            <w:pP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" w:type="pct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3905" w:type="pct"/>
          </w:tcPr>
          <w:p>
            <w:pP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Bacterial pneumonia is more common in the upper lobes of both lungs.</w:t>
            </w:r>
          </w:p>
        </w:tc>
        <w:tc>
          <w:tcPr>
            <w:tcW w:w="411" w:type="pct"/>
          </w:tcPr>
          <w:p>
            <w:pP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06" w:type="pct"/>
          </w:tcPr>
          <w:p>
            <w:pP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" w:type="pct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3905" w:type="pct"/>
          </w:tcPr>
          <w:p>
            <w:pP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The white blood cells of patients with bacterial pneumonia showed a downward trend</w:t>
            </w:r>
          </w:p>
        </w:tc>
        <w:tc>
          <w:tcPr>
            <w:tcW w:w="411" w:type="pct"/>
          </w:tcPr>
          <w:p>
            <w:pP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06" w:type="pct"/>
          </w:tcPr>
          <w:p>
            <w:pP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" w:type="pct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3905" w:type="pct"/>
          </w:tcPr>
          <w:p>
            <w:pP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The use of antibiotics is the main link in the treatment of pneumonia (including viral pneumonia)</w:t>
            </w:r>
          </w:p>
        </w:tc>
        <w:tc>
          <w:tcPr>
            <w:tcW w:w="411" w:type="pct"/>
          </w:tcPr>
          <w:p>
            <w:pP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06" w:type="pct"/>
          </w:tcPr>
          <w:p>
            <w:pP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" w:type="pct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7</w:t>
            </w:r>
          </w:p>
        </w:tc>
        <w:tc>
          <w:tcPr>
            <w:tcW w:w="3905" w:type="pct"/>
          </w:tcPr>
          <w:p>
            <w:pP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The main symptoms of infectious pneumonia are fever and cough</w:t>
            </w:r>
          </w:p>
        </w:tc>
        <w:tc>
          <w:tcPr>
            <w:tcW w:w="411" w:type="pct"/>
          </w:tcPr>
          <w:p>
            <w:pP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06" w:type="pct"/>
          </w:tcPr>
          <w:p>
            <w:pP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" w:type="pct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3905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 The most common etiological detection methods are sputum smear microscopy and sputum culture. </w:t>
            </w:r>
          </w:p>
        </w:tc>
        <w:tc>
          <w:tcPr>
            <w:tcW w:w="411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406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3905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For patients with severe pneumonia and refractory hypoxemia, the recommended duration of prone position is ≥12 hours.</w:t>
            </w:r>
          </w:p>
        </w:tc>
        <w:tc>
          <w:tcPr>
            <w:tcW w:w="411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406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3905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When the pleura is involved, symptoms of chest pain will appear, and as the disease improves, the symptoms will relieve or disappear</w:t>
            </w:r>
          </w:p>
        </w:tc>
        <w:tc>
          <w:tcPr>
            <w:tcW w:w="411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406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3905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 Antibiotics should be used as soon as possible for bacterial pneumonia</w:t>
            </w:r>
          </w:p>
        </w:tc>
        <w:tc>
          <w:tcPr>
            <w:tcW w:w="411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406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3905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The urine output is less than 25ml/h per hour, indicating hypovolemia</w:t>
            </w:r>
          </w:p>
        </w:tc>
        <w:tc>
          <w:tcPr>
            <w:tcW w:w="411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406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3905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In septic shock, head high and feet low should be adopted</w:t>
            </w:r>
          </w:p>
        </w:tc>
        <w:tc>
          <w:tcPr>
            <w:tcW w:w="411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406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3905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Pneumonia patients should receive oxygen therapy when PaO2&lt;60mmHg</w:t>
            </w:r>
          </w:p>
        </w:tc>
        <w:tc>
          <w:tcPr>
            <w:tcW w:w="411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406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3905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Patients with septic shock should be alert to the occurrence of intravascular coagulation (DIC)</w:t>
            </w:r>
          </w:p>
        </w:tc>
        <w:tc>
          <w:tcPr>
            <w:tcW w:w="411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406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3905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The white blood cells in the early stage of viral pneumonia are generally normal, and when secondary bacterial infection occurs, the white blood cells increase.</w:t>
            </w:r>
          </w:p>
        </w:tc>
        <w:tc>
          <w:tcPr>
            <w:tcW w:w="411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406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3905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In order to reduce oxygen consumption and avoid the occurrence of hypoxemia, patients with viral pneumonia should delay getting out of bed.</w:t>
            </w:r>
          </w:p>
        </w:tc>
        <w:tc>
          <w:tcPr>
            <w:tcW w:w="411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406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3905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Susceptible groups such as the elderly, </w:t>
            </w:r>
            <w:r>
              <w:rPr>
                <w:rFonts w:hint="default" w:ascii="Times New Roman" w:hAnsi="Times New Roman" w:eastAsia="楷体" w:cs="Times New Roman"/>
                <w:sz w:val="18"/>
                <w:szCs w:val="18"/>
              </w:rPr>
              <w:t>frail</w:t>
            </w:r>
            <w:r>
              <w:rPr>
                <w:rFonts w:hint="default" w:ascii="Times New Roman" w:hAnsi="Times New Roman" w:eastAsia="楷体" w:cs="Times New Roman"/>
                <w:sz w:val="18"/>
                <w:szCs w:val="18"/>
                <w:lang w:val="en-US" w:eastAsia="zh-CN"/>
              </w:rPr>
              <w:t xml:space="preserve"> and 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chronic patients can be vaccinated against influenza vaccine, pneumonia vaccine, etc. to prevent infection</w:t>
            </w:r>
          </w:p>
        </w:tc>
        <w:tc>
          <w:tcPr>
            <w:tcW w:w="411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406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3905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Frequently changing body position, turning over, and slapping the back of bedridden patients cannot reduce the incidence of pneumonia.</w:t>
            </w:r>
          </w:p>
        </w:tc>
        <w:tc>
          <w:tcPr>
            <w:tcW w:w="411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406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3905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There is currently no specific medicine for the new crown, and strategies are adopted to control the source of infection, cut off the route of transmission, and protect susceptible populations.</w:t>
            </w:r>
          </w:p>
        </w:tc>
        <w:tc>
          <w:tcPr>
            <w:tcW w:w="411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406" w:type="pct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</w:p>
        </w:tc>
      </w:tr>
    </w:tbl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7B1FA1"/>
    <w:rsid w:val="0EA224A6"/>
    <w:rsid w:val="237E130F"/>
    <w:rsid w:val="24E42E0F"/>
    <w:rsid w:val="407B1FA1"/>
    <w:rsid w:val="52BB1326"/>
    <w:rsid w:val="537A5F9E"/>
    <w:rsid w:val="654E3963"/>
    <w:rsid w:val="67184229"/>
    <w:rsid w:val="67872054"/>
    <w:rsid w:val="7E566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2022-06-10T01:24:00Z</dcterms:created>
  <dc:creator>knight</dc:creator>
  <cp:lastModifiedBy>knight</cp:lastModifiedBy>
  <dcterms:modified xsi:type="dcterms:W3CDTF">2022-08-01T01:58:21Z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893DE1943F824F0F9D3025E55EF24266</vt:lpwstr>
  </property>
</Properties>
</file>